
<file path=[Content_Types].xml><?xml version="1.0" encoding="utf-8"?>
<Types xmlns="http://schemas.openxmlformats.org/package/2006/content-types">
  <Default Extension="xml" ContentType="application/xml"/>
  <Default Extension="xlsx" ContentType="application/vnd.openxmlformats-officedocument.spreadsheetml.sheet"/>
  <Default Extension="bin" ContentType="application/vnd.openxmlformats-officedocument.oleObject"/>
  <Default Extension="png" ContentType="image/png"/>
  <Default Extension="jpeg" ContentType="image/jpeg"/>
  <Default Extension="JPG" ContentType="image/.jpg"/>
  <Default Extension="tiff" ContentType="image/tiff"/>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0" w:firstLineChars="0"/>
        <w:jc w:val="center"/>
        <w:rPr>
          <w:rFonts w:ascii="Times New Roman" w:hAnsi="Times New Roman" w:eastAsia="楷体"/>
          <w:b/>
          <w:sz w:val="52"/>
          <w:szCs w:val="52"/>
        </w:rPr>
      </w:pPr>
      <w:r>
        <w:rPr>
          <w:rFonts w:ascii="Times New Roman" w:hAnsi="Times New Roman" w:eastAsia="楷体"/>
          <w:b/>
          <w:sz w:val="52"/>
          <w:szCs w:val="52"/>
        </w:rPr>
        <w:t>西南油气田桃花气田宣探1井组</w:t>
      </w:r>
    </w:p>
    <w:p>
      <w:pPr>
        <w:ind w:firstLine="0" w:firstLineChars="0"/>
        <w:jc w:val="center"/>
        <w:rPr>
          <w:rFonts w:ascii="Times New Roman" w:hAnsi="Times New Roman"/>
          <w:b/>
        </w:rPr>
      </w:pPr>
      <w:r>
        <w:rPr>
          <w:rFonts w:ascii="Times New Roman" w:hAnsi="Times New Roman" w:eastAsia="楷体"/>
          <w:b/>
          <w:sz w:val="52"/>
          <w:szCs w:val="52"/>
        </w:rPr>
        <w:t>飞仙关组气藏试采产能建设项目</w:t>
      </w:r>
    </w:p>
    <w:p>
      <w:pPr>
        <w:pStyle w:val="34"/>
        <w:spacing w:before="156" w:beforeLines="50" w:line="360" w:lineRule="auto"/>
        <w:rPr>
          <w:rFonts w:ascii="Times New Roman" w:hAnsi="Times New Roman"/>
        </w:rPr>
      </w:pPr>
      <w:r>
        <w:rPr>
          <w:rFonts w:ascii="Times New Roman" w:hAnsi="Times New Roman"/>
          <w:b/>
        </w:rPr>
        <w:t>环境影响报告书</w:t>
      </w: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562"/>
        <w:rPr>
          <w:rFonts w:ascii="Times New Roman" w:hAnsi="Times New Roman"/>
          <w:b/>
          <w:sz w:val="28"/>
          <w:szCs w:val="28"/>
        </w:rPr>
      </w:pPr>
    </w:p>
    <w:p>
      <w:pPr>
        <w:ind w:firstLine="562"/>
        <w:jc w:val="center"/>
        <w:rPr>
          <w:rFonts w:ascii="Times New Roman" w:hAnsi="Times New Roman"/>
          <w:b/>
          <w:sz w:val="28"/>
          <w:szCs w:val="28"/>
        </w:rPr>
      </w:pPr>
      <w:r>
        <w:rPr>
          <w:rFonts w:ascii="Times New Roman" w:hAnsi="Times New Roman"/>
          <w:b/>
          <w:sz w:val="28"/>
          <w:szCs w:val="28"/>
        </w:rPr>
        <w:t xml:space="preserve">建 设 单 位：中国石油天然气股份有限公司西南油气田分公司     </w:t>
      </w:r>
    </w:p>
    <w:p>
      <w:pPr>
        <w:ind w:firstLine="2530" w:firstLineChars="900"/>
        <w:rPr>
          <w:rFonts w:ascii="Times New Roman" w:hAnsi="Times New Roman"/>
          <w:b/>
          <w:sz w:val="28"/>
          <w:szCs w:val="28"/>
        </w:rPr>
      </w:pPr>
      <w:r>
        <w:rPr>
          <w:rFonts w:ascii="Times New Roman" w:hAnsi="Times New Roman"/>
          <w:b/>
          <w:sz w:val="28"/>
          <w:szCs w:val="28"/>
        </w:rPr>
        <w:t>川东北气矿</w:t>
      </w:r>
    </w:p>
    <w:p>
      <w:pPr>
        <w:ind w:firstLine="562"/>
        <w:rPr>
          <w:rFonts w:ascii="Times New Roman" w:hAnsi="Times New Roman"/>
          <w:b/>
          <w:sz w:val="28"/>
          <w:szCs w:val="28"/>
        </w:rPr>
      </w:pPr>
      <w:r>
        <w:rPr>
          <w:rFonts w:ascii="Times New Roman" w:hAnsi="Times New Roman"/>
          <w:b/>
          <w:sz w:val="28"/>
          <w:szCs w:val="28"/>
        </w:rPr>
        <w:t>评 价 单 位：北京国环清华环境工程设计研究院有限公司</w:t>
      </w:r>
    </w:p>
    <w:p>
      <w:pPr>
        <w:pStyle w:val="34"/>
        <w:rPr>
          <w:rFonts w:ascii="Times New Roman" w:hAnsi="Times New Roman"/>
          <w:b/>
          <w:sz w:val="28"/>
          <w:szCs w:val="28"/>
        </w:rPr>
      </w:pPr>
    </w:p>
    <w:p>
      <w:pPr>
        <w:pStyle w:val="34"/>
        <w:rPr>
          <w:rFonts w:ascii="Times New Roman" w:hAnsi="Times New Roman"/>
          <w:sz w:val="36"/>
          <w:szCs w:val="36"/>
        </w:rPr>
      </w:pPr>
      <w:r>
        <w:rPr>
          <w:rFonts w:ascii="Times New Roman" w:hAnsi="Times New Roman"/>
          <w:b/>
          <w:sz w:val="28"/>
          <w:szCs w:val="28"/>
        </w:rPr>
        <w:t>二○二四年三月</w:t>
      </w:r>
    </w:p>
    <w:p>
      <w:pPr>
        <w:ind w:firstLine="480"/>
        <w:rPr>
          <w:rFonts w:ascii="Times New Roman" w:hAnsi="Times New Roman"/>
        </w:rPr>
      </w:pPr>
    </w:p>
    <w:p>
      <w:pPr>
        <w:ind w:firstLine="480"/>
        <w:rPr>
          <w:rFonts w:ascii="Times New Roman" w:hAnsi="Times New Roman"/>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docGrid w:type="lines" w:linePitch="312" w:charSpace="0"/>
        </w:sectPr>
      </w:pPr>
    </w:p>
    <w:p>
      <w:pPr>
        <w:pStyle w:val="2"/>
        <w:numPr>
          <w:ilvl w:val="0"/>
          <w:numId w:val="0"/>
        </w:numPr>
        <w:rPr>
          <w:rFonts w:ascii="Times New Roman" w:hAnsi="Times New Roman" w:cs="Times New Roman"/>
        </w:rPr>
      </w:pPr>
      <w:bookmarkStart w:id="0" w:name="_Toc162339379"/>
      <w:r>
        <w:rPr>
          <w:rFonts w:ascii="Times New Roman" w:hAnsi="Times New Roman" w:cs="Times New Roman"/>
        </w:rPr>
        <w:t>概述</w:t>
      </w:r>
      <w:bookmarkEnd w:id="0"/>
    </w:p>
    <w:p>
      <w:pPr>
        <w:pStyle w:val="35"/>
        <w:spacing w:before="156" w:after="156"/>
        <w:ind w:left="840" w:hanging="360" w:firstLineChars="0"/>
        <w:rPr>
          <w:rFonts w:ascii="Times New Roman" w:hAnsi="Times New Roman"/>
        </w:rPr>
      </w:pPr>
      <w:r>
        <w:rPr>
          <w:rFonts w:ascii="Times New Roman" w:hAnsi="Times New Roman"/>
        </w:rPr>
        <w:t>1. 企业概况</w:t>
      </w:r>
    </w:p>
    <w:p>
      <w:pPr>
        <w:ind w:firstLine="480"/>
        <w:rPr>
          <w:rFonts w:ascii="Times New Roman" w:hAnsi="Times New Roman"/>
        </w:rPr>
      </w:pPr>
      <w:r>
        <w:rPr>
          <w:rFonts w:ascii="Times New Roman" w:hAnsi="Times New Roman"/>
        </w:rPr>
        <w:t>中国石油天然气股份有限公司西南油气田分公司川东北气矿（以下称“川东北气矿”）机关成立于2003年1月，隶属于中国石油西南油气田分公司，机关驻地四川省达州市西外凤凰大道436号，主要承担着四川盆地东北部地区约0.977万余平方公里油气勘探开发任务。</w:t>
      </w:r>
    </w:p>
    <w:p>
      <w:pPr>
        <w:ind w:firstLine="480"/>
        <w:rPr>
          <w:rFonts w:ascii="Times New Roman" w:hAnsi="Times New Roman"/>
        </w:rPr>
      </w:pPr>
      <w:r>
        <w:rPr>
          <w:rFonts w:ascii="Times New Roman" w:hAnsi="Times New Roman"/>
        </w:rPr>
        <w:t>川东北气矿位于四川盆地东北部，所辖区域跨越四川省、重庆市11个县、市、区（四川省达州市所辖开江县、宣汉县、大竹县、渠县、万源市、通川区、达川区和重庆市所辖的开县、城口县、云阳县、巫溪县），勘探开发面积0.977万平方公里，主要从事区域内的油气勘探开发和销售业务。</w:t>
      </w:r>
    </w:p>
    <w:p>
      <w:pPr>
        <w:pStyle w:val="35"/>
        <w:spacing w:before="156" w:after="156"/>
        <w:ind w:left="840" w:hanging="360" w:firstLineChars="0"/>
        <w:rPr>
          <w:rFonts w:ascii="Times New Roman" w:hAnsi="Times New Roman"/>
        </w:rPr>
      </w:pPr>
      <w:r>
        <w:rPr>
          <w:rFonts w:ascii="Times New Roman" w:hAnsi="Times New Roman"/>
        </w:rPr>
        <w:t>2. 项目背景</w:t>
      </w:r>
    </w:p>
    <w:p>
      <w:pPr>
        <w:ind w:firstLine="480"/>
        <w:rPr>
          <w:rFonts w:ascii="Times New Roman" w:hAnsi="Times New Roman"/>
        </w:rPr>
      </w:pPr>
      <w:r>
        <w:rPr>
          <w:rFonts w:ascii="Times New Roman" w:hAnsi="Times New Roman"/>
        </w:rPr>
        <w:t>桃花气田宣探1井区飞仙关组气藏位于四川省达州市宣汉县，构造位置处于大巴山弧前褶皱带与川东断褶带交汇处，沉积区域位于开江~梁平海槽东侧台缘带，紧邻中国石化老君4井区。川东北地区的勘探工作始于1971年，地质部在区内部署了6条二位地震测线。1980～1983年、1986年的2次勘探曾先后涉及本区，早期的地震工作主要集中在七里峡构造带中部以及南段，从1995年开始地调处对七里峡构造北段进行地震加密详查，并利用构造带上已有钻井资料进行地震处理解释，基本查清了七里峡构造北段以及倾末端地腹构造形态及断层展布。2004年开始对七里北地区进行了三维地震野外采集，2005年完成室内处理解释工作。2018年由BGp（中国石油东方地球物理公司）2100地震队对东升地区进行了三维地震采集工作，该轮成果进一步查清了桃花构造的细节和接触关系。2019年对黄龙场-渡口河-罗家寨西区块三维地震老资料进行了处理解释，据此</w:t>
      </w:r>
      <w:r>
        <w:rPr>
          <w:rFonts w:hint="eastAsia" w:ascii="Times New Roman" w:hAnsi="Times New Roman"/>
          <w:lang w:eastAsia="zh-CN"/>
        </w:rPr>
        <w:t>部署</w:t>
      </w:r>
      <w:r>
        <w:rPr>
          <w:rFonts w:ascii="Times New Roman" w:hAnsi="Times New Roman"/>
        </w:rPr>
        <w:t>了宣探1井和宣兴1井。2023年宣探1井与宣兴1井</w:t>
      </w:r>
      <w:r>
        <w:rPr>
          <w:rFonts w:ascii="Times New Roman" w:hAnsi="Times New Roman"/>
          <w:highlight w:val="black"/>
        </w:rPr>
        <w:t>飞仙关组</w:t>
      </w:r>
      <w:r>
        <w:rPr>
          <w:rFonts w:ascii="Times New Roman" w:hAnsi="Times New Roman"/>
        </w:rPr>
        <w:t>测试均获得了良好的工业产能。</w:t>
      </w:r>
    </w:p>
    <w:p>
      <w:pPr>
        <w:ind w:firstLine="480"/>
        <w:rPr>
          <w:rFonts w:ascii="Times New Roman" w:hAnsi="Times New Roman"/>
        </w:rPr>
      </w:pPr>
      <w:r>
        <w:rPr>
          <w:rFonts w:ascii="Times New Roman" w:hAnsi="Times New Roman"/>
        </w:rPr>
        <w:t>为深化对宣探1井区飞仙关组气藏的地质特征和开发特征认识，初步形成一套适用于宣探1井区飞仙关组气藏的开采规模、防水治水等开发主体技术，决定对其进行为期一年的试采和衰竭式开采，组织编制了桃花气田宣探1井组飞仙关组气藏试采方案，西南油气田分公司对方案进行了批复（见附件11）。</w:t>
      </w:r>
    </w:p>
    <w:p>
      <w:pPr>
        <w:ind w:firstLine="480"/>
        <w:rPr>
          <w:rFonts w:ascii="Times New Roman" w:hAnsi="Times New Roman"/>
        </w:rPr>
      </w:pPr>
      <w:r>
        <w:rPr>
          <w:rFonts w:ascii="Times New Roman" w:hAnsi="Times New Roman"/>
        </w:rPr>
        <w:t>宣探1井站建设规模</w:t>
      </w:r>
      <w:r>
        <w:rPr>
          <w:rFonts w:ascii="Times New Roman" w:hAnsi="Times New Roman"/>
          <w:highlight w:val="black"/>
        </w:rPr>
        <w:t>40～60×10</w:t>
      </w:r>
      <w:r>
        <w:rPr>
          <w:rFonts w:ascii="Times New Roman" w:hAnsi="Times New Roman"/>
          <w:highlight w:val="black"/>
          <w:vertAlign w:val="superscript"/>
        </w:rPr>
        <w:t>4</w:t>
      </w:r>
      <w:r>
        <w:rPr>
          <w:rFonts w:ascii="Times New Roman" w:hAnsi="Times New Roman"/>
          <w:highlight w:val="black"/>
        </w:rPr>
        <w:t>m</w:t>
      </w:r>
      <w:r>
        <w:rPr>
          <w:rFonts w:ascii="Times New Roman" w:hAnsi="Times New Roman"/>
          <w:highlight w:val="black"/>
          <w:vertAlign w:val="superscript"/>
        </w:rPr>
        <w:t>3</w:t>
      </w:r>
      <w:r>
        <w:rPr>
          <w:rFonts w:ascii="Times New Roman" w:hAnsi="Times New Roman"/>
          <w:highlight w:val="black"/>
        </w:rPr>
        <w:t>/d，</w:t>
      </w:r>
      <w:r>
        <w:rPr>
          <w:rFonts w:ascii="Times New Roman" w:hAnsi="Times New Roman"/>
        </w:rPr>
        <w:t>宣兴1井站建设规模</w:t>
      </w:r>
      <w:r>
        <w:rPr>
          <w:rFonts w:ascii="Times New Roman" w:hAnsi="Times New Roman"/>
          <w:highlight w:val="black"/>
        </w:rPr>
        <w:t>60～100×10</w:t>
      </w:r>
      <w:r>
        <w:rPr>
          <w:rFonts w:ascii="Times New Roman" w:hAnsi="Times New Roman"/>
          <w:highlight w:val="black"/>
          <w:vertAlign w:val="superscript"/>
        </w:rPr>
        <w:t>4</w:t>
      </w:r>
      <w:r>
        <w:rPr>
          <w:rFonts w:ascii="Times New Roman" w:hAnsi="Times New Roman"/>
          <w:highlight w:val="black"/>
        </w:rPr>
        <w:t>m</w:t>
      </w:r>
      <w:r>
        <w:rPr>
          <w:rFonts w:ascii="Times New Roman" w:hAnsi="Times New Roman"/>
          <w:highlight w:val="black"/>
          <w:vertAlign w:val="superscript"/>
        </w:rPr>
        <w:t>3</w:t>
      </w:r>
      <w:r>
        <w:rPr>
          <w:rFonts w:ascii="Times New Roman" w:hAnsi="Times New Roman"/>
          <w:highlight w:val="black"/>
        </w:rPr>
        <w:t>/</w:t>
      </w:r>
      <w:r>
        <w:rPr>
          <w:rFonts w:ascii="Times New Roman" w:hAnsi="Times New Roman"/>
        </w:rPr>
        <w:t>d，宣探集气干线及下游阀室、清管站，清管站建设规模</w:t>
      </w:r>
      <w:r>
        <w:rPr>
          <w:rFonts w:ascii="Times New Roman" w:hAnsi="Times New Roman"/>
          <w:highlight w:val="black"/>
        </w:rPr>
        <w:t>200×10</w:t>
      </w:r>
      <w:r>
        <w:rPr>
          <w:rFonts w:ascii="Times New Roman" w:hAnsi="Times New Roman"/>
          <w:highlight w:val="black"/>
          <w:vertAlign w:val="superscript"/>
        </w:rPr>
        <w:t>4</w:t>
      </w:r>
      <w:r>
        <w:rPr>
          <w:rFonts w:ascii="Times New Roman" w:hAnsi="Times New Roman"/>
          <w:highlight w:val="black"/>
        </w:rPr>
        <w:t>m</w:t>
      </w:r>
      <w:r>
        <w:rPr>
          <w:rFonts w:ascii="Times New Roman" w:hAnsi="Times New Roman"/>
          <w:highlight w:val="black"/>
          <w:vertAlign w:val="superscript"/>
        </w:rPr>
        <w:t>3</w:t>
      </w:r>
      <w:r>
        <w:rPr>
          <w:rFonts w:ascii="Times New Roman" w:hAnsi="Times New Roman"/>
          <w:highlight w:val="black"/>
        </w:rPr>
        <w:t>/d</w:t>
      </w:r>
      <w:r>
        <w:rPr>
          <w:rFonts w:ascii="Times New Roman" w:hAnsi="Times New Roman"/>
        </w:rPr>
        <w:t>。宣探1井原料气气液分输至宣兴1井站汇集并完成交接计量后，经新建集气干线输至普光P304集气站，进入普光集输净化系统处理后外输。</w:t>
      </w:r>
    </w:p>
    <w:p>
      <w:pPr>
        <w:ind w:firstLine="480"/>
        <w:rPr>
          <w:rFonts w:ascii="Times New Roman" w:hAnsi="Times New Roman"/>
        </w:rPr>
      </w:pPr>
      <w:r>
        <w:rPr>
          <w:rFonts w:ascii="Times New Roman" w:hAnsi="Times New Roman"/>
        </w:rPr>
        <w:t>根据《建设项目环境影响评价分类管理名录》（2021版），该项目属于“五、石油和天然气开采业07中陆地天然气开采0721”，项目占用永久基本农田、涉及水土流失重点治理区、天然林，本项目应编制环境影响报告书。据此，建设单位中国石油西南油气田公司川东北气矿委托我单位编制版本项目的环境影响评价文件，环评委托书见附件1。</w:t>
      </w:r>
    </w:p>
    <w:p>
      <w:pPr>
        <w:pStyle w:val="35"/>
        <w:spacing w:before="156" w:after="156"/>
        <w:ind w:left="840" w:hanging="360" w:firstLineChars="0"/>
        <w:rPr>
          <w:rFonts w:ascii="Times New Roman" w:hAnsi="Times New Roman"/>
        </w:rPr>
      </w:pPr>
      <w:r>
        <w:rPr>
          <w:rFonts w:ascii="Times New Roman" w:hAnsi="Times New Roman"/>
        </w:rPr>
        <w:t>3. 建设项目特点</w:t>
      </w:r>
    </w:p>
    <w:p>
      <w:pPr>
        <w:ind w:firstLine="480"/>
        <w:rPr>
          <w:rFonts w:ascii="Times New Roman" w:hAnsi="Times New Roman"/>
        </w:rPr>
      </w:pPr>
      <w:r>
        <w:rPr>
          <w:rFonts w:ascii="Times New Roman" w:hAnsi="Times New Roman"/>
        </w:rPr>
        <w:t>本项目为西南油气田桃花气田宣探1井组飞仙关组气藏试采产能建设项目。</w:t>
      </w:r>
    </w:p>
    <w:p>
      <w:pPr>
        <w:ind w:firstLine="480"/>
        <w:rPr>
          <w:rFonts w:ascii="Times New Roman" w:hAnsi="Times New Roman"/>
        </w:rPr>
      </w:pPr>
      <w:r>
        <w:rPr>
          <w:rFonts w:ascii="Times New Roman" w:hAnsi="Times New Roman"/>
        </w:rPr>
        <w:t>试采层位：</w:t>
      </w:r>
      <w:r>
        <w:rPr>
          <w:rFonts w:ascii="Times New Roman" w:hAnsi="Times New Roman"/>
          <w:highlight w:val="black"/>
        </w:rPr>
        <w:t>飞仙关组</w:t>
      </w:r>
    </w:p>
    <w:p>
      <w:pPr>
        <w:ind w:firstLine="480"/>
        <w:rPr>
          <w:rFonts w:ascii="Times New Roman" w:hAnsi="Times New Roman"/>
        </w:rPr>
      </w:pPr>
      <w:r>
        <w:rPr>
          <w:rFonts w:ascii="Times New Roman" w:hAnsi="Times New Roman"/>
        </w:rPr>
        <w:t>试采方式：采取井组试采、衰竭式开采</w:t>
      </w:r>
    </w:p>
    <w:p>
      <w:pPr>
        <w:ind w:firstLine="480"/>
        <w:rPr>
          <w:rFonts w:ascii="Times New Roman" w:hAnsi="Times New Roman"/>
        </w:rPr>
      </w:pPr>
      <w:r>
        <w:rPr>
          <w:rFonts w:ascii="Times New Roman" w:hAnsi="Times New Roman"/>
        </w:rPr>
        <w:t>试采井：宣探1井和宣兴1井</w:t>
      </w:r>
    </w:p>
    <w:p>
      <w:pPr>
        <w:ind w:firstLine="480"/>
        <w:rPr>
          <w:rFonts w:ascii="Times New Roman" w:hAnsi="Times New Roman"/>
        </w:rPr>
      </w:pPr>
      <w:r>
        <w:rPr>
          <w:rFonts w:ascii="Times New Roman" w:hAnsi="Times New Roman"/>
        </w:rPr>
        <w:t>宣探1井和宣兴1井为现有井，目前均已完钻，本项目在两井站只进行地面生产设施的建设。井站开采的原料气通过本项目新建的集输管线输往中石化普光分公司的P304集气站后，输往普光净化厂进行净化外输。产生的气田水定期拉运至渡口河净化厂气田水处理，后通过气田水转输和回注系统进入黄龙5井回注，若本项目先于渡口河净化厂投产，则暂将气田水拉运至黄龙004-X4井后输往黄龙2井或拉运至蒲西4井进行回注。</w:t>
      </w:r>
    </w:p>
    <w:p>
      <w:pPr>
        <w:ind w:firstLine="480"/>
        <w:rPr>
          <w:rFonts w:ascii="Times New Roman" w:hAnsi="Times New Roman"/>
        </w:rPr>
      </w:pPr>
      <w:r>
        <w:rPr>
          <w:rFonts w:ascii="Times New Roman" w:hAnsi="Times New Roman"/>
        </w:rPr>
        <w:t>本项目建设内容仅为地面建设和采输工程，不含钻井工程、净化工程、气田水回注工程等，均依托现有。</w:t>
      </w:r>
    </w:p>
    <w:p>
      <w:pPr>
        <w:pStyle w:val="35"/>
        <w:spacing w:before="156" w:after="156"/>
        <w:ind w:left="840" w:hanging="360" w:firstLineChars="0"/>
        <w:rPr>
          <w:rFonts w:ascii="Times New Roman" w:hAnsi="Times New Roman"/>
        </w:rPr>
      </w:pPr>
      <w:r>
        <w:rPr>
          <w:rFonts w:ascii="Times New Roman" w:hAnsi="Times New Roman"/>
        </w:rPr>
        <w:t>4. 环境影响价过程</w:t>
      </w:r>
    </w:p>
    <w:p>
      <w:pPr>
        <w:ind w:firstLine="480"/>
        <w:rPr>
          <w:rFonts w:ascii="Times New Roman" w:hAnsi="Times New Roman"/>
        </w:rPr>
      </w:pPr>
      <w:r>
        <w:rPr>
          <w:rFonts w:ascii="Times New Roman" w:hAnsi="Times New Roman"/>
        </w:rPr>
        <w:t>我单位接受委托后，立即成立了项目组开展本项目的环境影响评价工作。在研究了相关工程资料和技术文件的基础上，先后多次在建设单位的协助下开展了建设项目的现场踏勘和资料收集工作。对项目各站场及管线进行了航拍，对沿线植被进行了样方调查，对沿线野生动物进行了样线调查，对评价范围内的居民、学校和医院的敏感点进行了现场踏勘等；收集了区域自然环境概况相关资料、公益林、永久基本农田、自然保护地等环境敏感区的资料；委托四川地风升检测服务有限公司和谱尼测试集团四川有限公司进行了环境空气质量、土壤环境质量、地表水环境质量、地下水环境质量和声环境质量现状监测工作。根据调查、收集到的有关资料、文件、以及项目的开发方案和初步设计，在环境质量现状调查结果的基础上，采用模型模拟、类比分析等手段，开展了各环境要素的环境影响分析与评价工作，据此提出了环境保护措施和管理要求。</w:t>
      </w:r>
    </w:p>
    <w:p>
      <w:pPr>
        <w:ind w:firstLine="480"/>
        <w:rPr>
          <w:rFonts w:ascii="Times New Roman" w:hAnsi="Times New Roman"/>
        </w:rPr>
      </w:pPr>
      <w:r>
        <w:rPr>
          <w:rFonts w:ascii="Times New Roman" w:hAnsi="Times New Roman"/>
        </w:rPr>
        <w:t>建设单位按照《环境影响评价公众参与办法》（生态环境部令第4 号）要求，于2023年11月28日在凤凰山下达州论坛进行了本项目第一次公示。在评价单位完成环评报告书征求意见稿后，建设单位于2024年2月19日在凤凰山下达州论坛开展了本项目第二次网络公示；2024年2月20 日、2月23 日在《达州晚报》进行了登报公示；同期在项目所在周边村庄开展现场张贴公示。在公示期间未收到公众的反馈意见。</w:t>
      </w:r>
    </w:p>
    <w:p>
      <w:pPr>
        <w:ind w:firstLine="480"/>
        <w:rPr>
          <w:rFonts w:ascii="Times New Roman" w:hAnsi="Times New Roman"/>
        </w:rPr>
      </w:pPr>
      <w:r>
        <w:rPr>
          <w:rFonts w:ascii="Times New Roman" w:hAnsi="Times New Roman"/>
        </w:rPr>
        <w:t>在以上工作的基础上，我单位编制完成了《西南油气田桃花气田宣探1井组飞仙关组气藏试采产能建设项目环境影响报告书》。</w:t>
      </w:r>
    </w:p>
    <w:p>
      <w:pPr>
        <w:pStyle w:val="35"/>
        <w:spacing w:before="156" w:after="156"/>
        <w:ind w:left="840" w:hanging="360" w:firstLineChars="0"/>
        <w:rPr>
          <w:rFonts w:ascii="Times New Roman" w:hAnsi="Times New Roman"/>
        </w:rPr>
      </w:pPr>
      <w:r>
        <w:rPr>
          <w:rFonts w:ascii="Times New Roman" w:hAnsi="Times New Roman"/>
        </w:rPr>
        <w:t>4. 分析判定相关情况</w:t>
      </w:r>
    </w:p>
    <w:p>
      <w:pPr>
        <w:ind w:firstLine="480"/>
        <w:rPr>
          <w:rFonts w:ascii="Times New Roman" w:hAnsi="Times New Roman"/>
        </w:rPr>
      </w:pPr>
      <w:r>
        <w:rPr>
          <w:rFonts w:ascii="Times New Roman" w:hAnsi="Times New Roman"/>
        </w:rPr>
        <w:t>本项目系天然气勘探开发中的天然气开采工程中地面集输工程，属于《产业结构调整指导目录（2024年本）》中鼓励类“七、石油天然气，1、石油天然气开采”中的常规天然气开采。项目建设符合国家产业政策。</w:t>
      </w:r>
    </w:p>
    <w:p>
      <w:pPr>
        <w:ind w:firstLine="480"/>
        <w:rPr>
          <w:rFonts w:ascii="Times New Roman" w:hAnsi="Times New Roman"/>
        </w:rPr>
      </w:pPr>
      <w:r>
        <w:rPr>
          <w:rFonts w:ascii="Times New Roman" w:hAnsi="Times New Roman"/>
        </w:rPr>
        <w:t>项目的建设符合《四川省主体功能区划</w:t>
      </w:r>
      <w:r>
        <w:rPr>
          <w:rFonts w:hint="eastAsia" w:ascii="Times New Roman" w:hAnsi="Times New Roman"/>
          <w:lang w:eastAsia="zh-CN"/>
        </w:rPr>
        <w:t>》《</w:t>
      </w:r>
      <w:r>
        <w:rPr>
          <w:rFonts w:ascii="Times New Roman" w:hAnsi="Times New Roman"/>
        </w:rPr>
        <w:t>四川省矿产资源总体规划（2021-2025年）</w:t>
      </w:r>
      <w:r>
        <w:rPr>
          <w:rFonts w:hint="eastAsia" w:ascii="Times New Roman" w:hAnsi="Times New Roman"/>
          <w:lang w:eastAsia="zh-CN"/>
        </w:rPr>
        <w:t>》《</w:t>
      </w:r>
      <w:r>
        <w:rPr>
          <w:rFonts w:ascii="Times New Roman" w:hAnsi="Times New Roman"/>
        </w:rPr>
        <w:t>四川省矿产资源总体规划（2021-2025年）环境影响报告书》及其批复、《宣汉县国土空间总体规划（2021-2034）》等相关规划的要求；符合《石油天然气开采业污染防治技术政策</w:t>
      </w:r>
      <w:r>
        <w:rPr>
          <w:rFonts w:hint="eastAsia" w:ascii="Times New Roman" w:hAnsi="Times New Roman"/>
          <w:lang w:eastAsia="zh-CN"/>
        </w:rPr>
        <w:t>》《</w:t>
      </w:r>
      <w:r>
        <w:rPr>
          <w:rFonts w:ascii="Times New Roman" w:hAnsi="Times New Roman"/>
        </w:rPr>
        <w:t>关于进一步加强石油天然气行业环境影响评价管理的通知》等相关政策的要求；符合达州市“三线一单”的管控要求；符合基本农田、公益林相关法律法规的要求。</w:t>
      </w:r>
    </w:p>
    <w:p>
      <w:pPr>
        <w:ind w:firstLine="480"/>
        <w:rPr>
          <w:rFonts w:ascii="Times New Roman" w:hAnsi="Times New Roman"/>
        </w:rPr>
      </w:pPr>
      <w:r>
        <w:rPr>
          <w:rFonts w:ascii="Times New Roman" w:hAnsi="Times New Roman"/>
        </w:rPr>
        <w:t>项目选址取得了宣汉县自然资源局的批复，本项目符合产业政策及规划的要求，项目选址合理。</w:t>
      </w:r>
    </w:p>
    <w:p>
      <w:pPr>
        <w:pStyle w:val="35"/>
        <w:spacing w:before="156" w:after="156"/>
        <w:ind w:left="840" w:hanging="360" w:firstLineChars="0"/>
        <w:rPr>
          <w:rFonts w:ascii="Times New Roman" w:hAnsi="Times New Roman"/>
        </w:rPr>
      </w:pPr>
      <w:r>
        <w:rPr>
          <w:rFonts w:ascii="Times New Roman" w:hAnsi="Times New Roman"/>
        </w:rPr>
        <w:t>5. 关注的主要环境问题</w:t>
      </w:r>
    </w:p>
    <w:p>
      <w:pPr>
        <w:ind w:firstLine="480"/>
        <w:rPr>
          <w:rFonts w:ascii="Times New Roman" w:hAnsi="Times New Roman"/>
        </w:rPr>
      </w:pPr>
      <w:r>
        <w:rPr>
          <w:rFonts w:ascii="Times New Roman" w:hAnsi="Times New Roman"/>
        </w:rPr>
        <w:t>本项目为天然气开采工程中的内输工程，根据项目建设内容及开采原料气中组分，须重点关注以下方面的环境问题及环境影响。</w:t>
      </w:r>
    </w:p>
    <w:p>
      <w:pPr>
        <w:ind w:firstLine="480"/>
        <w:rPr>
          <w:rFonts w:ascii="Times New Roman" w:hAnsi="Times New Roman"/>
        </w:rPr>
      </w:pPr>
      <w:r>
        <w:rPr>
          <w:rFonts w:ascii="Times New Roman" w:hAnsi="Times New Roman"/>
        </w:rPr>
        <w:t>1）关注拟建项目与规划及规划环评、各类环保、政策规划之间的符合性；</w:t>
      </w:r>
    </w:p>
    <w:p>
      <w:pPr>
        <w:ind w:firstLine="480"/>
        <w:rPr>
          <w:rFonts w:ascii="Times New Roman" w:hAnsi="Times New Roman"/>
        </w:rPr>
      </w:pPr>
      <w:r>
        <w:rPr>
          <w:rFonts w:ascii="Times New Roman" w:hAnsi="Times New Roman"/>
        </w:rPr>
        <w:t>2）关注气田水处理工程等的依托工程的可行性；</w:t>
      </w:r>
    </w:p>
    <w:p>
      <w:pPr>
        <w:ind w:firstLine="480"/>
        <w:rPr>
          <w:rFonts w:ascii="Times New Roman" w:hAnsi="Times New Roman"/>
        </w:rPr>
      </w:pPr>
      <w:r>
        <w:rPr>
          <w:rFonts w:ascii="Times New Roman" w:hAnsi="Times New Roman"/>
        </w:rPr>
        <w:t>3）关注本项目运营期环境风险的可控性、防范措施的有效性以及应急体系的建立；</w:t>
      </w:r>
    </w:p>
    <w:p>
      <w:pPr>
        <w:ind w:firstLine="480"/>
        <w:rPr>
          <w:rFonts w:ascii="Times New Roman" w:hAnsi="Times New Roman"/>
        </w:rPr>
      </w:pPr>
      <w:r>
        <w:rPr>
          <w:rFonts w:ascii="Times New Roman" w:hAnsi="Times New Roman"/>
        </w:rPr>
        <w:t>4）关注集输管道的施工对沿线生态环境、公益林等环境敏感区的影响。</w:t>
      </w:r>
    </w:p>
    <w:p>
      <w:pPr>
        <w:pStyle w:val="35"/>
        <w:spacing w:before="156" w:after="156"/>
        <w:ind w:left="840" w:hanging="360" w:firstLineChars="0"/>
        <w:rPr>
          <w:rFonts w:ascii="Times New Roman" w:hAnsi="Times New Roman"/>
        </w:rPr>
      </w:pPr>
      <w:r>
        <w:rPr>
          <w:rFonts w:ascii="Times New Roman" w:hAnsi="Times New Roman"/>
        </w:rPr>
        <w:t>6. 环境影响评价的主要结论</w:t>
      </w:r>
    </w:p>
    <w:p>
      <w:pPr>
        <w:ind w:firstLine="480"/>
        <w:rPr>
          <w:rFonts w:ascii="Times New Roman" w:hAnsi="Times New Roman"/>
        </w:rPr>
      </w:pPr>
      <w:r>
        <w:rPr>
          <w:rFonts w:ascii="Times New Roman" w:hAnsi="Times New Roman"/>
        </w:rPr>
        <w:t>天然气作为一种优质、高效、清洁的能源和化工原料，它的开发利用，不仅可以改善能源结构，而且有利于保护和改善环境，减轻因燃煤引起的二氧化硫和酸雨的污染，提高人民生活质量，促进西部生态工程建设，对于我国实施可持续发展战略具有重要的意义。</w:t>
      </w:r>
    </w:p>
    <w:p>
      <w:pPr>
        <w:ind w:firstLine="480"/>
        <w:rPr>
          <w:rFonts w:ascii="Times New Roman" w:hAnsi="Times New Roman"/>
        </w:rPr>
      </w:pPr>
      <w:r>
        <w:rPr>
          <w:rFonts w:ascii="Times New Roman" w:hAnsi="Times New Roman"/>
        </w:rPr>
        <w:t>西南油气田桃花气田宣探1井组飞仙关组气藏试采产能建设项目位于达州市宣汉县境内，为地面集输工程。符合国家、地方政策及相关规划要求。</w:t>
      </w:r>
    </w:p>
    <w:p>
      <w:pPr>
        <w:ind w:firstLine="480"/>
        <w:rPr>
          <w:rFonts w:ascii="Times New Roman" w:hAnsi="Times New Roman"/>
        </w:rPr>
      </w:pPr>
      <w:r>
        <w:rPr>
          <w:rFonts w:ascii="Times New Roman" w:hAnsi="Times New Roman"/>
        </w:rPr>
        <w:t>项目采用清洁生产工艺、清洁能源，可有效减少污染物排放量，降低项目对周围环境质量的影响，可维持评价范围内的环境质量目标要求；在采取环境风险防范措施和事故应急预案的前提下，项目环境风险可控；在项目公众参与实施过程中，评价区域内公民、法人和其他组织未反馈与建设项目环境影响有关的意见和建议。</w:t>
      </w:r>
    </w:p>
    <w:p>
      <w:pPr>
        <w:ind w:firstLine="480"/>
        <w:rPr>
          <w:rFonts w:ascii="Times New Roman" w:hAnsi="Times New Roman" w:eastAsia="华文楷体"/>
          <w:sz w:val="48"/>
          <w:szCs w:val="48"/>
        </w:rPr>
      </w:pPr>
      <w:r>
        <w:rPr>
          <w:rFonts w:ascii="Times New Roman" w:hAnsi="Times New Roman"/>
        </w:rPr>
        <w:t>综上，在有效落实环保措施、环境风险防范措施的前提下，从环境保护角度考虑本项目的建设可行。</w:t>
      </w:r>
      <w:r>
        <w:rPr>
          <w:rFonts w:ascii="Times New Roman" w:hAnsi="Times New Roman" w:eastAsia="华文楷体"/>
          <w:sz w:val="48"/>
          <w:szCs w:val="48"/>
        </w:rPr>
        <w:br w:type="page"/>
      </w:r>
    </w:p>
    <w:p>
      <w:pPr>
        <w:ind w:firstLine="0" w:firstLineChars="0"/>
        <w:jc w:val="center"/>
        <w:rPr>
          <w:rFonts w:ascii="Times New Roman" w:hAnsi="Times New Roman"/>
        </w:rPr>
      </w:pPr>
      <w:r>
        <w:rPr>
          <w:rFonts w:ascii="Times New Roman" w:hAnsi="Times New Roman" w:eastAsia="华文楷体"/>
          <w:sz w:val="48"/>
          <w:szCs w:val="48"/>
        </w:rPr>
        <w:t>目   录</w:t>
      </w:r>
    </w:p>
    <w:p>
      <w:pPr>
        <w:pStyle w:val="22"/>
        <w:tabs>
          <w:tab w:val="right" w:leader="dot" w:pos="8296"/>
        </w:tabs>
        <w:ind w:firstLine="480"/>
        <w:rPr>
          <w:rFonts w:ascii="Times New Roman" w:hAnsi="Times New Roman" w:eastAsiaTheme="minorEastAsia"/>
          <w:sz w:val="21"/>
          <w:szCs w:val="22"/>
          <w14:ligatures w14:val="standardContextual"/>
        </w:rPr>
      </w:pPr>
      <w:r>
        <w:rPr>
          <w:rFonts w:ascii="Times New Roman" w:hAnsi="Times New Roman"/>
        </w:rPr>
        <w:fldChar w:fldCharType="begin"/>
      </w:r>
      <w:r>
        <w:rPr>
          <w:rFonts w:ascii="Times New Roman" w:hAnsi="Times New Roman"/>
        </w:rPr>
        <w:instrText xml:space="preserve"> TOC \o "1-2" \h \z \u </w:instrText>
      </w:r>
      <w:r>
        <w:rPr>
          <w:rFonts w:ascii="Times New Roman" w:hAnsi="Times New Roman"/>
        </w:rPr>
        <w:fldChar w:fldCharType="separate"/>
      </w:r>
      <w:r>
        <w:fldChar w:fldCharType="begin"/>
      </w:r>
      <w:r>
        <w:instrText xml:space="preserve"> HYPERLINK \l "_Toc162339379" </w:instrText>
      </w:r>
      <w:r>
        <w:fldChar w:fldCharType="separate"/>
      </w:r>
      <w:r>
        <w:rPr>
          <w:rStyle w:val="32"/>
          <w:rFonts w:ascii="Times New Roman" w:hAnsi="Times New Roman"/>
        </w:rPr>
        <w:t>概述</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_Toc162339379 \h </w:instrText>
      </w:r>
      <w:r>
        <w:rPr>
          <w:rFonts w:ascii="Times New Roman" w:hAnsi="Times New Roman"/>
        </w:rPr>
        <w:fldChar w:fldCharType="separate"/>
      </w:r>
      <w:r>
        <w:rPr>
          <w:rFonts w:ascii="Times New Roman" w:hAnsi="Times New Roman"/>
        </w:rPr>
        <w:t>I</w:t>
      </w:r>
      <w:r>
        <w:rPr>
          <w:rFonts w:ascii="Times New Roman" w:hAnsi="Times New Roman"/>
        </w:rPr>
        <w:fldChar w:fldCharType="end"/>
      </w:r>
      <w:r>
        <w:rPr>
          <w:rFonts w:ascii="Times New Roman" w:hAnsi="Times New Roman"/>
        </w:rPr>
        <w:fldChar w:fldCharType="end"/>
      </w:r>
    </w:p>
    <w:p>
      <w:pPr>
        <w:pStyle w:val="22"/>
        <w:tabs>
          <w:tab w:val="right" w:leader="dot" w:pos="8296"/>
        </w:tabs>
        <w:ind w:firstLine="480"/>
        <w:rPr>
          <w:rFonts w:ascii="Times New Roman" w:hAnsi="Times New Roman" w:eastAsiaTheme="minorEastAsia"/>
          <w:sz w:val="21"/>
          <w:szCs w:val="22"/>
          <w14:ligatures w14:val="standardContextual"/>
        </w:rPr>
      </w:pPr>
      <w:r>
        <w:fldChar w:fldCharType="begin"/>
      </w:r>
      <w:r>
        <w:instrText xml:space="preserve"> HYPERLINK \l "_Toc162339380" </w:instrText>
      </w:r>
      <w:r>
        <w:fldChar w:fldCharType="separate"/>
      </w:r>
      <w:r>
        <w:rPr>
          <w:rStyle w:val="32"/>
          <w:rFonts w:ascii="Times New Roman" w:hAnsi="Times New Roman"/>
        </w:rPr>
        <w:t>第1章 总则</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_Toc162339380 \h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"_Toc162339381" </w:instrText>
      </w:r>
      <w:r>
        <w:fldChar w:fldCharType="separate"/>
      </w:r>
      <w:r>
        <w:rPr>
          <w:rStyle w:val="32"/>
          <w:rFonts w:ascii="Times New Roman" w:hAnsi="Times New Roman"/>
        </w:rPr>
        <w:t>1.1 项目由来</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_Toc162339381 \h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"_Toc162339382" </w:instrText>
      </w:r>
      <w:r>
        <w:fldChar w:fldCharType="separate"/>
      </w:r>
      <w:r>
        <w:rPr>
          <w:rStyle w:val="32"/>
          <w:rFonts w:ascii="Times New Roman" w:hAnsi="Times New Roman"/>
        </w:rPr>
        <w:t>1.2 评价目的和原则</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_Toc162339382 \h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"_Toc162339383" </w:instrText>
      </w:r>
      <w:r>
        <w:fldChar w:fldCharType="separate"/>
      </w:r>
      <w:r>
        <w:rPr>
          <w:rStyle w:val="32"/>
          <w:rFonts w:ascii="Times New Roman" w:hAnsi="Times New Roman"/>
        </w:rPr>
        <w:t>1.3 编制依据</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_Toc162339383 \h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"_Toc162339384" </w:instrText>
      </w:r>
      <w:r>
        <w:fldChar w:fldCharType="separate"/>
      </w:r>
      <w:r>
        <w:rPr>
          <w:rStyle w:val="32"/>
          <w:rFonts w:ascii="Times New Roman" w:hAnsi="Times New Roman"/>
        </w:rPr>
        <w:t>1.4 环境影响因子识别和评价因子筛选</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_Toc162339384 \h </w:instrText>
      </w:r>
      <w:r>
        <w:rPr>
          <w:rFonts w:ascii="Times New Roman" w:hAnsi="Times New Roman"/>
        </w:rPr>
        <w:fldChar w:fldCharType="separate"/>
      </w:r>
      <w:r>
        <w:rPr>
          <w:rFonts w:ascii="Times New Roman" w:hAnsi="Times New Roman"/>
        </w:rPr>
        <w:t>10</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"_Toc162339385" </w:instrText>
      </w:r>
      <w:r>
        <w:fldChar w:fldCharType="separate"/>
      </w:r>
      <w:r>
        <w:rPr>
          <w:rStyle w:val="32"/>
          <w:rFonts w:ascii="Times New Roman" w:hAnsi="Times New Roman"/>
        </w:rPr>
        <w:t>1.5 环境功能区划</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_Toc162339385 \h </w:instrText>
      </w:r>
      <w:r>
        <w:rPr>
          <w:rFonts w:ascii="Times New Roman" w:hAnsi="Times New Roman"/>
        </w:rPr>
        <w:fldChar w:fldCharType="separate"/>
      </w:r>
      <w:r>
        <w:rPr>
          <w:rFonts w:ascii="Times New Roman" w:hAnsi="Times New Roman"/>
        </w:rPr>
        <w:t>13</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"_Toc162339386" </w:instrText>
      </w:r>
      <w:r>
        <w:fldChar w:fldCharType="separate"/>
      </w:r>
      <w:r>
        <w:rPr>
          <w:rStyle w:val="32"/>
          <w:rFonts w:ascii="Times New Roman" w:hAnsi="Times New Roman"/>
        </w:rPr>
        <w:t>1.6 评价标准</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_Toc162339386 \h </w:instrText>
      </w:r>
      <w:r>
        <w:rPr>
          <w:rFonts w:ascii="Times New Roman" w:hAnsi="Times New Roman"/>
        </w:rPr>
        <w:fldChar w:fldCharType="separate"/>
      </w:r>
      <w:r>
        <w:rPr>
          <w:rFonts w:ascii="Times New Roman" w:hAnsi="Times New Roman"/>
        </w:rPr>
        <w:t>13</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"_Toc162339387" </w:instrText>
      </w:r>
      <w:r>
        <w:fldChar w:fldCharType="separate"/>
      </w:r>
      <w:r>
        <w:rPr>
          <w:rStyle w:val="32"/>
          <w:rFonts w:ascii="Times New Roman" w:hAnsi="Times New Roman"/>
        </w:rPr>
        <w:t>1.7 评价等级和评价范围</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_Toc162339387 \h </w:instrText>
      </w:r>
      <w:r>
        <w:rPr>
          <w:rFonts w:ascii="Times New Roman" w:hAnsi="Times New Roman"/>
        </w:rPr>
        <w:fldChar w:fldCharType="separate"/>
      </w:r>
      <w:r>
        <w:rPr>
          <w:rFonts w:ascii="Times New Roman" w:hAnsi="Times New Roman"/>
        </w:rPr>
        <w:t>19</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"_Toc162339388" </w:instrText>
      </w:r>
      <w:r>
        <w:fldChar w:fldCharType="separate"/>
      </w:r>
      <w:r>
        <w:rPr>
          <w:rStyle w:val="32"/>
          <w:rFonts w:ascii="Times New Roman" w:hAnsi="Times New Roman"/>
        </w:rPr>
        <w:t>1.8 污染控制目标和环境保护目标</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_Toc162339388 \h </w:instrText>
      </w:r>
      <w:r>
        <w:rPr>
          <w:rFonts w:ascii="Times New Roman" w:hAnsi="Times New Roman"/>
        </w:rPr>
        <w:fldChar w:fldCharType="separate"/>
      </w:r>
      <w:r>
        <w:rPr>
          <w:rFonts w:ascii="Times New Roman" w:hAnsi="Times New Roman"/>
        </w:rPr>
        <w:t>28</w:t>
      </w:r>
      <w:r>
        <w:rPr>
          <w:rFonts w:ascii="Times New Roman" w:hAnsi="Times New Roman"/>
        </w:rPr>
        <w:fldChar w:fldCharType="end"/>
      </w:r>
      <w:r>
        <w:rPr>
          <w:rFonts w:ascii="Times New Roman" w:hAnsi="Times New Roman"/>
        </w:rPr>
        <w:fldChar w:fldCharType="end"/>
      </w:r>
    </w:p>
    <w:p>
      <w:pPr>
        <w:pStyle w:val="22"/>
        <w:tabs>
          <w:tab w:val="right" w:leader="dot" w:pos="8296"/>
        </w:tabs>
        <w:ind w:firstLine="480"/>
        <w:rPr>
          <w:rFonts w:ascii="Times New Roman" w:hAnsi="Times New Roman" w:eastAsiaTheme="minorEastAsia"/>
          <w:sz w:val="21"/>
          <w:szCs w:val="22"/>
          <w14:ligatures w14:val="standardContextual"/>
        </w:rPr>
      </w:pPr>
      <w:r>
        <w:fldChar w:fldCharType="begin"/>
      </w:r>
      <w:r>
        <w:instrText xml:space="preserve"> HYPERLINK \l "_Toc162339389" </w:instrText>
      </w:r>
      <w:r>
        <w:fldChar w:fldCharType="separate"/>
      </w:r>
      <w:r>
        <w:rPr>
          <w:rStyle w:val="32"/>
          <w:rFonts w:ascii="Times New Roman" w:hAnsi="Times New Roman"/>
        </w:rPr>
        <w:t>第2章 项目概况</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_Toc162339389 \h </w:instrText>
      </w:r>
      <w:r>
        <w:rPr>
          <w:rFonts w:ascii="Times New Roman" w:hAnsi="Times New Roman"/>
        </w:rPr>
        <w:fldChar w:fldCharType="separate"/>
      </w:r>
      <w:r>
        <w:rPr>
          <w:rFonts w:ascii="Times New Roman" w:hAnsi="Times New Roman"/>
        </w:rPr>
        <w:t>33</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"_Toc162339390" </w:instrText>
      </w:r>
      <w:r>
        <w:fldChar w:fldCharType="separate"/>
      </w:r>
      <w:r>
        <w:rPr>
          <w:rStyle w:val="32"/>
          <w:rFonts w:ascii="Times New Roman" w:hAnsi="Times New Roman"/>
        </w:rPr>
        <w:t>2.1 试采方案</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_Toc162339390 \h </w:instrText>
      </w:r>
      <w:r>
        <w:rPr>
          <w:rFonts w:ascii="Times New Roman" w:hAnsi="Times New Roman"/>
        </w:rPr>
        <w:fldChar w:fldCharType="separate"/>
      </w:r>
      <w:r>
        <w:rPr>
          <w:rFonts w:ascii="Times New Roman" w:hAnsi="Times New Roman"/>
        </w:rPr>
        <w:t>33</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"_Toc162339391" </w:instrText>
      </w:r>
      <w:r>
        <w:fldChar w:fldCharType="separate"/>
      </w:r>
      <w:r>
        <w:rPr>
          <w:rStyle w:val="32"/>
          <w:rFonts w:ascii="Times New Roman" w:hAnsi="Times New Roman"/>
        </w:rPr>
        <w:t>2.2 现有井基本情况</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_Toc162339391 \h </w:instrText>
      </w:r>
      <w:r>
        <w:rPr>
          <w:rFonts w:ascii="Times New Roman" w:hAnsi="Times New Roman"/>
        </w:rPr>
        <w:fldChar w:fldCharType="separate"/>
      </w:r>
      <w:r>
        <w:rPr>
          <w:rFonts w:ascii="Times New Roman" w:hAnsi="Times New Roman"/>
        </w:rPr>
        <w:t>34</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"_Toc162339392" </w:instrText>
      </w:r>
      <w:r>
        <w:fldChar w:fldCharType="separate"/>
      </w:r>
      <w:r>
        <w:rPr>
          <w:rStyle w:val="32"/>
          <w:rFonts w:ascii="Times New Roman" w:hAnsi="Times New Roman"/>
        </w:rPr>
        <w:t>2.3 项目基本情况</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_Toc162339392 \h </w:instrText>
      </w:r>
      <w:r>
        <w:rPr>
          <w:rFonts w:ascii="Times New Roman" w:hAnsi="Times New Roman"/>
        </w:rPr>
        <w:fldChar w:fldCharType="separate"/>
      </w:r>
      <w:r>
        <w:rPr>
          <w:rFonts w:ascii="Times New Roman" w:hAnsi="Times New Roman"/>
        </w:rPr>
        <w:t>37</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"_Toc162339393" </w:instrText>
      </w:r>
      <w:r>
        <w:fldChar w:fldCharType="separate"/>
      </w:r>
      <w:r>
        <w:rPr>
          <w:rStyle w:val="32"/>
          <w:rFonts w:ascii="Times New Roman" w:hAnsi="Times New Roman"/>
        </w:rPr>
        <w:t>2.4 总体布局</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_Toc162339393 \h </w:instrText>
      </w:r>
      <w:r>
        <w:rPr>
          <w:rFonts w:ascii="Times New Roman" w:hAnsi="Times New Roman"/>
        </w:rPr>
        <w:fldChar w:fldCharType="separate"/>
      </w:r>
      <w:r>
        <w:rPr>
          <w:rFonts w:ascii="Times New Roman" w:hAnsi="Times New Roman"/>
        </w:rPr>
        <w:t>38</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"_Toc162339394" </w:instrText>
      </w:r>
      <w:r>
        <w:fldChar w:fldCharType="separate"/>
      </w:r>
      <w:r>
        <w:rPr>
          <w:rStyle w:val="32"/>
          <w:rFonts w:ascii="Times New Roman" w:hAnsi="Times New Roman"/>
        </w:rPr>
        <w:t>2.5 项目组成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_Toc162339394 \h </w:instrText>
      </w:r>
      <w:r>
        <w:rPr>
          <w:rFonts w:ascii="Times New Roman" w:hAnsi="Times New Roman"/>
        </w:rPr>
        <w:fldChar w:fldCharType="separate"/>
      </w:r>
      <w:r>
        <w:rPr>
          <w:rFonts w:ascii="Times New Roman" w:hAnsi="Times New Roman"/>
        </w:rPr>
        <w:t>38</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"_Toc162339395" </w:instrText>
      </w:r>
      <w:r>
        <w:fldChar w:fldCharType="separate"/>
      </w:r>
      <w:r>
        <w:rPr>
          <w:rStyle w:val="32"/>
          <w:rFonts w:ascii="Times New Roman" w:hAnsi="Times New Roman"/>
        </w:rPr>
        <w:t>2.6 公用工程</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_Toc162339395 \h </w:instrText>
      </w:r>
      <w:r>
        <w:rPr>
          <w:rFonts w:ascii="Times New Roman" w:hAnsi="Times New Roman"/>
        </w:rPr>
        <w:fldChar w:fldCharType="separate"/>
      </w:r>
      <w:r>
        <w:rPr>
          <w:rFonts w:ascii="Times New Roman" w:hAnsi="Times New Roman"/>
        </w:rPr>
        <w:t>47</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"_Toc162339396" </w:instrText>
      </w:r>
      <w:r>
        <w:fldChar w:fldCharType="separate"/>
      </w:r>
      <w:r>
        <w:rPr>
          <w:rStyle w:val="32"/>
          <w:rFonts w:ascii="Times New Roman" w:hAnsi="Times New Roman"/>
        </w:rPr>
        <w:t>2.7 环保工程</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_Toc162339396 \h </w:instrText>
      </w:r>
      <w:r>
        <w:rPr>
          <w:rFonts w:ascii="Times New Roman" w:hAnsi="Times New Roman"/>
        </w:rPr>
        <w:fldChar w:fldCharType="separate"/>
      </w:r>
      <w:r>
        <w:rPr>
          <w:rFonts w:ascii="Times New Roman" w:hAnsi="Times New Roman"/>
        </w:rPr>
        <w:t>48</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"_Toc162339397" </w:instrText>
      </w:r>
      <w:r>
        <w:fldChar w:fldCharType="separate"/>
      </w:r>
      <w:r>
        <w:rPr>
          <w:rStyle w:val="32"/>
          <w:rFonts w:ascii="Times New Roman" w:hAnsi="Times New Roman"/>
        </w:rPr>
        <w:t>2.8 主要设备</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_Toc162339397 \h </w:instrText>
      </w:r>
      <w:r>
        <w:rPr>
          <w:rFonts w:ascii="Times New Roman" w:hAnsi="Times New Roman"/>
        </w:rPr>
        <w:fldChar w:fldCharType="separate"/>
      </w:r>
      <w:r>
        <w:rPr>
          <w:rFonts w:ascii="Times New Roman" w:hAnsi="Times New Roman"/>
        </w:rPr>
        <w:t>49</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"_Toc162339398" </w:instrText>
      </w:r>
      <w:r>
        <w:fldChar w:fldCharType="separate"/>
      </w:r>
      <w:r>
        <w:rPr>
          <w:rStyle w:val="32"/>
          <w:rFonts w:ascii="Times New Roman" w:hAnsi="Times New Roman"/>
        </w:rPr>
        <w:t>2.9 总平面布置</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_Toc162339398 \h </w:instrText>
      </w:r>
      <w:r>
        <w:rPr>
          <w:rFonts w:ascii="Times New Roman" w:hAnsi="Times New Roman"/>
        </w:rPr>
        <w:fldChar w:fldCharType="separate"/>
      </w:r>
      <w:r>
        <w:rPr>
          <w:rFonts w:ascii="Times New Roman" w:hAnsi="Times New Roman"/>
        </w:rPr>
        <w:t>50</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"_Toc162339399" </w:instrText>
      </w:r>
      <w:r>
        <w:fldChar w:fldCharType="separate"/>
      </w:r>
      <w:r>
        <w:rPr>
          <w:rStyle w:val="32"/>
          <w:rFonts w:ascii="Times New Roman" w:hAnsi="Times New Roman"/>
        </w:rPr>
        <w:t>2.10 工程占地</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_Toc162339399 \h </w:instrText>
      </w:r>
      <w:r>
        <w:rPr>
          <w:rFonts w:ascii="Times New Roman" w:hAnsi="Times New Roman"/>
        </w:rPr>
        <w:fldChar w:fldCharType="separate"/>
      </w:r>
      <w:r>
        <w:rPr>
          <w:rFonts w:ascii="Times New Roman" w:hAnsi="Times New Roman"/>
        </w:rPr>
        <w:t>51</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"_Toc162339400" </w:instrText>
      </w:r>
      <w:r>
        <w:fldChar w:fldCharType="separate"/>
      </w:r>
      <w:r>
        <w:rPr>
          <w:rStyle w:val="32"/>
          <w:rFonts w:ascii="Times New Roman" w:hAnsi="Times New Roman"/>
        </w:rPr>
        <w:t>2.11 土石方</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_Toc162339400 \h </w:instrText>
      </w:r>
      <w:r>
        <w:rPr>
          <w:rFonts w:ascii="Times New Roman" w:hAnsi="Times New Roman"/>
        </w:rPr>
        <w:fldChar w:fldCharType="separate"/>
      </w:r>
      <w:r>
        <w:rPr>
          <w:rFonts w:ascii="Times New Roman" w:hAnsi="Times New Roman"/>
        </w:rPr>
        <w:t>51</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"_Toc162339401" </w:instrText>
      </w:r>
      <w:r>
        <w:fldChar w:fldCharType="separate"/>
      </w:r>
      <w:r>
        <w:rPr>
          <w:rStyle w:val="32"/>
          <w:rFonts w:ascii="Times New Roman" w:hAnsi="Times New Roman"/>
        </w:rPr>
        <w:t>2.12 工程拆迁</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_Toc162339401 \h </w:instrText>
      </w:r>
      <w:r>
        <w:rPr>
          <w:rFonts w:ascii="Times New Roman" w:hAnsi="Times New Roman"/>
        </w:rPr>
        <w:fldChar w:fldCharType="separate"/>
      </w:r>
      <w:r>
        <w:rPr>
          <w:rFonts w:ascii="Times New Roman" w:hAnsi="Times New Roman"/>
        </w:rPr>
        <w:t>52</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"_Toc162339402" </w:instrText>
      </w:r>
      <w:r>
        <w:fldChar w:fldCharType="separate"/>
      </w:r>
      <w:r>
        <w:rPr>
          <w:rStyle w:val="32"/>
          <w:rFonts w:ascii="Times New Roman" w:hAnsi="Times New Roman"/>
        </w:rPr>
        <w:t>2.13 组织机构及定员</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_Toc162339402 \h </w:instrText>
      </w:r>
      <w:r>
        <w:rPr>
          <w:rFonts w:ascii="Times New Roman" w:hAnsi="Times New Roman"/>
        </w:rPr>
        <w:fldChar w:fldCharType="separate"/>
      </w:r>
      <w:r>
        <w:rPr>
          <w:rFonts w:ascii="Times New Roman" w:hAnsi="Times New Roman"/>
        </w:rPr>
        <w:t>52</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"_Toc162339403" </w:instrText>
      </w:r>
      <w:r>
        <w:fldChar w:fldCharType="separate"/>
      </w:r>
      <w:r>
        <w:rPr>
          <w:rStyle w:val="32"/>
          <w:rFonts w:ascii="Times New Roman" w:hAnsi="Times New Roman"/>
        </w:rPr>
        <w:t>2.14 主要技术经济指标</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_Toc162339403 \h </w:instrText>
      </w:r>
      <w:r>
        <w:rPr>
          <w:rFonts w:ascii="Times New Roman" w:hAnsi="Times New Roman"/>
        </w:rPr>
        <w:fldChar w:fldCharType="separate"/>
      </w:r>
      <w:r>
        <w:rPr>
          <w:rFonts w:ascii="Times New Roman" w:hAnsi="Times New Roman"/>
        </w:rPr>
        <w:t>53</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"_Toc162339404" </w:instrText>
      </w:r>
      <w:r>
        <w:fldChar w:fldCharType="separate"/>
      </w:r>
      <w:r>
        <w:rPr>
          <w:rStyle w:val="32"/>
          <w:rFonts w:ascii="Times New Roman" w:hAnsi="Times New Roman"/>
        </w:rPr>
        <w:t>2.15 项目实施进度</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_Toc162339404 \h </w:instrText>
      </w:r>
      <w:r>
        <w:rPr>
          <w:rFonts w:ascii="Times New Roman" w:hAnsi="Times New Roman"/>
        </w:rPr>
        <w:fldChar w:fldCharType="separate"/>
      </w:r>
      <w:r>
        <w:rPr>
          <w:rFonts w:ascii="Times New Roman" w:hAnsi="Times New Roman"/>
        </w:rPr>
        <w:t>54</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"_Toc162339405" </w:instrText>
      </w:r>
      <w:r>
        <w:fldChar w:fldCharType="separate"/>
      </w:r>
      <w:r>
        <w:rPr>
          <w:rStyle w:val="32"/>
          <w:rFonts w:ascii="Times New Roman" w:hAnsi="Times New Roman"/>
        </w:rPr>
        <w:t>2.16 依托工程</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_Toc162339405 \h </w:instrText>
      </w:r>
      <w:r>
        <w:rPr>
          <w:rFonts w:ascii="Times New Roman" w:hAnsi="Times New Roman"/>
        </w:rPr>
        <w:fldChar w:fldCharType="separate"/>
      </w:r>
      <w:r>
        <w:rPr>
          <w:rFonts w:ascii="Times New Roman" w:hAnsi="Times New Roman"/>
        </w:rPr>
        <w:t>54</w:t>
      </w:r>
      <w:r>
        <w:rPr>
          <w:rFonts w:ascii="Times New Roman" w:hAnsi="Times New Roman"/>
        </w:rPr>
        <w:fldChar w:fldCharType="end"/>
      </w:r>
      <w:r>
        <w:rPr>
          <w:rFonts w:ascii="Times New Roman" w:hAnsi="Times New Roman"/>
        </w:rPr>
        <w:fldChar w:fldCharType="end"/>
      </w:r>
    </w:p>
    <w:p>
      <w:pPr>
        <w:pStyle w:val="22"/>
        <w:tabs>
          <w:tab w:val="right" w:leader="dot" w:pos="8296"/>
        </w:tabs>
        <w:ind w:firstLine="480"/>
        <w:rPr>
          <w:rFonts w:ascii="Times New Roman" w:hAnsi="Times New Roman" w:eastAsiaTheme="minorEastAsia"/>
          <w:sz w:val="21"/>
          <w:szCs w:val="22"/>
          <w14:ligatures w14:val="standardContextual"/>
        </w:rPr>
      </w:pPr>
      <w:r>
        <w:fldChar w:fldCharType="begin"/>
      </w:r>
      <w:r>
        <w:instrText xml:space="preserve"> HYPERLINK \l "_Toc162339406" </w:instrText>
      </w:r>
      <w:r>
        <w:fldChar w:fldCharType="separate"/>
      </w:r>
      <w:r>
        <w:rPr>
          <w:rStyle w:val="32"/>
          <w:rFonts w:ascii="Times New Roman" w:hAnsi="Times New Roman"/>
        </w:rPr>
        <w:t>第3章 工程分析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_Toc162339406 \h </w:instrText>
      </w:r>
      <w:r>
        <w:rPr>
          <w:rFonts w:ascii="Times New Roman" w:hAnsi="Times New Roman"/>
        </w:rPr>
        <w:fldChar w:fldCharType="separate"/>
      </w:r>
      <w:r>
        <w:rPr>
          <w:rFonts w:ascii="Times New Roman" w:hAnsi="Times New Roman"/>
        </w:rPr>
        <w:t>60</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"_Toc162339407" </w:instrText>
      </w:r>
      <w:r>
        <w:fldChar w:fldCharType="separate"/>
      </w:r>
      <w:r>
        <w:rPr>
          <w:rStyle w:val="32"/>
          <w:rFonts w:ascii="Times New Roman" w:hAnsi="Times New Roman"/>
        </w:rPr>
        <w:t>3.1 施工期工艺流程及产污分析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_Toc162339407 \h </w:instrText>
      </w:r>
      <w:r>
        <w:rPr>
          <w:rFonts w:ascii="Times New Roman" w:hAnsi="Times New Roman"/>
        </w:rPr>
        <w:fldChar w:fldCharType="separate"/>
      </w:r>
      <w:r>
        <w:rPr>
          <w:rFonts w:ascii="Times New Roman" w:hAnsi="Times New Roman"/>
        </w:rPr>
        <w:t>60</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"_Toc162339408" </w:instrText>
      </w:r>
      <w:r>
        <w:fldChar w:fldCharType="separate"/>
      </w:r>
      <w:r>
        <w:rPr>
          <w:rStyle w:val="32"/>
          <w:rFonts w:ascii="Times New Roman" w:hAnsi="Times New Roman"/>
        </w:rPr>
        <w:t>3.2 运营期工艺流程及产污分析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_Toc162339408 \h </w:instrText>
      </w:r>
      <w:r>
        <w:rPr>
          <w:rFonts w:ascii="Times New Roman" w:hAnsi="Times New Roman"/>
        </w:rPr>
        <w:fldChar w:fldCharType="separate"/>
      </w:r>
      <w:r>
        <w:rPr>
          <w:rFonts w:ascii="Times New Roman" w:hAnsi="Times New Roman"/>
        </w:rPr>
        <w:t>72</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"_Toc162339409" </w:instrText>
      </w:r>
      <w:r>
        <w:fldChar w:fldCharType="separate"/>
      </w:r>
      <w:r>
        <w:rPr>
          <w:rStyle w:val="32"/>
          <w:rFonts w:ascii="Times New Roman" w:hAnsi="Times New Roman"/>
        </w:rPr>
        <w:t>3.3 污染物排放汇总和达标排放分析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_Toc162339409 \h </w:instrText>
      </w:r>
      <w:r>
        <w:rPr>
          <w:rFonts w:ascii="Times New Roman" w:hAnsi="Times New Roman"/>
        </w:rPr>
        <w:fldChar w:fldCharType="separate"/>
      </w:r>
      <w:r>
        <w:rPr>
          <w:rFonts w:ascii="Times New Roman" w:hAnsi="Times New Roman"/>
        </w:rPr>
        <w:t>83</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"_Toc162339410" </w:instrText>
      </w:r>
      <w:r>
        <w:fldChar w:fldCharType="separate"/>
      </w:r>
      <w:r>
        <w:rPr>
          <w:rStyle w:val="32"/>
          <w:rFonts w:ascii="Times New Roman" w:hAnsi="Times New Roman"/>
        </w:rPr>
        <w:t>3.4 总量控制</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_Toc162339410 \h </w:instrText>
      </w:r>
      <w:r>
        <w:rPr>
          <w:rFonts w:ascii="Times New Roman" w:hAnsi="Times New Roman"/>
        </w:rPr>
        <w:fldChar w:fldCharType="separate"/>
      </w:r>
      <w:r>
        <w:rPr>
          <w:rFonts w:ascii="Times New Roman" w:hAnsi="Times New Roman"/>
        </w:rPr>
        <w:t>90</w:t>
      </w:r>
      <w:r>
        <w:rPr>
          <w:rFonts w:ascii="Times New Roman" w:hAnsi="Times New Roman"/>
        </w:rPr>
        <w:fldChar w:fldCharType="end"/>
      </w:r>
      <w:r>
        <w:rPr>
          <w:rFonts w:ascii="Times New Roman" w:hAnsi="Times New Roman"/>
        </w:rPr>
        <w:fldChar w:fldCharType="end"/>
      </w:r>
    </w:p>
    <w:p>
      <w:pPr>
        <w:pStyle w:val="22"/>
        <w:tabs>
          <w:tab w:val="right" w:leader="dot" w:pos="8296"/>
        </w:tabs>
        <w:ind w:firstLine="480"/>
        <w:rPr>
          <w:rFonts w:ascii="Times New Roman" w:hAnsi="Times New Roman" w:eastAsiaTheme="minorEastAsia"/>
          <w:sz w:val="21"/>
          <w:szCs w:val="22"/>
          <w14:ligatures w14:val="standardContextual"/>
        </w:rPr>
      </w:pPr>
      <w:r>
        <w:fldChar w:fldCharType="begin"/>
      </w:r>
      <w:r>
        <w:instrText xml:space="preserve"> HYPERLINK \l "_Toc162339411" </w:instrText>
      </w:r>
      <w:r>
        <w:fldChar w:fldCharType="separate"/>
      </w:r>
      <w:r>
        <w:rPr>
          <w:rStyle w:val="32"/>
          <w:rFonts w:ascii="Times New Roman" w:hAnsi="Times New Roman"/>
        </w:rPr>
        <w:t>第4章 环境概况</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_Toc162339411 \h </w:instrText>
      </w:r>
      <w:r>
        <w:rPr>
          <w:rFonts w:ascii="Times New Roman" w:hAnsi="Times New Roman"/>
        </w:rPr>
        <w:fldChar w:fldCharType="separate"/>
      </w:r>
      <w:r>
        <w:rPr>
          <w:rFonts w:ascii="Times New Roman" w:hAnsi="Times New Roman"/>
        </w:rPr>
        <w:t>92</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"_Toc162339412" </w:instrText>
      </w:r>
      <w:r>
        <w:fldChar w:fldCharType="separate"/>
      </w:r>
      <w:r>
        <w:rPr>
          <w:rStyle w:val="32"/>
          <w:rFonts w:ascii="Times New Roman" w:hAnsi="Times New Roman"/>
        </w:rPr>
        <w:t>4.1 自然环境概况</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_Toc162339412 \h </w:instrText>
      </w:r>
      <w:r>
        <w:rPr>
          <w:rFonts w:ascii="Times New Roman" w:hAnsi="Times New Roman"/>
        </w:rPr>
        <w:fldChar w:fldCharType="separate"/>
      </w:r>
      <w:r>
        <w:rPr>
          <w:rFonts w:ascii="Times New Roman" w:hAnsi="Times New Roman"/>
        </w:rPr>
        <w:t>92</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"_Toc162339413" </w:instrText>
      </w:r>
      <w:r>
        <w:fldChar w:fldCharType="separate"/>
      </w:r>
      <w:r>
        <w:rPr>
          <w:rStyle w:val="32"/>
          <w:rFonts w:ascii="Times New Roman" w:hAnsi="Times New Roman"/>
        </w:rPr>
        <w:t>4.2 区域环境敏感区分布</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_Toc162339413 \h </w:instrText>
      </w:r>
      <w:r>
        <w:rPr>
          <w:rFonts w:ascii="Times New Roman" w:hAnsi="Times New Roman"/>
        </w:rPr>
        <w:fldChar w:fldCharType="separate"/>
      </w:r>
      <w:r>
        <w:rPr>
          <w:rFonts w:ascii="Times New Roman" w:hAnsi="Times New Roman"/>
        </w:rPr>
        <w:t>95</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"_Toc162339414" </w:instrText>
      </w:r>
      <w:r>
        <w:fldChar w:fldCharType="separate"/>
      </w:r>
      <w:r>
        <w:rPr>
          <w:rStyle w:val="32"/>
          <w:rFonts w:ascii="Times New Roman" w:hAnsi="Times New Roman"/>
        </w:rPr>
        <w:t>4.3 区域污染源调查</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_Toc162339414 \h </w:instrText>
      </w:r>
      <w:r>
        <w:rPr>
          <w:rFonts w:ascii="Times New Roman" w:hAnsi="Times New Roman"/>
        </w:rPr>
        <w:fldChar w:fldCharType="separate"/>
      </w:r>
      <w:r>
        <w:rPr>
          <w:rFonts w:ascii="Times New Roman" w:hAnsi="Times New Roman"/>
        </w:rPr>
        <w:t>96</w:t>
      </w:r>
      <w:r>
        <w:rPr>
          <w:rFonts w:ascii="Times New Roman" w:hAnsi="Times New Roman"/>
        </w:rPr>
        <w:fldChar w:fldCharType="end"/>
      </w:r>
      <w:r>
        <w:rPr>
          <w:rFonts w:ascii="Times New Roman" w:hAnsi="Times New Roman"/>
        </w:rPr>
        <w:fldChar w:fldCharType="end"/>
      </w:r>
    </w:p>
    <w:p>
      <w:pPr>
        <w:pStyle w:val="22"/>
        <w:tabs>
          <w:tab w:val="right" w:leader="dot" w:pos="8296"/>
        </w:tabs>
        <w:ind w:firstLine="480"/>
        <w:rPr>
          <w:rFonts w:ascii="Times New Roman" w:hAnsi="Times New Roman" w:eastAsiaTheme="minorEastAsia"/>
          <w:sz w:val="21"/>
          <w:szCs w:val="22"/>
          <w14:ligatures w14:val="standardContextual"/>
        </w:rPr>
      </w:pPr>
      <w:r>
        <w:fldChar w:fldCharType="begin"/>
      </w:r>
      <w:r>
        <w:instrText xml:space="preserve"> HYPERLINK \l "_Toc162339415" </w:instrText>
      </w:r>
      <w:r>
        <w:fldChar w:fldCharType="separate"/>
      </w:r>
      <w:r>
        <w:rPr>
          <w:rStyle w:val="32"/>
          <w:rFonts w:ascii="Times New Roman" w:hAnsi="Times New Roman"/>
        </w:rPr>
        <w:t>第5章 环境质量现状调查与评价</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_Toc162339415 \h </w:instrText>
      </w:r>
      <w:r>
        <w:rPr>
          <w:rFonts w:ascii="Times New Roman" w:hAnsi="Times New Roman"/>
        </w:rPr>
        <w:fldChar w:fldCharType="separate"/>
      </w:r>
      <w:r>
        <w:rPr>
          <w:rFonts w:ascii="Times New Roman" w:hAnsi="Times New Roman"/>
        </w:rPr>
        <w:t>97</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"_Toc162339416" </w:instrText>
      </w:r>
      <w:r>
        <w:fldChar w:fldCharType="separate"/>
      </w:r>
      <w:r>
        <w:rPr>
          <w:rStyle w:val="32"/>
          <w:rFonts w:ascii="Times New Roman" w:hAnsi="Times New Roman"/>
        </w:rPr>
        <w:t>5.1 环境空气</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_Toc162339416 \h </w:instrText>
      </w:r>
      <w:r>
        <w:rPr>
          <w:rFonts w:ascii="Times New Roman" w:hAnsi="Times New Roman"/>
        </w:rPr>
        <w:fldChar w:fldCharType="separate"/>
      </w:r>
      <w:r>
        <w:rPr>
          <w:rFonts w:ascii="Times New Roman" w:hAnsi="Times New Roman"/>
        </w:rPr>
        <w:t>97</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"_Toc162339417" </w:instrText>
      </w:r>
      <w:r>
        <w:fldChar w:fldCharType="separate"/>
      </w:r>
      <w:r>
        <w:rPr>
          <w:rStyle w:val="32"/>
          <w:rFonts w:ascii="Times New Roman" w:hAnsi="Times New Roman"/>
        </w:rPr>
        <w:t>5.2 地表水环境</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_Toc162339417 \h </w:instrText>
      </w:r>
      <w:r>
        <w:rPr>
          <w:rFonts w:ascii="Times New Roman" w:hAnsi="Times New Roman"/>
        </w:rPr>
        <w:fldChar w:fldCharType="separate"/>
      </w:r>
      <w:r>
        <w:rPr>
          <w:rFonts w:ascii="Times New Roman" w:hAnsi="Times New Roman"/>
        </w:rPr>
        <w:t>100</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"_Toc162339418" </w:instrText>
      </w:r>
      <w:r>
        <w:fldChar w:fldCharType="separate"/>
      </w:r>
      <w:r>
        <w:rPr>
          <w:rStyle w:val="32"/>
          <w:rFonts w:ascii="Times New Roman" w:hAnsi="Times New Roman"/>
        </w:rPr>
        <w:t>5.3 地下水环境</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_Toc162339418 \h </w:instrText>
      </w:r>
      <w:r>
        <w:rPr>
          <w:rFonts w:ascii="Times New Roman" w:hAnsi="Times New Roman"/>
        </w:rPr>
        <w:fldChar w:fldCharType="separate"/>
      </w:r>
      <w:r>
        <w:rPr>
          <w:rFonts w:ascii="Times New Roman" w:hAnsi="Times New Roman"/>
        </w:rPr>
        <w:t>104</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"_Toc162339419" </w:instrText>
      </w:r>
      <w:r>
        <w:fldChar w:fldCharType="separate"/>
      </w:r>
      <w:r>
        <w:rPr>
          <w:rStyle w:val="32"/>
          <w:rFonts w:ascii="Times New Roman" w:hAnsi="Times New Roman"/>
        </w:rPr>
        <w:t>5.4 声环境</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_Toc162339419 \h </w:instrText>
      </w:r>
      <w:r>
        <w:rPr>
          <w:rFonts w:ascii="Times New Roman" w:hAnsi="Times New Roman"/>
        </w:rPr>
        <w:fldChar w:fldCharType="separate"/>
      </w:r>
      <w:r>
        <w:rPr>
          <w:rFonts w:ascii="Times New Roman" w:hAnsi="Times New Roman"/>
        </w:rPr>
        <w:t>115</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"_Toc162339420" </w:instrText>
      </w:r>
      <w:r>
        <w:fldChar w:fldCharType="separate"/>
      </w:r>
      <w:r>
        <w:rPr>
          <w:rStyle w:val="32"/>
          <w:rFonts w:ascii="Times New Roman" w:hAnsi="Times New Roman"/>
        </w:rPr>
        <w:t>5.5 土壤环境</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_Toc162339420 \h </w:instrText>
      </w:r>
      <w:r>
        <w:rPr>
          <w:rFonts w:ascii="Times New Roman" w:hAnsi="Times New Roman"/>
        </w:rPr>
        <w:fldChar w:fldCharType="separate"/>
      </w:r>
      <w:r>
        <w:rPr>
          <w:rFonts w:ascii="Times New Roman" w:hAnsi="Times New Roman"/>
        </w:rPr>
        <w:t>118</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"_Toc162339421" </w:instrText>
      </w:r>
      <w:r>
        <w:fldChar w:fldCharType="separate"/>
      </w:r>
      <w:r>
        <w:rPr>
          <w:rStyle w:val="32"/>
          <w:rFonts w:ascii="Times New Roman" w:hAnsi="Times New Roman"/>
        </w:rPr>
        <w:t>5.6 生态环境</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_Toc162339421 \h </w:instrText>
      </w:r>
      <w:r>
        <w:rPr>
          <w:rFonts w:ascii="Times New Roman" w:hAnsi="Times New Roman"/>
        </w:rPr>
        <w:fldChar w:fldCharType="separate"/>
      </w:r>
      <w:r>
        <w:rPr>
          <w:rFonts w:ascii="Times New Roman" w:hAnsi="Times New Roman"/>
        </w:rPr>
        <w:t>131</w:t>
      </w:r>
      <w:r>
        <w:rPr>
          <w:rFonts w:ascii="Times New Roman" w:hAnsi="Times New Roman"/>
        </w:rPr>
        <w:fldChar w:fldCharType="end"/>
      </w:r>
      <w:r>
        <w:rPr>
          <w:rFonts w:ascii="Times New Roman" w:hAnsi="Times New Roman"/>
        </w:rPr>
        <w:fldChar w:fldCharType="end"/>
      </w:r>
    </w:p>
    <w:p>
      <w:pPr>
        <w:pStyle w:val="22"/>
        <w:tabs>
          <w:tab w:val="right" w:leader="dot" w:pos="8296"/>
        </w:tabs>
        <w:ind w:firstLine="480"/>
        <w:rPr>
          <w:rFonts w:ascii="Times New Roman" w:hAnsi="Times New Roman" w:eastAsiaTheme="minorEastAsia"/>
          <w:sz w:val="21"/>
          <w:szCs w:val="22"/>
          <w14:ligatures w14:val="standardContextual"/>
        </w:rPr>
      </w:pPr>
      <w:r>
        <w:fldChar w:fldCharType="begin"/>
      </w:r>
      <w:r>
        <w:instrText xml:space="preserve"> HYPERLINK \l "_Toc162339422" </w:instrText>
      </w:r>
      <w:r>
        <w:fldChar w:fldCharType="separate"/>
      </w:r>
      <w:r>
        <w:rPr>
          <w:rStyle w:val="32"/>
          <w:rFonts w:ascii="Times New Roman" w:hAnsi="Times New Roman"/>
        </w:rPr>
        <w:t>第6章 环境影响预测与评价</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_Toc162339422 \h </w:instrText>
      </w:r>
      <w:r>
        <w:rPr>
          <w:rFonts w:ascii="Times New Roman" w:hAnsi="Times New Roman"/>
        </w:rPr>
        <w:fldChar w:fldCharType="separate"/>
      </w:r>
      <w:r>
        <w:rPr>
          <w:rFonts w:ascii="Times New Roman" w:hAnsi="Times New Roman"/>
        </w:rPr>
        <w:t>175</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"_Toc162339423" </w:instrText>
      </w:r>
      <w:r>
        <w:fldChar w:fldCharType="separate"/>
      </w:r>
      <w:r>
        <w:rPr>
          <w:rStyle w:val="32"/>
          <w:rFonts w:ascii="Times New Roman" w:hAnsi="Times New Roman"/>
        </w:rPr>
        <w:t>6.1 大气环境</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_Toc162339423 \h </w:instrText>
      </w:r>
      <w:r>
        <w:rPr>
          <w:rFonts w:ascii="Times New Roman" w:hAnsi="Times New Roman"/>
        </w:rPr>
        <w:fldChar w:fldCharType="separate"/>
      </w:r>
      <w:r>
        <w:rPr>
          <w:rFonts w:ascii="Times New Roman" w:hAnsi="Times New Roman"/>
        </w:rPr>
        <w:t>175</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"_Toc162339424" </w:instrText>
      </w:r>
      <w:r>
        <w:fldChar w:fldCharType="separate"/>
      </w:r>
      <w:r>
        <w:rPr>
          <w:rStyle w:val="32"/>
          <w:rFonts w:ascii="Times New Roman" w:hAnsi="Times New Roman"/>
        </w:rPr>
        <w:t>6.2 地表水环境</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_Toc162339424 \h </w:instrText>
      </w:r>
      <w:r>
        <w:rPr>
          <w:rFonts w:ascii="Times New Roman" w:hAnsi="Times New Roman"/>
        </w:rPr>
        <w:fldChar w:fldCharType="separate"/>
      </w:r>
      <w:r>
        <w:rPr>
          <w:rFonts w:ascii="Times New Roman" w:hAnsi="Times New Roman"/>
        </w:rPr>
        <w:t>184</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"_Toc162339425" </w:instrText>
      </w:r>
      <w:r>
        <w:fldChar w:fldCharType="separate"/>
      </w:r>
      <w:r>
        <w:rPr>
          <w:rStyle w:val="32"/>
          <w:rFonts w:ascii="Times New Roman" w:hAnsi="Times New Roman"/>
        </w:rPr>
        <w:t>6.3 声环境</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_Toc162339425 \h </w:instrText>
      </w:r>
      <w:r>
        <w:rPr>
          <w:rFonts w:ascii="Times New Roman" w:hAnsi="Times New Roman"/>
        </w:rPr>
        <w:fldChar w:fldCharType="separate"/>
      </w:r>
      <w:r>
        <w:rPr>
          <w:rFonts w:ascii="Times New Roman" w:hAnsi="Times New Roman"/>
        </w:rPr>
        <w:t>186</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"_Toc162339426" </w:instrText>
      </w:r>
      <w:r>
        <w:fldChar w:fldCharType="separate"/>
      </w:r>
      <w:r>
        <w:rPr>
          <w:rStyle w:val="32"/>
          <w:rFonts w:ascii="Times New Roman" w:hAnsi="Times New Roman"/>
        </w:rPr>
        <w:t>6.4 地下水环境</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_Toc162339426 \h </w:instrText>
      </w:r>
      <w:r>
        <w:rPr>
          <w:rFonts w:ascii="Times New Roman" w:hAnsi="Times New Roman"/>
        </w:rPr>
        <w:fldChar w:fldCharType="separate"/>
      </w:r>
      <w:r>
        <w:rPr>
          <w:rFonts w:ascii="Times New Roman" w:hAnsi="Times New Roman"/>
        </w:rPr>
        <w:t>189</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"_Toc162339427" </w:instrText>
      </w:r>
      <w:r>
        <w:fldChar w:fldCharType="separate"/>
      </w:r>
      <w:r>
        <w:rPr>
          <w:rStyle w:val="32"/>
          <w:rFonts w:ascii="Times New Roman" w:hAnsi="Times New Roman"/>
        </w:rPr>
        <w:t>6.5 土壤环境</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_Toc162339427 \h </w:instrText>
      </w:r>
      <w:r>
        <w:rPr>
          <w:rFonts w:ascii="Times New Roman" w:hAnsi="Times New Roman"/>
        </w:rPr>
        <w:fldChar w:fldCharType="separate"/>
      </w:r>
      <w:r>
        <w:rPr>
          <w:rFonts w:ascii="Times New Roman" w:hAnsi="Times New Roman"/>
        </w:rPr>
        <w:t>219</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"_Toc162339428" </w:instrText>
      </w:r>
      <w:r>
        <w:fldChar w:fldCharType="separate"/>
      </w:r>
      <w:r>
        <w:rPr>
          <w:rStyle w:val="32"/>
          <w:rFonts w:ascii="Times New Roman" w:hAnsi="Times New Roman"/>
        </w:rPr>
        <w:t>6.6 生态环境</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_Toc162339428 \h </w:instrText>
      </w:r>
      <w:r>
        <w:rPr>
          <w:rFonts w:ascii="Times New Roman" w:hAnsi="Times New Roman"/>
        </w:rPr>
        <w:fldChar w:fldCharType="separate"/>
      </w:r>
      <w:r>
        <w:rPr>
          <w:rFonts w:ascii="Times New Roman" w:hAnsi="Times New Roman"/>
        </w:rPr>
        <w:t>229</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"_Toc162339429" </w:instrText>
      </w:r>
      <w:r>
        <w:fldChar w:fldCharType="separate"/>
      </w:r>
      <w:r>
        <w:rPr>
          <w:rStyle w:val="32"/>
          <w:rFonts w:ascii="Times New Roman" w:hAnsi="Times New Roman"/>
        </w:rPr>
        <w:t>6.7 固体废物</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_Toc162339429 \h </w:instrText>
      </w:r>
      <w:r>
        <w:rPr>
          <w:rFonts w:ascii="Times New Roman" w:hAnsi="Times New Roman"/>
        </w:rPr>
        <w:fldChar w:fldCharType="separate"/>
      </w:r>
      <w:r>
        <w:rPr>
          <w:rFonts w:ascii="Times New Roman" w:hAnsi="Times New Roman"/>
        </w:rPr>
        <w:t>236</w:t>
      </w:r>
      <w:r>
        <w:rPr>
          <w:rFonts w:ascii="Times New Roman" w:hAnsi="Times New Roman"/>
        </w:rPr>
        <w:fldChar w:fldCharType="end"/>
      </w:r>
      <w:r>
        <w:rPr>
          <w:rFonts w:ascii="Times New Roman" w:hAnsi="Times New Roman"/>
        </w:rPr>
        <w:fldChar w:fldCharType="end"/>
      </w:r>
    </w:p>
    <w:p>
      <w:pPr>
        <w:pStyle w:val="22"/>
        <w:tabs>
          <w:tab w:val="right" w:leader="dot" w:pos="8296"/>
        </w:tabs>
        <w:ind w:firstLine="480"/>
        <w:rPr>
          <w:rFonts w:ascii="Times New Roman" w:hAnsi="Times New Roman" w:eastAsiaTheme="minorEastAsia"/>
          <w:sz w:val="21"/>
          <w:szCs w:val="22"/>
          <w14:ligatures w14:val="standardContextual"/>
        </w:rPr>
      </w:pPr>
      <w:r>
        <w:fldChar w:fldCharType="begin"/>
      </w:r>
      <w:r>
        <w:instrText xml:space="preserve"> HYPERLINK \l "_Toc162339430" </w:instrText>
      </w:r>
      <w:r>
        <w:fldChar w:fldCharType="separate"/>
      </w:r>
      <w:r>
        <w:rPr>
          <w:rStyle w:val="32"/>
          <w:rFonts w:ascii="Times New Roman" w:hAnsi="Times New Roman"/>
        </w:rPr>
        <w:t>第7章 环境风险评价</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_Toc162339430 \h </w:instrText>
      </w:r>
      <w:r>
        <w:rPr>
          <w:rFonts w:ascii="Times New Roman" w:hAnsi="Times New Roman"/>
        </w:rPr>
        <w:fldChar w:fldCharType="separate"/>
      </w:r>
      <w:r>
        <w:rPr>
          <w:rFonts w:ascii="Times New Roman" w:hAnsi="Times New Roman"/>
        </w:rPr>
        <w:t>241</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"_Toc162339431" </w:instrText>
      </w:r>
      <w:r>
        <w:fldChar w:fldCharType="separate"/>
      </w:r>
      <w:r>
        <w:rPr>
          <w:rStyle w:val="32"/>
          <w:rFonts w:ascii="Times New Roman" w:hAnsi="Times New Roman"/>
        </w:rPr>
        <w:t>7.1 环境风险调查</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_Toc162339431 \h </w:instrText>
      </w:r>
      <w:r>
        <w:rPr>
          <w:rFonts w:ascii="Times New Roman" w:hAnsi="Times New Roman"/>
        </w:rPr>
        <w:fldChar w:fldCharType="separate"/>
      </w:r>
      <w:r>
        <w:rPr>
          <w:rFonts w:ascii="Times New Roman" w:hAnsi="Times New Roman"/>
        </w:rPr>
        <w:t>241</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"_Toc162339432" </w:instrText>
      </w:r>
      <w:r>
        <w:fldChar w:fldCharType="separate"/>
      </w:r>
      <w:r>
        <w:rPr>
          <w:rStyle w:val="32"/>
          <w:rFonts w:ascii="Times New Roman" w:hAnsi="Times New Roman"/>
        </w:rPr>
        <w:t>7.2 环境风险潜势判定</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_Toc162339432 \h </w:instrText>
      </w:r>
      <w:r>
        <w:rPr>
          <w:rFonts w:ascii="Times New Roman" w:hAnsi="Times New Roman"/>
        </w:rPr>
        <w:fldChar w:fldCharType="separate"/>
      </w:r>
      <w:r>
        <w:rPr>
          <w:rFonts w:ascii="Times New Roman" w:hAnsi="Times New Roman"/>
        </w:rPr>
        <w:t>244</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"_Toc162339433" </w:instrText>
      </w:r>
      <w:r>
        <w:fldChar w:fldCharType="separate"/>
      </w:r>
      <w:r>
        <w:rPr>
          <w:rStyle w:val="32"/>
          <w:rFonts w:ascii="Times New Roman" w:hAnsi="Times New Roman"/>
        </w:rPr>
        <w:t>7.3 评价等级及评价范围</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_Toc162339433 \h </w:instrText>
      </w:r>
      <w:r>
        <w:rPr>
          <w:rFonts w:ascii="Times New Roman" w:hAnsi="Times New Roman"/>
        </w:rPr>
        <w:fldChar w:fldCharType="separate"/>
      </w:r>
      <w:r>
        <w:rPr>
          <w:rFonts w:ascii="Times New Roman" w:hAnsi="Times New Roman"/>
        </w:rPr>
        <w:t>248</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"_Toc162339434" </w:instrText>
      </w:r>
      <w:r>
        <w:fldChar w:fldCharType="separate"/>
      </w:r>
      <w:r>
        <w:rPr>
          <w:rStyle w:val="32"/>
          <w:rFonts w:ascii="Times New Roman" w:hAnsi="Times New Roman"/>
        </w:rPr>
        <w:t>7.4 风险识别</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_Toc162339434 \h </w:instrText>
      </w:r>
      <w:r>
        <w:rPr>
          <w:rFonts w:ascii="Times New Roman" w:hAnsi="Times New Roman"/>
        </w:rPr>
        <w:fldChar w:fldCharType="separate"/>
      </w:r>
      <w:r>
        <w:rPr>
          <w:rFonts w:ascii="Times New Roman" w:hAnsi="Times New Roman"/>
        </w:rPr>
        <w:t>250</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"_Toc162339435" </w:instrText>
      </w:r>
      <w:r>
        <w:fldChar w:fldCharType="separate"/>
      </w:r>
      <w:r>
        <w:rPr>
          <w:rStyle w:val="32"/>
          <w:rFonts w:ascii="Times New Roman" w:hAnsi="Times New Roman"/>
        </w:rPr>
        <w:t>7.5 风险事故情形分析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_Toc162339435 \h </w:instrText>
      </w:r>
      <w:r>
        <w:rPr>
          <w:rFonts w:ascii="Times New Roman" w:hAnsi="Times New Roman"/>
        </w:rPr>
        <w:fldChar w:fldCharType="separate"/>
      </w:r>
      <w:r>
        <w:rPr>
          <w:rFonts w:ascii="Times New Roman" w:hAnsi="Times New Roman"/>
        </w:rPr>
        <w:t>264</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"_Toc162339436" </w:instrText>
      </w:r>
      <w:r>
        <w:fldChar w:fldCharType="separate"/>
      </w:r>
      <w:r>
        <w:rPr>
          <w:rStyle w:val="32"/>
          <w:rFonts w:ascii="Times New Roman" w:hAnsi="Times New Roman"/>
        </w:rPr>
        <w:t>7.6 环境风险预测与分析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_Toc162339436 \h </w:instrText>
      </w:r>
      <w:r>
        <w:rPr>
          <w:rFonts w:ascii="Times New Roman" w:hAnsi="Times New Roman"/>
        </w:rPr>
        <w:fldChar w:fldCharType="separate"/>
      </w:r>
      <w:r>
        <w:rPr>
          <w:rFonts w:ascii="Times New Roman" w:hAnsi="Times New Roman"/>
        </w:rPr>
        <w:t>267</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"_Toc162339437" </w:instrText>
      </w:r>
      <w:r>
        <w:fldChar w:fldCharType="separate"/>
      </w:r>
      <w:r>
        <w:rPr>
          <w:rStyle w:val="32"/>
          <w:rFonts w:ascii="Times New Roman" w:hAnsi="Times New Roman"/>
        </w:rPr>
        <w:t>7.7 环境风险管理</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_Toc162339437 \h </w:instrText>
      </w:r>
      <w:r>
        <w:rPr>
          <w:rFonts w:ascii="Times New Roman" w:hAnsi="Times New Roman"/>
        </w:rPr>
        <w:fldChar w:fldCharType="separate"/>
      </w:r>
      <w:r>
        <w:rPr>
          <w:rFonts w:ascii="Times New Roman" w:hAnsi="Times New Roman"/>
        </w:rPr>
        <w:t>308</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"_Toc162339438" </w:instrText>
      </w:r>
      <w:r>
        <w:fldChar w:fldCharType="separate"/>
      </w:r>
      <w:r>
        <w:rPr>
          <w:rStyle w:val="32"/>
          <w:rFonts w:ascii="Times New Roman" w:hAnsi="Times New Roman"/>
        </w:rPr>
        <w:t>7.8 评价结论与建议</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_Toc162339438 \h </w:instrText>
      </w:r>
      <w:r>
        <w:rPr>
          <w:rFonts w:ascii="Times New Roman" w:hAnsi="Times New Roman"/>
        </w:rPr>
        <w:fldChar w:fldCharType="separate"/>
      </w:r>
      <w:r>
        <w:rPr>
          <w:rFonts w:ascii="Times New Roman" w:hAnsi="Times New Roman"/>
        </w:rPr>
        <w:t>340</w:t>
      </w:r>
      <w:r>
        <w:rPr>
          <w:rFonts w:ascii="Times New Roman" w:hAnsi="Times New Roman"/>
        </w:rPr>
        <w:fldChar w:fldCharType="end"/>
      </w:r>
      <w:r>
        <w:rPr>
          <w:rFonts w:ascii="Times New Roman" w:hAnsi="Times New Roman"/>
        </w:rPr>
        <w:fldChar w:fldCharType="end"/>
      </w:r>
    </w:p>
    <w:p>
      <w:pPr>
        <w:pStyle w:val="22"/>
        <w:tabs>
          <w:tab w:val="right" w:leader="dot" w:pos="8296"/>
        </w:tabs>
        <w:ind w:firstLine="480"/>
        <w:rPr>
          <w:rFonts w:ascii="Times New Roman" w:hAnsi="Times New Roman" w:eastAsiaTheme="minorEastAsia"/>
          <w:sz w:val="21"/>
          <w:szCs w:val="22"/>
          <w14:ligatures w14:val="standardContextual"/>
        </w:rPr>
      </w:pPr>
      <w:r>
        <w:fldChar w:fldCharType="begin"/>
      </w:r>
      <w:r>
        <w:instrText xml:space="preserve"> HYPERLINK \l "_Toc162339439" </w:instrText>
      </w:r>
      <w:r>
        <w:fldChar w:fldCharType="separate"/>
      </w:r>
      <w:r>
        <w:rPr>
          <w:rStyle w:val="32"/>
          <w:rFonts w:ascii="Times New Roman" w:hAnsi="Times New Roman"/>
        </w:rPr>
        <w:t>第8章 碳排放评价</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_Toc162339439 \h </w:instrText>
      </w:r>
      <w:r>
        <w:rPr>
          <w:rFonts w:ascii="Times New Roman" w:hAnsi="Times New Roman"/>
        </w:rPr>
        <w:fldChar w:fldCharType="separate"/>
      </w:r>
      <w:r>
        <w:rPr>
          <w:rFonts w:ascii="Times New Roman" w:hAnsi="Times New Roman"/>
        </w:rPr>
        <w:t>343</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"_Toc162339440" </w:instrText>
      </w:r>
      <w:r>
        <w:fldChar w:fldCharType="separate"/>
      </w:r>
      <w:r>
        <w:rPr>
          <w:rStyle w:val="32"/>
          <w:rFonts w:ascii="Times New Roman" w:hAnsi="Times New Roman"/>
        </w:rPr>
        <w:t>8.1 评价依据</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_Toc162339440 \h </w:instrText>
      </w:r>
      <w:r>
        <w:rPr>
          <w:rFonts w:ascii="Times New Roman" w:hAnsi="Times New Roman"/>
        </w:rPr>
        <w:fldChar w:fldCharType="separate"/>
      </w:r>
      <w:r>
        <w:rPr>
          <w:rFonts w:ascii="Times New Roman" w:hAnsi="Times New Roman"/>
        </w:rPr>
        <w:t>343</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"_Toc162339441" </w:instrText>
      </w:r>
      <w:r>
        <w:fldChar w:fldCharType="separate"/>
      </w:r>
      <w:r>
        <w:rPr>
          <w:rStyle w:val="32"/>
          <w:rFonts w:ascii="Times New Roman" w:hAnsi="Times New Roman"/>
        </w:rPr>
        <w:t>8.2 碳排放政策符合性分析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_Toc162339441 \h </w:instrText>
      </w:r>
      <w:r>
        <w:rPr>
          <w:rFonts w:ascii="Times New Roman" w:hAnsi="Times New Roman"/>
        </w:rPr>
        <w:fldChar w:fldCharType="separate"/>
      </w:r>
      <w:r>
        <w:rPr>
          <w:rFonts w:ascii="Times New Roman" w:hAnsi="Times New Roman"/>
        </w:rPr>
        <w:t>343</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"_Toc162339442" </w:instrText>
      </w:r>
      <w:r>
        <w:fldChar w:fldCharType="separate"/>
      </w:r>
      <w:r>
        <w:rPr>
          <w:rStyle w:val="32"/>
          <w:rFonts w:ascii="Times New Roman" w:hAnsi="Times New Roman"/>
        </w:rPr>
        <w:t>8.3 碳排放分析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_Toc162339442 \h </w:instrText>
      </w:r>
      <w:r>
        <w:rPr>
          <w:rFonts w:ascii="Times New Roman" w:hAnsi="Times New Roman"/>
        </w:rPr>
        <w:fldChar w:fldCharType="separate"/>
      </w:r>
      <w:r>
        <w:rPr>
          <w:rFonts w:ascii="Times New Roman" w:hAnsi="Times New Roman"/>
        </w:rPr>
        <w:t>345</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"_Toc162339443" </w:instrText>
      </w:r>
      <w:r>
        <w:fldChar w:fldCharType="separate"/>
      </w:r>
      <w:r>
        <w:rPr>
          <w:rStyle w:val="32"/>
          <w:rFonts w:ascii="Times New Roman" w:hAnsi="Times New Roman"/>
        </w:rPr>
        <w:t>8.4 碳排放评价</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_Toc162339443 \h </w:instrText>
      </w:r>
      <w:r>
        <w:rPr>
          <w:rFonts w:ascii="Times New Roman" w:hAnsi="Times New Roman"/>
        </w:rPr>
        <w:fldChar w:fldCharType="separate"/>
      </w:r>
      <w:r>
        <w:rPr>
          <w:rFonts w:ascii="Times New Roman" w:hAnsi="Times New Roman"/>
        </w:rPr>
        <w:t>351</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"_Toc162339444" </w:instrText>
      </w:r>
      <w:r>
        <w:fldChar w:fldCharType="separate"/>
      </w:r>
      <w:r>
        <w:rPr>
          <w:rStyle w:val="32"/>
          <w:rFonts w:ascii="Times New Roman" w:hAnsi="Times New Roman"/>
        </w:rPr>
        <w:t>8.5 碳排措施及建议</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_Toc162339444 \h </w:instrText>
      </w:r>
      <w:r>
        <w:rPr>
          <w:rFonts w:ascii="Times New Roman" w:hAnsi="Times New Roman"/>
        </w:rPr>
        <w:fldChar w:fldCharType="separate"/>
      </w:r>
      <w:r>
        <w:rPr>
          <w:rFonts w:ascii="Times New Roman" w:hAnsi="Times New Roman"/>
        </w:rPr>
        <w:t>351</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"_Toc162339445" </w:instrText>
      </w:r>
      <w:r>
        <w:fldChar w:fldCharType="separate"/>
      </w:r>
      <w:r>
        <w:rPr>
          <w:rStyle w:val="32"/>
          <w:rFonts w:ascii="Times New Roman" w:hAnsi="Times New Roman"/>
        </w:rPr>
        <w:t>8.6 碳排放管理</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_Toc162339445 \h </w:instrText>
      </w:r>
      <w:r>
        <w:rPr>
          <w:rFonts w:ascii="Times New Roman" w:hAnsi="Times New Roman"/>
        </w:rPr>
        <w:fldChar w:fldCharType="separate"/>
      </w:r>
      <w:r>
        <w:rPr>
          <w:rFonts w:ascii="Times New Roman" w:hAnsi="Times New Roman"/>
        </w:rPr>
        <w:t>352</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"_Toc162339446" </w:instrText>
      </w:r>
      <w:r>
        <w:fldChar w:fldCharType="separate"/>
      </w:r>
      <w:r>
        <w:rPr>
          <w:rStyle w:val="32"/>
          <w:rFonts w:ascii="Times New Roman" w:hAnsi="Times New Roman"/>
        </w:rPr>
        <w:t>8.7 碳排放分析结论</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_Toc162339446 \h </w:instrText>
      </w:r>
      <w:r>
        <w:rPr>
          <w:rFonts w:ascii="Times New Roman" w:hAnsi="Times New Roman"/>
        </w:rPr>
        <w:fldChar w:fldCharType="separate"/>
      </w:r>
      <w:r>
        <w:rPr>
          <w:rFonts w:ascii="Times New Roman" w:hAnsi="Times New Roman"/>
        </w:rPr>
        <w:t>353</w:t>
      </w:r>
      <w:r>
        <w:rPr>
          <w:rFonts w:ascii="Times New Roman" w:hAnsi="Times New Roman"/>
        </w:rPr>
        <w:fldChar w:fldCharType="end"/>
      </w:r>
      <w:r>
        <w:rPr>
          <w:rFonts w:ascii="Times New Roman" w:hAnsi="Times New Roman"/>
        </w:rPr>
        <w:fldChar w:fldCharType="end"/>
      </w:r>
    </w:p>
    <w:p>
      <w:pPr>
        <w:pStyle w:val="22"/>
        <w:tabs>
          <w:tab w:val="right" w:leader="dot" w:pos="8296"/>
        </w:tabs>
        <w:ind w:firstLine="480"/>
        <w:rPr>
          <w:rFonts w:ascii="Times New Roman" w:hAnsi="Times New Roman" w:eastAsiaTheme="minorEastAsia"/>
          <w:sz w:val="21"/>
          <w:szCs w:val="22"/>
          <w14:ligatures w14:val="standardContextual"/>
        </w:rPr>
      </w:pPr>
      <w:r>
        <w:fldChar w:fldCharType="begin"/>
      </w:r>
      <w:r>
        <w:instrText xml:space="preserve"> HYPERLINK \l "_Toc162339447" </w:instrText>
      </w:r>
      <w:r>
        <w:fldChar w:fldCharType="separate"/>
      </w:r>
      <w:r>
        <w:rPr>
          <w:rStyle w:val="32"/>
          <w:rFonts w:ascii="Times New Roman" w:hAnsi="Times New Roman"/>
        </w:rPr>
        <w:t>第9章 环境保护措施及可行性论证</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_Toc162339447 \h </w:instrText>
      </w:r>
      <w:r>
        <w:rPr>
          <w:rFonts w:ascii="Times New Roman" w:hAnsi="Times New Roman"/>
        </w:rPr>
        <w:fldChar w:fldCharType="separate"/>
      </w:r>
      <w:r>
        <w:rPr>
          <w:rFonts w:ascii="Times New Roman" w:hAnsi="Times New Roman"/>
        </w:rPr>
        <w:t>354</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"_Toc162339448" </w:instrText>
      </w:r>
      <w:r>
        <w:fldChar w:fldCharType="separate"/>
      </w:r>
      <w:r>
        <w:rPr>
          <w:rStyle w:val="32"/>
          <w:rFonts w:ascii="Times New Roman" w:hAnsi="Times New Roman"/>
        </w:rPr>
        <w:t>9.1 大气污染防治措施</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_Toc162339448 \h </w:instrText>
      </w:r>
      <w:r>
        <w:rPr>
          <w:rFonts w:ascii="Times New Roman" w:hAnsi="Times New Roman"/>
        </w:rPr>
        <w:fldChar w:fldCharType="separate"/>
      </w:r>
      <w:r>
        <w:rPr>
          <w:rFonts w:ascii="Times New Roman" w:hAnsi="Times New Roman"/>
        </w:rPr>
        <w:t>354</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"_Toc162339449" </w:instrText>
      </w:r>
      <w:r>
        <w:fldChar w:fldCharType="separate"/>
      </w:r>
      <w:r>
        <w:rPr>
          <w:rStyle w:val="32"/>
          <w:rFonts w:ascii="Times New Roman" w:hAnsi="Times New Roman"/>
        </w:rPr>
        <w:t>9.2 水污染防治措施</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_Toc162339449 \h </w:instrText>
      </w:r>
      <w:r>
        <w:rPr>
          <w:rFonts w:ascii="Times New Roman" w:hAnsi="Times New Roman"/>
        </w:rPr>
        <w:fldChar w:fldCharType="separate"/>
      </w:r>
      <w:r>
        <w:rPr>
          <w:rFonts w:ascii="Times New Roman" w:hAnsi="Times New Roman"/>
        </w:rPr>
        <w:t>355</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"_Toc162339450" </w:instrText>
      </w:r>
      <w:r>
        <w:fldChar w:fldCharType="separate"/>
      </w:r>
      <w:r>
        <w:rPr>
          <w:rStyle w:val="32"/>
          <w:rFonts w:ascii="Times New Roman" w:hAnsi="Times New Roman"/>
        </w:rPr>
        <w:t>9.3 噪声污染防治措施</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_Toc162339450 \h </w:instrText>
      </w:r>
      <w:r>
        <w:rPr>
          <w:rFonts w:ascii="Times New Roman" w:hAnsi="Times New Roman"/>
        </w:rPr>
        <w:fldChar w:fldCharType="separate"/>
      </w:r>
      <w:r>
        <w:rPr>
          <w:rFonts w:ascii="Times New Roman" w:hAnsi="Times New Roman"/>
        </w:rPr>
        <w:t>359</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"_Toc162339451" </w:instrText>
      </w:r>
      <w:r>
        <w:fldChar w:fldCharType="separate"/>
      </w:r>
      <w:r>
        <w:rPr>
          <w:rStyle w:val="32"/>
          <w:rFonts w:ascii="Times New Roman" w:hAnsi="Times New Roman"/>
        </w:rPr>
        <w:t>9.4 固体废物污染防治措施</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_Toc162339451 \h </w:instrText>
      </w:r>
      <w:r>
        <w:rPr>
          <w:rFonts w:ascii="Times New Roman" w:hAnsi="Times New Roman"/>
        </w:rPr>
        <w:fldChar w:fldCharType="separate"/>
      </w:r>
      <w:r>
        <w:rPr>
          <w:rFonts w:ascii="Times New Roman" w:hAnsi="Times New Roman"/>
        </w:rPr>
        <w:t>360</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"_Toc162339452" </w:instrText>
      </w:r>
      <w:r>
        <w:fldChar w:fldCharType="separate"/>
      </w:r>
      <w:r>
        <w:rPr>
          <w:rStyle w:val="32"/>
          <w:rFonts w:ascii="Times New Roman" w:hAnsi="Times New Roman"/>
        </w:rPr>
        <w:t>9.5 土壤污染防治措施</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_Toc162339452 \h </w:instrText>
      </w:r>
      <w:r>
        <w:rPr>
          <w:rFonts w:ascii="Times New Roman" w:hAnsi="Times New Roman"/>
        </w:rPr>
        <w:fldChar w:fldCharType="separate"/>
      </w:r>
      <w:r>
        <w:rPr>
          <w:rFonts w:ascii="Times New Roman" w:hAnsi="Times New Roman"/>
        </w:rPr>
        <w:t>363</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"_Toc162339453" </w:instrText>
      </w:r>
      <w:r>
        <w:fldChar w:fldCharType="separate"/>
      </w:r>
      <w:r>
        <w:rPr>
          <w:rStyle w:val="32"/>
          <w:rFonts w:ascii="Times New Roman" w:hAnsi="Times New Roman"/>
        </w:rPr>
        <w:t>9.6 地下水污染防治措施</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_Toc162339453 \h </w:instrText>
      </w:r>
      <w:r>
        <w:rPr>
          <w:rFonts w:ascii="Times New Roman" w:hAnsi="Times New Roman"/>
        </w:rPr>
        <w:fldChar w:fldCharType="separate"/>
      </w:r>
      <w:r>
        <w:rPr>
          <w:rFonts w:ascii="Times New Roman" w:hAnsi="Times New Roman"/>
        </w:rPr>
        <w:t>364</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"_Toc162339454" </w:instrText>
      </w:r>
      <w:r>
        <w:fldChar w:fldCharType="separate"/>
      </w:r>
      <w:r>
        <w:rPr>
          <w:rStyle w:val="32"/>
          <w:rFonts w:ascii="Times New Roman" w:hAnsi="Times New Roman"/>
        </w:rPr>
        <w:t>9.7 生态环境保护措施</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_Toc162339454 \h </w:instrText>
      </w:r>
      <w:r>
        <w:rPr>
          <w:rFonts w:ascii="Times New Roman" w:hAnsi="Times New Roman"/>
        </w:rPr>
        <w:fldChar w:fldCharType="separate"/>
      </w:r>
      <w:r>
        <w:rPr>
          <w:rFonts w:ascii="Times New Roman" w:hAnsi="Times New Roman"/>
        </w:rPr>
        <w:t>371</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"_Toc162339455" </w:instrText>
      </w:r>
      <w:r>
        <w:fldChar w:fldCharType="separate"/>
      </w:r>
      <w:r>
        <w:rPr>
          <w:rStyle w:val="32"/>
          <w:rFonts w:ascii="Times New Roman" w:hAnsi="Times New Roman"/>
        </w:rPr>
        <w:t>9.8 环境风险防范措施</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_Toc162339455 \h </w:instrText>
      </w:r>
      <w:r>
        <w:rPr>
          <w:rFonts w:ascii="Times New Roman" w:hAnsi="Times New Roman"/>
        </w:rPr>
        <w:fldChar w:fldCharType="separate"/>
      </w:r>
      <w:r>
        <w:rPr>
          <w:rFonts w:ascii="Times New Roman" w:hAnsi="Times New Roman"/>
        </w:rPr>
        <w:t>381</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"_Toc162339456" </w:instrText>
      </w:r>
      <w:r>
        <w:fldChar w:fldCharType="separate"/>
      </w:r>
      <w:r>
        <w:rPr>
          <w:rStyle w:val="32"/>
          <w:rFonts w:ascii="Times New Roman" w:hAnsi="Times New Roman"/>
        </w:rPr>
        <w:t>9.9 环保设施 “三同时”</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_Toc162339456 \h </w:instrText>
      </w:r>
      <w:r>
        <w:rPr>
          <w:rFonts w:ascii="Times New Roman" w:hAnsi="Times New Roman"/>
        </w:rPr>
        <w:fldChar w:fldCharType="separate"/>
      </w:r>
      <w:r>
        <w:rPr>
          <w:rFonts w:ascii="Times New Roman" w:hAnsi="Times New Roman"/>
        </w:rPr>
        <w:t>381</w:t>
      </w:r>
      <w:r>
        <w:rPr>
          <w:rFonts w:ascii="Times New Roman" w:hAnsi="Times New Roman"/>
        </w:rPr>
        <w:fldChar w:fldCharType="end"/>
      </w:r>
      <w:r>
        <w:rPr>
          <w:rFonts w:ascii="Times New Roman" w:hAnsi="Times New Roman"/>
        </w:rPr>
        <w:fldChar w:fldCharType="end"/>
      </w:r>
    </w:p>
    <w:p>
      <w:pPr>
        <w:pStyle w:val="22"/>
        <w:tabs>
          <w:tab w:val="right" w:leader="dot" w:pos="8296"/>
        </w:tabs>
        <w:ind w:firstLine="480"/>
        <w:rPr>
          <w:rFonts w:ascii="Times New Roman" w:hAnsi="Times New Roman" w:eastAsiaTheme="minorEastAsia"/>
          <w:sz w:val="21"/>
          <w:szCs w:val="22"/>
          <w14:ligatures w14:val="standardContextual"/>
        </w:rPr>
      </w:pPr>
      <w:r>
        <w:fldChar w:fldCharType="begin"/>
      </w:r>
      <w:r>
        <w:instrText xml:space="preserve"> HYPERLINK \l "_Toc162339457" </w:instrText>
      </w:r>
      <w:r>
        <w:fldChar w:fldCharType="separate"/>
      </w:r>
      <w:r>
        <w:rPr>
          <w:rStyle w:val="32"/>
          <w:rFonts w:ascii="Times New Roman" w:hAnsi="Times New Roman"/>
        </w:rPr>
        <w:t>第10章 环境影响经济损益分析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_Toc162339457 \h </w:instrText>
      </w:r>
      <w:r>
        <w:rPr>
          <w:rFonts w:ascii="Times New Roman" w:hAnsi="Times New Roman"/>
        </w:rPr>
        <w:fldChar w:fldCharType="separate"/>
      </w:r>
      <w:r>
        <w:rPr>
          <w:rFonts w:ascii="Times New Roman" w:hAnsi="Times New Roman"/>
        </w:rPr>
        <w:t>383</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"_Toc162339458" </w:instrText>
      </w:r>
      <w:r>
        <w:fldChar w:fldCharType="separate"/>
      </w:r>
      <w:r>
        <w:rPr>
          <w:rStyle w:val="32"/>
          <w:rFonts w:ascii="Times New Roman" w:hAnsi="Times New Roman"/>
        </w:rPr>
        <w:t>10.1 项目投资</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_Toc162339458 \h </w:instrText>
      </w:r>
      <w:r>
        <w:rPr>
          <w:rFonts w:ascii="Times New Roman" w:hAnsi="Times New Roman"/>
        </w:rPr>
        <w:fldChar w:fldCharType="separate"/>
      </w:r>
      <w:r>
        <w:rPr>
          <w:rFonts w:ascii="Times New Roman" w:hAnsi="Times New Roman"/>
        </w:rPr>
        <w:t>383</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"_Toc162339459" </w:instrText>
      </w:r>
      <w:r>
        <w:fldChar w:fldCharType="separate"/>
      </w:r>
      <w:r>
        <w:rPr>
          <w:rStyle w:val="32"/>
          <w:rFonts w:ascii="Times New Roman" w:hAnsi="Times New Roman"/>
        </w:rPr>
        <w:t>10.2 工程环保投资</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_Toc162339459 \h </w:instrText>
      </w:r>
      <w:r>
        <w:rPr>
          <w:rFonts w:ascii="Times New Roman" w:hAnsi="Times New Roman"/>
        </w:rPr>
        <w:fldChar w:fldCharType="separate"/>
      </w:r>
      <w:r>
        <w:rPr>
          <w:rFonts w:ascii="Times New Roman" w:hAnsi="Times New Roman"/>
        </w:rPr>
        <w:t>383</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"_Toc162339460" </w:instrText>
      </w:r>
      <w:r>
        <w:fldChar w:fldCharType="separate"/>
      </w:r>
      <w:r>
        <w:rPr>
          <w:rStyle w:val="32"/>
          <w:rFonts w:ascii="Times New Roman" w:hAnsi="Times New Roman"/>
        </w:rPr>
        <w:t>10.3 环境效益分析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_Toc162339460 \h </w:instrText>
      </w:r>
      <w:r>
        <w:rPr>
          <w:rFonts w:ascii="Times New Roman" w:hAnsi="Times New Roman"/>
        </w:rPr>
        <w:fldChar w:fldCharType="separate"/>
      </w:r>
      <w:r>
        <w:rPr>
          <w:rFonts w:ascii="Times New Roman" w:hAnsi="Times New Roman"/>
        </w:rPr>
        <w:t>383</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"_Toc162339461" </w:instrText>
      </w:r>
      <w:r>
        <w:fldChar w:fldCharType="separate"/>
      </w:r>
      <w:r>
        <w:rPr>
          <w:rStyle w:val="32"/>
          <w:rFonts w:ascii="Times New Roman" w:hAnsi="Times New Roman"/>
        </w:rPr>
        <w:t>10.4 价格优势带来的经济效益</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_Toc162339461 \h </w:instrText>
      </w:r>
      <w:r>
        <w:rPr>
          <w:rFonts w:ascii="Times New Roman" w:hAnsi="Times New Roman"/>
        </w:rPr>
        <w:fldChar w:fldCharType="separate"/>
      </w:r>
      <w:r>
        <w:rPr>
          <w:rFonts w:ascii="Times New Roman" w:hAnsi="Times New Roman"/>
        </w:rPr>
        <w:t>384</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"_Toc162339462" </w:instrText>
      </w:r>
      <w:r>
        <w:fldChar w:fldCharType="separate"/>
      </w:r>
      <w:r>
        <w:rPr>
          <w:rStyle w:val="32"/>
          <w:rFonts w:ascii="Times New Roman" w:hAnsi="Times New Roman"/>
        </w:rPr>
        <w:t>10.5 社会效益分析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_Toc162339462 \h </w:instrText>
      </w:r>
      <w:r>
        <w:rPr>
          <w:rFonts w:ascii="Times New Roman" w:hAnsi="Times New Roman"/>
        </w:rPr>
        <w:fldChar w:fldCharType="separate"/>
      </w:r>
      <w:r>
        <w:rPr>
          <w:rFonts w:ascii="Times New Roman" w:hAnsi="Times New Roman"/>
        </w:rPr>
        <w:t>385</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"_Toc162339463" </w:instrText>
      </w:r>
      <w:r>
        <w:fldChar w:fldCharType="separate"/>
      </w:r>
      <w:r>
        <w:rPr>
          <w:rStyle w:val="32"/>
          <w:rFonts w:ascii="Times New Roman" w:hAnsi="Times New Roman"/>
        </w:rPr>
        <w:t>10.6 结论</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_Toc162339463 \h </w:instrText>
      </w:r>
      <w:r>
        <w:rPr>
          <w:rFonts w:ascii="Times New Roman" w:hAnsi="Times New Roman"/>
        </w:rPr>
        <w:fldChar w:fldCharType="separate"/>
      </w:r>
      <w:r>
        <w:rPr>
          <w:rFonts w:ascii="Times New Roman" w:hAnsi="Times New Roman"/>
        </w:rPr>
        <w:t>385</w:t>
      </w:r>
      <w:r>
        <w:rPr>
          <w:rFonts w:ascii="Times New Roman" w:hAnsi="Times New Roman"/>
        </w:rPr>
        <w:fldChar w:fldCharType="end"/>
      </w:r>
      <w:r>
        <w:rPr>
          <w:rFonts w:ascii="Times New Roman" w:hAnsi="Times New Roman"/>
        </w:rPr>
        <w:fldChar w:fldCharType="end"/>
      </w:r>
    </w:p>
    <w:p>
      <w:pPr>
        <w:pStyle w:val="22"/>
        <w:tabs>
          <w:tab w:val="right" w:leader="dot" w:pos="8296"/>
        </w:tabs>
        <w:ind w:firstLine="480"/>
        <w:rPr>
          <w:rFonts w:ascii="Times New Roman" w:hAnsi="Times New Roman" w:eastAsiaTheme="minorEastAsia"/>
          <w:sz w:val="21"/>
          <w:szCs w:val="22"/>
          <w14:ligatures w14:val="standardContextual"/>
        </w:rPr>
      </w:pPr>
      <w:r>
        <w:fldChar w:fldCharType="begin"/>
      </w:r>
      <w:r>
        <w:instrText xml:space="preserve"> HYPERLINK \l "_Toc162339464" </w:instrText>
      </w:r>
      <w:r>
        <w:fldChar w:fldCharType="separate"/>
      </w:r>
      <w:r>
        <w:rPr>
          <w:rStyle w:val="32"/>
          <w:rFonts w:ascii="Times New Roman" w:hAnsi="Times New Roman"/>
        </w:rPr>
        <w:t>第11章 建设项目合规性分析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_Toc162339464 \h </w:instrText>
      </w:r>
      <w:r>
        <w:rPr>
          <w:rFonts w:ascii="Times New Roman" w:hAnsi="Times New Roman"/>
        </w:rPr>
        <w:fldChar w:fldCharType="separate"/>
      </w:r>
      <w:r>
        <w:rPr>
          <w:rFonts w:ascii="Times New Roman" w:hAnsi="Times New Roman"/>
        </w:rPr>
        <w:t>386</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"_Toc162339465" </w:instrText>
      </w:r>
      <w:r>
        <w:fldChar w:fldCharType="separate"/>
      </w:r>
      <w:r>
        <w:rPr>
          <w:rStyle w:val="32"/>
          <w:rFonts w:ascii="Times New Roman" w:hAnsi="Times New Roman"/>
        </w:rPr>
        <w:t>11.1 产业政策符合性分析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_Toc162339465 \h </w:instrText>
      </w:r>
      <w:r>
        <w:rPr>
          <w:rFonts w:ascii="Times New Roman" w:hAnsi="Times New Roman"/>
        </w:rPr>
        <w:fldChar w:fldCharType="separate"/>
      </w:r>
      <w:r>
        <w:rPr>
          <w:rFonts w:ascii="Times New Roman" w:hAnsi="Times New Roman"/>
        </w:rPr>
        <w:t>386</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"_Toc162339466" </w:instrText>
      </w:r>
      <w:r>
        <w:fldChar w:fldCharType="separate"/>
      </w:r>
      <w:r>
        <w:rPr>
          <w:rStyle w:val="32"/>
          <w:rFonts w:ascii="Times New Roman" w:hAnsi="Times New Roman"/>
        </w:rPr>
        <w:t>11.2 相关规划符合性分析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_Toc162339466 \h </w:instrText>
      </w:r>
      <w:r>
        <w:rPr>
          <w:rFonts w:ascii="Times New Roman" w:hAnsi="Times New Roman"/>
        </w:rPr>
        <w:fldChar w:fldCharType="separate"/>
      </w:r>
      <w:r>
        <w:rPr>
          <w:rFonts w:ascii="Times New Roman" w:hAnsi="Times New Roman"/>
        </w:rPr>
        <w:t>386</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"_Toc162339467" </w:instrText>
      </w:r>
      <w:r>
        <w:fldChar w:fldCharType="separate"/>
      </w:r>
      <w:r>
        <w:rPr>
          <w:rStyle w:val="32"/>
          <w:rFonts w:ascii="Times New Roman" w:hAnsi="Times New Roman"/>
        </w:rPr>
        <w:t>11.3 相关政策符合性分析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_Toc162339467 \h </w:instrText>
      </w:r>
      <w:r>
        <w:rPr>
          <w:rFonts w:ascii="Times New Roman" w:hAnsi="Times New Roman"/>
        </w:rPr>
        <w:fldChar w:fldCharType="separate"/>
      </w:r>
      <w:r>
        <w:rPr>
          <w:rFonts w:ascii="Times New Roman" w:hAnsi="Times New Roman"/>
        </w:rPr>
        <w:t>392</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"_Toc162339468" </w:instrText>
      </w:r>
      <w:r>
        <w:fldChar w:fldCharType="separate"/>
      </w:r>
      <w:r>
        <w:rPr>
          <w:rStyle w:val="32"/>
          <w:rFonts w:ascii="Times New Roman" w:hAnsi="Times New Roman"/>
        </w:rPr>
        <w:t>11.4 与“三线一单”符合性分析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_Toc162339468 \h </w:instrText>
      </w:r>
      <w:r>
        <w:rPr>
          <w:rFonts w:ascii="Times New Roman" w:hAnsi="Times New Roman"/>
        </w:rPr>
        <w:fldChar w:fldCharType="separate"/>
      </w:r>
      <w:r>
        <w:rPr>
          <w:rFonts w:ascii="Times New Roman" w:hAnsi="Times New Roman"/>
        </w:rPr>
        <w:t>397</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"_Toc162339469" </w:instrText>
      </w:r>
      <w:r>
        <w:fldChar w:fldCharType="separate"/>
      </w:r>
      <w:r>
        <w:rPr>
          <w:rStyle w:val="32"/>
          <w:rFonts w:ascii="Times New Roman" w:hAnsi="Times New Roman"/>
        </w:rPr>
        <w:t>11.5 与基本农田相关法律法规符合性分析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_Toc162339469 \h </w:instrText>
      </w:r>
      <w:r>
        <w:rPr>
          <w:rFonts w:ascii="Times New Roman" w:hAnsi="Times New Roman"/>
        </w:rPr>
        <w:fldChar w:fldCharType="separate"/>
      </w:r>
      <w:r>
        <w:rPr>
          <w:rFonts w:ascii="Times New Roman" w:hAnsi="Times New Roman"/>
        </w:rPr>
        <w:t>402</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"_Toc162339470" </w:instrText>
      </w:r>
      <w:r>
        <w:fldChar w:fldCharType="separate"/>
      </w:r>
      <w:r>
        <w:rPr>
          <w:rStyle w:val="32"/>
          <w:rFonts w:ascii="Times New Roman" w:hAnsi="Times New Roman"/>
        </w:rPr>
        <w:t>11.6 与天然林、公益林相关法律法规符合性分析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_Toc162339470 \h </w:instrText>
      </w:r>
      <w:r>
        <w:rPr>
          <w:rFonts w:ascii="Times New Roman" w:hAnsi="Times New Roman"/>
        </w:rPr>
        <w:fldChar w:fldCharType="separate"/>
      </w:r>
      <w:r>
        <w:rPr>
          <w:rFonts w:ascii="Times New Roman" w:hAnsi="Times New Roman"/>
        </w:rPr>
        <w:t>403</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"_Toc162339471" </w:instrText>
      </w:r>
      <w:r>
        <w:fldChar w:fldCharType="separate"/>
      </w:r>
      <w:r>
        <w:rPr>
          <w:rStyle w:val="32"/>
          <w:rFonts w:ascii="Times New Roman" w:hAnsi="Times New Roman"/>
        </w:rPr>
        <w:t>11.7 选址选线合理性分析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_Toc162339471 \h </w:instrText>
      </w:r>
      <w:r>
        <w:rPr>
          <w:rFonts w:ascii="Times New Roman" w:hAnsi="Times New Roman"/>
        </w:rPr>
        <w:fldChar w:fldCharType="separate"/>
      </w:r>
      <w:r>
        <w:rPr>
          <w:rFonts w:ascii="Times New Roman" w:hAnsi="Times New Roman"/>
        </w:rPr>
        <w:t>404</w:t>
      </w:r>
      <w:r>
        <w:rPr>
          <w:rFonts w:ascii="Times New Roman" w:hAnsi="Times New Roman"/>
        </w:rPr>
        <w:fldChar w:fldCharType="end"/>
      </w:r>
      <w:r>
        <w:rPr>
          <w:rFonts w:ascii="Times New Roman" w:hAnsi="Times New Roman"/>
        </w:rPr>
        <w:fldChar w:fldCharType="end"/>
      </w:r>
    </w:p>
    <w:p>
      <w:pPr>
        <w:pStyle w:val="22"/>
        <w:tabs>
          <w:tab w:val="right" w:leader="dot" w:pos="8296"/>
        </w:tabs>
        <w:ind w:firstLine="480"/>
        <w:rPr>
          <w:rFonts w:ascii="Times New Roman" w:hAnsi="Times New Roman" w:eastAsiaTheme="minorEastAsia"/>
          <w:sz w:val="21"/>
          <w:szCs w:val="22"/>
          <w14:ligatures w14:val="standardContextual"/>
        </w:rPr>
      </w:pPr>
      <w:r>
        <w:fldChar w:fldCharType="begin"/>
      </w:r>
      <w:r>
        <w:instrText xml:space="preserve"> HYPERLINK \l "_Toc162339472" </w:instrText>
      </w:r>
      <w:r>
        <w:fldChar w:fldCharType="separate"/>
      </w:r>
      <w:r>
        <w:rPr>
          <w:rStyle w:val="32"/>
          <w:rFonts w:ascii="Times New Roman" w:hAnsi="Times New Roman"/>
        </w:rPr>
        <w:t>第12章 环境管理与监测计划</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_Toc162339472 \h </w:instrText>
      </w:r>
      <w:r>
        <w:rPr>
          <w:rFonts w:ascii="Times New Roman" w:hAnsi="Times New Roman"/>
        </w:rPr>
        <w:fldChar w:fldCharType="separate"/>
      </w:r>
      <w:r>
        <w:rPr>
          <w:rFonts w:ascii="Times New Roman" w:hAnsi="Times New Roman"/>
        </w:rPr>
        <w:t>409</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"_Toc162339473" </w:instrText>
      </w:r>
      <w:r>
        <w:fldChar w:fldCharType="separate"/>
      </w:r>
      <w:r>
        <w:rPr>
          <w:rStyle w:val="32"/>
          <w:rFonts w:ascii="Times New Roman" w:hAnsi="Times New Roman"/>
        </w:rPr>
        <w:t>12.1 环境管理</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_Toc162339473 \h </w:instrText>
      </w:r>
      <w:r>
        <w:rPr>
          <w:rFonts w:ascii="Times New Roman" w:hAnsi="Times New Roman"/>
        </w:rPr>
        <w:fldChar w:fldCharType="separate"/>
      </w:r>
      <w:r>
        <w:rPr>
          <w:rFonts w:ascii="Times New Roman" w:hAnsi="Times New Roman"/>
        </w:rPr>
        <w:t>409</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"_Toc162339474" </w:instrText>
      </w:r>
      <w:r>
        <w:fldChar w:fldCharType="separate"/>
      </w:r>
      <w:r>
        <w:rPr>
          <w:rStyle w:val="32"/>
          <w:rFonts w:ascii="Times New Roman" w:hAnsi="Times New Roman"/>
        </w:rPr>
        <w:t>12.2 环境监测计划</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_Toc162339474 \h </w:instrText>
      </w:r>
      <w:r>
        <w:rPr>
          <w:rFonts w:ascii="Times New Roman" w:hAnsi="Times New Roman"/>
        </w:rPr>
        <w:fldChar w:fldCharType="separate"/>
      </w:r>
      <w:r>
        <w:rPr>
          <w:rFonts w:ascii="Times New Roman" w:hAnsi="Times New Roman"/>
        </w:rPr>
        <w:t>411</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"_Toc162339475" </w:instrText>
      </w:r>
      <w:r>
        <w:fldChar w:fldCharType="separate"/>
      </w:r>
      <w:r>
        <w:rPr>
          <w:rStyle w:val="32"/>
          <w:rFonts w:ascii="Times New Roman" w:hAnsi="Times New Roman"/>
        </w:rPr>
        <w:t>12.3 与排污许可制度衔接</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_Toc162339475 \h </w:instrText>
      </w:r>
      <w:r>
        <w:rPr>
          <w:rFonts w:ascii="Times New Roman" w:hAnsi="Times New Roman"/>
        </w:rPr>
        <w:fldChar w:fldCharType="separate"/>
      </w:r>
      <w:r>
        <w:rPr>
          <w:rFonts w:ascii="Times New Roman" w:hAnsi="Times New Roman"/>
        </w:rPr>
        <w:t>414</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"_Toc162339476" </w:instrText>
      </w:r>
      <w:r>
        <w:fldChar w:fldCharType="separate"/>
      </w:r>
      <w:r>
        <w:rPr>
          <w:rStyle w:val="32"/>
          <w:rFonts w:ascii="Times New Roman" w:hAnsi="Times New Roman"/>
        </w:rPr>
        <w:t>12.4 排污口规范化管理</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_Toc162339476 \h </w:instrText>
      </w:r>
      <w:r>
        <w:rPr>
          <w:rFonts w:ascii="Times New Roman" w:hAnsi="Times New Roman"/>
        </w:rPr>
        <w:fldChar w:fldCharType="separate"/>
      </w:r>
      <w:r>
        <w:rPr>
          <w:rFonts w:ascii="Times New Roman" w:hAnsi="Times New Roman"/>
        </w:rPr>
        <w:t>415</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"_Toc162339477" </w:instrText>
      </w:r>
      <w:r>
        <w:fldChar w:fldCharType="separate"/>
      </w:r>
      <w:r>
        <w:rPr>
          <w:rStyle w:val="32"/>
          <w:rFonts w:ascii="Times New Roman" w:hAnsi="Times New Roman"/>
        </w:rPr>
        <w:t>12.5 信息公开方案</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_Toc162339477 \h </w:instrText>
      </w:r>
      <w:r>
        <w:rPr>
          <w:rFonts w:ascii="Times New Roman" w:hAnsi="Times New Roman"/>
        </w:rPr>
        <w:fldChar w:fldCharType="separate"/>
      </w:r>
      <w:r>
        <w:rPr>
          <w:rFonts w:ascii="Times New Roman" w:hAnsi="Times New Roman"/>
        </w:rPr>
        <w:t>416</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"_Toc162339478" </w:instrText>
      </w:r>
      <w:r>
        <w:fldChar w:fldCharType="separate"/>
      </w:r>
      <w:r>
        <w:rPr>
          <w:rStyle w:val="32"/>
          <w:rFonts w:ascii="Times New Roman" w:hAnsi="Times New Roman"/>
        </w:rPr>
        <w:t>12.6 污染物排放清单</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_Toc162339478 \h </w:instrText>
      </w:r>
      <w:r>
        <w:rPr>
          <w:rFonts w:ascii="Times New Roman" w:hAnsi="Times New Roman"/>
        </w:rPr>
        <w:fldChar w:fldCharType="separate"/>
      </w:r>
      <w:r>
        <w:rPr>
          <w:rFonts w:ascii="Times New Roman" w:hAnsi="Times New Roman"/>
        </w:rPr>
        <w:t>417</w:t>
      </w:r>
      <w:r>
        <w:rPr>
          <w:rFonts w:ascii="Times New Roman" w:hAnsi="Times New Roman"/>
        </w:rPr>
        <w:fldChar w:fldCharType="end"/>
      </w:r>
      <w:r>
        <w:rPr>
          <w:rFonts w:ascii="Times New Roman" w:hAnsi="Times New Roman"/>
        </w:rPr>
        <w:fldChar w:fldCharType="end"/>
      </w:r>
    </w:p>
    <w:p>
      <w:pPr>
        <w:pStyle w:val="22"/>
        <w:tabs>
          <w:tab w:val="right" w:leader="dot" w:pos="8296"/>
        </w:tabs>
        <w:ind w:firstLine="480"/>
        <w:rPr>
          <w:rFonts w:ascii="Times New Roman" w:hAnsi="Times New Roman" w:eastAsiaTheme="minorEastAsia"/>
          <w:sz w:val="21"/>
          <w:szCs w:val="22"/>
          <w14:ligatures w14:val="standardContextual"/>
        </w:rPr>
      </w:pPr>
      <w:r>
        <w:fldChar w:fldCharType="begin"/>
      </w:r>
      <w:r>
        <w:instrText xml:space="preserve"> HYPERLINK \l "_Toc162339479" </w:instrText>
      </w:r>
      <w:r>
        <w:fldChar w:fldCharType="separate"/>
      </w:r>
      <w:r>
        <w:rPr>
          <w:rStyle w:val="32"/>
          <w:rFonts w:ascii="Times New Roman" w:hAnsi="Times New Roman"/>
        </w:rPr>
        <w:t>第13章 环境影响评价结论</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_Toc162339479 \h </w:instrText>
      </w:r>
      <w:r>
        <w:rPr>
          <w:rFonts w:ascii="Times New Roman" w:hAnsi="Times New Roman"/>
        </w:rPr>
        <w:fldChar w:fldCharType="separate"/>
      </w:r>
      <w:r>
        <w:rPr>
          <w:rFonts w:ascii="Times New Roman" w:hAnsi="Times New Roman"/>
        </w:rPr>
        <w:t>419</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"_Toc162339480" </w:instrText>
      </w:r>
      <w:r>
        <w:fldChar w:fldCharType="separate"/>
      </w:r>
      <w:r>
        <w:rPr>
          <w:rStyle w:val="32"/>
          <w:rFonts w:ascii="Times New Roman" w:hAnsi="Times New Roman"/>
        </w:rPr>
        <w:t>13.1 项目概况</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_Toc162339480 \h </w:instrText>
      </w:r>
      <w:r>
        <w:rPr>
          <w:rFonts w:ascii="Times New Roman" w:hAnsi="Times New Roman"/>
        </w:rPr>
        <w:fldChar w:fldCharType="separate"/>
      </w:r>
      <w:r>
        <w:rPr>
          <w:rFonts w:ascii="Times New Roman" w:hAnsi="Times New Roman"/>
        </w:rPr>
        <w:t>419</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"_Toc162339481" </w:instrText>
      </w:r>
      <w:r>
        <w:fldChar w:fldCharType="separate"/>
      </w:r>
      <w:r>
        <w:rPr>
          <w:rStyle w:val="32"/>
          <w:rFonts w:ascii="Times New Roman" w:hAnsi="Times New Roman"/>
        </w:rPr>
        <w:t>13.2 工程分析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_Toc162339481 \h </w:instrText>
      </w:r>
      <w:r>
        <w:rPr>
          <w:rFonts w:ascii="Times New Roman" w:hAnsi="Times New Roman"/>
        </w:rPr>
        <w:fldChar w:fldCharType="separate"/>
      </w:r>
      <w:r>
        <w:rPr>
          <w:rFonts w:ascii="Times New Roman" w:hAnsi="Times New Roman"/>
        </w:rPr>
        <w:t>419</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"_Toc162339482" </w:instrText>
      </w:r>
      <w:r>
        <w:fldChar w:fldCharType="separate"/>
      </w:r>
      <w:r>
        <w:rPr>
          <w:rStyle w:val="32"/>
          <w:rFonts w:ascii="Times New Roman" w:hAnsi="Times New Roman"/>
        </w:rPr>
        <w:t>13.3 产业政策及规划符合性分析</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_Toc162339482 \h </w:instrText>
      </w:r>
      <w:r>
        <w:rPr>
          <w:rFonts w:ascii="Times New Roman" w:hAnsi="Times New Roman"/>
        </w:rPr>
        <w:fldChar w:fldCharType="separate"/>
      </w:r>
      <w:r>
        <w:rPr>
          <w:rFonts w:ascii="Times New Roman" w:hAnsi="Times New Roman"/>
        </w:rPr>
        <w:t>421</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"_Toc162339483" </w:instrText>
      </w:r>
      <w:r>
        <w:fldChar w:fldCharType="separate"/>
      </w:r>
      <w:r>
        <w:rPr>
          <w:rStyle w:val="32"/>
          <w:rFonts w:ascii="Times New Roman" w:hAnsi="Times New Roman"/>
        </w:rPr>
        <w:t>13.4 环境质量现状</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_Toc162339483 \h </w:instrText>
      </w:r>
      <w:r>
        <w:rPr>
          <w:rFonts w:ascii="Times New Roman" w:hAnsi="Times New Roman"/>
        </w:rPr>
        <w:fldChar w:fldCharType="separate"/>
      </w:r>
      <w:r>
        <w:rPr>
          <w:rFonts w:ascii="Times New Roman" w:hAnsi="Times New Roman"/>
        </w:rPr>
        <w:t>421</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"_Toc162339484" </w:instrText>
      </w:r>
      <w:r>
        <w:fldChar w:fldCharType="separate"/>
      </w:r>
      <w:r>
        <w:rPr>
          <w:rStyle w:val="32"/>
          <w:rFonts w:ascii="Times New Roman" w:hAnsi="Times New Roman"/>
        </w:rPr>
        <w:t>13.5 环境影响评价</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_Toc162339484 \h </w:instrText>
      </w:r>
      <w:r>
        <w:rPr>
          <w:rFonts w:ascii="Times New Roman" w:hAnsi="Times New Roman"/>
        </w:rPr>
        <w:fldChar w:fldCharType="separate"/>
      </w:r>
      <w:r>
        <w:rPr>
          <w:rFonts w:ascii="Times New Roman" w:hAnsi="Times New Roman"/>
        </w:rPr>
        <w:t>423</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"_Toc162339485" </w:instrText>
      </w:r>
      <w:r>
        <w:fldChar w:fldCharType="separate"/>
      </w:r>
      <w:r>
        <w:rPr>
          <w:rStyle w:val="32"/>
          <w:rFonts w:ascii="Times New Roman" w:hAnsi="Times New Roman"/>
        </w:rPr>
        <w:t>13.6 环境风险</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_Toc162339485 \h </w:instrText>
      </w:r>
      <w:r>
        <w:rPr>
          <w:rFonts w:ascii="Times New Roman" w:hAnsi="Times New Roman"/>
        </w:rPr>
        <w:fldChar w:fldCharType="separate"/>
      </w:r>
      <w:r>
        <w:rPr>
          <w:rFonts w:ascii="Times New Roman" w:hAnsi="Times New Roman"/>
        </w:rPr>
        <w:t>426</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"_Toc162339486" </w:instrText>
      </w:r>
      <w:r>
        <w:fldChar w:fldCharType="separate"/>
      </w:r>
      <w:r>
        <w:rPr>
          <w:rStyle w:val="32"/>
          <w:rFonts w:ascii="Times New Roman" w:hAnsi="Times New Roman"/>
        </w:rPr>
        <w:t>13.7 污染防治措施</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_Toc162339486 \h </w:instrText>
      </w:r>
      <w:r>
        <w:rPr>
          <w:rFonts w:ascii="Times New Roman" w:hAnsi="Times New Roman"/>
        </w:rPr>
        <w:fldChar w:fldCharType="separate"/>
      </w:r>
      <w:r>
        <w:rPr>
          <w:rFonts w:ascii="Times New Roman" w:hAnsi="Times New Roman"/>
        </w:rPr>
        <w:t>427</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"_Toc162339487" </w:instrText>
      </w:r>
      <w:r>
        <w:fldChar w:fldCharType="separate"/>
      </w:r>
      <w:r>
        <w:rPr>
          <w:rStyle w:val="32"/>
          <w:rFonts w:ascii="Times New Roman" w:hAnsi="Times New Roman"/>
        </w:rPr>
        <w:t>13.8 总量控制和碳排放</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_Toc162339487 \h </w:instrText>
      </w:r>
      <w:r>
        <w:rPr>
          <w:rFonts w:ascii="Times New Roman" w:hAnsi="Times New Roman"/>
        </w:rPr>
        <w:fldChar w:fldCharType="separate"/>
      </w:r>
      <w:r>
        <w:rPr>
          <w:rFonts w:ascii="Times New Roman" w:hAnsi="Times New Roman"/>
        </w:rPr>
        <w:t>428</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"_Toc162339488" </w:instrText>
      </w:r>
      <w:r>
        <w:fldChar w:fldCharType="separate"/>
      </w:r>
      <w:r>
        <w:rPr>
          <w:rStyle w:val="32"/>
          <w:rFonts w:ascii="Times New Roman" w:hAnsi="Times New Roman"/>
        </w:rPr>
        <w:t>13.9 环境管理与监测计划</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_Toc162339488 \h </w:instrText>
      </w:r>
      <w:r>
        <w:rPr>
          <w:rFonts w:ascii="Times New Roman" w:hAnsi="Times New Roman"/>
        </w:rPr>
        <w:fldChar w:fldCharType="separate"/>
      </w:r>
      <w:r>
        <w:rPr>
          <w:rFonts w:ascii="Times New Roman" w:hAnsi="Times New Roman"/>
        </w:rPr>
        <w:t>429</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"_Toc162339489" </w:instrText>
      </w:r>
      <w:r>
        <w:fldChar w:fldCharType="separate"/>
      </w:r>
      <w:r>
        <w:rPr>
          <w:rStyle w:val="32"/>
          <w:rFonts w:ascii="Times New Roman" w:hAnsi="Times New Roman"/>
        </w:rPr>
        <w:t>13.10 公众参与</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_Toc162339489 \h </w:instrText>
      </w:r>
      <w:r>
        <w:rPr>
          <w:rFonts w:ascii="Times New Roman" w:hAnsi="Times New Roman"/>
        </w:rPr>
        <w:fldChar w:fldCharType="separate"/>
      </w:r>
      <w:r>
        <w:rPr>
          <w:rFonts w:ascii="Times New Roman" w:hAnsi="Times New Roman"/>
        </w:rPr>
        <w:t>429</w:t>
      </w:r>
      <w:r>
        <w:rPr>
          <w:rFonts w:ascii="Times New Roman" w:hAnsi="Times New Roman"/>
        </w:rPr>
        <w:fldChar w:fldCharType="end"/>
      </w:r>
      <w:r>
        <w:rPr>
          <w:rFonts w:ascii="Times New Roman" w:hAnsi="Times New Roman"/>
        </w:rPr>
        <w:fldChar w:fldCharType="end"/>
      </w:r>
    </w:p>
    <w:p>
      <w:pPr>
        <w:pStyle w:val="25"/>
        <w:tabs>
          <w:tab w:val="right" w:leader="dot" w:pos="8296"/>
        </w:tabs>
        <w:ind w:left="480" w:firstLine="480"/>
        <w:rPr>
          <w:rFonts w:ascii="Times New Roman" w:hAnsi="Times New Roman" w:eastAsiaTheme="minorEastAsia"/>
          <w:sz w:val="21"/>
          <w:szCs w:val="22"/>
          <w14:ligatures w14:val="standardContextual"/>
        </w:rPr>
      </w:pPr>
      <w:r>
        <w:fldChar w:fldCharType="begin"/>
      </w:r>
      <w:r>
        <w:instrText xml:space="preserve"> HYPERLINK \l "_Toc162339490" </w:instrText>
      </w:r>
      <w:r>
        <w:fldChar w:fldCharType="separate"/>
      </w:r>
      <w:r>
        <w:rPr>
          <w:rStyle w:val="32"/>
          <w:rFonts w:ascii="Times New Roman" w:hAnsi="Times New Roman"/>
        </w:rPr>
        <w:t>13.11 总结论</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_Toc162339490 \h </w:instrText>
      </w:r>
      <w:r>
        <w:rPr>
          <w:rFonts w:ascii="Times New Roman" w:hAnsi="Times New Roman"/>
        </w:rPr>
        <w:fldChar w:fldCharType="separate"/>
      </w:r>
      <w:r>
        <w:rPr>
          <w:rFonts w:ascii="Times New Roman" w:hAnsi="Times New Roman"/>
        </w:rPr>
        <w:t>429</w:t>
      </w:r>
      <w:r>
        <w:rPr>
          <w:rFonts w:ascii="Times New Roman" w:hAnsi="Times New Roman"/>
        </w:rPr>
        <w:fldChar w:fldCharType="end"/>
      </w:r>
      <w:r>
        <w:rPr>
          <w:rFonts w:ascii="Times New Roman" w:hAnsi="Times New Roman"/>
        </w:rPr>
        <w:fldChar w:fldCharType="end"/>
      </w:r>
    </w:p>
    <w:p>
      <w:pPr>
        <w:ind w:firstLine="480"/>
        <w:rPr>
          <w:rFonts w:ascii="Times New Roman" w:hAnsi="Times New Roman"/>
        </w:rPr>
      </w:pPr>
      <w:r>
        <w:rPr>
          <w:rFonts w:ascii="Times New Roman" w:hAnsi="Times New Roman"/>
        </w:rPr>
        <w:fldChar w:fldCharType="end"/>
      </w:r>
    </w:p>
    <w:p>
      <w:pPr>
        <w:ind w:firstLine="480"/>
        <w:rPr>
          <w:rFonts w:ascii="Times New Roman" w:hAnsi="Times New Roman"/>
        </w:rPr>
        <w:sectPr>
          <w:footerReference r:id="rId11" w:type="default"/>
          <w:pgSz w:w="11906" w:h="16838"/>
          <w:pgMar w:top="1440" w:right="1800" w:bottom="1440" w:left="1800" w:header="851" w:footer="992" w:gutter="0"/>
          <w:pgNumType w:fmt="upperRoman" w:start="1"/>
          <w:cols w:space="425" w:num="1"/>
          <w:docGrid w:type="lines" w:linePitch="312" w:charSpace="0"/>
        </w:sectPr>
      </w:pPr>
    </w:p>
    <w:p>
      <w:pPr>
        <w:spacing w:line="240" w:lineRule="auto"/>
        <w:ind w:firstLine="0" w:firstLineChars="0"/>
        <w:rPr>
          <w:rFonts w:ascii="Times New Roman" w:hAnsi="Times New Roman" w:eastAsia="楷体"/>
          <w:b/>
          <w:bCs/>
          <w:sz w:val="28"/>
          <w:szCs w:val="28"/>
        </w:rPr>
      </w:pPr>
      <w:r>
        <w:rPr>
          <w:rFonts w:ascii="Times New Roman" w:hAnsi="Times New Roman" w:eastAsia="楷体"/>
          <w:b/>
          <w:bCs/>
          <w:sz w:val="28"/>
          <w:szCs w:val="28"/>
        </w:rPr>
        <w:t>附表：</w:t>
      </w:r>
    </w:p>
    <w:p>
      <w:pPr>
        <w:ind w:firstLine="480"/>
        <w:rPr>
          <w:rFonts w:ascii="Times New Roman" w:hAnsi="Times New Roman"/>
        </w:rPr>
      </w:pPr>
      <w:r>
        <w:rPr>
          <w:rFonts w:ascii="Times New Roman" w:hAnsi="Times New Roman"/>
        </w:rPr>
        <w:t>附表1 评价范围植被样方调查表</w:t>
      </w:r>
    </w:p>
    <w:p>
      <w:pPr>
        <w:ind w:firstLine="480"/>
        <w:rPr>
          <w:rFonts w:ascii="Times New Roman" w:hAnsi="Times New Roman"/>
        </w:rPr>
      </w:pPr>
      <w:r>
        <w:rPr>
          <w:rFonts w:ascii="Times New Roman" w:hAnsi="Times New Roman"/>
        </w:rPr>
        <w:t>附表2 评价范围动物样线调查表</w:t>
      </w:r>
    </w:p>
    <w:p>
      <w:pPr>
        <w:ind w:firstLine="480"/>
        <w:rPr>
          <w:rFonts w:ascii="Times New Roman" w:hAnsi="Times New Roman"/>
        </w:rPr>
      </w:pPr>
      <w:r>
        <w:rPr>
          <w:rFonts w:ascii="Times New Roman" w:hAnsi="Times New Roman"/>
        </w:rPr>
        <w:t>附表3 评价范围维管束植物名录</w:t>
      </w:r>
    </w:p>
    <w:p>
      <w:pPr>
        <w:ind w:firstLine="480"/>
        <w:rPr>
          <w:rFonts w:ascii="Times New Roman" w:hAnsi="Times New Roman"/>
        </w:rPr>
      </w:pPr>
      <w:r>
        <w:rPr>
          <w:rFonts w:ascii="Times New Roman" w:hAnsi="Times New Roman"/>
        </w:rPr>
        <w:t>附表4 评价范围陆生野生动物名录</w:t>
      </w:r>
    </w:p>
    <w:p>
      <w:pPr>
        <w:ind w:firstLine="480"/>
        <w:rPr>
          <w:rFonts w:ascii="Times New Roman" w:hAnsi="Times New Roman"/>
        </w:rPr>
      </w:pPr>
      <w:r>
        <w:rPr>
          <w:rFonts w:ascii="Times New Roman" w:hAnsi="Times New Roman"/>
        </w:rPr>
        <w:t>附表5 评价范围水生生物名录</w:t>
      </w:r>
    </w:p>
    <w:p>
      <w:pPr>
        <w:ind w:firstLine="480"/>
        <w:rPr>
          <w:rFonts w:ascii="Times New Roman" w:hAnsi="Times New Roman"/>
        </w:rPr>
      </w:pPr>
      <w:r>
        <w:rPr>
          <w:rFonts w:ascii="Times New Roman" w:hAnsi="Times New Roman"/>
        </w:rPr>
        <w:t>附表6 大气环境影响评价自查表</w:t>
      </w:r>
    </w:p>
    <w:p>
      <w:pPr>
        <w:ind w:firstLine="480"/>
        <w:rPr>
          <w:rFonts w:ascii="Times New Roman" w:hAnsi="Times New Roman"/>
        </w:rPr>
      </w:pPr>
      <w:r>
        <w:rPr>
          <w:rFonts w:ascii="Times New Roman" w:hAnsi="Times New Roman"/>
        </w:rPr>
        <w:t>附表7 地表水环境影响评价自查表</w:t>
      </w:r>
    </w:p>
    <w:p>
      <w:pPr>
        <w:ind w:firstLine="480"/>
        <w:rPr>
          <w:rFonts w:ascii="Times New Roman" w:hAnsi="Times New Roman"/>
        </w:rPr>
      </w:pPr>
      <w:r>
        <w:rPr>
          <w:rFonts w:ascii="Times New Roman" w:hAnsi="Times New Roman"/>
        </w:rPr>
        <w:t>附表8 土壤环境影响自查表</w:t>
      </w:r>
    </w:p>
    <w:p>
      <w:pPr>
        <w:ind w:firstLine="480"/>
        <w:rPr>
          <w:rFonts w:ascii="Times New Roman" w:hAnsi="Times New Roman"/>
        </w:rPr>
      </w:pPr>
      <w:r>
        <w:rPr>
          <w:rFonts w:ascii="Times New Roman" w:hAnsi="Times New Roman"/>
        </w:rPr>
        <w:t>附表9 生态影响评价自查表</w:t>
      </w:r>
    </w:p>
    <w:p>
      <w:pPr>
        <w:ind w:firstLine="480"/>
        <w:rPr>
          <w:rFonts w:ascii="Times New Roman" w:hAnsi="Times New Roman"/>
        </w:rPr>
      </w:pPr>
      <w:r>
        <w:rPr>
          <w:rFonts w:ascii="Times New Roman" w:hAnsi="Times New Roman"/>
        </w:rPr>
        <w:t>附表10 声环境影响评价自查表</w:t>
      </w:r>
    </w:p>
    <w:p>
      <w:pPr>
        <w:ind w:firstLine="480"/>
        <w:rPr>
          <w:rFonts w:ascii="Times New Roman" w:hAnsi="Times New Roman"/>
        </w:rPr>
      </w:pPr>
      <w:r>
        <w:rPr>
          <w:rFonts w:ascii="Times New Roman" w:hAnsi="Times New Roman"/>
        </w:rPr>
        <w:t>附表11 环境风险评价自查表</w:t>
      </w:r>
    </w:p>
    <w:p>
      <w:pPr>
        <w:ind w:firstLine="480"/>
        <w:rPr>
          <w:rFonts w:ascii="Times New Roman" w:hAnsi="Times New Roman"/>
        </w:rPr>
      </w:pPr>
    </w:p>
    <w:p>
      <w:pPr>
        <w:ind w:firstLine="0" w:firstLineChars="0"/>
        <w:rPr>
          <w:rFonts w:ascii="Times New Roman" w:hAnsi="Times New Roman" w:eastAsia="楷体"/>
          <w:b/>
          <w:bCs/>
          <w:sz w:val="28"/>
          <w:szCs w:val="28"/>
        </w:rPr>
      </w:pPr>
      <w:r>
        <w:rPr>
          <w:rFonts w:ascii="Times New Roman" w:hAnsi="Times New Roman" w:eastAsia="楷体"/>
          <w:b/>
          <w:bCs/>
          <w:sz w:val="28"/>
          <w:szCs w:val="28"/>
        </w:rPr>
        <w:t>附图：</w:t>
      </w:r>
    </w:p>
    <w:p>
      <w:pPr>
        <w:ind w:firstLine="480"/>
        <w:rPr>
          <w:rFonts w:ascii="Times New Roman" w:hAnsi="Times New Roman"/>
        </w:rPr>
      </w:pPr>
      <w:r>
        <w:rPr>
          <w:rFonts w:ascii="Times New Roman" w:hAnsi="Times New Roman"/>
        </w:rPr>
        <w:t>附图1 建设项目地理位置图</w:t>
      </w:r>
    </w:p>
    <w:p>
      <w:pPr>
        <w:ind w:firstLine="480"/>
        <w:rPr>
          <w:rFonts w:ascii="Times New Roman" w:hAnsi="Times New Roman"/>
        </w:rPr>
      </w:pPr>
      <w:r>
        <w:rPr>
          <w:rFonts w:ascii="Times New Roman" w:hAnsi="Times New Roman"/>
        </w:rPr>
        <w:t>附图2 总体布局示意图</w:t>
      </w:r>
    </w:p>
    <w:p>
      <w:pPr>
        <w:ind w:firstLine="480"/>
        <w:rPr>
          <w:rFonts w:ascii="Times New Roman" w:hAnsi="Times New Roman"/>
        </w:rPr>
      </w:pPr>
      <w:r>
        <w:rPr>
          <w:rFonts w:ascii="Times New Roman" w:hAnsi="Times New Roman"/>
        </w:rPr>
        <w:t>附图3 宣探1井站大气、环境风险（大气）评价范围及环境保护目标分布图</w:t>
      </w:r>
    </w:p>
    <w:p>
      <w:pPr>
        <w:ind w:firstLine="480"/>
        <w:rPr>
          <w:rFonts w:ascii="Times New Roman" w:hAnsi="Times New Roman"/>
        </w:rPr>
      </w:pPr>
      <w:r>
        <w:rPr>
          <w:rFonts w:ascii="Times New Roman" w:hAnsi="Times New Roman"/>
        </w:rPr>
        <w:t>附图4 宣兴1井站大气、环境风险（大气）评价范围及环境保护目标分布图</w:t>
      </w:r>
    </w:p>
    <w:p>
      <w:pPr>
        <w:ind w:firstLine="480"/>
        <w:rPr>
          <w:rFonts w:ascii="Times New Roman" w:hAnsi="Times New Roman"/>
        </w:rPr>
      </w:pPr>
      <w:r>
        <w:rPr>
          <w:rFonts w:ascii="Times New Roman" w:hAnsi="Times New Roman"/>
        </w:rPr>
        <w:t>附图5 集气干线（宣兴1井站-宣探阀室）环境风险（大气）评价范围及环境保护目标分布图</w:t>
      </w:r>
    </w:p>
    <w:p>
      <w:pPr>
        <w:ind w:firstLine="480"/>
        <w:rPr>
          <w:rFonts w:ascii="Times New Roman" w:hAnsi="Times New Roman"/>
        </w:rPr>
      </w:pPr>
      <w:r>
        <w:rPr>
          <w:rFonts w:ascii="Times New Roman" w:hAnsi="Times New Roman"/>
        </w:rPr>
        <w:t>附图6 集气干线（宣探阀室-宣探清管站）环境风险（大气）评价范围及环境保护目标分布图</w:t>
      </w:r>
    </w:p>
    <w:p>
      <w:pPr>
        <w:ind w:firstLine="480"/>
        <w:rPr>
          <w:rFonts w:ascii="Times New Roman" w:hAnsi="Times New Roman"/>
        </w:rPr>
      </w:pPr>
      <w:r>
        <w:rPr>
          <w:rFonts w:ascii="Times New Roman" w:hAnsi="Times New Roman"/>
        </w:rPr>
        <w:t>附图7 联络线（宣探清管站-304集气站）环境风险（大气）评价范围及环境保护目标分布图</w:t>
      </w:r>
    </w:p>
    <w:p>
      <w:pPr>
        <w:ind w:firstLine="480"/>
        <w:rPr>
          <w:rFonts w:ascii="Times New Roman" w:hAnsi="Times New Roman"/>
        </w:rPr>
      </w:pPr>
      <w:r>
        <w:rPr>
          <w:rFonts w:ascii="Times New Roman" w:hAnsi="Times New Roman"/>
        </w:rPr>
        <w:t>附图8 集气支线（宣探1井站-宣兴1井站）环境风险（大气）评价范围及环境保护目标分布图</w:t>
      </w:r>
    </w:p>
    <w:p>
      <w:pPr>
        <w:ind w:firstLine="480"/>
        <w:rPr>
          <w:rFonts w:ascii="Times New Roman" w:hAnsi="Times New Roman"/>
        </w:rPr>
      </w:pPr>
      <w:r>
        <w:rPr>
          <w:rFonts w:ascii="Times New Roman" w:hAnsi="Times New Roman"/>
        </w:rPr>
        <w:t>附图9 噪声、土壤、生态评价范围示意图</w:t>
      </w:r>
    </w:p>
    <w:p>
      <w:pPr>
        <w:ind w:firstLine="480"/>
        <w:rPr>
          <w:rFonts w:ascii="Times New Roman" w:hAnsi="Times New Roman"/>
        </w:rPr>
      </w:pPr>
      <w:r>
        <w:rPr>
          <w:rFonts w:ascii="Times New Roman" w:hAnsi="Times New Roman"/>
        </w:rPr>
        <w:t>附件10 生态环保目标分布图</w:t>
      </w:r>
    </w:p>
    <w:p>
      <w:pPr>
        <w:ind w:firstLine="480"/>
        <w:rPr>
          <w:rFonts w:ascii="Times New Roman" w:hAnsi="Times New Roman"/>
        </w:rPr>
      </w:pPr>
      <w:r>
        <w:rPr>
          <w:rFonts w:ascii="Times New Roman" w:hAnsi="Times New Roman"/>
        </w:rPr>
        <w:t>附图11 两井站地下水评价范围示意图</w:t>
      </w:r>
    </w:p>
    <w:p>
      <w:pPr>
        <w:ind w:firstLine="480"/>
        <w:rPr>
          <w:rFonts w:ascii="Times New Roman" w:hAnsi="Times New Roman"/>
        </w:rPr>
      </w:pPr>
      <w:r>
        <w:rPr>
          <w:rFonts w:ascii="Times New Roman" w:hAnsi="Times New Roman"/>
        </w:rPr>
        <w:t>附图12 集输管道地下水评价范围示意图</w:t>
      </w:r>
    </w:p>
    <w:p>
      <w:pPr>
        <w:ind w:firstLine="480"/>
        <w:rPr>
          <w:rFonts w:ascii="Times New Roman" w:hAnsi="Times New Roman"/>
        </w:rPr>
      </w:pPr>
      <w:r>
        <w:rPr>
          <w:rFonts w:ascii="Times New Roman" w:hAnsi="Times New Roman"/>
        </w:rPr>
        <w:t>附图13 地下水环境保护目标分布图</w:t>
      </w:r>
    </w:p>
    <w:p>
      <w:pPr>
        <w:ind w:firstLine="480"/>
        <w:rPr>
          <w:rFonts w:ascii="Times New Roman" w:hAnsi="Times New Roman"/>
        </w:rPr>
      </w:pPr>
      <w:r>
        <w:rPr>
          <w:rFonts w:ascii="Times New Roman" w:hAnsi="Times New Roman"/>
        </w:rPr>
        <w:t>附图14 项目与清溪镇乱石滩河吴家湾集中式饮用水水源保护区的位置关系图</w:t>
      </w:r>
    </w:p>
    <w:p>
      <w:pPr>
        <w:ind w:firstLine="480"/>
        <w:rPr>
          <w:rFonts w:ascii="Times New Roman" w:hAnsi="Times New Roman"/>
        </w:rPr>
      </w:pPr>
      <w:r>
        <w:rPr>
          <w:rFonts w:ascii="Times New Roman" w:hAnsi="Times New Roman"/>
        </w:rPr>
        <w:t>附图15 线路走向示意图</w:t>
      </w:r>
    </w:p>
    <w:p>
      <w:pPr>
        <w:ind w:firstLine="480"/>
        <w:rPr>
          <w:rFonts w:ascii="Times New Roman" w:hAnsi="Times New Roman"/>
        </w:rPr>
      </w:pPr>
      <w:r>
        <w:rPr>
          <w:rFonts w:ascii="Times New Roman" w:hAnsi="Times New Roman"/>
        </w:rPr>
        <w:t>附图16 宣探1井站平面布置图</w:t>
      </w:r>
    </w:p>
    <w:p>
      <w:pPr>
        <w:ind w:firstLine="480"/>
        <w:rPr>
          <w:rFonts w:ascii="Times New Roman" w:hAnsi="Times New Roman"/>
        </w:rPr>
      </w:pPr>
      <w:r>
        <w:rPr>
          <w:rFonts w:ascii="Times New Roman" w:hAnsi="Times New Roman"/>
        </w:rPr>
        <w:t>附图17 宣兴1井站平面布置图</w:t>
      </w:r>
    </w:p>
    <w:p>
      <w:pPr>
        <w:ind w:firstLine="480"/>
        <w:rPr>
          <w:rFonts w:ascii="Times New Roman" w:hAnsi="Times New Roman"/>
        </w:rPr>
      </w:pPr>
      <w:r>
        <w:rPr>
          <w:rFonts w:ascii="Times New Roman" w:hAnsi="Times New Roman"/>
        </w:rPr>
        <w:t>附图18 宣探清管站平面布置图</w:t>
      </w:r>
    </w:p>
    <w:p>
      <w:pPr>
        <w:ind w:firstLine="480"/>
        <w:rPr>
          <w:rFonts w:ascii="Times New Roman" w:hAnsi="Times New Roman"/>
        </w:rPr>
      </w:pPr>
      <w:r>
        <w:rPr>
          <w:rFonts w:ascii="Times New Roman" w:hAnsi="Times New Roman"/>
        </w:rPr>
        <w:t>附图19 宣探阀室平面布置示意图</w:t>
      </w:r>
    </w:p>
    <w:p>
      <w:pPr>
        <w:ind w:firstLine="480"/>
        <w:rPr>
          <w:rFonts w:ascii="Times New Roman" w:hAnsi="Times New Roman"/>
        </w:rPr>
      </w:pPr>
      <w:r>
        <w:rPr>
          <w:rFonts w:ascii="Times New Roman" w:hAnsi="Times New Roman"/>
        </w:rPr>
        <w:t>附图20 总体工艺流程图</w:t>
      </w:r>
    </w:p>
    <w:p>
      <w:pPr>
        <w:ind w:firstLine="480"/>
        <w:rPr>
          <w:rFonts w:ascii="Times New Roman" w:hAnsi="Times New Roman"/>
        </w:rPr>
      </w:pPr>
      <w:r>
        <w:rPr>
          <w:rFonts w:ascii="Times New Roman" w:hAnsi="Times New Roman"/>
        </w:rPr>
        <w:t>附图21 大气、噪声、土壤监测点位示意图</w:t>
      </w:r>
    </w:p>
    <w:p>
      <w:pPr>
        <w:ind w:firstLine="480"/>
        <w:rPr>
          <w:rFonts w:ascii="Times New Roman" w:hAnsi="Times New Roman"/>
        </w:rPr>
      </w:pPr>
      <w:r>
        <w:rPr>
          <w:rFonts w:ascii="Times New Roman" w:hAnsi="Times New Roman"/>
        </w:rPr>
        <w:t>附图22 地表水监测断面示意图</w:t>
      </w:r>
    </w:p>
    <w:p>
      <w:pPr>
        <w:ind w:firstLine="480"/>
        <w:rPr>
          <w:rFonts w:ascii="Times New Roman" w:hAnsi="Times New Roman"/>
        </w:rPr>
      </w:pPr>
      <w:r>
        <w:rPr>
          <w:rFonts w:ascii="Times New Roman" w:hAnsi="Times New Roman"/>
        </w:rPr>
        <w:t>附图23 地下水监测点位示意图</w:t>
      </w:r>
    </w:p>
    <w:p>
      <w:pPr>
        <w:ind w:firstLine="480"/>
        <w:rPr>
          <w:rFonts w:ascii="Times New Roman" w:hAnsi="Times New Roman"/>
        </w:rPr>
      </w:pPr>
      <w:r>
        <w:rPr>
          <w:rFonts w:ascii="Times New Roman" w:hAnsi="Times New Roman"/>
        </w:rPr>
        <w:t>附图24 植物样方动物样线分布示意图</w:t>
      </w:r>
    </w:p>
    <w:p>
      <w:pPr>
        <w:ind w:firstLine="480"/>
        <w:rPr>
          <w:rFonts w:ascii="Times New Roman" w:hAnsi="Times New Roman"/>
        </w:rPr>
      </w:pPr>
      <w:r>
        <w:rPr>
          <w:rFonts w:ascii="Times New Roman" w:hAnsi="Times New Roman"/>
        </w:rPr>
        <w:t>附图25 重要物种适宜生境分布图</w:t>
      </w:r>
    </w:p>
    <w:p>
      <w:pPr>
        <w:ind w:firstLine="480"/>
        <w:rPr>
          <w:rFonts w:ascii="Times New Roman" w:hAnsi="Times New Roman"/>
        </w:rPr>
      </w:pPr>
      <w:r>
        <w:rPr>
          <w:rFonts w:ascii="Times New Roman" w:hAnsi="Times New Roman"/>
        </w:rPr>
        <w:t>附图26 项目与永久基本农田的位置关系示意图</w:t>
      </w:r>
    </w:p>
    <w:p>
      <w:pPr>
        <w:ind w:firstLine="480"/>
        <w:rPr>
          <w:rFonts w:ascii="Times New Roman" w:hAnsi="Times New Roman"/>
        </w:rPr>
      </w:pPr>
      <w:r>
        <w:rPr>
          <w:rFonts w:ascii="Times New Roman" w:hAnsi="Times New Roman"/>
        </w:rPr>
        <w:t>附图27 项目与百里峡风景名胜区江口湖片区的位置关系图</w:t>
      </w:r>
    </w:p>
    <w:p>
      <w:pPr>
        <w:ind w:firstLine="480"/>
        <w:rPr>
          <w:rFonts w:ascii="Times New Roman" w:hAnsi="Times New Roman"/>
        </w:rPr>
      </w:pPr>
      <w:r>
        <w:rPr>
          <w:rFonts w:ascii="Times New Roman" w:hAnsi="Times New Roman"/>
        </w:rPr>
        <w:t>附图28 生态评价范围内生态系统类型分布图</w:t>
      </w:r>
    </w:p>
    <w:p>
      <w:pPr>
        <w:ind w:firstLine="480"/>
        <w:rPr>
          <w:rFonts w:ascii="Times New Roman" w:hAnsi="Times New Roman"/>
        </w:rPr>
      </w:pPr>
      <w:r>
        <w:rPr>
          <w:rFonts w:ascii="Times New Roman" w:hAnsi="Times New Roman"/>
        </w:rPr>
        <w:t>附图29 生态评价范围内土地利用类型分布图</w:t>
      </w:r>
    </w:p>
    <w:p>
      <w:pPr>
        <w:ind w:firstLine="480"/>
        <w:rPr>
          <w:rFonts w:ascii="Times New Roman" w:hAnsi="Times New Roman"/>
        </w:rPr>
      </w:pPr>
      <w:r>
        <w:rPr>
          <w:rFonts w:ascii="Times New Roman" w:hAnsi="Times New Roman"/>
        </w:rPr>
        <w:t>附图30 生态评价范围内植被类型分布图</w:t>
      </w:r>
    </w:p>
    <w:p>
      <w:pPr>
        <w:ind w:firstLine="480"/>
        <w:rPr>
          <w:rFonts w:ascii="Times New Roman" w:hAnsi="Times New Roman"/>
        </w:rPr>
      </w:pPr>
      <w:r>
        <w:rPr>
          <w:rFonts w:ascii="Times New Roman" w:hAnsi="Times New Roman"/>
        </w:rPr>
        <w:t>附图31 生态评价范围内植被覆盖度(F)空间分布图</w:t>
      </w:r>
    </w:p>
    <w:p>
      <w:pPr>
        <w:ind w:firstLine="480"/>
        <w:rPr>
          <w:rFonts w:ascii="Times New Roman" w:hAnsi="Times New Roman"/>
        </w:rPr>
      </w:pPr>
      <w:r>
        <w:rPr>
          <w:rFonts w:ascii="Times New Roman" w:hAnsi="Times New Roman"/>
        </w:rPr>
        <w:t>附图32 生态评价范围内土壤侵蚀类型分布图</w:t>
      </w:r>
    </w:p>
    <w:p>
      <w:pPr>
        <w:ind w:firstLine="480"/>
        <w:rPr>
          <w:rFonts w:ascii="Times New Roman" w:hAnsi="Times New Roman"/>
        </w:rPr>
      </w:pPr>
      <w:r>
        <w:rPr>
          <w:rFonts w:ascii="Times New Roman" w:hAnsi="Times New Roman"/>
        </w:rPr>
        <w:t>附图33 土壤评价范围内土地利用类型分布图</w:t>
      </w:r>
    </w:p>
    <w:p>
      <w:pPr>
        <w:ind w:firstLine="480"/>
        <w:rPr>
          <w:rFonts w:ascii="Times New Roman" w:hAnsi="Times New Roman"/>
        </w:rPr>
      </w:pPr>
      <w:r>
        <w:rPr>
          <w:rFonts w:ascii="Times New Roman" w:hAnsi="Times New Roman"/>
        </w:rPr>
        <w:t>附图34 地表水系图</w:t>
      </w:r>
    </w:p>
    <w:p>
      <w:pPr>
        <w:ind w:firstLine="480"/>
        <w:rPr>
          <w:rFonts w:ascii="Times New Roman" w:hAnsi="Times New Roman"/>
        </w:rPr>
      </w:pPr>
      <w:r>
        <w:rPr>
          <w:rFonts w:ascii="Times New Roman" w:hAnsi="Times New Roman"/>
        </w:rPr>
        <w:t>附图35 项目与宣汉县县域城镇开发边界图的叠图</w:t>
      </w:r>
    </w:p>
    <w:p>
      <w:pPr>
        <w:ind w:firstLine="480"/>
        <w:rPr>
          <w:rFonts w:ascii="Times New Roman" w:hAnsi="Times New Roman"/>
        </w:rPr>
      </w:pPr>
      <w:r>
        <w:rPr>
          <w:rFonts w:ascii="Times New Roman" w:hAnsi="Times New Roman"/>
        </w:rPr>
        <w:t>附图36 项目与宣汉县县域耕地和永久基本农田保护红线图的叠图</w:t>
      </w:r>
    </w:p>
    <w:p>
      <w:pPr>
        <w:ind w:firstLine="480"/>
        <w:rPr>
          <w:rFonts w:ascii="Times New Roman" w:hAnsi="Times New Roman"/>
        </w:rPr>
      </w:pPr>
      <w:r>
        <w:rPr>
          <w:rFonts w:ascii="Times New Roman" w:hAnsi="Times New Roman"/>
        </w:rPr>
        <w:t>附图37 项目与宣汉县县域生态保护红线图的叠图</w:t>
      </w:r>
    </w:p>
    <w:p>
      <w:pPr>
        <w:ind w:firstLine="480"/>
        <w:rPr>
          <w:rFonts w:ascii="Times New Roman" w:hAnsi="Times New Roman"/>
        </w:rPr>
      </w:pPr>
      <w:r>
        <w:rPr>
          <w:rFonts w:ascii="Times New Roman" w:hAnsi="Times New Roman"/>
        </w:rPr>
        <w:t>附图38 项目与环境综合管控单元的叠图</w:t>
      </w:r>
    </w:p>
    <w:p>
      <w:pPr>
        <w:ind w:firstLine="480"/>
        <w:rPr>
          <w:rFonts w:ascii="Times New Roman" w:hAnsi="Times New Roman"/>
        </w:rPr>
      </w:pPr>
      <w:r>
        <w:rPr>
          <w:rFonts w:ascii="Times New Roman" w:hAnsi="Times New Roman"/>
        </w:rPr>
        <w:t>附图39 宣探1井站场地水文地质图</w:t>
      </w:r>
    </w:p>
    <w:p>
      <w:pPr>
        <w:ind w:firstLine="480"/>
        <w:rPr>
          <w:rFonts w:ascii="Times New Roman" w:hAnsi="Times New Roman"/>
        </w:rPr>
      </w:pPr>
      <w:r>
        <w:rPr>
          <w:rFonts w:ascii="Times New Roman" w:hAnsi="Times New Roman"/>
        </w:rPr>
        <w:t>附图40 宣兴1井站场地水文地质图</w:t>
      </w:r>
    </w:p>
    <w:p>
      <w:pPr>
        <w:ind w:firstLine="480"/>
        <w:rPr>
          <w:rFonts w:ascii="Times New Roman" w:hAnsi="Times New Roman"/>
        </w:rPr>
      </w:pPr>
      <w:r>
        <w:rPr>
          <w:rFonts w:ascii="Times New Roman" w:hAnsi="Times New Roman"/>
        </w:rPr>
        <w:t>附图41 集气管道评价区水文地质图</w:t>
      </w:r>
    </w:p>
    <w:p>
      <w:pPr>
        <w:ind w:firstLine="480"/>
        <w:rPr>
          <w:rFonts w:ascii="Times New Roman" w:hAnsi="Times New Roman"/>
        </w:rPr>
      </w:pPr>
      <w:r>
        <w:rPr>
          <w:rFonts w:ascii="Times New Roman" w:hAnsi="Times New Roman"/>
        </w:rPr>
        <w:t>附图42 集气干线(宣兴1井站-宣探阀室)应急撤离路线示意图</w:t>
      </w:r>
    </w:p>
    <w:p>
      <w:pPr>
        <w:ind w:firstLine="480"/>
        <w:rPr>
          <w:rFonts w:ascii="Times New Roman" w:hAnsi="Times New Roman"/>
        </w:rPr>
      </w:pPr>
      <w:r>
        <w:rPr>
          <w:rFonts w:ascii="Times New Roman" w:hAnsi="Times New Roman"/>
        </w:rPr>
        <w:t>附图43 集气干线(宣探阀室-宣探清管站)应急撤离路线示意图</w:t>
      </w:r>
    </w:p>
    <w:p>
      <w:pPr>
        <w:ind w:firstLine="480"/>
        <w:rPr>
          <w:rFonts w:ascii="Times New Roman" w:hAnsi="Times New Roman"/>
        </w:rPr>
      </w:pPr>
      <w:r>
        <w:rPr>
          <w:rFonts w:ascii="Times New Roman" w:hAnsi="Times New Roman"/>
        </w:rPr>
        <w:t>附图44 联络线(宣探清管站-304集气站)应急撤离路线示意图</w:t>
      </w:r>
    </w:p>
    <w:p>
      <w:pPr>
        <w:ind w:firstLine="480"/>
        <w:rPr>
          <w:rFonts w:ascii="Times New Roman" w:hAnsi="Times New Roman"/>
        </w:rPr>
      </w:pPr>
      <w:r>
        <w:rPr>
          <w:rFonts w:ascii="Times New Roman" w:hAnsi="Times New Roman"/>
        </w:rPr>
        <w:t>附图45 集气支线(宣探1井站-宣兴1井站)应急撤离路线示意图</w:t>
      </w:r>
    </w:p>
    <w:p>
      <w:pPr>
        <w:ind w:firstLine="480"/>
        <w:rPr>
          <w:rFonts w:ascii="Times New Roman" w:hAnsi="Times New Roman"/>
        </w:rPr>
      </w:pPr>
      <w:r>
        <w:rPr>
          <w:rFonts w:ascii="Times New Roman" w:hAnsi="Times New Roman"/>
        </w:rPr>
        <w:t>附图46生态保护措施分布图</w:t>
      </w:r>
    </w:p>
    <w:p>
      <w:pPr>
        <w:ind w:firstLine="480"/>
        <w:rPr>
          <w:rFonts w:ascii="Times New Roman" w:hAnsi="Times New Roman"/>
        </w:rPr>
      </w:pPr>
      <w:r>
        <w:rPr>
          <w:rFonts w:ascii="Times New Roman" w:hAnsi="Times New Roman"/>
        </w:rPr>
        <w:t>附图47 地下水例行监测点位示意图</w:t>
      </w:r>
    </w:p>
    <w:p>
      <w:pPr>
        <w:ind w:firstLine="480"/>
        <w:rPr>
          <w:rFonts w:ascii="Times New Roman" w:hAnsi="Times New Roman"/>
        </w:rPr>
      </w:pPr>
    </w:p>
    <w:p>
      <w:pPr>
        <w:spacing w:line="240" w:lineRule="auto"/>
        <w:ind w:firstLine="0" w:firstLineChars="0"/>
        <w:rPr>
          <w:rFonts w:ascii="Times New Roman" w:hAnsi="Times New Roman" w:eastAsia="楷体"/>
          <w:b/>
          <w:bCs/>
          <w:sz w:val="28"/>
          <w:szCs w:val="28"/>
        </w:rPr>
      </w:pPr>
      <w:r>
        <w:rPr>
          <w:rFonts w:ascii="Times New Roman" w:hAnsi="Times New Roman" w:eastAsia="楷体"/>
          <w:b/>
          <w:bCs/>
          <w:sz w:val="28"/>
          <w:szCs w:val="28"/>
        </w:rPr>
        <w:t>附件：</w:t>
      </w:r>
    </w:p>
    <w:p>
      <w:pPr>
        <w:ind w:firstLine="480"/>
        <w:rPr>
          <w:rFonts w:ascii="Times New Roman" w:hAnsi="Times New Roman"/>
        </w:rPr>
      </w:pPr>
      <w:r>
        <w:rPr>
          <w:rFonts w:ascii="Times New Roman" w:hAnsi="Times New Roman"/>
        </w:rPr>
        <w:t>附件1 环评委托书</w:t>
      </w:r>
    </w:p>
    <w:p>
      <w:pPr>
        <w:ind w:firstLine="480"/>
        <w:rPr>
          <w:rFonts w:ascii="Times New Roman" w:hAnsi="Times New Roman"/>
        </w:rPr>
      </w:pPr>
      <w:r>
        <w:rPr>
          <w:rFonts w:ascii="Times New Roman" w:hAnsi="Times New Roman"/>
        </w:rPr>
        <w:t>附件2 项目备案表</w:t>
      </w:r>
    </w:p>
    <w:p>
      <w:pPr>
        <w:ind w:firstLine="480"/>
        <w:rPr>
          <w:rFonts w:ascii="Times New Roman" w:hAnsi="Times New Roman"/>
        </w:rPr>
      </w:pPr>
      <w:r>
        <w:rPr>
          <w:rFonts w:ascii="Times New Roman" w:hAnsi="Times New Roman"/>
        </w:rPr>
        <w:t>附件3 宣探1井钻井工程环境影响报告表批复</w:t>
      </w:r>
    </w:p>
    <w:p>
      <w:pPr>
        <w:ind w:firstLine="480"/>
        <w:rPr>
          <w:rFonts w:ascii="Times New Roman" w:hAnsi="Times New Roman"/>
        </w:rPr>
      </w:pPr>
      <w:r>
        <w:rPr>
          <w:rFonts w:ascii="Times New Roman" w:hAnsi="Times New Roman"/>
        </w:rPr>
        <w:t>附件4 宣兴1井钻井工程环境影响报告表批复</w:t>
      </w:r>
    </w:p>
    <w:p>
      <w:pPr>
        <w:ind w:firstLine="480"/>
        <w:rPr>
          <w:rFonts w:ascii="Times New Roman" w:hAnsi="Times New Roman"/>
        </w:rPr>
      </w:pPr>
      <w:r>
        <w:rPr>
          <w:rFonts w:ascii="Times New Roman" w:hAnsi="Times New Roman"/>
        </w:rPr>
        <w:t>附件5 宣探1井站选址意见</w:t>
      </w:r>
    </w:p>
    <w:p>
      <w:pPr>
        <w:ind w:firstLine="480"/>
        <w:rPr>
          <w:rFonts w:ascii="Times New Roman" w:hAnsi="Times New Roman"/>
        </w:rPr>
      </w:pPr>
      <w:r>
        <w:rPr>
          <w:rFonts w:ascii="Times New Roman" w:hAnsi="Times New Roman"/>
        </w:rPr>
        <w:t>附件6 宣兴1井站选址意见</w:t>
      </w:r>
    </w:p>
    <w:p>
      <w:pPr>
        <w:ind w:firstLine="480"/>
        <w:rPr>
          <w:rFonts w:ascii="Times New Roman" w:hAnsi="Times New Roman"/>
        </w:rPr>
      </w:pPr>
      <w:r>
        <w:rPr>
          <w:rFonts w:ascii="Times New Roman" w:hAnsi="Times New Roman"/>
        </w:rPr>
        <w:t>附件7 阀室、清管站选址意见</w:t>
      </w:r>
    </w:p>
    <w:p>
      <w:pPr>
        <w:ind w:firstLine="480"/>
        <w:rPr>
          <w:rFonts w:ascii="Times New Roman" w:hAnsi="Times New Roman"/>
        </w:rPr>
      </w:pPr>
      <w:r>
        <w:rPr>
          <w:rFonts w:ascii="Times New Roman" w:hAnsi="Times New Roman"/>
        </w:rPr>
        <w:t>附件8 管道路由选址意见</w:t>
      </w:r>
    </w:p>
    <w:p>
      <w:pPr>
        <w:ind w:firstLine="480"/>
        <w:rPr>
          <w:rFonts w:ascii="Times New Roman" w:hAnsi="Times New Roman"/>
        </w:rPr>
      </w:pPr>
      <w:r>
        <w:rPr>
          <w:rFonts w:ascii="Times New Roman" w:hAnsi="Times New Roman"/>
        </w:rPr>
        <w:t>附件9 宣探1井钻井工程使用临时用地的批复</w:t>
      </w:r>
    </w:p>
    <w:p>
      <w:pPr>
        <w:ind w:firstLine="480"/>
        <w:rPr>
          <w:rFonts w:ascii="Times New Roman" w:hAnsi="Times New Roman"/>
        </w:rPr>
      </w:pPr>
      <w:r>
        <w:rPr>
          <w:rFonts w:ascii="Times New Roman" w:hAnsi="Times New Roman"/>
        </w:rPr>
        <w:t>附件10 宣探1井钻井工程使用临时用地的批复</w:t>
      </w:r>
    </w:p>
    <w:p>
      <w:pPr>
        <w:ind w:left="480" w:leftChars="200" w:firstLine="0" w:firstLineChars="0"/>
        <w:rPr>
          <w:rFonts w:ascii="Times New Roman" w:hAnsi="Times New Roman"/>
        </w:rPr>
      </w:pPr>
      <w:r>
        <w:rPr>
          <w:rFonts w:ascii="Times New Roman" w:hAnsi="Times New Roman"/>
        </w:rPr>
        <w:t>附件11关于西南油气田桃花气田宣探1井组飞仙关组气藏试采方案的批复附件12 宣探1井组地面工程设计对接备忘录</w:t>
      </w:r>
    </w:p>
    <w:p>
      <w:pPr>
        <w:ind w:firstLine="480"/>
        <w:rPr>
          <w:rFonts w:ascii="Times New Roman" w:hAnsi="Times New Roman"/>
        </w:rPr>
      </w:pPr>
      <w:r>
        <w:rPr>
          <w:rFonts w:ascii="Times New Roman" w:hAnsi="Times New Roman"/>
        </w:rPr>
        <w:t>附件13 渡口河净化厂环评文件批复</w:t>
      </w:r>
    </w:p>
    <w:p>
      <w:pPr>
        <w:ind w:firstLine="480"/>
        <w:rPr>
          <w:rFonts w:ascii="Times New Roman" w:hAnsi="Times New Roman"/>
        </w:rPr>
      </w:pPr>
      <w:r>
        <w:rPr>
          <w:rFonts w:ascii="Times New Roman" w:hAnsi="Times New Roman"/>
        </w:rPr>
        <w:t>附件14 黄龙2井环评文件批复</w:t>
      </w:r>
    </w:p>
    <w:p>
      <w:pPr>
        <w:ind w:firstLine="480"/>
        <w:rPr>
          <w:rFonts w:ascii="Times New Roman" w:hAnsi="Times New Roman"/>
        </w:rPr>
      </w:pPr>
      <w:r>
        <w:rPr>
          <w:rFonts w:ascii="Times New Roman" w:hAnsi="Times New Roman"/>
        </w:rPr>
        <w:t>附件15 黄龙2井、黄龙004-X4井竣工环保验收批复</w:t>
      </w:r>
    </w:p>
    <w:p>
      <w:pPr>
        <w:ind w:firstLine="480"/>
        <w:rPr>
          <w:rFonts w:ascii="Times New Roman" w:hAnsi="Times New Roman"/>
        </w:rPr>
      </w:pPr>
      <w:r>
        <w:rPr>
          <w:rFonts w:ascii="Times New Roman" w:hAnsi="Times New Roman"/>
        </w:rPr>
        <w:t>附件16 黄龙5井环评文件批复</w:t>
      </w:r>
    </w:p>
    <w:p>
      <w:pPr>
        <w:ind w:firstLine="480"/>
        <w:rPr>
          <w:rFonts w:ascii="Times New Roman" w:hAnsi="Times New Roman"/>
        </w:rPr>
      </w:pPr>
      <w:r>
        <w:rPr>
          <w:rFonts w:ascii="Times New Roman" w:hAnsi="Times New Roman"/>
        </w:rPr>
        <w:t>附件17 黄龙5井竣工环保验收批复</w:t>
      </w:r>
    </w:p>
    <w:p>
      <w:pPr>
        <w:ind w:firstLine="480"/>
        <w:rPr>
          <w:rFonts w:ascii="Times New Roman" w:hAnsi="Times New Roman"/>
        </w:rPr>
      </w:pPr>
      <w:r>
        <w:rPr>
          <w:rFonts w:ascii="Times New Roman" w:hAnsi="Times New Roman"/>
        </w:rPr>
        <w:t>附件18 蒲西4井环评文件批复</w:t>
      </w:r>
    </w:p>
    <w:p>
      <w:pPr>
        <w:ind w:firstLine="480"/>
        <w:rPr>
          <w:rFonts w:ascii="Times New Roman" w:hAnsi="Times New Roman"/>
        </w:rPr>
      </w:pPr>
      <w:r>
        <w:rPr>
          <w:rFonts w:ascii="Times New Roman" w:hAnsi="Times New Roman"/>
        </w:rPr>
        <w:t>附件19 蒲西4井竣工环保验收批复</w:t>
      </w:r>
    </w:p>
    <w:p>
      <w:pPr>
        <w:ind w:firstLine="480"/>
        <w:rPr>
          <w:rFonts w:ascii="Times New Roman" w:hAnsi="Times New Roman"/>
        </w:rPr>
      </w:pPr>
      <w:r>
        <w:rPr>
          <w:rFonts w:ascii="Times New Roman" w:hAnsi="Times New Roman"/>
        </w:rPr>
        <w:t>附件20 黄龙004-X4井环评文件批复</w:t>
      </w:r>
    </w:p>
    <w:p>
      <w:pPr>
        <w:ind w:firstLine="480"/>
        <w:rPr>
          <w:rFonts w:ascii="Times New Roman" w:hAnsi="Times New Roman"/>
        </w:rPr>
      </w:pPr>
      <w:r>
        <w:rPr>
          <w:rFonts w:ascii="Times New Roman" w:hAnsi="Times New Roman"/>
        </w:rPr>
        <w:t>附件21 普光净化厂、P304集气站环评文件批复</w:t>
      </w:r>
    </w:p>
    <w:p>
      <w:pPr>
        <w:ind w:firstLine="480"/>
        <w:rPr>
          <w:rFonts w:ascii="Times New Roman" w:hAnsi="Times New Roman"/>
        </w:rPr>
      </w:pPr>
      <w:r>
        <w:rPr>
          <w:rFonts w:ascii="Times New Roman" w:hAnsi="Times New Roman"/>
        </w:rPr>
        <w:t>附件22 普光净化厂、P304集气站竣工环保验收批复</w:t>
      </w:r>
    </w:p>
    <w:p>
      <w:pPr>
        <w:ind w:firstLine="480"/>
        <w:rPr>
          <w:rFonts w:ascii="Times New Roman" w:hAnsi="Times New Roman"/>
        </w:rPr>
      </w:pPr>
      <w:r>
        <w:rPr>
          <w:rFonts w:ascii="Times New Roman" w:hAnsi="Times New Roman"/>
        </w:rPr>
        <w:t>附件23 老君701集气站环评文件批复</w:t>
      </w:r>
    </w:p>
    <w:p>
      <w:pPr>
        <w:ind w:firstLine="480"/>
        <w:rPr>
          <w:rFonts w:ascii="Times New Roman" w:hAnsi="Times New Roman"/>
        </w:rPr>
      </w:pPr>
      <w:r>
        <w:rPr>
          <w:rFonts w:ascii="Times New Roman" w:hAnsi="Times New Roman"/>
        </w:rPr>
        <w:t>附件24 老君701集气站竣工环保验收批复</w:t>
      </w:r>
    </w:p>
    <w:p>
      <w:pPr>
        <w:ind w:firstLine="480"/>
        <w:rPr>
          <w:rFonts w:ascii="Times New Roman" w:hAnsi="Times New Roman"/>
        </w:rPr>
      </w:pPr>
      <w:r>
        <w:rPr>
          <w:rFonts w:ascii="Times New Roman" w:hAnsi="Times New Roman"/>
        </w:rPr>
        <w:t>附件25 环境质量现状监测报告</w:t>
      </w: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sectPr>
          <w:pgSz w:w="11906" w:h="16838"/>
          <w:pgMar w:top="1440" w:right="1800" w:bottom="1440" w:left="1800" w:header="851" w:footer="992" w:gutter="0"/>
          <w:pgNumType w:fmt="upperRoman"/>
          <w:cols w:space="425" w:num="1"/>
          <w:docGrid w:type="lines" w:linePitch="312" w:charSpace="0"/>
        </w:sectPr>
      </w:pPr>
    </w:p>
    <w:p>
      <w:pPr>
        <w:pStyle w:val="2"/>
        <w:rPr>
          <w:rFonts w:ascii="Times New Roman" w:hAnsi="Times New Roman" w:cs="Times New Roman"/>
        </w:rPr>
      </w:pPr>
      <w:bookmarkStart w:id="1" w:name="_Toc162339380"/>
      <w:r>
        <w:rPr>
          <w:rFonts w:ascii="Times New Roman" w:hAnsi="Times New Roman" w:cs="Times New Roman"/>
        </w:rPr>
        <w:t>总则</w:t>
      </w:r>
      <w:bookmarkEnd w:id="1"/>
    </w:p>
    <w:p>
      <w:pPr>
        <w:pStyle w:val="3"/>
        <w:rPr>
          <w:rFonts w:ascii="Times New Roman" w:hAnsi="Times New Roman" w:cs="Times New Roman"/>
        </w:rPr>
      </w:pPr>
      <w:bookmarkStart w:id="2" w:name="_Toc162339381"/>
      <w:r>
        <w:rPr>
          <w:rFonts w:ascii="Times New Roman" w:hAnsi="Times New Roman" w:cs="Times New Roman"/>
        </w:rPr>
        <w:t>项目由来</w:t>
      </w:r>
      <w:bookmarkEnd w:id="2"/>
    </w:p>
    <w:p>
      <w:pPr>
        <w:pStyle w:val="3"/>
        <w:rPr>
          <w:rFonts w:ascii="Times New Roman" w:hAnsi="Times New Roman" w:cs="Times New Roman"/>
        </w:rPr>
      </w:pPr>
      <w:bookmarkStart w:id="3" w:name="_Toc162339382"/>
      <w:r>
        <w:rPr>
          <w:rFonts w:ascii="Times New Roman" w:hAnsi="Times New Roman" w:cs="Times New Roman"/>
        </w:rPr>
        <w:t>评价目的和原则</w:t>
      </w:r>
      <w:bookmarkEnd w:id="3"/>
    </w:p>
    <w:p>
      <w:pPr>
        <w:pStyle w:val="35"/>
        <w:spacing w:before="156" w:after="156"/>
        <w:rPr>
          <w:rFonts w:ascii="Times New Roman" w:hAnsi="Times New Roman"/>
        </w:rPr>
      </w:pPr>
      <w:r>
        <w:rPr>
          <w:rFonts w:ascii="Times New Roman" w:hAnsi="Times New Roman"/>
        </w:rPr>
        <w:t>（1）评价目的</w:t>
      </w:r>
    </w:p>
    <w:p>
      <w:pPr>
        <w:ind w:firstLine="480"/>
        <w:rPr>
          <w:rFonts w:ascii="Times New Roman" w:hAnsi="Times New Roman"/>
        </w:rPr>
      </w:pPr>
      <w:r>
        <w:rPr>
          <w:rFonts w:ascii="Times New Roman" w:hAnsi="Times New Roman"/>
        </w:rPr>
        <w:t>根据建设项目所在地的总体规划和环境功能要求，结合拟建工程特点和污染特征，分析论述生产工艺和污染防治措施的可行性，必要时提出替代方案。通过对项目选址选线、建设规模和工艺流程分析，确定项目建设和运营时的环境影响因子及污染物排放量；根据项目所在地的环境质量现状调查和工程产污特征，对环境影响进行预测分析与评价；为主管部门的决策、为项目的可靠实施和工程设计提供依据。</w:t>
      </w:r>
    </w:p>
    <w:p>
      <w:pPr>
        <w:pStyle w:val="35"/>
        <w:spacing w:before="156" w:after="156"/>
        <w:rPr>
          <w:rFonts w:ascii="Times New Roman" w:hAnsi="Times New Roman"/>
        </w:rPr>
      </w:pPr>
      <w:r>
        <w:rPr>
          <w:rFonts w:ascii="Times New Roman" w:hAnsi="Times New Roman"/>
        </w:rPr>
        <w:t>（2）评价原则</w:t>
      </w:r>
    </w:p>
    <w:p>
      <w:pPr>
        <w:ind w:firstLine="480"/>
        <w:rPr>
          <w:rFonts w:ascii="Times New Roman" w:hAnsi="Times New Roman"/>
        </w:rPr>
      </w:pPr>
      <w:r>
        <w:rPr>
          <w:rFonts w:ascii="Times New Roman" w:hAnsi="Times New Roman"/>
        </w:rPr>
        <w:t>体现国家和地方各项环保政策、法规，为工程建设及环境管理服务，注重环评的实用性；全面、客观、公正的反映建设项目对环境的正、负面影响；贯彻污染物达标排放和总量控制原则，最大限度削减污染物排放量；贯彻可持续发展原则，实现清洁生产目标；体现公众对建设项目的意见和建议。</w:t>
      </w:r>
    </w:p>
    <w:p>
      <w:pPr>
        <w:pStyle w:val="3"/>
        <w:rPr>
          <w:rFonts w:ascii="Times New Roman" w:hAnsi="Times New Roman" w:cs="Times New Roman"/>
        </w:rPr>
      </w:pPr>
      <w:bookmarkStart w:id="4" w:name="_Toc162339383"/>
      <w:r>
        <w:rPr>
          <w:rFonts w:ascii="Times New Roman" w:hAnsi="Times New Roman" w:cs="Times New Roman"/>
        </w:rPr>
        <w:t>编制依据</w:t>
      </w:r>
      <w:bookmarkEnd w:id="4"/>
    </w:p>
    <w:p>
      <w:pPr>
        <w:pStyle w:val="4"/>
        <w:rPr>
          <w:rFonts w:ascii="Times New Roman" w:hAnsi="Times New Roman" w:cs="Times New Roman"/>
        </w:rPr>
      </w:pPr>
      <w:r>
        <w:rPr>
          <w:rFonts w:ascii="Times New Roman" w:hAnsi="Times New Roman" w:cs="Times New Roman"/>
        </w:rPr>
        <w:t>环境保护法律法规</w:t>
      </w:r>
    </w:p>
    <w:p>
      <w:pPr>
        <w:pStyle w:val="43"/>
        <w:numPr>
          <w:ilvl w:val="2"/>
          <w:numId w:val="2"/>
        </w:numPr>
        <w:ind w:left="0" w:firstLine="360" w:firstLineChars="150"/>
        <w:jc w:val="both"/>
        <w:rPr>
          <w:rFonts w:ascii="Times New Roman" w:hAnsi="Times New Roman"/>
          <w:spacing w:val="-4"/>
        </w:rPr>
      </w:pPr>
      <w:r>
        <w:rPr>
          <w:rFonts w:ascii="Times New Roman" w:hAnsi="Times New Roman"/>
        </w:rPr>
        <w:t>《</w:t>
      </w:r>
      <w:r>
        <w:rPr>
          <w:rFonts w:ascii="Times New Roman" w:hAnsi="Times New Roman"/>
          <w:spacing w:val="-4"/>
        </w:rPr>
        <w:t>中华人民共和国环境保护法》（中华人民共和国主席令第9号， 2015）；</w:t>
      </w:r>
    </w:p>
    <w:p>
      <w:pPr>
        <w:pStyle w:val="43"/>
        <w:numPr>
          <w:ilvl w:val="2"/>
          <w:numId w:val="2"/>
        </w:numPr>
        <w:ind w:left="0" w:firstLine="360" w:firstLineChars="150"/>
        <w:jc w:val="both"/>
        <w:rPr>
          <w:rFonts w:ascii="Times New Roman" w:hAnsi="Times New Roman"/>
        </w:rPr>
      </w:pPr>
      <w:r>
        <w:rPr>
          <w:rFonts w:ascii="Times New Roman" w:hAnsi="Times New Roman"/>
        </w:rPr>
        <w:t>《中华人民共和国环境影响评价法》（中华人民共和国主席令第77号，2018）；</w:t>
      </w:r>
    </w:p>
    <w:p>
      <w:pPr>
        <w:pStyle w:val="43"/>
        <w:numPr>
          <w:ilvl w:val="2"/>
          <w:numId w:val="2"/>
        </w:numPr>
        <w:ind w:left="0" w:firstLine="360" w:firstLineChars="150"/>
        <w:jc w:val="both"/>
        <w:rPr>
          <w:rFonts w:ascii="Times New Roman" w:hAnsi="Times New Roman"/>
        </w:rPr>
      </w:pPr>
      <w:r>
        <w:rPr>
          <w:rFonts w:ascii="Times New Roman" w:hAnsi="Times New Roman"/>
        </w:rPr>
        <w:t>《中华人民共和国大气污染防治法》（中华人民共和国主席令第32号，2018）；</w:t>
      </w:r>
    </w:p>
    <w:p>
      <w:pPr>
        <w:pStyle w:val="43"/>
        <w:numPr>
          <w:ilvl w:val="2"/>
          <w:numId w:val="2"/>
        </w:numPr>
        <w:ind w:left="0" w:firstLine="360" w:firstLineChars="150"/>
        <w:jc w:val="both"/>
        <w:rPr>
          <w:rFonts w:ascii="Times New Roman" w:hAnsi="Times New Roman"/>
        </w:rPr>
      </w:pPr>
      <w:r>
        <w:rPr>
          <w:rFonts w:ascii="Times New Roman" w:hAnsi="Times New Roman"/>
        </w:rPr>
        <w:t>《中华人民共和国水污染防治法》（中华人民共和国主席令第87号，2018）；</w:t>
      </w:r>
    </w:p>
    <w:p>
      <w:pPr>
        <w:pStyle w:val="43"/>
        <w:numPr>
          <w:ilvl w:val="2"/>
          <w:numId w:val="2"/>
        </w:numPr>
        <w:ind w:left="0" w:firstLine="360" w:firstLineChars="150"/>
        <w:jc w:val="both"/>
        <w:rPr>
          <w:rFonts w:ascii="Times New Roman" w:hAnsi="Times New Roman"/>
        </w:rPr>
      </w:pPr>
      <w:r>
        <w:rPr>
          <w:rFonts w:ascii="Times New Roman" w:hAnsi="Times New Roman"/>
        </w:rPr>
        <w:t>《中华人民共和国固体废物污染环境防治法》（中华人民共和国主席令第57号，2020）；</w:t>
      </w:r>
    </w:p>
    <w:p>
      <w:pPr>
        <w:pStyle w:val="43"/>
        <w:numPr>
          <w:ilvl w:val="2"/>
          <w:numId w:val="2"/>
        </w:numPr>
        <w:ind w:left="0" w:firstLine="360" w:firstLineChars="150"/>
        <w:jc w:val="both"/>
        <w:rPr>
          <w:rFonts w:ascii="Times New Roman" w:hAnsi="Times New Roman"/>
        </w:rPr>
      </w:pPr>
      <w:r>
        <w:rPr>
          <w:rFonts w:ascii="Times New Roman" w:hAnsi="Times New Roman"/>
        </w:rPr>
        <w:t>《中华人民共和国噪声污染防治法》（中华人民共和国主席令第104号，2021.12.24公布，2022.6.5施行）；</w:t>
      </w:r>
    </w:p>
    <w:p>
      <w:pPr>
        <w:pStyle w:val="43"/>
        <w:numPr>
          <w:ilvl w:val="2"/>
          <w:numId w:val="2"/>
        </w:numPr>
        <w:ind w:left="0" w:firstLine="360" w:firstLineChars="150"/>
        <w:jc w:val="both"/>
        <w:rPr>
          <w:rFonts w:ascii="Times New Roman" w:hAnsi="Times New Roman"/>
        </w:rPr>
      </w:pPr>
      <w:r>
        <w:rPr>
          <w:rFonts w:ascii="Times New Roman" w:hAnsi="Times New Roman"/>
        </w:rPr>
        <w:t>《中华人民共和国水土保持法》（中华人民共和国主席令第39号，2010.12.25公布，2011.3.1施行）；</w:t>
      </w:r>
    </w:p>
    <w:p>
      <w:pPr>
        <w:pStyle w:val="43"/>
        <w:numPr>
          <w:ilvl w:val="2"/>
          <w:numId w:val="2"/>
        </w:numPr>
        <w:ind w:left="0" w:firstLine="360" w:firstLineChars="150"/>
        <w:jc w:val="both"/>
        <w:rPr>
          <w:rFonts w:ascii="Times New Roman" w:hAnsi="Times New Roman"/>
        </w:rPr>
      </w:pPr>
      <w:r>
        <w:rPr>
          <w:rFonts w:ascii="Times New Roman" w:hAnsi="Times New Roman"/>
        </w:rPr>
        <w:t>《中华人民共和国土地管理法》（2020）；</w:t>
      </w:r>
    </w:p>
    <w:p>
      <w:pPr>
        <w:pStyle w:val="43"/>
        <w:numPr>
          <w:ilvl w:val="2"/>
          <w:numId w:val="2"/>
        </w:numPr>
        <w:ind w:left="0" w:firstLine="360" w:firstLineChars="150"/>
        <w:jc w:val="both"/>
        <w:rPr>
          <w:rFonts w:ascii="Times New Roman" w:hAnsi="Times New Roman"/>
        </w:rPr>
      </w:pPr>
      <w:r>
        <w:rPr>
          <w:rFonts w:ascii="Times New Roman" w:hAnsi="Times New Roman"/>
        </w:rPr>
        <w:t>《中华人民共和国水法》（中华人民共和国主席令第48号，2016）；</w:t>
      </w:r>
    </w:p>
    <w:p>
      <w:pPr>
        <w:pStyle w:val="43"/>
        <w:numPr>
          <w:ilvl w:val="2"/>
          <w:numId w:val="2"/>
        </w:numPr>
        <w:ind w:left="0" w:firstLine="360" w:firstLineChars="150"/>
        <w:jc w:val="both"/>
        <w:rPr>
          <w:rFonts w:ascii="Times New Roman" w:hAnsi="Times New Roman"/>
        </w:rPr>
      </w:pPr>
      <w:r>
        <w:rPr>
          <w:rFonts w:ascii="Times New Roman" w:hAnsi="Times New Roman"/>
        </w:rPr>
        <w:t>《中华人民共和国清洁生产促进法》（中华人民共和国主席令第54号，2018）；</w:t>
      </w:r>
    </w:p>
    <w:p>
      <w:pPr>
        <w:pStyle w:val="43"/>
        <w:numPr>
          <w:ilvl w:val="2"/>
          <w:numId w:val="2"/>
        </w:numPr>
        <w:ind w:left="0" w:firstLine="360" w:firstLineChars="150"/>
        <w:jc w:val="both"/>
        <w:rPr>
          <w:rFonts w:ascii="Times New Roman" w:hAnsi="Times New Roman"/>
        </w:rPr>
      </w:pPr>
      <w:r>
        <w:rPr>
          <w:rFonts w:ascii="Times New Roman" w:hAnsi="Times New Roman"/>
        </w:rPr>
        <w:t>《中华人民共和国野生动物保护法》（中华人民共和国主席令第18号，2018）；</w:t>
      </w:r>
    </w:p>
    <w:p>
      <w:pPr>
        <w:pStyle w:val="43"/>
        <w:numPr>
          <w:ilvl w:val="2"/>
          <w:numId w:val="2"/>
        </w:numPr>
        <w:ind w:left="0" w:firstLine="360" w:firstLineChars="150"/>
        <w:jc w:val="both"/>
        <w:rPr>
          <w:rFonts w:ascii="Times New Roman" w:hAnsi="Times New Roman"/>
        </w:rPr>
      </w:pPr>
      <w:r>
        <w:rPr>
          <w:rFonts w:ascii="Times New Roman" w:hAnsi="Times New Roman"/>
        </w:rPr>
        <w:t>《中华人民共和国节约能源法》（中华人民共和国主席令第77号，2018）；</w:t>
      </w:r>
    </w:p>
    <w:p>
      <w:pPr>
        <w:pStyle w:val="43"/>
        <w:numPr>
          <w:ilvl w:val="2"/>
          <w:numId w:val="2"/>
        </w:numPr>
        <w:ind w:left="0" w:firstLine="360" w:firstLineChars="150"/>
        <w:jc w:val="both"/>
        <w:rPr>
          <w:rFonts w:ascii="Times New Roman" w:hAnsi="Times New Roman"/>
        </w:rPr>
      </w:pPr>
      <w:r>
        <w:rPr>
          <w:rFonts w:ascii="Times New Roman" w:hAnsi="Times New Roman"/>
        </w:rPr>
        <w:t>《中华人民共和国循环经济促进法》（中华人民共和国主席令第4号，2018）；</w:t>
      </w:r>
    </w:p>
    <w:p>
      <w:pPr>
        <w:pStyle w:val="43"/>
        <w:numPr>
          <w:ilvl w:val="2"/>
          <w:numId w:val="2"/>
        </w:numPr>
        <w:ind w:left="0" w:firstLine="360" w:firstLineChars="150"/>
        <w:jc w:val="both"/>
        <w:rPr>
          <w:rFonts w:ascii="Times New Roman" w:hAnsi="Times New Roman"/>
        </w:rPr>
      </w:pPr>
      <w:r>
        <w:rPr>
          <w:rFonts w:ascii="Times New Roman" w:hAnsi="Times New Roman"/>
        </w:rPr>
        <w:t>《中华人民共和国长江保护法》（2021）；</w:t>
      </w:r>
    </w:p>
    <w:p>
      <w:pPr>
        <w:pStyle w:val="43"/>
        <w:numPr>
          <w:ilvl w:val="2"/>
          <w:numId w:val="2"/>
        </w:numPr>
        <w:ind w:left="0" w:firstLine="360" w:firstLineChars="150"/>
        <w:jc w:val="both"/>
        <w:rPr>
          <w:rFonts w:ascii="Times New Roman" w:hAnsi="Times New Roman"/>
        </w:rPr>
      </w:pPr>
      <w:r>
        <w:rPr>
          <w:rFonts w:ascii="Times New Roman" w:hAnsi="Times New Roman"/>
        </w:rPr>
        <w:t>《中华人民共和国森林法》（2020）；</w:t>
      </w:r>
    </w:p>
    <w:p>
      <w:pPr>
        <w:pStyle w:val="43"/>
        <w:numPr>
          <w:ilvl w:val="2"/>
          <w:numId w:val="2"/>
        </w:numPr>
        <w:ind w:left="0" w:firstLine="366" w:firstLineChars="150"/>
        <w:jc w:val="both"/>
        <w:rPr>
          <w:rFonts w:ascii="Times New Roman" w:hAnsi="Times New Roman"/>
        </w:rPr>
      </w:pPr>
      <w:r>
        <w:rPr>
          <w:rFonts w:ascii="Times New Roman" w:hAnsi="Times New Roman"/>
          <w:spacing w:val="2"/>
        </w:rPr>
        <w:t>《中华人民共和国石油天然气管道保护法》（主席令11届第30号，2010.10.1实施）；</w:t>
      </w:r>
    </w:p>
    <w:p>
      <w:pPr>
        <w:pStyle w:val="43"/>
        <w:numPr>
          <w:ilvl w:val="2"/>
          <w:numId w:val="2"/>
        </w:numPr>
        <w:ind w:left="0" w:firstLine="360" w:firstLineChars="150"/>
        <w:jc w:val="both"/>
        <w:rPr>
          <w:rFonts w:ascii="Times New Roman" w:hAnsi="Times New Roman"/>
        </w:rPr>
      </w:pPr>
      <w:r>
        <w:rPr>
          <w:rFonts w:ascii="Times New Roman" w:hAnsi="Times New Roman"/>
        </w:rPr>
        <w:t>《中华人民共和国文物保护法》（2017.11.4）。</w:t>
      </w:r>
    </w:p>
    <w:p>
      <w:pPr>
        <w:pStyle w:val="4"/>
        <w:rPr>
          <w:rFonts w:ascii="Times New Roman" w:hAnsi="Times New Roman" w:cs="Times New Roman"/>
        </w:rPr>
      </w:pPr>
      <w:r>
        <w:rPr>
          <w:rFonts w:ascii="Times New Roman" w:hAnsi="Times New Roman" w:cs="Times New Roman"/>
        </w:rPr>
        <w:t>行政法规等文件</w:t>
      </w:r>
    </w:p>
    <w:p>
      <w:pPr>
        <w:pStyle w:val="5"/>
        <w:rPr>
          <w:rFonts w:ascii="Times New Roman" w:hAnsi="Times New Roman"/>
        </w:rPr>
      </w:pPr>
      <w:bookmarkStart w:id="5" w:name="_Toc9661"/>
      <w:bookmarkStart w:id="6" w:name="_Toc112750568"/>
      <w:bookmarkStart w:id="7" w:name="_Toc96956051"/>
      <w:bookmarkStart w:id="8" w:name="_Toc109120517"/>
      <w:bookmarkStart w:id="9" w:name="_Toc73031060"/>
      <w:r>
        <w:rPr>
          <w:rFonts w:ascii="Times New Roman" w:hAnsi="Times New Roman"/>
        </w:rPr>
        <w:t>行政法规与国务院发布的规划性文件</w:t>
      </w:r>
      <w:bookmarkEnd w:id="5"/>
      <w:bookmarkEnd w:id="6"/>
      <w:bookmarkEnd w:id="7"/>
      <w:bookmarkEnd w:id="8"/>
      <w:bookmarkEnd w:id="9"/>
    </w:p>
    <w:p>
      <w:pPr>
        <w:numPr>
          <w:ilvl w:val="0"/>
          <w:numId w:val="3"/>
        </w:numPr>
        <w:tabs>
          <w:tab w:val="left" w:pos="397"/>
        </w:tabs>
        <w:ind w:left="0" w:firstLine="360" w:firstLineChars="150"/>
        <w:jc w:val="both"/>
        <w:rPr>
          <w:rFonts w:ascii="Times New Roman" w:hAnsi="Times New Roman"/>
        </w:rPr>
      </w:pPr>
      <w:r>
        <w:rPr>
          <w:rFonts w:ascii="Times New Roman" w:hAnsi="Times New Roman"/>
        </w:rPr>
        <w:t>《国务院关于环境保护若干问题的决定》（国发〔1996〕31号）；</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《国务院关于落实科学发展观加强环境保护的决定》（中华人民共和国国务院国发〔2005〕39号）；</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《国务院关于加强环境保护重点工作的意见》（国发〔2011〕35号）；</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《建设项目环境保护管理条例》（中华人民共和国国务院令第682号， 2017）；</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《全国生态环境保护纲要》（国发〔2000〕38号）；</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《国务院关于印发全国主体功能区规划的通知》（国发〔2010〕46号 ）；</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《国务院办公厅转发发展改革委等部门关于加快推行清洁生产意见的通知》（国办发〔2003〕100号）；</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《中华人民共和国自然保护区条例》（2017）；</w:t>
      </w:r>
    </w:p>
    <w:p>
      <w:pPr>
        <w:numPr>
          <w:ilvl w:val="0"/>
          <w:numId w:val="3"/>
        </w:numPr>
        <w:tabs>
          <w:tab w:val="left" w:pos="397"/>
        </w:tabs>
        <w:ind w:left="0" w:firstLine="360" w:firstLineChars="150"/>
        <w:jc w:val="both"/>
        <w:rPr>
          <w:rFonts w:ascii="Times New Roman" w:hAnsi="Times New Roman"/>
          <w:spacing w:val="-6"/>
        </w:rPr>
      </w:pPr>
      <w:r>
        <w:rPr>
          <w:rFonts w:ascii="Times New Roman" w:hAnsi="Times New Roman"/>
        </w:rPr>
        <w:t>《</w:t>
      </w:r>
      <w:r>
        <w:rPr>
          <w:rFonts w:ascii="Times New Roman" w:hAnsi="Times New Roman"/>
          <w:spacing w:val="-6"/>
        </w:rPr>
        <w:t>危险化学品安全管理条例》（中华人民共和国主席令第591号，2011）；2013修订；</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《永久基本农田保护条例》（2011）；</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《土地复垦条例》（中华人民共和国国务院令第592号，2011）；</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《大气污染防治行动计划》（国发〔2013〕37号）；</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《水污染防治行动计划》（国发〔2015〕17号）；</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《土壤污染防治行动计划》（国发〔2016〕31号）；</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《中华人民共和国野生植物保护条例》（2017）；</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《中华人民共和国陆生野生动物保护实施条例》（2016）；</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《排污许可管理条例》（中华人民共和国国务院令第736号，2021）；</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《中国生物多样性红色名录》（生态环境部 中国科学院 2015年发布）；</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《国家重点保护野生动物名录》（2021年公布）；</w:t>
      </w:r>
    </w:p>
    <w:p>
      <w:pPr>
        <w:numPr>
          <w:ilvl w:val="0"/>
          <w:numId w:val="3"/>
        </w:numPr>
        <w:tabs>
          <w:tab w:val="left" w:pos="397"/>
        </w:tabs>
        <w:ind w:left="0" w:firstLine="342" w:firstLineChars="150"/>
        <w:jc w:val="both"/>
        <w:rPr>
          <w:rFonts w:ascii="Times New Roman" w:hAnsi="Times New Roman"/>
          <w:spacing w:val="-6"/>
        </w:rPr>
      </w:pPr>
      <w:r>
        <w:rPr>
          <w:rFonts w:ascii="Times New Roman" w:hAnsi="Times New Roman"/>
          <w:spacing w:val="-6"/>
        </w:rPr>
        <w:t>《关于加强和改进永久基本农田保护工作的通知》（自然资规〔2019〕1 号）；</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《国家林业局关于石油天然气管道建设使用林地有关问题的通知》（林资发〔2010〕105号）；</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《中华人民共和国水生野生动物保护实施条例》（2013）；</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《地下水管理条例》（2021.12.1）；</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《中共中央国务院关于深入打好污染防治攻坚战的意见》（2021年11月2日）；</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《关于进一步加强生物多样性保护的意见》（中共中央办公厅、国务院办公厅，2021.8.19）；</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《天然林保护修复制度方案》（中共中央办公厅、国务院办公厅，厅字〔2019〕39号，2019.7.12）；</w:t>
      </w:r>
    </w:p>
    <w:p>
      <w:pPr>
        <w:numPr>
          <w:ilvl w:val="0"/>
          <w:numId w:val="3"/>
        </w:numPr>
        <w:tabs>
          <w:tab w:val="left" w:pos="397"/>
        </w:tabs>
        <w:ind w:left="0" w:firstLine="360" w:firstLineChars="150"/>
        <w:jc w:val="both"/>
        <w:rPr>
          <w:rFonts w:ascii="Times New Roman" w:hAnsi="Times New Roman"/>
        </w:rPr>
      </w:pPr>
      <w:r>
        <w:rPr>
          <w:rFonts w:ascii="Times New Roman" w:hAnsi="Times New Roman"/>
        </w:rPr>
        <w:t>《国家重点保护野生植物名录》（国家林业和草原局  农业农村部  2021年第15号）。</w:t>
      </w:r>
    </w:p>
    <w:p>
      <w:pPr>
        <w:pStyle w:val="5"/>
        <w:rPr>
          <w:rFonts w:ascii="Times New Roman" w:hAnsi="Times New Roman"/>
        </w:rPr>
      </w:pPr>
      <w:r>
        <w:rPr>
          <w:rFonts w:ascii="Times New Roman" w:hAnsi="Times New Roman"/>
        </w:rPr>
        <w:t>部门规章等文件</w:t>
      </w:r>
    </w:p>
    <w:p>
      <w:pPr>
        <w:ind w:firstLine="480"/>
        <w:rPr>
          <w:rFonts w:ascii="Times New Roman" w:hAnsi="Times New Roman"/>
        </w:rPr>
      </w:pPr>
      <w:r>
        <w:rPr>
          <w:rFonts w:ascii="Times New Roman" w:hAnsi="Times New Roman"/>
        </w:rPr>
        <w:t>（1）《关于推行清洁生产的若干意见》（环控〔1997〕232号）；</w:t>
      </w:r>
    </w:p>
    <w:p>
      <w:pPr>
        <w:ind w:firstLine="480"/>
        <w:rPr>
          <w:rFonts w:ascii="Times New Roman" w:hAnsi="Times New Roman"/>
        </w:rPr>
      </w:pPr>
      <w:r>
        <w:rPr>
          <w:rFonts w:ascii="Times New Roman" w:hAnsi="Times New Roman"/>
        </w:rPr>
        <w:t>（2）《关于进一步加强建设项目环境保护管理工作的通知》（环发〔2001〕19号）；</w:t>
      </w:r>
    </w:p>
    <w:p>
      <w:pPr>
        <w:ind w:firstLine="480"/>
        <w:rPr>
          <w:rFonts w:ascii="Times New Roman" w:hAnsi="Times New Roman"/>
        </w:rPr>
      </w:pPr>
      <w:r>
        <w:rPr>
          <w:rFonts w:ascii="Times New Roman" w:hAnsi="Times New Roman"/>
        </w:rPr>
        <w:t>（3）《关于进一步加强石油天然气行业环境影响评价管理的通知》（环办环评函〔2019〕910号）；</w:t>
      </w:r>
    </w:p>
    <w:p>
      <w:pPr>
        <w:ind w:firstLine="480"/>
        <w:rPr>
          <w:rFonts w:ascii="Times New Roman" w:hAnsi="Times New Roman"/>
        </w:rPr>
      </w:pPr>
      <w:r>
        <w:rPr>
          <w:rFonts w:ascii="Times New Roman" w:hAnsi="Times New Roman"/>
        </w:rPr>
        <w:t>（4）《环境影响评价公众参与办法》（2018）；</w:t>
      </w:r>
    </w:p>
    <w:p>
      <w:pPr>
        <w:ind w:firstLine="480"/>
        <w:rPr>
          <w:rFonts w:ascii="Times New Roman" w:hAnsi="Times New Roman"/>
        </w:rPr>
      </w:pPr>
      <w:r>
        <w:rPr>
          <w:rFonts w:ascii="Times New Roman" w:hAnsi="Times New Roman"/>
        </w:rPr>
        <w:t>（5）《突发环境事件应急管理办法》（部令第34号，2015）；</w:t>
      </w:r>
    </w:p>
    <w:p>
      <w:pPr>
        <w:ind w:firstLine="480"/>
        <w:rPr>
          <w:rFonts w:ascii="Times New Roman" w:hAnsi="Times New Roman"/>
        </w:rPr>
      </w:pPr>
      <w:r>
        <w:rPr>
          <w:rFonts w:ascii="Times New Roman" w:hAnsi="Times New Roman"/>
        </w:rPr>
        <w:t>（6）《关于进一步加强环境影响评价管理防范环境风险的通知》（环发〔2012〕77号）；</w:t>
      </w:r>
    </w:p>
    <w:p>
      <w:pPr>
        <w:ind w:firstLine="480"/>
        <w:rPr>
          <w:rFonts w:ascii="Times New Roman" w:hAnsi="Times New Roman"/>
        </w:rPr>
      </w:pPr>
      <w:r>
        <w:rPr>
          <w:rFonts w:ascii="Times New Roman" w:hAnsi="Times New Roman"/>
        </w:rPr>
        <w:t>（7）《关于切实加强风险防范严格环境影响评价管理的通知》（环发〔2012〕98号）；</w:t>
      </w:r>
    </w:p>
    <w:p>
      <w:pPr>
        <w:ind w:firstLine="480"/>
        <w:rPr>
          <w:rFonts w:ascii="Times New Roman" w:hAnsi="Times New Roman"/>
        </w:rPr>
      </w:pPr>
      <w:r>
        <w:rPr>
          <w:rFonts w:ascii="Times New Roman" w:hAnsi="Times New Roman"/>
        </w:rPr>
        <w:t>（8）《石油天然气开采业污染防治技术政策》（环保部公告2012年第18号）；</w:t>
      </w:r>
    </w:p>
    <w:p>
      <w:pPr>
        <w:ind w:firstLine="480"/>
        <w:rPr>
          <w:rFonts w:ascii="Times New Roman" w:hAnsi="Times New Roman"/>
        </w:rPr>
      </w:pPr>
      <w:r>
        <w:rPr>
          <w:rFonts w:ascii="Times New Roman" w:hAnsi="Times New Roman"/>
        </w:rPr>
        <w:t>（9）《产业结构调整指导目录》（2024年本）》；</w:t>
      </w:r>
    </w:p>
    <w:p>
      <w:pPr>
        <w:ind w:firstLine="480"/>
        <w:rPr>
          <w:rFonts w:ascii="Times New Roman" w:hAnsi="Times New Roman"/>
        </w:rPr>
      </w:pPr>
      <w:r>
        <w:rPr>
          <w:rFonts w:ascii="Times New Roman" w:hAnsi="Times New Roman"/>
        </w:rPr>
        <w:t>（10）《关于进一步加强环境保护信息公开工作的通知》（环办〔2013〕103号）；</w:t>
      </w:r>
    </w:p>
    <w:p>
      <w:pPr>
        <w:ind w:firstLine="480"/>
        <w:rPr>
          <w:rFonts w:ascii="Times New Roman" w:hAnsi="Times New Roman"/>
        </w:rPr>
      </w:pPr>
      <w:r>
        <w:rPr>
          <w:rFonts w:ascii="Times New Roman" w:hAnsi="Times New Roman"/>
        </w:rPr>
        <w:t>（11）《关于推进环境保护公众参与的指导意见》（环办〔2014〕48号）；</w:t>
      </w:r>
    </w:p>
    <w:p>
      <w:pPr>
        <w:ind w:firstLine="480"/>
        <w:rPr>
          <w:rFonts w:ascii="Times New Roman" w:hAnsi="Times New Roman"/>
        </w:rPr>
      </w:pPr>
      <w:r>
        <w:rPr>
          <w:rFonts w:ascii="Times New Roman" w:hAnsi="Times New Roman"/>
        </w:rPr>
        <w:t>（12）《关于落实大气污染防治行动计划严格环境影响评价准入的通知》（环办〔2014〕30号）；</w:t>
      </w:r>
    </w:p>
    <w:p>
      <w:pPr>
        <w:ind w:firstLine="480"/>
        <w:rPr>
          <w:rFonts w:ascii="Times New Roman" w:hAnsi="Times New Roman"/>
        </w:rPr>
      </w:pPr>
      <w:r>
        <w:rPr>
          <w:rFonts w:ascii="Times New Roman" w:hAnsi="Times New Roman"/>
        </w:rPr>
        <w:t>（13）《建设项目环境影响评价分类管理名录》（生态环境部令第16号，2021）；</w:t>
      </w:r>
    </w:p>
    <w:p>
      <w:pPr>
        <w:ind w:firstLine="480"/>
        <w:rPr>
          <w:rFonts w:ascii="Times New Roman" w:hAnsi="Times New Roman"/>
        </w:rPr>
      </w:pPr>
      <w:r>
        <w:rPr>
          <w:rFonts w:ascii="Times New Roman" w:hAnsi="Times New Roman"/>
        </w:rPr>
        <w:t>（14）《国家危险废物名录》（</w:t>
      </w:r>
      <w:r>
        <w:rPr>
          <w:rFonts w:hint="eastAsia" w:ascii="Times New Roman" w:hAnsi="Times New Roman"/>
        </w:rPr>
        <w:t>生态环境部</w:t>
      </w:r>
      <w:r>
        <w:rPr>
          <w:rFonts w:ascii="Times New Roman" w:hAnsi="Times New Roman"/>
        </w:rPr>
        <w:t>令第15号，2021）；</w:t>
      </w:r>
    </w:p>
    <w:p>
      <w:pPr>
        <w:ind w:firstLine="480"/>
        <w:rPr>
          <w:rFonts w:ascii="Times New Roman" w:hAnsi="Times New Roman"/>
        </w:rPr>
      </w:pPr>
      <w:r>
        <w:rPr>
          <w:rFonts w:ascii="Times New Roman" w:hAnsi="Times New Roman"/>
        </w:rPr>
        <w:t>（15）《关于划定并严守生态保护红线的若干意见》（中共中央办公厅、国务院办公厅发布，2017）；</w:t>
      </w:r>
    </w:p>
    <w:p>
      <w:pPr>
        <w:ind w:firstLine="480"/>
        <w:rPr>
          <w:rFonts w:ascii="Times New Roman" w:hAnsi="Times New Roman"/>
        </w:rPr>
      </w:pPr>
      <w:r>
        <w:rPr>
          <w:rFonts w:ascii="Times New Roman" w:hAnsi="Times New Roman"/>
        </w:rPr>
        <w:t>（16）《国家重点生态功能保护区规划纲要》（环发〔2007〕165号）；</w:t>
      </w:r>
    </w:p>
    <w:p>
      <w:pPr>
        <w:ind w:firstLine="480"/>
        <w:rPr>
          <w:rFonts w:ascii="Times New Roman" w:hAnsi="Times New Roman"/>
        </w:rPr>
      </w:pPr>
      <w:r>
        <w:rPr>
          <w:rFonts w:ascii="Times New Roman" w:hAnsi="Times New Roman"/>
        </w:rPr>
        <w:t>（17）《全国生态功能区划（修编版）》（环境保护部、中国科学院公告第61号，2015年）；</w:t>
      </w:r>
    </w:p>
    <w:p>
      <w:pPr>
        <w:ind w:firstLine="480"/>
        <w:rPr>
          <w:rFonts w:ascii="Times New Roman" w:hAnsi="Times New Roman"/>
        </w:rPr>
      </w:pPr>
      <w:r>
        <w:rPr>
          <w:rFonts w:ascii="Times New Roman" w:hAnsi="Times New Roman"/>
        </w:rPr>
        <w:t>（18）《关于加强国家重点生态功能区环境保护和管理的意见》（环发〔2013〕16号）；</w:t>
      </w:r>
    </w:p>
    <w:p>
      <w:pPr>
        <w:ind w:firstLine="480"/>
        <w:rPr>
          <w:rFonts w:ascii="Times New Roman" w:hAnsi="Times New Roman"/>
        </w:rPr>
      </w:pPr>
      <w:r>
        <w:rPr>
          <w:rFonts w:ascii="Times New Roman" w:hAnsi="Times New Roman"/>
        </w:rPr>
        <w:t>（19）《关于推进污水资源化利用的指导意见》（发改环资〔2021〕13号）；</w:t>
      </w:r>
    </w:p>
    <w:p>
      <w:pPr>
        <w:ind w:firstLine="480"/>
        <w:rPr>
          <w:rFonts w:ascii="Times New Roman" w:hAnsi="Times New Roman"/>
        </w:rPr>
      </w:pPr>
      <w:r>
        <w:rPr>
          <w:rFonts w:ascii="Times New Roman" w:hAnsi="Times New Roman"/>
        </w:rPr>
        <w:t>（20）《碳排放权交易管理办法（试行）》（生态环境部令第19号，2021）；</w:t>
      </w:r>
    </w:p>
    <w:p>
      <w:pPr>
        <w:ind w:firstLine="480"/>
        <w:rPr>
          <w:rFonts w:ascii="Times New Roman" w:hAnsi="Times New Roman"/>
        </w:rPr>
      </w:pPr>
      <w:r>
        <w:rPr>
          <w:rFonts w:ascii="Times New Roman" w:hAnsi="Times New Roman"/>
        </w:rPr>
        <w:t>（21）《一般工业固体废物管理台账制定指南（试行）》（生态环境部公告 2021年 第82号）；</w:t>
      </w:r>
    </w:p>
    <w:p>
      <w:pPr>
        <w:ind w:firstLine="480"/>
        <w:rPr>
          <w:rFonts w:ascii="Times New Roman" w:hAnsi="Times New Roman"/>
        </w:rPr>
      </w:pPr>
      <w:r>
        <w:rPr>
          <w:rFonts w:ascii="Times New Roman" w:hAnsi="Times New Roman"/>
        </w:rPr>
        <w:t>（22）《关于严格耕地用途管制有关问题的通知》（自然资发〔2021〕166号）；</w:t>
      </w:r>
    </w:p>
    <w:p>
      <w:pPr>
        <w:ind w:firstLine="480"/>
        <w:rPr>
          <w:rFonts w:ascii="Times New Roman" w:hAnsi="Times New Roman"/>
        </w:rPr>
      </w:pPr>
      <w:r>
        <w:rPr>
          <w:rFonts w:ascii="Times New Roman" w:hAnsi="Times New Roman"/>
        </w:rPr>
        <w:t>（23）《危险废物产生单位管理计划制定指南》（环境保护部公告2016年第7号，2016.1.26）；</w:t>
      </w:r>
    </w:p>
    <w:p>
      <w:pPr>
        <w:ind w:firstLine="480"/>
        <w:rPr>
          <w:rFonts w:ascii="Times New Roman" w:hAnsi="Times New Roman"/>
        </w:rPr>
      </w:pPr>
      <w:r>
        <w:rPr>
          <w:rFonts w:ascii="Times New Roman" w:hAnsi="Times New Roman"/>
        </w:rPr>
        <w:t>（24）《危险废物转移管理办法》（生态环境部 部令第23号，2022.1.1）；</w:t>
      </w:r>
    </w:p>
    <w:p>
      <w:pPr>
        <w:ind w:firstLine="480"/>
        <w:rPr>
          <w:rFonts w:ascii="Times New Roman" w:hAnsi="Times New Roman"/>
        </w:rPr>
      </w:pPr>
      <w:r>
        <w:rPr>
          <w:rFonts w:ascii="Times New Roman" w:hAnsi="Times New Roman"/>
        </w:rPr>
        <w:t>（25）《危险废物环境管理指南 陆上石油天然气开采》（生态环境部公告2021年第74号，2021.12.22）；</w:t>
      </w:r>
    </w:p>
    <w:p>
      <w:pPr>
        <w:ind w:firstLine="480"/>
        <w:rPr>
          <w:rFonts w:ascii="Times New Roman" w:hAnsi="Times New Roman"/>
        </w:rPr>
      </w:pPr>
      <w:r>
        <w:rPr>
          <w:rFonts w:ascii="Times New Roman" w:hAnsi="Times New Roman"/>
        </w:rPr>
        <w:t>（26）《建设项目危险废物环境影响评价指南》（环境保护部公告2017年第43号）；</w:t>
      </w:r>
    </w:p>
    <w:p>
      <w:pPr>
        <w:ind w:firstLine="480"/>
        <w:rPr>
          <w:rFonts w:ascii="Times New Roman" w:hAnsi="Times New Roman"/>
        </w:rPr>
      </w:pPr>
      <w:r>
        <w:rPr>
          <w:rFonts w:ascii="Times New Roman" w:hAnsi="Times New Roman"/>
        </w:rPr>
        <w:t>（27）《国家级公益林管理办法》（林资发〔2017〕34号，2017.5.8）；</w:t>
      </w:r>
    </w:p>
    <w:p>
      <w:pPr>
        <w:ind w:firstLine="480"/>
        <w:rPr>
          <w:rFonts w:ascii="Times New Roman" w:hAnsi="Times New Roman"/>
        </w:rPr>
      </w:pPr>
      <w:r>
        <w:rPr>
          <w:rFonts w:ascii="Times New Roman" w:hAnsi="Times New Roman"/>
        </w:rPr>
        <w:t>（28）《关于加强生态保护红线管理的通知（试行）》（自然资发〔2022〕142号，2022.8.16）。</w:t>
      </w:r>
    </w:p>
    <w:p>
      <w:pPr>
        <w:ind w:firstLine="480"/>
        <w:rPr>
          <w:rFonts w:ascii="Times New Roman" w:hAnsi="Times New Roman"/>
        </w:rPr>
      </w:pPr>
      <w:r>
        <w:rPr>
          <w:rFonts w:ascii="Times New Roman" w:hAnsi="Times New Roman"/>
        </w:rPr>
        <w:t>（29）《重特大突发环境事件空气应急监测工作规程》（环办监测函</w:t>
      </w:r>
      <w:r>
        <w:rPr>
          <w:rFonts w:hint="eastAsia" w:ascii="Times New Roman" w:hAnsi="Times New Roman"/>
          <w:lang w:eastAsia="zh-CN"/>
        </w:rPr>
        <w:t>〔2022〕</w:t>
      </w:r>
      <w:r>
        <w:rPr>
          <w:rFonts w:ascii="Times New Roman" w:hAnsi="Times New Roman"/>
        </w:rPr>
        <w:t>231号）；</w:t>
      </w:r>
    </w:p>
    <w:p>
      <w:pPr>
        <w:ind w:firstLine="480"/>
        <w:rPr>
          <w:rFonts w:ascii="Times New Roman" w:hAnsi="Times New Roman"/>
        </w:rPr>
      </w:pPr>
      <w:r>
        <w:rPr>
          <w:rFonts w:ascii="Times New Roman" w:hAnsi="Times New Roman"/>
        </w:rPr>
        <w:t>（30）《重特大突发水环境事件应急监测工作规程》环办监测函〔2020〕543号；</w:t>
      </w:r>
    </w:p>
    <w:p>
      <w:pPr>
        <w:ind w:firstLine="480"/>
        <w:rPr>
          <w:rFonts w:ascii="Times New Roman" w:hAnsi="Times New Roman"/>
        </w:rPr>
      </w:pPr>
      <w:r>
        <w:rPr>
          <w:rFonts w:ascii="Times New Roman" w:hAnsi="Times New Roman"/>
        </w:rPr>
        <w:t>（31）《自然资源部关于加强临时用地监管有关工作的通知》（自然资办函[2023]1280号）；</w:t>
      </w:r>
    </w:p>
    <w:p>
      <w:pPr>
        <w:ind w:firstLine="480"/>
        <w:rPr>
          <w:rFonts w:ascii="Times New Roman" w:hAnsi="Times New Roman"/>
        </w:rPr>
      </w:pPr>
      <w:r>
        <w:rPr>
          <w:rFonts w:ascii="Times New Roman" w:hAnsi="Times New Roman"/>
        </w:rPr>
        <w:t>（32）《自然资源部关于进一步做好用地用海要素保障的通知》（自然资发[2023]89号）；</w:t>
      </w:r>
    </w:p>
    <w:p>
      <w:pPr>
        <w:ind w:firstLine="480"/>
        <w:rPr>
          <w:rFonts w:ascii="Times New Roman" w:hAnsi="Times New Roman"/>
        </w:rPr>
      </w:pPr>
      <w:r>
        <w:rPr>
          <w:rFonts w:ascii="Times New Roman" w:hAnsi="Times New Roman"/>
        </w:rPr>
        <w:t>（33）《甲烷排放控制行动方案》（环气候[2023]67号）。</w:t>
      </w:r>
    </w:p>
    <w:p>
      <w:pPr>
        <w:pStyle w:val="5"/>
        <w:rPr>
          <w:rFonts w:ascii="Times New Roman" w:hAnsi="Times New Roman"/>
        </w:rPr>
      </w:pPr>
      <w:r>
        <w:rPr>
          <w:rFonts w:ascii="Times New Roman" w:hAnsi="Times New Roman"/>
        </w:rPr>
        <w:t>地方行政规章及规范性文件</w:t>
      </w:r>
    </w:p>
    <w:p>
      <w:pPr>
        <w:ind w:firstLine="480"/>
        <w:rPr>
          <w:rFonts w:ascii="Times New Roman" w:hAnsi="Times New Roman"/>
        </w:rPr>
      </w:pPr>
      <w:r>
        <w:rPr>
          <w:rFonts w:ascii="Times New Roman" w:hAnsi="Times New Roman"/>
        </w:rPr>
        <w:t>（1）《四川省重点保护野生动物名录》（1990）；</w:t>
      </w:r>
    </w:p>
    <w:p>
      <w:pPr>
        <w:ind w:firstLine="480"/>
        <w:rPr>
          <w:rFonts w:ascii="Times New Roman" w:hAnsi="Times New Roman"/>
        </w:rPr>
      </w:pPr>
      <w:r>
        <w:rPr>
          <w:rFonts w:ascii="Times New Roman" w:hAnsi="Times New Roman"/>
        </w:rPr>
        <w:t>（2）《四川省新增重点保护野生动物名录》（2000）；</w:t>
      </w:r>
    </w:p>
    <w:p>
      <w:pPr>
        <w:ind w:firstLine="480"/>
        <w:rPr>
          <w:rFonts w:ascii="Times New Roman" w:hAnsi="Times New Roman"/>
        </w:rPr>
      </w:pPr>
      <w:r>
        <w:rPr>
          <w:rFonts w:ascii="Times New Roman" w:hAnsi="Times New Roman"/>
        </w:rPr>
        <w:t>（3）《四川省永久基本农田保护实施细则》（1996）；</w:t>
      </w:r>
    </w:p>
    <w:p>
      <w:pPr>
        <w:ind w:firstLine="480"/>
        <w:rPr>
          <w:rFonts w:ascii="Times New Roman" w:hAnsi="Times New Roman"/>
        </w:rPr>
      </w:pPr>
      <w:r>
        <w:rPr>
          <w:rFonts w:ascii="Times New Roman" w:hAnsi="Times New Roman"/>
        </w:rPr>
        <w:t>（4）《四川省环境保护条例》（2017）；</w:t>
      </w:r>
    </w:p>
    <w:p>
      <w:pPr>
        <w:ind w:firstLine="480"/>
        <w:rPr>
          <w:rFonts w:ascii="Times New Roman" w:hAnsi="Times New Roman"/>
        </w:rPr>
      </w:pPr>
      <w:r>
        <w:rPr>
          <w:rFonts w:ascii="Times New Roman" w:hAnsi="Times New Roman"/>
        </w:rPr>
        <w:t>（5）《四川省危险废物污染环境防治办法》（2004）；</w:t>
      </w:r>
    </w:p>
    <w:p>
      <w:pPr>
        <w:ind w:firstLine="480"/>
        <w:rPr>
          <w:rFonts w:ascii="Times New Roman" w:hAnsi="Times New Roman"/>
        </w:rPr>
      </w:pPr>
      <w:r>
        <w:rPr>
          <w:rFonts w:ascii="Times New Roman" w:hAnsi="Times New Roman"/>
        </w:rPr>
        <w:t>（6）《四川省生态功能区划》（2010）；</w:t>
      </w:r>
    </w:p>
    <w:p>
      <w:pPr>
        <w:ind w:firstLine="480"/>
        <w:rPr>
          <w:rFonts w:ascii="Times New Roman" w:hAnsi="Times New Roman"/>
        </w:rPr>
      </w:pPr>
      <w:r>
        <w:rPr>
          <w:rFonts w:ascii="Times New Roman" w:hAnsi="Times New Roman"/>
        </w:rPr>
        <w:t>（7）《四川省主体功能区划》（川府发〔2013〕16号文）；</w:t>
      </w:r>
    </w:p>
    <w:p>
      <w:pPr>
        <w:ind w:firstLine="480"/>
        <w:rPr>
          <w:rFonts w:ascii="Times New Roman" w:hAnsi="Times New Roman"/>
        </w:rPr>
      </w:pPr>
      <w:r>
        <w:rPr>
          <w:rFonts w:ascii="Times New Roman" w:hAnsi="Times New Roman"/>
        </w:rPr>
        <w:t>（8）《关于进一步加强我省农村饮用水水源保护区环境保护工作的通知》（川环办发〔2011〕98号）；</w:t>
      </w:r>
    </w:p>
    <w:p>
      <w:pPr>
        <w:ind w:firstLine="480"/>
        <w:rPr>
          <w:rFonts w:ascii="Times New Roman" w:hAnsi="Times New Roman"/>
        </w:rPr>
      </w:pPr>
      <w:r>
        <w:rPr>
          <w:rFonts w:ascii="Times New Roman" w:hAnsi="Times New Roman"/>
        </w:rPr>
        <w:t>（9）《四川省〈中华人民共和国野生动物保护法〉实施办法》（2012）；</w:t>
      </w:r>
    </w:p>
    <w:p>
      <w:pPr>
        <w:ind w:firstLine="480"/>
        <w:rPr>
          <w:rFonts w:ascii="Times New Roman" w:hAnsi="Times New Roman"/>
        </w:rPr>
      </w:pPr>
      <w:r>
        <w:rPr>
          <w:rFonts w:ascii="Times New Roman" w:hAnsi="Times New Roman"/>
        </w:rPr>
        <w:t>（10）《四川省〈中华人民共和国水土保持法〉实施办法》（2012）；</w:t>
      </w:r>
    </w:p>
    <w:p>
      <w:pPr>
        <w:ind w:firstLine="480"/>
        <w:rPr>
          <w:rFonts w:ascii="Times New Roman" w:hAnsi="Times New Roman"/>
        </w:rPr>
      </w:pPr>
      <w:r>
        <w:rPr>
          <w:rFonts w:ascii="Times New Roman" w:hAnsi="Times New Roman"/>
        </w:rPr>
        <w:t>（11）《四川省人民政府办公厅关于加强灰霾污染防治的通知》（川办发〔2013〕32号）；</w:t>
      </w:r>
    </w:p>
    <w:p>
      <w:pPr>
        <w:ind w:firstLine="480"/>
        <w:rPr>
          <w:rFonts w:ascii="Times New Roman" w:hAnsi="Times New Roman"/>
        </w:rPr>
      </w:pPr>
      <w:r>
        <w:rPr>
          <w:rFonts w:ascii="Times New Roman" w:hAnsi="Times New Roman"/>
        </w:rPr>
        <w:t>（12）《四川省灰霾污染防治实施方案》（川环发〔2013〕78号）；</w:t>
      </w:r>
    </w:p>
    <w:p>
      <w:pPr>
        <w:ind w:firstLine="480"/>
        <w:rPr>
          <w:rFonts w:ascii="Times New Roman" w:hAnsi="Times New Roman"/>
        </w:rPr>
      </w:pPr>
      <w:r>
        <w:rPr>
          <w:rFonts w:ascii="Times New Roman" w:hAnsi="Times New Roman"/>
        </w:rPr>
        <w:t>（13）《四川省固体废物污染环境防治条例》（2018）；</w:t>
      </w:r>
    </w:p>
    <w:p>
      <w:pPr>
        <w:ind w:firstLine="480"/>
        <w:rPr>
          <w:rFonts w:ascii="Times New Roman" w:hAnsi="Times New Roman"/>
        </w:rPr>
      </w:pPr>
      <w:r>
        <w:rPr>
          <w:rFonts w:ascii="Times New Roman" w:hAnsi="Times New Roman"/>
        </w:rPr>
        <w:t>（14）《四川省“十四五”生态环境保护规划》（2022）；</w:t>
      </w:r>
    </w:p>
    <w:p>
      <w:pPr>
        <w:ind w:firstLine="480"/>
        <w:rPr>
          <w:rFonts w:ascii="Times New Roman" w:hAnsi="Times New Roman"/>
        </w:rPr>
      </w:pPr>
      <w:r>
        <w:rPr>
          <w:rFonts w:ascii="Times New Roman" w:hAnsi="Times New Roman"/>
        </w:rPr>
        <w:t>（15）《四川省矿产资源总体规划（2021-2025年）》；</w:t>
      </w:r>
    </w:p>
    <w:p>
      <w:pPr>
        <w:ind w:firstLine="480"/>
        <w:rPr>
          <w:rFonts w:ascii="Times New Roman" w:hAnsi="Times New Roman"/>
        </w:rPr>
      </w:pPr>
      <w:r>
        <w:rPr>
          <w:rFonts w:ascii="Times New Roman" w:hAnsi="Times New Roman"/>
        </w:rPr>
        <w:t>（16）《关于印发四川省生态保护红线方案的通知》（川府发〔2018〕24号）；</w:t>
      </w:r>
    </w:p>
    <w:p>
      <w:pPr>
        <w:ind w:firstLine="480"/>
        <w:rPr>
          <w:rFonts w:ascii="Times New Roman" w:hAnsi="Times New Roman"/>
        </w:rPr>
      </w:pPr>
      <w:r>
        <w:rPr>
          <w:rFonts w:ascii="Times New Roman" w:hAnsi="Times New Roman"/>
        </w:rPr>
        <w:t>（17）《四川省人民政府关于落实生态保护红线、环境质量底线、资源利用上线制定生态环境准入清单实施生态环境分区管控的通知》（川府发〔2020〕9号）；</w:t>
      </w:r>
    </w:p>
    <w:p>
      <w:pPr>
        <w:ind w:firstLine="480"/>
        <w:rPr>
          <w:rFonts w:ascii="Times New Roman" w:hAnsi="Times New Roman"/>
        </w:rPr>
      </w:pPr>
      <w:r>
        <w:rPr>
          <w:rFonts w:ascii="Times New Roman" w:hAnsi="Times New Roman"/>
        </w:rPr>
        <w:t>（18）《项目环评“三线一单”符合性分析技术要点（试行）》（川环办函〔2021〕469号）；</w:t>
      </w:r>
    </w:p>
    <w:p>
      <w:pPr>
        <w:ind w:firstLine="480"/>
        <w:rPr>
          <w:rFonts w:ascii="Times New Roman" w:hAnsi="Times New Roman"/>
        </w:rPr>
      </w:pPr>
      <w:r>
        <w:rPr>
          <w:rFonts w:ascii="Times New Roman" w:hAnsi="Times New Roman"/>
        </w:rPr>
        <w:t>（19）《四川省饮用水源保护管理条例》（2019年修订）；</w:t>
      </w:r>
    </w:p>
    <w:p>
      <w:pPr>
        <w:ind w:firstLine="480"/>
        <w:rPr>
          <w:rFonts w:ascii="Times New Roman" w:hAnsi="Times New Roman"/>
        </w:rPr>
      </w:pPr>
      <w:r>
        <w:rPr>
          <w:rFonts w:ascii="Times New Roman" w:hAnsi="Times New Roman"/>
        </w:rPr>
        <w:t>（20）《四川省天然林保护条例》（2009年修正）；</w:t>
      </w:r>
    </w:p>
    <w:p>
      <w:pPr>
        <w:ind w:firstLine="480"/>
        <w:rPr>
          <w:rFonts w:ascii="Times New Roman" w:hAnsi="Times New Roman"/>
        </w:rPr>
      </w:pPr>
      <w:r>
        <w:rPr>
          <w:rFonts w:ascii="Times New Roman" w:hAnsi="Times New Roman"/>
        </w:rPr>
        <w:t>（21）《四川省省级水土流失重点预防区和重点治理区划分成果》（川水函〔2017〕482号）；</w:t>
      </w:r>
    </w:p>
    <w:p>
      <w:pPr>
        <w:ind w:firstLine="480"/>
        <w:rPr>
          <w:rFonts w:ascii="Times New Roman" w:hAnsi="Times New Roman"/>
        </w:rPr>
      </w:pPr>
      <w:r>
        <w:rPr>
          <w:rFonts w:ascii="Times New Roman" w:hAnsi="Times New Roman"/>
        </w:rPr>
        <w:t>（22）四川省推动长江经济带发展领导小组办公室重庆市推动长江发展领导小组办公室关于印发《四川省、重庆市场长江经济带发展负面清单实施细则（试行，2022版）的通知》；</w:t>
      </w:r>
    </w:p>
    <w:p>
      <w:pPr>
        <w:ind w:firstLine="480"/>
        <w:rPr>
          <w:rFonts w:ascii="Times New Roman" w:hAnsi="Times New Roman"/>
        </w:rPr>
      </w:pPr>
      <w:r>
        <w:rPr>
          <w:rFonts w:ascii="Times New Roman" w:hAnsi="Times New Roman"/>
        </w:rPr>
        <w:t>（23）《四川省自然资源厅关于进一步明确临时用地管理有关事项的通知》（川自然资规〔2022〕3号）；</w:t>
      </w:r>
    </w:p>
    <w:p>
      <w:pPr>
        <w:ind w:firstLine="480"/>
        <w:rPr>
          <w:rFonts w:ascii="Times New Roman" w:hAnsi="Times New Roman"/>
        </w:rPr>
      </w:pPr>
      <w:r>
        <w:rPr>
          <w:rFonts w:ascii="Times New Roman" w:hAnsi="Times New Roman"/>
        </w:rPr>
        <w:t>（24）《四川省突发环境事件应急预案备案行业名录》（2022年版）；</w:t>
      </w:r>
    </w:p>
    <w:p>
      <w:pPr>
        <w:ind w:firstLine="480"/>
        <w:rPr>
          <w:rFonts w:ascii="Times New Roman" w:hAnsi="Times New Roman"/>
        </w:rPr>
      </w:pPr>
      <w:r>
        <w:rPr>
          <w:rFonts w:ascii="Times New Roman" w:hAnsi="Times New Roman"/>
        </w:rPr>
        <w:t>（25）《四川省建设项目使用林地审核审批管理规范》（川林规</w:t>
      </w:r>
      <w:r>
        <w:rPr>
          <w:rFonts w:hint="eastAsia" w:ascii="Times New Roman" w:hAnsi="Times New Roman"/>
          <w:lang w:eastAsia="zh-CN"/>
        </w:rPr>
        <w:t>〔2022〕</w:t>
      </w:r>
      <w:r>
        <w:rPr>
          <w:rFonts w:ascii="Times New Roman" w:hAnsi="Times New Roman"/>
        </w:rPr>
        <w:t>2号）；</w:t>
      </w:r>
    </w:p>
    <w:p>
      <w:pPr>
        <w:ind w:firstLine="480"/>
        <w:rPr>
          <w:rFonts w:ascii="Times New Roman" w:hAnsi="Times New Roman"/>
        </w:rPr>
      </w:pPr>
      <w:r>
        <w:rPr>
          <w:rFonts w:ascii="Times New Roman" w:hAnsi="Times New Roman"/>
        </w:rPr>
        <w:t>（26）《企业温室气体排放管理规范》（DB51/T 2987-2022）；</w:t>
      </w:r>
    </w:p>
    <w:p>
      <w:pPr>
        <w:ind w:firstLine="480"/>
        <w:rPr>
          <w:rFonts w:ascii="Times New Roman" w:hAnsi="Times New Roman"/>
        </w:rPr>
      </w:pPr>
      <w:r>
        <w:rPr>
          <w:rFonts w:ascii="Times New Roman" w:hAnsi="Times New Roman"/>
        </w:rPr>
        <w:t>（27）达州市人民政府《关于落实生态保护红线、环境质量底线、资源利用上线制定生态环境准入清单实施生态环境分区管控的通知》达市府发〔2021〕17号；</w:t>
      </w:r>
    </w:p>
    <w:p>
      <w:pPr>
        <w:ind w:firstLine="480"/>
        <w:rPr>
          <w:rFonts w:ascii="Times New Roman" w:hAnsi="Times New Roman"/>
        </w:rPr>
      </w:pPr>
      <w:r>
        <w:rPr>
          <w:rFonts w:ascii="Times New Roman" w:hAnsi="Times New Roman"/>
        </w:rPr>
        <w:t>（28）《达州市人民政府关于划定万源市、宣汉县和大竹县乡镇及以下集中式饮用水水源地保护区的批复》（达市府函〔2020〕124号）；</w:t>
      </w:r>
    </w:p>
    <w:p>
      <w:pPr>
        <w:ind w:firstLine="480"/>
        <w:rPr>
          <w:rFonts w:ascii="Times New Roman" w:hAnsi="Times New Roman"/>
        </w:rPr>
      </w:pPr>
      <w:r>
        <w:rPr>
          <w:rFonts w:ascii="Times New Roman" w:hAnsi="Times New Roman"/>
        </w:rPr>
        <w:t>（29）《达州市集中式饮用水水源保护管理条例》（2020年修正）；</w:t>
      </w:r>
    </w:p>
    <w:p>
      <w:pPr>
        <w:ind w:firstLine="480"/>
        <w:rPr>
          <w:rFonts w:ascii="Times New Roman" w:hAnsi="Times New Roman"/>
        </w:rPr>
      </w:pPr>
      <w:r>
        <w:rPr>
          <w:rFonts w:ascii="Times New Roman" w:hAnsi="Times New Roman"/>
        </w:rPr>
        <w:t>（30）《宣汉县人民政府办公室关于印发宣汉县声环境功能区划分及适用标准规定的通知》（宣府办〔2022〕106号）；</w:t>
      </w:r>
    </w:p>
    <w:p>
      <w:pPr>
        <w:ind w:firstLine="480"/>
        <w:rPr>
          <w:rFonts w:ascii="Times New Roman" w:hAnsi="Times New Roman"/>
        </w:rPr>
      </w:pPr>
      <w:r>
        <w:rPr>
          <w:rFonts w:ascii="Times New Roman" w:hAnsi="Times New Roman"/>
        </w:rPr>
        <w:t>（31）《达州市生态环境局办公室关于加强固体废物污染防治工作的通知》（达市环办发〔2019〕49号）文件要求；</w:t>
      </w:r>
    </w:p>
    <w:p>
      <w:pPr>
        <w:ind w:firstLine="480"/>
        <w:rPr>
          <w:rFonts w:ascii="Times New Roman" w:hAnsi="Times New Roman"/>
        </w:rPr>
      </w:pPr>
      <w:r>
        <w:rPr>
          <w:rFonts w:ascii="Times New Roman" w:hAnsi="Times New Roman"/>
        </w:rPr>
        <w:t>（32）《宣汉县矿产资源总体规划（2021-2025年）》。</w:t>
      </w:r>
    </w:p>
    <w:p>
      <w:pPr>
        <w:pStyle w:val="4"/>
        <w:rPr>
          <w:rFonts w:ascii="Times New Roman" w:hAnsi="Times New Roman" w:cs="Times New Roman"/>
        </w:rPr>
      </w:pPr>
      <w:r>
        <w:rPr>
          <w:rFonts w:ascii="Times New Roman" w:hAnsi="Times New Roman" w:cs="Times New Roman"/>
        </w:rPr>
        <w:t>行业技术规范</w:t>
      </w:r>
    </w:p>
    <w:p>
      <w:pPr>
        <w:numPr>
          <w:ilvl w:val="0"/>
          <w:numId w:val="4"/>
        </w:numPr>
        <w:tabs>
          <w:tab w:val="left" w:pos="420"/>
        </w:tabs>
        <w:ind w:firstLine="360" w:firstLineChars="150"/>
        <w:jc w:val="both"/>
        <w:rPr>
          <w:rFonts w:ascii="Times New Roman" w:hAnsi="Times New Roman"/>
        </w:rPr>
      </w:pPr>
      <w:r>
        <w:rPr>
          <w:rFonts w:ascii="Times New Roman" w:hAnsi="Times New Roman"/>
        </w:rPr>
        <w:t>《石油天然气井控技术规范》（GB/T 31033-2014）；</w:t>
      </w:r>
    </w:p>
    <w:p>
      <w:pPr>
        <w:numPr>
          <w:ilvl w:val="0"/>
          <w:numId w:val="4"/>
        </w:numPr>
        <w:tabs>
          <w:tab w:val="left" w:pos="420"/>
        </w:tabs>
        <w:ind w:firstLine="360" w:firstLineChars="150"/>
        <w:jc w:val="both"/>
        <w:rPr>
          <w:rFonts w:ascii="Times New Roman" w:hAnsi="Times New Roman"/>
        </w:rPr>
      </w:pPr>
      <w:r>
        <w:rPr>
          <w:rFonts w:ascii="Times New Roman" w:hAnsi="Times New Roman"/>
        </w:rPr>
        <w:t>《输气管道工程设计规范》（GB 50251-2015）；</w:t>
      </w:r>
    </w:p>
    <w:p>
      <w:pPr>
        <w:numPr>
          <w:ilvl w:val="0"/>
          <w:numId w:val="4"/>
        </w:numPr>
        <w:tabs>
          <w:tab w:val="left" w:pos="420"/>
        </w:tabs>
        <w:ind w:firstLine="360" w:firstLineChars="150"/>
        <w:jc w:val="both"/>
        <w:rPr>
          <w:rFonts w:ascii="Times New Roman" w:hAnsi="Times New Roman"/>
        </w:rPr>
      </w:pPr>
      <w:r>
        <w:rPr>
          <w:rFonts w:ascii="Times New Roman" w:hAnsi="Times New Roman"/>
        </w:rPr>
        <w:t>《气田集输设计规范》（GB 50349-2015）；</w:t>
      </w:r>
    </w:p>
    <w:p>
      <w:pPr>
        <w:numPr>
          <w:ilvl w:val="0"/>
          <w:numId w:val="4"/>
        </w:numPr>
        <w:tabs>
          <w:tab w:val="left" w:pos="420"/>
        </w:tabs>
        <w:ind w:firstLine="360" w:firstLineChars="150"/>
        <w:jc w:val="both"/>
        <w:rPr>
          <w:rFonts w:ascii="Times New Roman" w:hAnsi="Times New Roman"/>
        </w:rPr>
      </w:pPr>
      <w:r>
        <w:rPr>
          <w:rFonts w:ascii="Times New Roman" w:hAnsi="Times New Roman"/>
        </w:rPr>
        <w:t xml:space="preserve">《天然气》（GB 17820-2018）； </w:t>
      </w:r>
    </w:p>
    <w:p>
      <w:pPr>
        <w:numPr>
          <w:ilvl w:val="0"/>
          <w:numId w:val="4"/>
        </w:numPr>
        <w:tabs>
          <w:tab w:val="left" w:pos="420"/>
        </w:tabs>
        <w:ind w:firstLine="360" w:firstLineChars="150"/>
        <w:jc w:val="both"/>
        <w:rPr>
          <w:rFonts w:ascii="Times New Roman" w:hAnsi="Times New Roman"/>
        </w:rPr>
      </w:pPr>
      <w:bookmarkStart w:id="10" w:name="_Hlk50984847"/>
      <w:r>
        <w:rPr>
          <w:rFonts w:ascii="Times New Roman" w:hAnsi="Times New Roman"/>
        </w:rPr>
        <w:t>《石油天然气钻井井控技术规范》（GB/T 31033-2014）</w:t>
      </w:r>
      <w:bookmarkEnd w:id="10"/>
      <w:r>
        <w:rPr>
          <w:rFonts w:ascii="Times New Roman" w:hAnsi="Times New Roman"/>
        </w:rPr>
        <w:t>；</w:t>
      </w:r>
    </w:p>
    <w:p>
      <w:pPr>
        <w:numPr>
          <w:ilvl w:val="0"/>
          <w:numId w:val="4"/>
        </w:numPr>
        <w:tabs>
          <w:tab w:val="left" w:pos="420"/>
        </w:tabs>
        <w:ind w:firstLine="360" w:firstLineChars="150"/>
        <w:jc w:val="both"/>
        <w:rPr>
          <w:rFonts w:ascii="Times New Roman" w:hAnsi="Times New Roman"/>
        </w:rPr>
      </w:pPr>
      <w:r>
        <w:rPr>
          <w:rFonts w:ascii="Times New Roman" w:hAnsi="Times New Roman"/>
        </w:rPr>
        <w:t>《井下作业安全规程》（SY 5727-2014）；</w:t>
      </w:r>
    </w:p>
    <w:p>
      <w:pPr>
        <w:numPr>
          <w:ilvl w:val="0"/>
          <w:numId w:val="4"/>
        </w:numPr>
        <w:tabs>
          <w:tab w:val="left" w:pos="420"/>
        </w:tabs>
        <w:ind w:firstLine="360" w:firstLineChars="150"/>
        <w:jc w:val="both"/>
        <w:rPr>
          <w:rFonts w:ascii="Times New Roman" w:hAnsi="Times New Roman"/>
        </w:rPr>
      </w:pPr>
      <w:r>
        <w:rPr>
          <w:rFonts w:ascii="Times New Roman" w:hAnsi="Times New Roman"/>
        </w:rPr>
        <w:t>《气井试气、采气及动态监测工艺规程》（SY/T 6125-2013）；</w:t>
      </w:r>
    </w:p>
    <w:p>
      <w:pPr>
        <w:numPr>
          <w:ilvl w:val="0"/>
          <w:numId w:val="4"/>
        </w:numPr>
        <w:tabs>
          <w:tab w:val="left" w:pos="420"/>
        </w:tabs>
        <w:ind w:firstLine="360" w:firstLineChars="150"/>
        <w:jc w:val="both"/>
        <w:rPr>
          <w:rFonts w:ascii="Times New Roman" w:hAnsi="Times New Roman"/>
        </w:rPr>
      </w:pPr>
      <w:r>
        <w:rPr>
          <w:rFonts w:ascii="Times New Roman" w:hAnsi="Times New Roman"/>
        </w:rPr>
        <w:t>《碎屑岩油藏注水水质推荐指标及分析方法》（SY/T 5329-2012）；</w:t>
      </w:r>
    </w:p>
    <w:p>
      <w:pPr>
        <w:numPr>
          <w:ilvl w:val="0"/>
          <w:numId w:val="4"/>
        </w:numPr>
        <w:tabs>
          <w:tab w:val="left" w:pos="420"/>
        </w:tabs>
        <w:ind w:firstLine="360" w:firstLineChars="150"/>
        <w:jc w:val="both"/>
        <w:rPr>
          <w:rFonts w:ascii="Times New Roman" w:hAnsi="Times New Roman"/>
        </w:rPr>
      </w:pPr>
      <w:r>
        <w:rPr>
          <w:rFonts w:ascii="Times New Roman" w:hAnsi="Times New Roman"/>
        </w:rPr>
        <w:t>《油井井下作业防喷技术规程》（SY/T 5974-2014）；</w:t>
      </w:r>
    </w:p>
    <w:p>
      <w:pPr>
        <w:numPr>
          <w:ilvl w:val="0"/>
          <w:numId w:val="4"/>
        </w:numPr>
        <w:tabs>
          <w:tab w:val="left" w:pos="420"/>
        </w:tabs>
        <w:ind w:firstLine="360" w:firstLineChars="150"/>
        <w:jc w:val="both"/>
        <w:rPr>
          <w:rFonts w:ascii="Times New Roman" w:hAnsi="Times New Roman"/>
        </w:rPr>
      </w:pPr>
      <w:r>
        <w:rPr>
          <w:rFonts w:ascii="Times New Roman" w:hAnsi="Times New Roman"/>
        </w:rPr>
        <w:t>《石油天然气钻井、开发、储运防火防爆安全生产技术规程》（SY/T 5225-2019）；</w:t>
      </w:r>
    </w:p>
    <w:p>
      <w:pPr>
        <w:numPr>
          <w:ilvl w:val="0"/>
          <w:numId w:val="4"/>
        </w:numPr>
        <w:tabs>
          <w:tab w:val="left" w:pos="420"/>
        </w:tabs>
        <w:ind w:firstLine="360" w:firstLineChars="150"/>
        <w:jc w:val="both"/>
        <w:rPr>
          <w:rFonts w:ascii="Times New Roman" w:hAnsi="Times New Roman"/>
        </w:rPr>
      </w:pPr>
      <w:r>
        <w:rPr>
          <w:rFonts w:ascii="Times New Roman" w:hAnsi="Times New Roman"/>
        </w:rPr>
        <w:t>《油气输送管道穿越工程设计规范》（GB 50423-2013）；</w:t>
      </w:r>
    </w:p>
    <w:p>
      <w:pPr>
        <w:numPr>
          <w:ilvl w:val="0"/>
          <w:numId w:val="4"/>
        </w:numPr>
        <w:tabs>
          <w:tab w:val="left" w:pos="420"/>
        </w:tabs>
        <w:ind w:firstLine="360" w:firstLineChars="150"/>
        <w:jc w:val="both"/>
        <w:rPr>
          <w:rFonts w:ascii="Times New Roman" w:hAnsi="Times New Roman"/>
        </w:rPr>
      </w:pPr>
      <w:r>
        <w:rPr>
          <w:rFonts w:ascii="Times New Roman" w:hAnsi="Times New Roman"/>
        </w:rPr>
        <w:t>《油气输送管道穿越工程施工规范》（GB 50424-2015）；</w:t>
      </w:r>
    </w:p>
    <w:p>
      <w:pPr>
        <w:numPr>
          <w:ilvl w:val="0"/>
          <w:numId w:val="4"/>
        </w:numPr>
        <w:tabs>
          <w:tab w:val="left" w:pos="420"/>
        </w:tabs>
        <w:ind w:firstLine="360" w:firstLineChars="150"/>
        <w:jc w:val="both"/>
        <w:rPr>
          <w:rFonts w:ascii="Times New Roman" w:hAnsi="Times New Roman"/>
        </w:rPr>
      </w:pPr>
      <w:r>
        <w:rPr>
          <w:rFonts w:ascii="Times New Roman" w:hAnsi="Times New Roman"/>
        </w:rPr>
        <w:t>《气田水注入技术要求》（SY/T 6596-2016）；</w:t>
      </w:r>
    </w:p>
    <w:p>
      <w:pPr>
        <w:numPr>
          <w:ilvl w:val="0"/>
          <w:numId w:val="4"/>
        </w:numPr>
        <w:tabs>
          <w:tab w:val="left" w:pos="420"/>
        </w:tabs>
        <w:ind w:firstLine="360" w:firstLineChars="150"/>
        <w:jc w:val="both"/>
        <w:rPr>
          <w:rFonts w:ascii="Times New Roman" w:hAnsi="Times New Roman"/>
        </w:rPr>
      </w:pPr>
      <w:r>
        <w:rPr>
          <w:rFonts w:ascii="Times New Roman" w:hAnsi="Times New Roman"/>
        </w:rPr>
        <w:t>《硫化氢环境应急救援规范》（SY/T 7357-2017）；</w:t>
      </w:r>
    </w:p>
    <w:p>
      <w:pPr>
        <w:numPr>
          <w:ilvl w:val="0"/>
          <w:numId w:val="4"/>
        </w:numPr>
        <w:tabs>
          <w:tab w:val="left" w:pos="420"/>
        </w:tabs>
        <w:ind w:firstLine="360" w:firstLineChars="150"/>
        <w:jc w:val="both"/>
        <w:rPr>
          <w:rFonts w:ascii="Times New Roman" w:hAnsi="Times New Roman"/>
        </w:rPr>
      </w:pPr>
      <w:r>
        <w:rPr>
          <w:rFonts w:ascii="Times New Roman" w:hAnsi="Times New Roman"/>
        </w:rPr>
        <w:t>《高含硫气田水处理及回注工程设计规范》（SY/T 6881-2012）；</w:t>
      </w:r>
    </w:p>
    <w:p>
      <w:pPr>
        <w:numPr>
          <w:ilvl w:val="0"/>
          <w:numId w:val="4"/>
        </w:numPr>
        <w:tabs>
          <w:tab w:val="left" w:pos="420"/>
        </w:tabs>
        <w:ind w:firstLine="360" w:firstLineChars="150"/>
        <w:jc w:val="both"/>
        <w:rPr>
          <w:rFonts w:ascii="Times New Roman" w:hAnsi="Times New Roman"/>
        </w:rPr>
      </w:pPr>
      <w:r>
        <w:rPr>
          <w:rFonts w:ascii="Times New Roman" w:hAnsi="Times New Roman"/>
        </w:rPr>
        <w:t>《硫化氢环境井下作业场所作业安全规范》（SY/T 6610-2017）；</w:t>
      </w:r>
    </w:p>
    <w:p>
      <w:pPr>
        <w:numPr>
          <w:ilvl w:val="0"/>
          <w:numId w:val="4"/>
        </w:numPr>
        <w:tabs>
          <w:tab w:val="left" w:pos="420"/>
        </w:tabs>
        <w:ind w:firstLine="360" w:firstLineChars="150"/>
        <w:jc w:val="both"/>
        <w:rPr>
          <w:rFonts w:ascii="Times New Roman" w:hAnsi="Times New Roman"/>
        </w:rPr>
      </w:pPr>
      <w:r>
        <w:rPr>
          <w:rFonts w:ascii="Times New Roman" w:hAnsi="Times New Roman"/>
        </w:rPr>
        <w:t>《高含硫化氢气田地面集输系统在线腐蚀监测技术规范》（SY/T 6970-2013）；</w:t>
      </w:r>
    </w:p>
    <w:p>
      <w:pPr>
        <w:numPr>
          <w:ilvl w:val="0"/>
          <w:numId w:val="4"/>
        </w:numPr>
        <w:tabs>
          <w:tab w:val="left" w:pos="420"/>
        </w:tabs>
        <w:ind w:firstLine="360" w:firstLineChars="150"/>
        <w:jc w:val="both"/>
        <w:rPr>
          <w:rFonts w:ascii="Times New Roman" w:hAnsi="Times New Roman"/>
        </w:rPr>
      </w:pPr>
      <w:r>
        <w:rPr>
          <w:rFonts w:ascii="Times New Roman" w:hAnsi="Times New Roman"/>
        </w:rPr>
        <w:t>《高含硫化氢气田集输场站工程施工技术规范》（SY/T 4118-2016）；</w:t>
      </w:r>
    </w:p>
    <w:p>
      <w:pPr>
        <w:numPr>
          <w:ilvl w:val="0"/>
          <w:numId w:val="4"/>
        </w:numPr>
        <w:tabs>
          <w:tab w:val="left" w:pos="420"/>
        </w:tabs>
        <w:ind w:firstLine="360" w:firstLineChars="150"/>
        <w:jc w:val="both"/>
        <w:rPr>
          <w:rFonts w:ascii="Times New Roman" w:hAnsi="Times New Roman"/>
        </w:rPr>
      </w:pPr>
      <w:r>
        <w:rPr>
          <w:rFonts w:ascii="Times New Roman" w:hAnsi="Times New Roman"/>
        </w:rPr>
        <w:t>《高含硫化氢气田集输管道工程施工技术规范》（SY/T 4119-2016）；</w:t>
      </w:r>
    </w:p>
    <w:p>
      <w:pPr>
        <w:numPr>
          <w:ilvl w:val="0"/>
          <w:numId w:val="4"/>
        </w:numPr>
        <w:tabs>
          <w:tab w:val="left" w:pos="420"/>
        </w:tabs>
        <w:ind w:firstLine="360" w:firstLineChars="150"/>
        <w:jc w:val="both"/>
        <w:rPr>
          <w:rFonts w:ascii="Times New Roman" w:hAnsi="Times New Roman"/>
        </w:rPr>
      </w:pPr>
      <w:r>
        <w:rPr>
          <w:rFonts w:ascii="Times New Roman" w:hAnsi="Times New Roman"/>
        </w:rPr>
        <w:t>《高含硫化氢气田集输系统内腐蚀控制规范》（SY/T 0611-2018）；</w:t>
      </w:r>
    </w:p>
    <w:p>
      <w:pPr>
        <w:numPr>
          <w:ilvl w:val="0"/>
          <w:numId w:val="4"/>
        </w:numPr>
        <w:tabs>
          <w:tab w:val="left" w:pos="420"/>
        </w:tabs>
        <w:ind w:firstLine="360" w:firstLineChars="150"/>
        <w:jc w:val="both"/>
        <w:rPr>
          <w:rFonts w:ascii="Times New Roman" w:hAnsi="Times New Roman"/>
        </w:rPr>
      </w:pPr>
      <w:r>
        <w:rPr>
          <w:rFonts w:ascii="Times New Roman" w:hAnsi="Times New Roman"/>
        </w:rPr>
        <w:t>《高含硫化氢气田地面集输系统设计规范》（SY/T 0612-2014）；</w:t>
      </w:r>
    </w:p>
    <w:p>
      <w:pPr>
        <w:numPr>
          <w:ilvl w:val="0"/>
          <w:numId w:val="4"/>
        </w:numPr>
        <w:tabs>
          <w:tab w:val="left" w:pos="420"/>
        </w:tabs>
        <w:ind w:firstLine="360" w:firstLineChars="150"/>
        <w:jc w:val="both"/>
        <w:rPr>
          <w:rFonts w:ascii="Times New Roman" w:hAnsi="Times New Roman"/>
        </w:rPr>
      </w:pPr>
      <w:r>
        <w:rPr>
          <w:rFonts w:ascii="Times New Roman" w:hAnsi="Times New Roman"/>
        </w:rPr>
        <w:t>《硫化氢环境天然气采集与处理安全规范》（SY/T 6137-2017）；</w:t>
      </w:r>
    </w:p>
    <w:p>
      <w:pPr>
        <w:numPr>
          <w:ilvl w:val="0"/>
          <w:numId w:val="4"/>
        </w:numPr>
        <w:tabs>
          <w:tab w:val="left" w:pos="420"/>
        </w:tabs>
        <w:ind w:firstLine="360" w:firstLineChars="150"/>
        <w:jc w:val="both"/>
        <w:rPr>
          <w:rFonts w:ascii="Times New Roman" w:hAnsi="Times New Roman"/>
        </w:rPr>
      </w:pPr>
      <w:r>
        <w:rPr>
          <w:rFonts w:ascii="Times New Roman" w:hAnsi="Times New Roman"/>
        </w:rPr>
        <w:t>《硫化氢环境人身防护规范》（SY/T 6277-2017）；</w:t>
      </w:r>
    </w:p>
    <w:p>
      <w:pPr>
        <w:numPr>
          <w:ilvl w:val="0"/>
          <w:numId w:val="4"/>
        </w:numPr>
        <w:tabs>
          <w:tab w:val="left" w:pos="420"/>
        </w:tabs>
        <w:ind w:firstLine="360" w:firstLineChars="150"/>
        <w:jc w:val="both"/>
        <w:rPr>
          <w:rFonts w:ascii="Times New Roman" w:hAnsi="Times New Roman"/>
        </w:rPr>
      </w:pPr>
      <w:r>
        <w:rPr>
          <w:rFonts w:ascii="Times New Roman" w:hAnsi="Times New Roman"/>
        </w:rPr>
        <w:t>《陆上石油天然气集输环境保护推荐作法》（SY/T 7294-2016）；</w:t>
      </w:r>
    </w:p>
    <w:p>
      <w:pPr>
        <w:numPr>
          <w:ilvl w:val="0"/>
          <w:numId w:val="4"/>
        </w:numPr>
        <w:tabs>
          <w:tab w:val="left" w:pos="420"/>
        </w:tabs>
        <w:ind w:firstLine="360" w:firstLineChars="150"/>
        <w:jc w:val="both"/>
        <w:rPr>
          <w:rFonts w:ascii="Times New Roman" w:hAnsi="Times New Roman"/>
        </w:rPr>
      </w:pPr>
      <w:r>
        <w:rPr>
          <w:rFonts w:ascii="Times New Roman" w:hAnsi="Times New Roman"/>
        </w:rPr>
        <w:t>《油气输送管道风险评价导则》（SY/T 6859-2020）；</w:t>
      </w:r>
    </w:p>
    <w:p>
      <w:pPr>
        <w:numPr>
          <w:ilvl w:val="0"/>
          <w:numId w:val="4"/>
        </w:numPr>
        <w:tabs>
          <w:tab w:val="left" w:pos="420"/>
        </w:tabs>
        <w:ind w:firstLine="360" w:firstLineChars="150"/>
        <w:jc w:val="both"/>
        <w:rPr>
          <w:rFonts w:ascii="Times New Roman" w:hAnsi="Times New Roman"/>
        </w:rPr>
      </w:pPr>
      <w:r>
        <w:rPr>
          <w:rFonts w:ascii="Times New Roman" w:hAnsi="Times New Roman"/>
        </w:rPr>
        <w:t>《石油天然气安全规程》（AQ 2012-2007）；</w:t>
      </w:r>
    </w:p>
    <w:p>
      <w:pPr>
        <w:numPr>
          <w:ilvl w:val="0"/>
          <w:numId w:val="4"/>
        </w:numPr>
        <w:tabs>
          <w:tab w:val="left" w:pos="420"/>
        </w:tabs>
        <w:ind w:firstLine="360" w:firstLineChars="150"/>
        <w:jc w:val="both"/>
        <w:rPr>
          <w:rFonts w:ascii="Times New Roman" w:hAnsi="Times New Roman"/>
        </w:rPr>
      </w:pPr>
      <w:r>
        <w:rPr>
          <w:rFonts w:ascii="Times New Roman" w:hAnsi="Times New Roman"/>
        </w:rPr>
        <w:t>《含硫化氢天然气井失控井口点火时间规定》（AQ 2016-2008）；</w:t>
      </w:r>
    </w:p>
    <w:p>
      <w:pPr>
        <w:numPr>
          <w:ilvl w:val="0"/>
          <w:numId w:val="4"/>
        </w:numPr>
        <w:tabs>
          <w:tab w:val="left" w:pos="420"/>
        </w:tabs>
        <w:ind w:firstLine="360" w:firstLineChars="150"/>
        <w:jc w:val="both"/>
        <w:rPr>
          <w:rFonts w:ascii="Times New Roman" w:hAnsi="Times New Roman"/>
        </w:rPr>
      </w:pPr>
      <w:r>
        <w:rPr>
          <w:rFonts w:ascii="Times New Roman" w:hAnsi="Times New Roman"/>
        </w:rPr>
        <w:t>《含硫化氢天然气井公众危害程度分级方法》（AQ 2017-2008）；</w:t>
      </w:r>
    </w:p>
    <w:p>
      <w:pPr>
        <w:numPr>
          <w:ilvl w:val="0"/>
          <w:numId w:val="4"/>
        </w:numPr>
        <w:tabs>
          <w:tab w:val="left" w:pos="420"/>
        </w:tabs>
        <w:ind w:firstLine="360" w:firstLineChars="150"/>
        <w:jc w:val="both"/>
        <w:rPr>
          <w:rFonts w:ascii="Times New Roman" w:hAnsi="Times New Roman"/>
        </w:rPr>
      </w:pPr>
      <w:r>
        <w:rPr>
          <w:rFonts w:ascii="Times New Roman" w:hAnsi="Times New Roman"/>
        </w:rPr>
        <w:t>《含硫化氢天然气井公众危害防护距离》（AQ 2018-2008）；</w:t>
      </w:r>
    </w:p>
    <w:p>
      <w:pPr>
        <w:numPr>
          <w:ilvl w:val="0"/>
          <w:numId w:val="4"/>
        </w:numPr>
        <w:tabs>
          <w:tab w:val="left" w:pos="420"/>
        </w:tabs>
        <w:ind w:firstLine="360" w:firstLineChars="150"/>
        <w:jc w:val="both"/>
        <w:rPr>
          <w:rFonts w:ascii="Times New Roman" w:hAnsi="Times New Roman"/>
        </w:rPr>
      </w:pPr>
      <w:r>
        <w:rPr>
          <w:rFonts w:ascii="Times New Roman" w:hAnsi="Times New Roman"/>
        </w:rPr>
        <w:t>《石油天然气开采企业二氧化碳排放计算方法》（SY/T 7297-2016）。</w:t>
      </w:r>
    </w:p>
    <w:p>
      <w:pPr>
        <w:pStyle w:val="4"/>
        <w:rPr>
          <w:rFonts w:ascii="Times New Roman" w:hAnsi="Times New Roman" w:cs="Times New Roman"/>
        </w:rPr>
      </w:pPr>
      <w:r>
        <w:rPr>
          <w:rFonts w:ascii="Times New Roman" w:hAnsi="Times New Roman" w:cs="Times New Roman"/>
        </w:rPr>
        <w:t>环境影响评价规范</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《环境影响评价技术导则 总纲》（HJ2.1-2016）；</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《环境影响评价技术导则 大气环境》（HJ2.2-2018）；</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《环境影响评价技术导则 地表水环境》（HJ 2.3-2018）；</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《环境影响评价技术导则 地下水环境》（HJ610-2016）；</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《环境影响评价技术导则 声环境》（HJ2.4-2021）；</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《环境影响评价技术导则 生态影响》（HJ19-2022）；</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《建设项目环境风险评价技术导则》（HJ 169-2018）；</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《环境影响评价技术导则 土壤环境（试行）》（HJ 964-2018）；</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《建设项目危险废物环境影响评价指南》（环境保护部，2017年8月29日）；</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《环境影响评价技术导则 陆地石油天然气开发建设项目》（HJ349-2023）；</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《地下水环境监测技术规范》（HJ164-2020）；</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《固体废物再生利用污染防治技术导则》 （HJ1091-2020）；</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《危险废物收集、贮存、运输技术规范》（HJ2025-2012）；</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《突发环境事件应急监测技术规范》（HJ589-2021）；</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《危险废物管理计划和管理台账制定技术导则》（HJ1259-2022）；</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《排污单位自行监测技术指南 总则》（HJ819-2017）；</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《排污单位自行监测技术指南 陆上石油天然气开采工业》（HJ1248-2022）；</w:t>
      </w:r>
    </w:p>
    <w:p>
      <w:pPr>
        <w:numPr>
          <w:ilvl w:val="0"/>
          <w:numId w:val="5"/>
        </w:numPr>
        <w:tabs>
          <w:tab w:val="left" w:pos="397"/>
        </w:tabs>
        <w:ind w:left="0" w:firstLine="360" w:firstLineChars="150"/>
        <w:jc w:val="both"/>
        <w:rPr>
          <w:rFonts w:ascii="Times New Roman" w:hAnsi="Times New Roman"/>
        </w:rPr>
      </w:pPr>
      <w:r>
        <w:rPr>
          <w:rFonts w:ascii="Times New Roman" w:hAnsi="Times New Roman"/>
        </w:rPr>
        <w:t>《工业企业土壤和地下水自行监测技术指南（试行）》（HJ1209-2021）。</w:t>
      </w:r>
    </w:p>
    <w:p>
      <w:pPr>
        <w:pStyle w:val="4"/>
        <w:rPr>
          <w:rFonts w:ascii="Times New Roman" w:hAnsi="Times New Roman" w:cs="Times New Roman"/>
        </w:rPr>
      </w:pPr>
      <w:r>
        <w:rPr>
          <w:rFonts w:ascii="Times New Roman" w:hAnsi="Times New Roman" w:cs="Times New Roman"/>
        </w:rPr>
        <w:t>本项目相关文件</w:t>
      </w:r>
    </w:p>
    <w:p>
      <w:pPr>
        <w:ind w:firstLine="480"/>
        <w:rPr>
          <w:rFonts w:ascii="Times New Roman" w:hAnsi="Times New Roman"/>
        </w:rPr>
      </w:pPr>
      <w:r>
        <w:rPr>
          <w:rFonts w:ascii="Times New Roman" w:hAnsi="Times New Roman"/>
        </w:rPr>
        <w:t>（1）《西南油气田桃花气田宣探1井组飞仙关组气藏试采方案》；</w:t>
      </w:r>
    </w:p>
    <w:p>
      <w:pPr>
        <w:ind w:firstLine="480"/>
        <w:rPr>
          <w:rFonts w:ascii="Times New Roman" w:hAnsi="Times New Roman"/>
        </w:rPr>
      </w:pPr>
      <w:r>
        <w:rPr>
          <w:rFonts w:ascii="Times New Roman" w:hAnsi="Times New Roman"/>
        </w:rPr>
        <w:t>（2）《西南油气田桃花气田宣探1井组飞仙关组气藏试采初步设计说明书》及图集；</w:t>
      </w:r>
    </w:p>
    <w:p>
      <w:pPr>
        <w:ind w:firstLine="480"/>
        <w:rPr>
          <w:rFonts w:ascii="Times New Roman" w:hAnsi="Times New Roman"/>
        </w:rPr>
      </w:pPr>
      <w:r>
        <w:rPr>
          <w:rFonts w:ascii="Times New Roman" w:hAnsi="Times New Roman"/>
        </w:rPr>
        <w:t>（3）《宣探1井钻井工程环境影响报告表》及其批复（宣环审〔2022〕4号）；</w:t>
      </w:r>
    </w:p>
    <w:p>
      <w:pPr>
        <w:ind w:firstLine="480"/>
        <w:rPr>
          <w:rFonts w:ascii="Times New Roman" w:hAnsi="Times New Roman"/>
        </w:rPr>
      </w:pPr>
      <w:r>
        <w:rPr>
          <w:rFonts w:ascii="Times New Roman" w:hAnsi="Times New Roman"/>
        </w:rPr>
        <w:t>（4）《宣兴1井钻井工程环境影响报告表》及其批复（宣环审〔2023〕15号）；</w:t>
      </w:r>
    </w:p>
    <w:p>
      <w:pPr>
        <w:ind w:firstLine="480"/>
        <w:rPr>
          <w:rFonts w:ascii="Times New Roman" w:hAnsi="Times New Roman"/>
        </w:rPr>
      </w:pPr>
      <w:r>
        <w:rPr>
          <w:rFonts w:ascii="Times New Roman" w:hAnsi="Times New Roman"/>
        </w:rPr>
        <w:t>（5）《宣探1井钻前工程（岩土工程勘察）勘察报告》（2021.12）；</w:t>
      </w:r>
    </w:p>
    <w:p>
      <w:pPr>
        <w:ind w:firstLine="480"/>
        <w:rPr>
          <w:rFonts w:ascii="Times New Roman" w:hAnsi="Times New Roman"/>
        </w:rPr>
      </w:pPr>
      <w:r>
        <w:rPr>
          <w:rFonts w:ascii="Times New Roman" w:hAnsi="Times New Roman"/>
        </w:rPr>
        <w:t>（6）《宣兴1井钻前工程岩土工程勘察报告（详勘阶段）》（2023.3）；</w:t>
      </w:r>
    </w:p>
    <w:p>
      <w:pPr>
        <w:ind w:firstLine="480"/>
        <w:rPr>
          <w:rFonts w:ascii="Times New Roman" w:hAnsi="Times New Roman"/>
        </w:rPr>
      </w:pPr>
      <w:r>
        <w:rPr>
          <w:rFonts w:ascii="Times New Roman" w:hAnsi="Times New Roman"/>
        </w:rPr>
        <w:t>（7）《中国石油天然气股份有限公司西南油气田分公司川东北气矿突发环境事件专项应急预案》及其备案文件；</w:t>
      </w:r>
    </w:p>
    <w:p>
      <w:pPr>
        <w:ind w:firstLine="480"/>
        <w:rPr>
          <w:rFonts w:ascii="Times New Roman" w:hAnsi="Times New Roman"/>
        </w:rPr>
      </w:pPr>
      <w:r>
        <w:rPr>
          <w:rFonts w:ascii="Times New Roman" w:hAnsi="Times New Roman"/>
        </w:rPr>
        <w:t>（8）《四川盆地渡口河-七里北气田飞仙关组气藏开发产能建设项目环境影响报告书》及其批复；</w:t>
      </w:r>
    </w:p>
    <w:p>
      <w:pPr>
        <w:ind w:firstLine="480"/>
        <w:rPr>
          <w:rFonts w:ascii="Times New Roman" w:hAnsi="Times New Roman"/>
        </w:rPr>
      </w:pPr>
      <w:r>
        <w:rPr>
          <w:rFonts w:ascii="Times New Roman" w:hAnsi="Times New Roman"/>
        </w:rPr>
        <w:t>（9）《黄龙5井回注工程环境影响报告表》及其批复、竣工环境保护验收及批复；</w:t>
      </w:r>
    </w:p>
    <w:p>
      <w:pPr>
        <w:ind w:firstLine="480"/>
        <w:rPr>
          <w:rFonts w:ascii="Times New Roman" w:hAnsi="Times New Roman"/>
        </w:rPr>
      </w:pPr>
      <w:r>
        <w:rPr>
          <w:rFonts w:ascii="Times New Roman" w:hAnsi="Times New Roman"/>
        </w:rPr>
        <w:t>（10）《黄龙2井回注工程环境影响报告表》及其批复、竣工环境保护验收及批复；</w:t>
      </w:r>
    </w:p>
    <w:p>
      <w:pPr>
        <w:ind w:firstLine="480"/>
        <w:rPr>
          <w:rFonts w:ascii="Times New Roman" w:hAnsi="Times New Roman"/>
        </w:rPr>
      </w:pPr>
      <w:r>
        <w:rPr>
          <w:rFonts w:ascii="Times New Roman" w:hAnsi="Times New Roman"/>
        </w:rPr>
        <w:t>（11）《蒲西4井废水处理回注工程环境影响报告表》即其批复、竣工环境保护验收及批复；</w:t>
      </w:r>
    </w:p>
    <w:p>
      <w:pPr>
        <w:ind w:firstLine="480"/>
        <w:rPr>
          <w:rFonts w:ascii="Times New Roman" w:hAnsi="Times New Roman"/>
        </w:rPr>
      </w:pPr>
      <w:r>
        <w:rPr>
          <w:rFonts w:ascii="Times New Roman" w:hAnsi="Times New Roman"/>
        </w:rPr>
        <w:t>（12）《黄龙004-X4井地面适应性改造工程环境影响报告表》即其批复、竣工环境保护验收及批复；</w:t>
      </w:r>
    </w:p>
    <w:p>
      <w:pPr>
        <w:ind w:firstLine="480"/>
        <w:rPr>
          <w:rFonts w:ascii="Times New Roman" w:hAnsi="Times New Roman"/>
        </w:rPr>
      </w:pPr>
      <w:r>
        <w:rPr>
          <w:rFonts w:ascii="Times New Roman" w:hAnsi="Times New Roman"/>
        </w:rPr>
        <w:t>（13）建设单位提供的其他相关资料。</w:t>
      </w:r>
    </w:p>
    <w:p>
      <w:pPr>
        <w:pStyle w:val="3"/>
        <w:rPr>
          <w:rFonts w:ascii="Times New Roman" w:hAnsi="Times New Roman" w:cs="Times New Roman"/>
        </w:rPr>
      </w:pPr>
      <w:bookmarkStart w:id="11" w:name="_Toc162339384"/>
      <w:r>
        <w:rPr>
          <w:rFonts w:ascii="Times New Roman" w:hAnsi="Times New Roman" w:cs="Times New Roman"/>
        </w:rPr>
        <w:t>环境影响因子识别和评价因子筛选</w:t>
      </w:r>
      <w:bookmarkEnd w:id="11"/>
    </w:p>
    <w:p>
      <w:pPr>
        <w:pStyle w:val="4"/>
        <w:rPr>
          <w:rFonts w:ascii="Times New Roman" w:hAnsi="Times New Roman" w:cs="Times New Roman"/>
        </w:rPr>
      </w:pPr>
      <w:r>
        <w:rPr>
          <w:rFonts w:ascii="Times New Roman" w:hAnsi="Times New Roman" w:cs="Times New Roman"/>
        </w:rPr>
        <w:t>环境影响因子识别</w:t>
      </w:r>
    </w:p>
    <w:p>
      <w:pPr>
        <w:ind w:firstLine="480"/>
        <w:rPr>
          <w:rFonts w:ascii="Times New Roman" w:hAnsi="Times New Roman"/>
          <w:spacing w:val="-3"/>
        </w:rPr>
      </w:pPr>
      <w:r>
        <w:rPr>
          <w:rFonts w:ascii="Times New Roman" w:hAnsi="Times New Roman"/>
        </w:rPr>
        <w:t>根据工程的特点，</w:t>
      </w:r>
      <w:r>
        <w:rPr>
          <w:rFonts w:ascii="Times New Roman" w:hAnsi="Times New Roman"/>
          <w:spacing w:val="-3"/>
        </w:rPr>
        <w:t>通过分析识别环境影响因素，并依据污染物排放量的大小，筛选各项评价因子。根据本项目主要影响环节与环境要素的相关分析结果，识别出本项目对环境的主要影响因素如下。</w:t>
      </w:r>
    </w:p>
    <w:p>
      <w:pPr>
        <w:ind w:firstLine="468"/>
        <w:rPr>
          <w:rFonts w:ascii="Times New Roman" w:hAnsi="Times New Roman"/>
        </w:rPr>
      </w:pPr>
      <w:r>
        <w:rPr>
          <w:rFonts w:ascii="Times New Roman" w:hAnsi="Times New Roman"/>
          <w:spacing w:val="-3"/>
        </w:rPr>
        <w:t>施工期</w:t>
      </w:r>
      <w:r>
        <w:rPr>
          <w:rFonts w:ascii="Times New Roman" w:hAnsi="Times New Roman"/>
          <w:spacing w:val="-4"/>
        </w:rPr>
        <w:t>主要</w:t>
      </w:r>
      <w:r>
        <w:rPr>
          <w:rFonts w:ascii="Times New Roman" w:hAnsi="Times New Roman"/>
          <w:spacing w:val="-3"/>
        </w:rPr>
        <w:t>环境</w:t>
      </w:r>
      <w:r>
        <w:rPr>
          <w:rFonts w:ascii="Times New Roman" w:hAnsi="Times New Roman"/>
          <w:spacing w:val="-4"/>
        </w:rPr>
        <w:t>影响因素为：施工扬尘、作业机械废气、焊接烟尘、</w:t>
      </w:r>
      <w:r>
        <w:rPr>
          <w:rFonts w:ascii="Times New Roman" w:hAnsi="Times New Roman"/>
          <w:spacing w:val="-5"/>
        </w:rPr>
        <w:t>施工废水、</w:t>
      </w:r>
      <w:r>
        <w:rPr>
          <w:rFonts w:ascii="Times New Roman" w:hAnsi="Times New Roman"/>
        </w:rPr>
        <w:t>施工机械运行噪声、</w:t>
      </w:r>
      <w:r>
        <w:rPr>
          <w:rFonts w:ascii="Times New Roman" w:hAnsi="Times New Roman"/>
          <w:spacing w:val="-5"/>
        </w:rPr>
        <w:t>施工人员生活垃圾、</w:t>
      </w:r>
      <w:r>
        <w:rPr>
          <w:rFonts w:ascii="Times New Roman" w:hAnsi="Times New Roman"/>
        </w:rPr>
        <w:t>废包装物等；施工占地对地表植被、土地利用等影响。</w:t>
      </w:r>
    </w:p>
    <w:p>
      <w:pPr>
        <w:ind w:firstLine="480"/>
        <w:rPr>
          <w:rFonts w:ascii="Times New Roman" w:hAnsi="Times New Roman"/>
        </w:rPr>
      </w:pPr>
      <w:r>
        <w:rPr>
          <w:rFonts w:ascii="Times New Roman" w:hAnsi="Times New Roman"/>
        </w:rPr>
        <w:t>运营期主要环境影响因素为：工艺设施有组织和无组织废气、生产废水、</w:t>
      </w:r>
      <w:r>
        <w:rPr>
          <w:rFonts w:ascii="Times New Roman" w:hAnsi="Times New Roman"/>
          <w:spacing w:val="-3"/>
        </w:rPr>
        <w:t>设备</w:t>
      </w:r>
      <w:r>
        <w:rPr>
          <w:rFonts w:ascii="Times New Roman" w:hAnsi="Times New Roman"/>
          <w:spacing w:val="-8"/>
        </w:rPr>
        <w:t>噪声、固体废物等，以及</w:t>
      </w:r>
      <w:r>
        <w:rPr>
          <w:rFonts w:ascii="Times New Roman" w:hAnsi="Times New Roman"/>
          <w:spacing w:val="-5"/>
        </w:rPr>
        <w:t>突发事故下的环境风险影响。</w:t>
      </w:r>
      <w:r>
        <w:rPr>
          <w:rFonts w:ascii="Times New Roman" w:hAnsi="Times New Roman"/>
        </w:rPr>
        <w:t>本项目对环境的影响因素识别如</w:t>
      </w:r>
      <w:r>
        <w:rPr>
          <w:rFonts w:ascii="Times New Roman" w:hAnsi="Times New Roman"/>
        </w:rPr>
        <w:fldChar w:fldCharType="begin"/>
      </w:r>
      <w:r>
        <w:rPr>
          <w:rFonts w:ascii="Times New Roman" w:hAnsi="Times New Roman"/>
        </w:rPr>
        <w:instrText xml:space="preserve"> REF _Ref130317275 \h  \* MERGEFORMAT </w:instrText>
      </w:r>
      <w:r>
        <w:rPr>
          <w:rFonts w:ascii="Times New Roman" w:hAnsi="Times New Roman"/>
        </w:rPr>
        <w:fldChar w:fldCharType="separate"/>
      </w:r>
      <w:r>
        <w:rPr>
          <w:rFonts w:ascii="Times New Roman" w:hAnsi="Times New Roman"/>
        </w:rPr>
        <w:t>表1</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所示。</w:t>
      </w:r>
    </w:p>
    <w:p>
      <w:pPr>
        <w:pStyle w:val="37"/>
        <w:rPr>
          <w:rFonts w:ascii="Times New Roman" w:hAnsi="Times New Roman" w:cs="Times New Roman"/>
        </w:rPr>
      </w:pPr>
      <w:bookmarkStart w:id="12" w:name="_Ref130317275"/>
      <w:bookmarkStart w:id="13" w:name="_Ref153869910"/>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bookmarkEnd w:id="12"/>
      <w:r>
        <w:rPr>
          <w:rFonts w:ascii="Times New Roman" w:hAnsi="Times New Roman" w:cs="Times New Roman"/>
        </w:rPr>
        <w:t xml:space="preserve"> </w:t>
      </w:r>
      <w:r>
        <w:rPr>
          <w:rFonts w:ascii="Times New Roman" w:hAnsi="Times New Roman" w:cs="Times New Roman"/>
          <w:bCs/>
          <w:kern w:val="0"/>
        </w:rPr>
        <w:t>环境影响因素识别表</w:t>
      </w:r>
      <w:bookmarkEnd w:id="13"/>
    </w:p>
    <w:tbl>
      <w:tblPr>
        <w:tblStyle w:val="28"/>
        <w:tblW w:w="503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267"/>
        <w:gridCol w:w="1147"/>
        <w:gridCol w:w="1755"/>
        <w:gridCol w:w="1418"/>
        <w:gridCol w:w="1418"/>
        <w:gridCol w:w="146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48"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环境要素</w:t>
            </w:r>
          </w:p>
        </w:tc>
        <w:tc>
          <w:tcPr>
            <w:tcW w:w="677"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施工期</w:t>
            </w:r>
          </w:p>
        </w:tc>
        <w:tc>
          <w:tcPr>
            <w:tcW w:w="3576" w:type="pct"/>
            <w:gridSpan w:val="4"/>
            <w:shd w:val="clear" w:color="auto" w:fill="auto"/>
            <w:tcMar>
              <w:left w:w="57" w:type="dxa"/>
              <w:right w:w="57" w:type="dxa"/>
            </w:tcMar>
            <w:vAlign w:val="center"/>
          </w:tcPr>
          <w:p>
            <w:pPr>
              <w:pStyle w:val="39"/>
              <w:rPr>
                <w:rFonts w:ascii="Times New Roman" w:hAnsi="Times New Roman"/>
              </w:rPr>
            </w:pPr>
            <w:r>
              <w:rPr>
                <w:rFonts w:ascii="Times New Roman" w:hAnsi="Times New Roman"/>
              </w:rPr>
              <w:t>运营期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48" w:type="pct"/>
            <w:vMerge w:val="continue"/>
            <w:shd w:val="clear" w:color="auto" w:fill="auto"/>
            <w:tcMar>
              <w:left w:w="57" w:type="dxa"/>
              <w:right w:w="57" w:type="dxa"/>
            </w:tcMar>
            <w:vAlign w:val="center"/>
          </w:tcPr>
          <w:p>
            <w:pPr>
              <w:pStyle w:val="39"/>
              <w:rPr>
                <w:rFonts w:ascii="Times New Roman" w:hAnsi="Times New Roman"/>
              </w:rPr>
            </w:pPr>
          </w:p>
        </w:tc>
        <w:tc>
          <w:tcPr>
            <w:tcW w:w="677" w:type="pct"/>
            <w:vMerge w:val="continue"/>
            <w:shd w:val="clear" w:color="auto" w:fill="auto"/>
            <w:tcMar>
              <w:left w:w="57" w:type="dxa"/>
              <w:right w:w="57" w:type="dxa"/>
            </w:tcMar>
            <w:vAlign w:val="center"/>
          </w:tcPr>
          <w:p>
            <w:pPr>
              <w:pStyle w:val="39"/>
              <w:rPr>
                <w:rFonts w:ascii="Times New Roman" w:hAnsi="Times New Roman"/>
              </w:rPr>
            </w:pPr>
          </w:p>
        </w:tc>
        <w:tc>
          <w:tcPr>
            <w:tcW w:w="1036"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废气</w:t>
            </w:r>
          </w:p>
        </w:tc>
        <w:tc>
          <w:tcPr>
            <w:tcW w:w="837"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废水</w:t>
            </w:r>
          </w:p>
        </w:tc>
        <w:tc>
          <w:tcPr>
            <w:tcW w:w="837" w:type="pct"/>
          </w:tcPr>
          <w:p>
            <w:pPr>
              <w:pStyle w:val="39"/>
              <w:rPr>
                <w:rFonts w:ascii="Times New Roman" w:hAnsi="Times New Roman"/>
              </w:rPr>
            </w:pPr>
            <w:r>
              <w:rPr>
                <w:rFonts w:ascii="Times New Roman" w:hAnsi="Times New Roman"/>
              </w:rPr>
              <w:t>固体废物</w:t>
            </w:r>
          </w:p>
        </w:tc>
        <w:tc>
          <w:tcPr>
            <w:tcW w:w="866" w:type="pct"/>
          </w:tcPr>
          <w:p>
            <w:pPr>
              <w:pStyle w:val="39"/>
              <w:rPr>
                <w:rFonts w:ascii="Times New Roman" w:hAnsi="Times New Roman"/>
              </w:rPr>
            </w:pPr>
            <w:r>
              <w:rPr>
                <w:rFonts w:ascii="Times New Roman" w:hAnsi="Times New Roman"/>
              </w:rPr>
              <w:t>噪声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48"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大气环境</w:t>
            </w:r>
          </w:p>
        </w:tc>
        <w:tc>
          <w:tcPr>
            <w:tcW w:w="677"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-S1</w:t>
            </w:r>
            <w:r>
              <w:rPr>
                <w:rFonts w:ascii="Segoe UI Symbol" w:hAnsi="Segoe UI Symbol" w:cs="Segoe UI Symbol"/>
              </w:rPr>
              <w:t>★</w:t>
            </w:r>
            <w:r>
              <w:rPr>
                <w:rFonts w:ascii="Times New Roman" w:hAnsi="Times New Roman"/>
              </w:rPr>
              <w:t>○</w:t>
            </w:r>
          </w:p>
        </w:tc>
        <w:tc>
          <w:tcPr>
            <w:tcW w:w="1036"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-L1</w:t>
            </w:r>
            <w:r>
              <w:rPr>
                <w:rFonts w:ascii="Segoe UI Symbol" w:hAnsi="Segoe UI Symbol" w:cs="Segoe UI Symbol"/>
              </w:rPr>
              <w:t>★</w:t>
            </w:r>
            <w:r>
              <w:rPr>
                <w:rFonts w:ascii="Times New Roman" w:hAnsi="Times New Roman"/>
              </w:rPr>
              <w:t>○</w:t>
            </w:r>
          </w:p>
        </w:tc>
        <w:tc>
          <w:tcPr>
            <w:tcW w:w="837" w:type="pct"/>
            <w:shd w:val="clear" w:color="auto" w:fill="auto"/>
            <w:tcMar>
              <w:left w:w="57" w:type="dxa"/>
              <w:right w:w="57" w:type="dxa"/>
            </w:tcMar>
            <w:vAlign w:val="center"/>
          </w:tcPr>
          <w:p>
            <w:pPr>
              <w:pStyle w:val="39"/>
              <w:rPr>
                <w:rFonts w:ascii="Times New Roman" w:hAnsi="Times New Roman"/>
              </w:rPr>
            </w:pPr>
          </w:p>
        </w:tc>
        <w:tc>
          <w:tcPr>
            <w:tcW w:w="837" w:type="pct"/>
          </w:tcPr>
          <w:p>
            <w:pPr>
              <w:pStyle w:val="39"/>
              <w:rPr>
                <w:rFonts w:ascii="Times New Roman" w:hAnsi="Times New Roman"/>
              </w:rPr>
            </w:pPr>
          </w:p>
        </w:tc>
        <w:tc>
          <w:tcPr>
            <w:tcW w:w="866" w:type="pct"/>
          </w:tcPr>
          <w:p>
            <w:pPr>
              <w:pStyle w:val="39"/>
              <w:rPr>
                <w:rFonts w:ascii="Times New Roman" w:hAnsi="Times New Roma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48"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地表水环境</w:t>
            </w:r>
          </w:p>
        </w:tc>
        <w:tc>
          <w:tcPr>
            <w:tcW w:w="677"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-S1</w:t>
            </w:r>
            <w:r>
              <w:rPr>
                <w:rFonts w:ascii="Segoe UI Symbol" w:hAnsi="Segoe UI Symbol" w:cs="Segoe UI Symbol"/>
              </w:rPr>
              <w:t>★</w:t>
            </w:r>
            <w:r>
              <w:rPr>
                <w:rFonts w:ascii="Times New Roman" w:hAnsi="Times New Roman"/>
              </w:rPr>
              <w:t>○</w:t>
            </w:r>
          </w:p>
        </w:tc>
        <w:tc>
          <w:tcPr>
            <w:tcW w:w="1036" w:type="pct"/>
            <w:shd w:val="clear" w:color="auto" w:fill="auto"/>
            <w:tcMar>
              <w:left w:w="57" w:type="dxa"/>
              <w:right w:w="57" w:type="dxa"/>
            </w:tcMar>
            <w:vAlign w:val="center"/>
          </w:tcPr>
          <w:p>
            <w:pPr>
              <w:pStyle w:val="39"/>
              <w:rPr>
                <w:rFonts w:ascii="Times New Roman" w:hAnsi="Times New Roman"/>
              </w:rPr>
            </w:pPr>
          </w:p>
        </w:tc>
        <w:tc>
          <w:tcPr>
            <w:tcW w:w="837"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-L1</w:t>
            </w:r>
            <w:r>
              <w:rPr>
                <w:rFonts w:ascii="Segoe UI Symbol" w:hAnsi="Segoe UI Symbol" w:cs="Segoe UI Symbol"/>
              </w:rPr>
              <w:t>★</w:t>
            </w:r>
            <w:r>
              <w:rPr>
                <w:rFonts w:ascii="Times New Roman" w:hAnsi="Times New Roman"/>
              </w:rPr>
              <w:t>●</w:t>
            </w:r>
          </w:p>
        </w:tc>
        <w:tc>
          <w:tcPr>
            <w:tcW w:w="837" w:type="pct"/>
          </w:tcPr>
          <w:p>
            <w:pPr>
              <w:pStyle w:val="39"/>
              <w:rPr>
                <w:rFonts w:ascii="Times New Roman" w:hAnsi="Times New Roman"/>
              </w:rPr>
            </w:pPr>
          </w:p>
        </w:tc>
        <w:tc>
          <w:tcPr>
            <w:tcW w:w="866" w:type="pct"/>
          </w:tcPr>
          <w:p>
            <w:pPr>
              <w:pStyle w:val="39"/>
              <w:rPr>
                <w:rFonts w:ascii="Times New Roman" w:hAnsi="Times New Roma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48"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地下水环境</w:t>
            </w:r>
          </w:p>
        </w:tc>
        <w:tc>
          <w:tcPr>
            <w:tcW w:w="677" w:type="pct"/>
            <w:shd w:val="clear" w:color="auto" w:fill="auto"/>
            <w:tcMar>
              <w:left w:w="57" w:type="dxa"/>
              <w:right w:w="57" w:type="dxa"/>
            </w:tcMar>
            <w:vAlign w:val="center"/>
          </w:tcPr>
          <w:p>
            <w:pPr>
              <w:pStyle w:val="39"/>
              <w:rPr>
                <w:rFonts w:ascii="Times New Roman" w:hAnsi="Times New Roman"/>
              </w:rPr>
            </w:pPr>
          </w:p>
        </w:tc>
        <w:tc>
          <w:tcPr>
            <w:tcW w:w="1036" w:type="pct"/>
            <w:shd w:val="clear" w:color="auto" w:fill="auto"/>
            <w:tcMar>
              <w:left w:w="57" w:type="dxa"/>
              <w:right w:w="57" w:type="dxa"/>
            </w:tcMar>
            <w:vAlign w:val="center"/>
          </w:tcPr>
          <w:p>
            <w:pPr>
              <w:pStyle w:val="39"/>
              <w:rPr>
                <w:rFonts w:ascii="Times New Roman" w:hAnsi="Times New Roman"/>
              </w:rPr>
            </w:pPr>
          </w:p>
        </w:tc>
        <w:tc>
          <w:tcPr>
            <w:tcW w:w="837"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-L1</w:t>
            </w:r>
            <w:r>
              <w:rPr>
                <w:rFonts w:ascii="Segoe UI Symbol" w:hAnsi="Segoe UI Symbol" w:cs="Segoe UI Symbol"/>
              </w:rPr>
              <w:t>★</w:t>
            </w:r>
            <w:r>
              <w:rPr>
                <w:rFonts w:ascii="Times New Roman" w:hAnsi="Times New Roman"/>
              </w:rPr>
              <w:t>●</w:t>
            </w:r>
          </w:p>
        </w:tc>
        <w:tc>
          <w:tcPr>
            <w:tcW w:w="837" w:type="pct"/>
          </w:tcPr>
          <w:p>
            <w:pPr>
              <w:pStyle w:val="39"/>
              <w:rPr>
                <w:rFonts w:ascii="Times New Roman" w:hAnsi="Times New Roman"/>
              </w:rPr>
            </w:pPr>
          </w:p>
        </w:tc>
        <w:tc>
          <w:tcPr>
            <w:tcW w:w="866" w:type="pct"/>
          </w:tcPr>
          <w:p>
            <w:pPr>
              <w:pStyle w:val="39"/>
              <w:rPr>
                <w:rFonts w:ascii="Times New Roman" w:hAnsi="Times New Roma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48"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土壤环境</w:t>
            </w:r>
          </w:p>
        </w:tc>
        <w:tc>
          <w:tcPr>
            <w:tcW w:w="677" w:type="pct"/>
            <w:shd w:val="clear" w:color="auto" w:fill="auto"/>
            <w:tcMar>
              <w:left w:w="57" w:type="dxa"/>
              <w:right w:w="57" w:type="dxa"/>
            </w:tcMar>
            <w:vAlign w:val="center"/>
          </w:tcPr>
          <w:p>
            <w:pPr>
              <w:pStyle w:val="39"/>
              <w:rPr>
                <w:rFonts w:ascii="Times New Roman" w:hAnsi="Times New Roman"/>
              </w:rPr>
            </w:pPr>
          </w:p>
        </w:tc>
        <w:tc>
          <w:tcPr>
            <w:tcW w:w="1036" w:type="pct"/>
            <w:shd w:val="clear" w:color="auto" w:fill="auto"/>
            <w:tcMar>
              <w:left w:w="57" w:type="dxa"/>
              <w:right w:w="57" w:type="dxa"/>
            </w:tcMar>
            <w:vAlign w:val="center"/>
          </w:tcPr>
          <w:p>
            <w:pPr>
              <w:pStyle w:val="39"/>
              <w:rPr>
                <w:rFonts w:ascii="Times New Roman" w:hAnsi="Times New Roman"/>
              </w:rPr>
            </w:pPr>
          </w:p>
        </w:tc>
        <w:tc>
          <w:tcPr>
            <w:tcW w:w="837"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-L1</w:t>
            </w:r>
            <w:r>
              <w:rPr>
                <w:rFonts w:ascii="Segoe UI Symbol" w:hAnsi="Segoe UI Symbol" w:cs="Segoe UI Symbol"/>
              </w:rPr>
              <w:t>★</w:t>
            </w:r>
            <w:r>
              <w:rPr>
                <w:rFonts w:ascii="Times New Roman" w:hAnsi="Times New Roman"/>
              </w:rPr>
              <w:t>●</w:t>
            </w:r>
          </w:p>
        </w:tc>
        <w:tc>
          <w:tcPr>
            <w:tcW w:w="837" w:type="pct"/>
          </w:tcPr>
          <w:p>
            <w:pPr>
              <w:pStyle w:val="39"/>
              <w:rPr>
                <w:rFonts w:ascii="Times New Roman" w:hAnsi="Times New Roman"/>
              </w:rPr>
            </w:pPr>
          </w:p>
        </w:tc>
        <w:tc>
          <w:tcPr>
            <w:tcW w:w="866" w:type="pct"/>
          </w:tcPr>
          <w:p>
            <w:pPr>
              <w:pStyle w:val="39"/>
              <w:rPr>
                <w:rFonts w:ascii="Times New Roman" w:hAnsi="Times New Roma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48"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声环境</w:t>
            </w:r>
          </w:p>
        </w:tc>
        <w:tc>
          <w:tcPr>
            <w:tcW w:w="677"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-S1</w:t>
            </w:r>
            <w:r>
              <w:rPr>
                <w:rFonts w:ascii="Segoe UI Symbol" w:hAnsi="Segoe UI Symbol" w:cs="Segoe UI Symbol"/>
              </w:rPr>
              <w:t>★</w:t>
            </w:r>
            <w:r>
              <w:rPr>
                <w:rFonts w:ascii="Times New Roman" w:hAnsi="Times New Roman"/>
              </w:rPr>
              <w:t>○</w:t>
            </w:r>
          </w:p>
        </w:tc>
        <w:tc>
          <w:tcPr>
            <w:tcW w:w="1036" w:type="pct"/>
            <w:shd w:val="clear" w:color="auto" w:fill="auto"/>
            <w:tcMar>
              <w:left w:w="57" w:type="dxa"/>
              <w:right w:w="57" w:type="dxa"/>
            </w:tcMar>
            <w:vAlign w:val="center"/>
          </w:tcPr>
          <w:p>
            <w:pPr>
              <w:pStyle w:val="39"/>
              <w:rPr>
                <w:rFonts w:ascii="Times New Roman" w:hAnsi="Times New Roman"/>
              </w:rPr>
            </w:pPr>
          </w:p>
        </w:tc>
        <w:tc>
          <w:tcPr>
            <w:tcW w:w="837" w:type="pct"/>
            <w:shd w:val="clear" w:color="auto" w:fill="auto"/>
            <w:tcMar>
              <w:left w:w="57" w:type="dxa"/>
              <w:right w:w="57" w:type="dxa"/>
            </w:tcMar>
            <w:vAlign w:val="center"/>
          </w:tcPr>
          <w:p>
            <w:pPr>
              <w:pStyle w:val="39"/>
              <w:rPr>
                <w:rFonts w:ascii="Times New Roman" w:hAnsi="Times New Roman"/>
              </w:rPr>
            </w:pPr>
          </w:p>
        </w:tc>
        <w:tc>
          <w:tcPr>
            <w:tcW w:w="837" w:type="pct"/>
          </w:tcPr>
          <w:p>
            <w:pPr>
              <w:pStyle w:val="39"/>
              <w:rPr>
                <w:rFonts w:ascii="Times New Roman" w:hAnsi="Times New Roman"/>
              </w:rPr>
            </w:pPr>
          </w:p>
        </w:tc>
        <w:tc>
          <w:tcPr>
            <w:tcW w:w="866" w:type="pct"/>
          </w:tcPr>
          <w:p>
            <w:pPr>
              <w:pStyle w:val="39"/>
              <w:rPr>
                <w:rFonts w:ascii="Times New Roman" w:hAnsi="Times New Roman"/>
              </w:rPr>
            </w:pPr>
            <w:r>
              <w:rPr>
                <w:rFonts w:ascii="Times New Roman" w:hAnsi="Times New Roman"/>
              </w:rPr>
              <w:t>-L1</w:t>
            </w:r>
            <w:r>
              <w:rPr>
                <w:rFonts w:ascii="Segoe UI Symbol" w:hAnsi="Segoe UI Symbol" w:cs="Segoe UI Symbol"/>
              </w:rPr>
              <w:t>★</w:t>
            </w:r>
            <w:r>
              <w:rPr>
                <w:rFonts w:ascii="Times New Roman" w:hAnsi="Times New Roma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48"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环境风险</w:t>
            </w:r>
          </w:p>
        </w:tc>
        <w:tc>
          <w:tcPr>
            <w:tcW w:w="677"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-S1</w:t>
            </w:r>
            <w:r>
              <w:rPr>
                <w:rFonts w:ascii="Segoe UI Symbol" w:hAnsi="Segoe UI Symbol" w:cs="Segoe UI Symbol"/>
              </w:rPr>
              <w:t>★</w:t>
            </w:r>
            <w:r>
              <w:rPr>
                <w:rFonts w:ascii="Times New Roman" w:hAnsi="Times New Roman"/>
              </w:rPr>
              <w:t>○</w:t>
            </w:r>
          </w:p>
        </w:tc>
        <w:tc>
          <w:tcPr>
            <w:tcW w:w="1036"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-S1</w:t>
            </w:r>
            <w:r>
              <w:rPr>
                <w:rFonts w:ascii="Segoe UI Symbol" w:hAnsi="Segoe UI Symbol" w:cs="Segoe UI Symbol"/>
              </w:rPr>
              <w:t>★</w:t>
            </w:r>
            <w:r>
              <w:rPr>
                <w:rFonts w:ascii="Times New Roman" w:hAnsi="Times New Roman"/>
              </w:rPr>
              <w:t>○</w:t>
            </w:r>
          </w:p>
        </w:tc>
        <w:tc>
          <w:tcPr>
            <w:tcW w:w="837"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-S1</w:t>
            </w:r>
            <w:r>
              <w:rPr>
                <w:rFonts w:ascii="Segoe UI Symbol" w:hAnsi="Segoe UI Symbol" w:cs="Segoe UI Symbol"/>
              </w:rPr>
              <w:t>★</w:t>
            </w:r>
            <w:r>
              <w:rPr>
                <w:rFonts w:ascii="Times New Roman" w:hAnsi="Times New Roman"/>
              </w:rPr>
              <w:t>○</w:t>
            </w:r>
          </w:p>
        </w:tc>
        <w:tc>
          <w:tcPr>
            <w:tcW w:w="837" w:type="pct"/>
          </w:tcPr>
          <w:p>
            <w:pPr>
              <w:pStyle w:val="39"/>
              <w:rPr>
                <w:rFonts w:ascii="Times New Roman" w:hAnsi="Times New Roman"/>
              </w:rPr>
            </w:pPr>
          </w:p>
        </w:tc>
        <w:tc>
          <w:tcPr>
            <w:tcW w:w="866" w:type="pct"/>
          </w:tcPr>
          <w:p>
            <w:pPr>
              <w:pStyle w:val="39"/>
              <w:rPr>
                <w:rFonts w:ascii="Times New Roman" w:hAnsi="Times New Roma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48"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生态环境</w:t>
            </w:r>
          </w:p>
        </w:tc>
        <w:tc>
          <w:tcPr>
            <w:tcW w:w="677"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 S1</w:t>
            </w:r>
            <w:r>
              <w:rPr>
                <w:rFonts w:ascii="Segoe UI Symbol" w:hAnsi="Segoe UI Symbol" w:cs="Segoe UI Symbol"/>
              </w:rPr>
              <w:t>★</w:t>
            </w:r>
            <w:r>
              <w:rPr>
                <w:rFonts w:ascii="Times New Roman" w:hAnsi="Times New Roman"/>
              </w:rPr>
              <w:t>○</w:t>
            </w:r>
          </w:p>
        </w:tc>
        <w:tc>
          <w:tcPr>
            <w:tcW w:w="1036" w:type="pct"/>
            <w:shd w:val="clear" w:color="auto" w:fill="auto"/>
            <w:tcMar>
              <w:left w:w="57" w:type="dxa"/>
              <w:right w:w="57" w:type="dxa"/>
            </w:tcMar>
            <w:vAlign w:val="center"/>
          </w:tcPr>
          <w:p>
            <w:pPr>
              <w:pStyle w:val="39"/>
              <w:rPr>
                <w:rFonts w:ascii="Times New Roman" w:hAnsi="Times New Roman"/>
              </w:rPr>
            </w:pPr>
          </w:p>
        </w:tc>
        <w:tc>
          <w:tcPr>
            <w:tcW w:w="837" w:type="pct"/>
            <w:shd w:val="clear" w:color="auto" w:fill="auto"/>
            <w:tcMar>
              <w:left w:w="57" w:type="dxa"/>
              <w:right w:w="57" w:type="dxa"/>
            </w:tcMar>
            <w:vAlign w:val="center"/>
          </w:tcPr>
          <w:p>
            <w:pPr>
              <w:pStyle w:val="39"/>
              <w:rPr>
                <w:rFonts w:ascii="Times New Roman" w:hAnsi="Times New Roman"/>
              </w:rPr>
            </w:pPr>
          </w:p>
        </w:tc>
        <w:tc>
          <w:tcPr>
            <w:tcW w:w="837" w:type="pct"/>
          </w:tcPr>
          <w:p>
            <w:pPr>
              <w:pStyle w:val="39"/>
              <w:rPr>
                <w:rFonts w:ascii="Times New Roman" w:hAnsi="Times New Roman"/>
              </w:rPr>
            </w:pPr>
            <w:r>
              <w:rPr>
                <w:rFonts w:ascii="Times New Roman" w:hAnsi="Times New Roman"/>
              </w:rPr>
              <w:t>-S1</w:t>
            </w:r>
            <w:r>
              <w:rPr>
                <w:rFonts w:ascii="Segoe UI Symbol" w:hAnsi="Segoe UI Symbol" w:cs="Segoe UI Symbol"/>
              </w:rPr>
              <w:t>★</w:t>
            </w:r>
            <w:r>
              <w:rPr>
                <w:rFonts w:ascii="Times New Roman" w:hAnsi="Times New Roman"/>
              </w:rPr>
              <w:t>○</w:t>
            </w:r>
          </w:p>
        </w:tc>
        <w:tc>
          <w:tcPr>
            <w:tcW w:w="866" w:type="pct"/>
          </w:tcPr>
          <w:p>
            <w:pPr>
              <w:pStyle w:val="39"/>
              <w:rPr>
                <w:rFonts w:ascii="Times New Roman" w:hAnsi="Times New Roma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00" w:type="pct"/>
            <w:gridSpan w:val="6"/>
            <w:shd w:val="clear" w:color="auto" w:fill="auto"/>
            <w:tcMar>
              <w:left w:w="57" w:type="dxa"/>
              <w:right w:w="57" w:type="dxa"/>
            </w:tcMar>
            <w:vAlign w:val="center"/>
          </w:tcPr>
          <w:p>
            <w:pPr>
              <w:pStyle w:val="39"/>
              <w:rPr>
                <w:rFonts w:ascii="Times New Roman" w:hAnsi="Times New Roman"/>
              </w:rPr>
            </w:pPr>
            <w:r>
              <w:rPr>
                <w:rFonts w:ascii="Times New Roman" w:hAnsi="Times New Roman"/>
              </w:rPr>
              <w:t>注：＋：有利影响，－：不利影响；S：短期影响，L：长期影响；1：可逆影响，2：不可逆；</w:t>
            </w:r>
            <w:r>
              <w:rPr>
                <w:rFonts w:ascii="Segoe UI Symbol" w:hAnsi="Segoe UI Symbol" w:cs="Segoe UI Symbol"/>
              </w:rPr>
              <w:t>★</w:t>
            </w:r>
            <w:r>
              <w:rPr>
                <w:rFonts w:ascii="Times New Roman" w:hAnsi="Times New Roman"/>
              </w:rPr>
              <w:t>：直接影响，</w:t>
            </w:r>
            <w:r>
              <w:rPr>
                <w:rFonts w:ascii="Segoe UI Symbol" w:hAnsi="Segoe UI Symbol" w:cs="Segoe UI Symbol"/>
              </w:rPr>
              <w:t>☆</w:t>
            </w:r>
            <w:r>
              <w:rPr>
                <w:rFonts w:ascii="Times New Roman" w:hAnsi="Times New Roman"/>
              </w:rPr>
              <w:t>：间接影响；●：累积影响，○：非累积影响</w:t>
            </w:r>
          </w:p>
        </w:tc>
      </w:tr>
    </w:tbl>
    <w:p>
      <w:pPr>
        <w:ind w:firstLine="480"/>
        <w:rPr>
          <w:rFonts w:ascii="Times New Roman" w:hAnsi="Times New Roman"/>
        </w:rPr>
      </w:pPr>
    </w:p>
    <w:p>
      <w:pPr>
        <w:pStyle w:val="4"/>
        <w:rPr>
          <w:rFonts w:ascii="Times New Roman" w:hAnsi="Times New Roman" w:cs="Times New Roman"/>
        </w:rPr>
      </w:pPr>
      <w:r>
        <w:rPr>
          <w:rFonts w:ascii="Times New Roman" w:hAnsi="Times New Roman" w:cs="Times New Roman"/>
        </w:rPr>
        <w:t>评价因子筛选</w:t>
      </w:r>
    </w:p>
    <w:p>
      <w:pPr>
        <w:ind w:firstLine="480"/>
        <w:rPr>
          <w:rFonts w:ascii="Times New Roman" w:hAnsi="Times New Roman"/>
        </w:rPr>
      </w:pPr>
      <w:r>
        <w:rPr>
          <w:rFonts w:ascii="Times New Roman" w:hAnsi="Times New Roman"/>
        </w:rPr>
        <w:t>（1）根据</w:t>
      </w:r>
      <w:r>
        <w:rPr>
          <w:rFonts w:ascii="Times New Roman" w:hAnsi="Times New Roman"/>
        </w:rPr>
        <w:fldChar w:fldCharType="begin"/>
      </w:r>
      <w:r>
        <w:rPr>
          <w:rFonts w:ascii="Times New Roman" w:hAnsi="Times New Roman"/>
        </w:rPr>
        <w:instrText xml:space="preserve"> REF _Ref130317275 \h  \* MERGEFORMAT </w:instrText>
      </w:r>
      <w:r>
        <w:rPr>
          <w:rFonts w:ascii="Times New Roman" w:hAnsi="Times New Roman"/>
        </w:rPr>
        <w:fldChar w:fldCharType="separate"/>
      </w:r>
      <w:r>
        <w:rPr>
          <w:rFonts w:ascii="Times New Roman" w:hAnsi="Times New Roman"/>
        </w:rPr>
        <w:t>表1</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，本项目筛选出的环境影响评价因子见</w:t>
      </w:r>
      <w:r>
        <w:rPr>
          <w:rFonts w:ascii="Times New Roman" w:hAnsi="Times New Roman"/>
        </w:rPr>
        <w:fldChar w:fldCharType="begin"/>
      </w:r>
      <w:r>
        <w:rPr>
          <w:rFonts w:ascii="Times New Roman" w:hAnsi="Times New Roman"/>
        </w:rPr>
        <w:instrText xml:space="preserve"> REF _Ref153870088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2</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4" w:name="_Ref153870088"/>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bookmarkEnd w:id="14"/>
      <w:r>
        <w:rPr>
          <w:rFonts w:ascii="Times New Roman" w:hAnsi="Times New Roman" w:cs="Times New Roman"/>
        </w:rPr>
        <w:t xml:space="preserve">  环境影响评价因子一览表（不含生态）</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8"/>
        <w:gridCol w:w="1843"/>
        <w:gridCol w:w="46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Align w:val="center"/>
          </w:tcPr>
          <w:p>
            <w:pPr>
              <w:pStyle w:val="39"/>
              <w:rPr>
                <w:rFonts w:ascii="Times New Roman" w:hAnsi="Times New Roman"/>
              </w:rPr>
            </w:pPr>
            <w:r>
              <w:rPr>
                <w:rFonts w:ascii="Times New Roman" w:hAnsi="Times New Roman"/>
              </w:rPr>
              <w:t>评价时段</w:t>
            </w:r>
          </w:p>
        </w:tc>
        <w:tc>
          <w:tcPr>
            <w:tcW w:w="1843" w:type="dxa"/>
            <w:vAlign w:val="center"/>
          </w:tcPr>
          <w:p>
            <w:pPr>
              <w:pStyle w:val="39"/>
              <w:rPr>
                <w:rFonts w:ascii="Times New Roman" w:hAnsi="Times New Roman"/>
              </w:rPr>
            </w:pPr>
            <w:r>
              <w:rPr>
                <w:rFonts w:ascii="Times New Roman" w:hAnsi="Times New Roman"/>
              </w:rPr>
              <w:t>环境要素</w:t>
            </w:r>
          </w:p>
        </w:tc>
        <w:tc>
          <w:tcPr>
            <w:tcW w:w="4615" w:type="dxa"/>
            <w:vAlign w:val="center"/>
          </w:tcPr>
          <w:p>
            <w:pPr>
              <w:pStyle w:val="39"/>
              <w:rPr>
                <w:rFonts w:ascii="Times New Roman" w:hAnsi="Times New Roman"/>
              </w:rPr>
            </w:pPr>
            <w:r>
              <w:rPr>
                <w:rFonts w:ascii="Times New Roman" w:hAnsi="Times New Roman"/>
              </w:rPr>
              <w:t>评价因子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Merge w:val="restart"/>
            <w:vAlign w:val="center"/>
          </w:tcPr>
          <w:p>
            <w:pPr>
              <w:pStyle w:val="39"/>
              <w:rPr>
                <w:rFonts w:ascii="Times New Roman" w:hAnsi="Times New Roman"/>
              </w:rPr>
            </w:pPr>
            <w:r>
              <w:rPr>
                <w:rFonts w:ascii="Times New Roman" w:hAnsi="Times New Roman"/>
              </w:rPr>
              <w:t>环境质量现状</w:t>
            </w:r>
          </w:p>
        </w:tc>
        <w:tc>
          <w:tcPr>
            <w:tcW w:w="1843" w:type="dxa"/>
            <w:vAlign w:val="center"/>
          </w:tcPr>
          <w:p>
            <w:pPr>
              <w:pStyle w:val="39"/>
              <w:rPr>
                <w:rFonts w:ascii="Times New Roman" w:hAnsi="Times New Roman"/>
              </w:rPr>
            </w:pPr>
            <w:r>
              <w:rPr>
                <w:rFonts w:ascii="Times New Roman" w:hAnsi="Times New Roman"/>
              </w:rPr>
              <w:t>环境空气</w:t>
            </w:r>
          </w:p>
        </w:tc>
        <w:tc>
          <w:tcPr>
            <w:tcW w:w="4615" w:type="dxa"/>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r>
              <w:rPr>
                <w:rFonts w:ascii="Times New Roman" w:hAnsi="Times New Roman"/>
              </w:rPr>
              <w:t>、NO</w:t>
            </w:r>
            <w:r>
              <w:rPr>
                <w:rFonts w:ascii="Times New Roman" w:hAnsi="Times New Roman"/>
                <w:vertAlign w:val="subscript"/>
              </w:rPr>
              <w:t>2</w:t>
            </w:r>
            <w:r>
              <w:rPr>
                <w:rFonts w:ascii="Times New Roman" w:hAnsi="Times New Roman"/>
              </w:rPr>
              <w:t>、PM</w:t>
            </w:r>
            <w:r>
              <w:rPr>
                <w:rFonts w:ascii="Times New Roman" w:hAnsi="Times New Roman"/>
                <w:vertAlign w:val="subscript"/>
              </w:rPr>
              <w:t>10</w:t>
            </w:r>
            <w:r>
              <w:rPr>
                <w:rFonts w:ascii="Times New Roman" w:hAnsi="Times New Roman"/>
              </w:rPr>
              <w:t>、PM</w:t>
            </w:r>
            <w:r>
              <w:rPr>
                <w:rFonts w:ascii="Times New Roman" w:hAnsi="Times New Roman"/>
                <w:vertAlign w:val="subscript"/>
              </w:rPr>
              <w:t>2.5</w:t>
            </w:r>
            <w:r>
              <w:rPr>
                <w:rFonts w:ascii="Times New Roman" w:hAnsi="Times New Roman"/>
              </w:rPr>
              <w:t>、CO、O</w:t>
            </w:r>
            <w:r>
              <w:rPr>
                <w:rFonts w:ascii="Times New Roman" w:hAnsi="Times New Roman"/>
                <w:vertAlign w:val="subscript"/>
              </w:rPr>
              <w:t>3</w:t>
            </w:r>
            <w:r>
              <w:rPr>
                <w:rFonts w:ascii="Times New Roman" w:hAnsi="Times New Roman"/>
              </w:rPr>
              <w:t>、H</w:t>
            </w:r>
            <w:r>
              <w:rPr>
                <w:rFonts w:ascii="Times New Roman" w:hAnsi="Times New Roman"/>
                <w:vertAlign w:val="subscript"/>
              </w:rPr>
              <w:t>2</w:t>
            </w:r>
            <w:r>
              <w:rPr>
                <w:rFonts w:ascii="Times New Roman" w:hAnsi="Times New Roman"/>
              </w:rPr>
              <w:t>S、NMHC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Merge w:val="continue"/>
            <w:vAlign w:val="center"/>
          </w:tcPr>
          <w:p>
            <w:pPr>
              <w:pStyle w:val="39"/>
              <w:rPr>
                <w:rFonts w:ascii="Times New Roman" w:hAnsi="Times New Roman"/>
              </w:rPr>
            </w:pPr>
          </w:p>
        </w:tc>
        <w:tc>
          <w:tcPr>
            <w:tcW w:w="1843" w:type="dxa"/>
            <w:vAlign w:val="center"/>
          </w:tcPr>
          <w:p>
            <w:pPr>
              <w:pStyle w:val="39"/>
              <w:rPr>
                <w:rFonts w:ascii="Times New Roman" w:hAnsi="Times New Roman"/>
              </w:rPr>
            </w:pPr>
            <w:r>
              <w:rPr>
                <w:rFonts w:ascii="Times New Roman" w:hAnsi="Times New Roman"/>
              </w:rPr>
              <w:t>地表水</w:t>
            </w:r>
          </w:p>
        </w:tc>
        <w:tc>
          <w:tcPr>
            <w:tcW w:w="4615" w:type="dxa"/>
            <w:vAlign w:val="center"/>
          </w:tcPr>
          <w:p>
            <w:pPr>
              <w:pStyle w:val="39"/>
              <w:rPr>
                <w:rFonts w:ascii="Times New Roman" w:hAnsi="Times New Roman"/>
              </w:rPr>
            </w:pPr>
            <w:r>
              <w:rPr>
                <w:rFonts w:ascii="Times New Roman" w:hAnsi="Times New Roman"/>
              </w:rPr>
              <w:t>pH 值、悬浮物、COD、BOD</w:t>
            </w:r>
            <w:r>
              <w:rPr>
                <w:rFonts w:ascii="Times New Roman" w:hAnsi="Times New Roman"/>
                <w:vertAlign w:val="subscript"/>
              </w:rPr>
              <w:t>5</w:t>
            </w:r>
            <w:r>
              <w:rPr>
                <w:rFonts w:ascii="Times New Roman" w:hAnsi="Times New Roman"/>
              </w:rPr>
              <w:t>、氨氮、总磷、石油类、挥发酚、硫化物、阴离子表面活性剂、汞、总铬、六价铬、镉、砷、镍、铅。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Merge w:val="continue"/>
            <w:vAlign w:val="center"/>
          </w:tcPr>
          <w:p>
            <w:pPr>
              <w:pStyle w:val="39"/>
              <w:rPr>
                <w:rFonts w:ascii="Times New Roman" w:hAnsi="Times New Roman"/>
              </w:rPr>
            </w:pPr>
          </w:p>
        </w:tc>
        <w:tc>
          <w:tcPr>
            <w:tcW w:w="1843" w:type="dxa"/>
            <w:vAlign w:val="center"/>
          </w:tcPr>
          <w:p>
            <w:pPr>
              <w:pStyle w:val="39"/>
              <w:rPr>
                <w:rFonts w:ascii="Times New Roman" w:hAnsi="Times New Roman"/>
              </w:rPr>
            </w:pPr>
            <w:r>
              <w:rPr>
                <w:rFonts w:ascii="Times New Roman" w:hAnsi="Times New Roman"/>
              </w:rPr>
              <w:t>地下水</w:t>
            </w:r>
          </w:p>
        </w:tc>
        <w:tc>
          <w:tcPr>
            <w:tcW w:w="4615" w:type="dxa"/>
            <w:vAlign w:val="center"/>
          </w:tcPr>
          <w:p>
            <w:pPr>
              <w:pStyle w:val="39"/>
              <w:rPr>
                <w:rFonts w:ascii="Times New Roman" w:hAnsi="Times New Roman"/>
              </w:rPr>
            </w:pPr>
            <w:r>
              <w:rPr>
                <w:rFonts w:ascii="Times New Roman" w:hAnsi="Times New Roman"/>
              </w:rPr>
              <w:t>pH值、总硬度（以CaCO</w:t>
            </w:r>
            <w:r>
              <w:rPr>
                <w:rFonts w:ascii="Times New Roman" w:hAnsi="Times New Roman"/>
                <w:vertAlign w:val="subscript"/>
              </w:rPr>
              <w:t>3</w:t>
            </w:r>
            <w:r>
              <w:rPr>
                <w:rFonts w:ascii="Times New Roman" w:hAnsi="Times New Roman"/>
              </w:rPr>
              <w:t>计）、溶解性总固体、硫酸盐、氯化物、铁、锰、挥发性酚类（以苯酚计）、耗氧量（COD</w:t>
            </w:r>
            <w:r>
              <w:rPr>
                <w:rFonts w:ascii="Times New Roman" w:hAnsi="Times New Roman"/>
                <w:vertAlign w:val="subscript"/>
              </w:rPr>
              <w:t>Mn</w:t>
            </w:r>
            <w:r>
              <w:rPr>
                <w:rFonts w:ascii="Times New Roman" w:hAnsi="Times New Roman"/>
              </w:rPr>
              <w:t>法，以O</w:t>
            </w:r>
            <w:r>
              <w:rPr>
                <w:rFonts w:ascii="Times New Roman" w:hAnsi="Times New Roman"/>
                <w:vertAlign w:val="subscript"/>
              </w:rPr>
              <w:t>2</w:t>
            </w:r>
            <w:r>
              <w:rPr>
                <w:rFonts w:ascii="Times New Roman" w:hAnsi="Times New Roman"/>
              </w:rPr>
              <w:t>计）、氨氮（以N计）、硫化物、钠、总大肠菌群、菌落总数、亚硝酸盐（以N计）、硝酸盐（以N计）、氰化物、氟化物、汞、砷、镉、铬（六价）、铅、钡、石油类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Merge w:val="continue"/>
            <w:vAlign w:val="center"/>
          </w:tcPr>
          <w:p>
            <w:pPr>
              <w:pStyle w:val="39"/>
              <w:rPr>
                <w:rFonts w:ascii="Times New Roman" w:hAnsi="Times New Roman"/>
              </w:rPr>
            </w:pPr>
          </w:p>
        </w:tc>
        <w:tc>
          <w:tcPr>
            <w:tcW w:w="1843" w:type="dxa"/>
            <w:vAlign w:val="center"/>
          </w:tcPr>
          <w:p>
            <w:pPr>
              <w:pStyle w:val="39"/>
              <w:rPr>
                <w:rFonts w:ascii="Times New Roman" w:hAnsi="Times New Roman"/>
              </w:rPr>
            </w:pPr>
            <w:r>
              <w:rPr>
                <w:rFonts w:ascii="Times New Roman" w:hAnsi="Times New Roman"/>
              </w:rPr>
              <w:t>土壤</w:t>
            </w:r>
          </w:p>
        </w:tc>
        <w:tc>
          <w:tcPr>
            <w:tcW w:w="4615" w:type="dxa"/>
            <w:vAlign w:val="center"/>
          </w:tcPr>
          <w:p>
            <w:pPr>
              <w:pStyle w:val="39"/>
              <w:rPr>
                <w:rFonts w:ascii="Times New Roman" w:hAnsi="Times New Roman"/>
              </w:rPr>
            </w:pPr>
            <w:r>
              <w:rPr>
                <w:rFonts w:ascii="Times New Roman" w:hAnsi="Times New Roman"/>
              </w:rPr>
              <w:t>GB 15618基本项目8项、GB36600基本项目45项目、石油烃（C</w:t>
            </w:r>
            <w:r>
              <w:rPr>
                <w:rFonts w:ascii="Times New Roman" w:hAnsi="Times New Roman"/>
                <w:vertAlign w:val="subscript"/>
              </w:rPr>
              <w:t>10</w:t>
            </w:r>
            <w:r>
              <w:rPr>
                <w:rFonts w:ascii="Times New Roman" w:hAnsi="Times New Roman"/>
              </w:rPr>
              <w:t>-C</w:t>
            </w:r>
            <w:r>
              <w:rPr>
                <w:rFonts w:ascii="Times New Roman" w:hAnsi="Times New Roman"/>
                <w:vertAlign w:val="subscript"/>
              </w:rPr>
              <w:t>40</w:t>
            </w: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Merge w:val="continue"/>
            <w:vAlign w:val="center"/>
          </w:tcPr>
          <w:p>
            <w:pPr>
              <w:pStyle w:val="39"/>
              <w:rPr>
                <w:rFonts w:ascii="Times New Roman" w:hAnsi="Times New Roman"/>
              </w:rPr>
            </w:pPr>
          </w:p>
        </w:tc>
        <w:tc>
          <w:tcPr>
            <w:tcW w:w="1843" w:type="dxa"/>
            <w:vAlign w:val="center"/>
          </w:tcPr>
          <w:p>
            <w:pPr>
              <w:pStyle w:val="39"/>
              <w:rPr>
                <w:rFonts w:ascii="Times New Roman" w:hAnsi="Times New Roman"/>
              </w:rPr>
            </w:pPr>
            <w:r>
              <w:rPr>
                <w:rFonts w:ascii="Times New Roman" w:hAnsi="Times New Roman"/>
              </w:rPr>
              <w:t>噪声</w:t>
            </w:r>
          </w:p>
        </w:tc>
        <w:tc>
          <w:tcPr>
            <w:tcW w:w="4615" w:type="dxa"/>
            <w:vAlign w:val="center"/>
          </w:tcPr>
          <w:p>
            <w:pPr>
              <w:pStyle w:val="39"/>
              <w:rPr>
                <w:rFonts w:ascii="Times New Roman" w:hAnsi="Times New Roman"/>
              </w:rPr>
            </w:pPr>
            <w:r>
              <w:rPr>
                <w:rFonts w:ascii="Times New Roman" w:hAnsi="Times New Roman"/>
              </w:rPr>
              <w:t>等效连续A声级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Merge w:val="restart"/>
            <w:vAlign w:val="center"/>
          </w:tcPr>
          <w:p>
            <w:pPr>
              <w:pStyle w:val="39"/>
              <w:rPr>
                <w:rFonts w:ascii="Times New Roman" w:hAnsi="Times New Roman"/>
              </w:rPr>
            </w:pPr>
            <w:r>
              <w:rPr>
                <w:rFonts w:ascii="Times New Roman" w:hAnsi="Times New Roman"/>
              </w:rPr>
              <w:t>环境影响分析</w:t>
            </w:r>
          </w:p>
        </w:tc>
        <w:tc>
          <w:tcPr>
            <w:tcW w:w="1843" w:type="dxa"/>
            <w:vAlign w:val="center"/>
          </w:tcPr>
          <w:p>
            <w:pPr>
              <w:pStyle w:val="39"/>
              <w:rPr>
                <w:rFonts w:ascii="Times New Roman" w:hAnsi="Times New Roman"/>
              </w:rPr>
            </w:pPr>
            <w:r>
              <w:rPr>
                <w:rFonts w:ascii="Times New Roman" w:hAnsi="Times New Roman"/>
              </w:rPr>
              <w:t>环境空气</w:t>
            </w:r>
          </w:p>
        </w:tc>
        <w:tc>
          <w:tcPr>
            <w:tcW w:w="4615" w:type="dxa"/>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r>
              <w:rPr>
                <w:rFonts w:ascii="Times New Roman" w:hAnsi="Times New Roman"/>
              </w:rPr>
              <w:t>、NO</w:t>
            </w:r>
            <w:r>
              <w:rPr>
                <w:rFonts w:ascii="Times New Roman" w:hAnsi="Times New Roman"/>
                <w:vertAlign w:val="subscript"/>
              </w:rPr>
              <w:t>2</w:t>
            </w:r>
            <w:r>
              <w:rPr>
                <w:rFonts w:ascii="Times New Roman" w:hAnsi="Times New Roman"/>
              </w:rPr>
              <w:t>、颗粒物、H</w:t>
            </w:r>
            <w:r>
              <w:rPr>
                <w:rFonts w:ascii="Times New Roman" w:hAnsi="Times New Roman"/>
                <w:vertAlign w:val="subscript"/>
              </w:rPr>
              <w:t>2</w:t>
            </w:r>
            <w:r>
              <w:rPr>
                <w:rFonts w:ascii="Times New Roman" w:hAnsi="Times New Roman"/>
              </w:rPr>
              <w:t>S、NMHC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Merge w:val="continue"/>
            <w:vAlign w:val="center"/>
          </w:tcPr>
          <w:p>
            <w:pPr>
              <w:pStyle w:val="39"/>
              <w:rPr>
                <w:rFonts w:ascii="Times New Roman" w:hAnsi="Times New Roman"/>
              </w:rPr>
            </w:pPr>
          </w:p>
        </w:tc>
        <w:tc>
          <w:tcPr>
            <w:tcW w:w="1843" w:type="dxa"/>
            <w:vAlign w:val="center"/>
          </w:tcPr>
          <w:p>
            <w:pPr>
              <w:pStyle w:val="39"/>
              <w:rPr>
                <w:rFonts w:ascii="Times New Roman" w:hAnsi="Times New Roman"/>
              </w:rPr>
            </w:pPr>
            <w:r>
              <w:rPr>
                <w:rFonts w:ascii="Times New Roman" w:hAnsi="Times New Roman"/>
              </w:rPr>
              <w:t>地表水</w:t>
            </w:r>
          </w:p>
        </w:tc>
        <w:tc>
          <w:tcPr>
            <w:tcW w:w="4615" w:type="dxa"/>
            <w:vAlign w:val="center"/>
          </w:tcPr>
          <w:p>
            <w:pPr>
              <w:pStyle w:val="39"/>
              <w:rPr>
                <w:rFonts w:ascii="Times New Roman" w:hAnsi="Times New Roman"/>
              </w:rPr>
            </w:pPr>
            <w:r>
              <w:rPr>
                <w:rFonts w:ascii="Times New Roman" w:hAnsi="Times New Roman"/>
              </w:rPr>
              <w:t>石油类、氯化物、硫化物、SS、COD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Merge w:val="continue"/>
            <w:vAlign w:val="center"/>
          </w:tcPr>
          <w:p>
            <w:pPr>
              <w:pStyle w:val="39"/>
              <w:rPr>
                <w:rFonts w:ascii="Times New Roman" w:hAnsi="Times New Roman"/>
              </w:rPr>
            </w:pPr>
          </w:p>
        </w:tc>
        <w:tc>
          <w:tcPr>
            <w:tcW w:w="1843" w:type="dxa"/>
            <w:vAlign w:val="center"/>
          </w:tcPr>
          <w:p>
            <w:pPr>
              <w:pStyle w:val="39"/>
              <w:rPr>
                <w:rFonts w:ascii="Times New Roman" w:hAnsi="Times New Roman"/>
              </w:rPr>
            </w:pPr>
            <w:r>
              <w:rPr>
                <w:rFonts w:ascii="Times New Roman" w:hAnsi="Times New Roman"/>
              </w:rPr>
              <w:t>地下水</w:t>
            </w:r>
          </w:p>
        </w:tc>
        <w:tc>
          <w:tcPr>
            <w:tcW w:w="4615" w:type="dxa"/>
            <w:vAlign w:val="center"/>
          </w:tcPr>
          <w:p>
            <w:pPr>
              <w:pStyle w:val="39"/>
              <w:rPr>
                <w:rFonts w:ascii="Times New Roman" w:hAnsi="Times New Roman"/>
              </w:rPr>
            </w:pPr>
            <w:r>
              <w:rPr>
                <w:rFonts w:ascii="Times New Roman" w:hAnsi="Times New Roman"/>
              </w:rPr>
              <w:t>石油类、COD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Merge w:val="continue"/>
            <w:vAlign w:val="center"/>
          </w:tcPr>
          <w:p>
            <w:pPr>
              <w:pStyle w:val="39"/>
              <w:rPr>
                <w:rFonts w:ascii="Times New Roman" w:hAnsi="Times New Roman"/>
              </w:rPr>
            </w:pPr>
          </w:p>
        </w:tc>
        <w:tc>
          <w:tcPr>
            <w:tcW w:w="1843" w:type="dxa"/>
            <w:vAlign w:val="center"/>
          </w:tcPr>
          <w:p>
            <w:pPr>
              <w:pStyle w:val="39"/>
              <w:rPr>
                <w:rFonts w:ascii="Times New Roman" w:hAnsi="Times New Roman"/>
              </w:rPr>
            </w:pPr>
            <w:r>
              <w:rPr>
                <w:rFonts w:ascii="Times New Roman" w:hAnsi="Times New Roman"/>
              </w:rPr>
              <w:t>土壤</w:t>
            </w:r>
          </w:p>
        </w:tc>
        <w:tc>
          <w:tcPr>
            <w:tcW w:w="4615" w:type="dxa"/>
            <w:vAlign w:val="center"/>
          </w:tcPr>
          <w:p>
            <w:pPr>
              <w:pStyle w:val="39"/>
              <w:rPr>
                <w:rFonts w:ascii="Times New Roman" w:hAnsi="Times New Roman"/>
              </w:rPr>
            </w:pPr>
            <w:r>
              <w:rPr>
                <w:rFonts w:ascii="Times New Roman" w:hAnsi="Times New Roman"/>
              </w:rPr>
              <w:t>石油烃（C</w:t>
            </w:r>
            <w:r>
              <w:rPr>
                <w:rFonts w:ascii="Times New Roman" w:hAnsi="Times New Roman"/>
                <w:vertAlign w:val="subscript"/>
              </w:rPr>
              <w:t>10</w:t>
            </w:r>
            <w:r>
              <w:rPr>
                <w:rFonts w:ascii="Times New Roman" w:hAnsi="Times New Roman"/>
              </w:rPr>
              <w:t>-C</w:t>
            </w:r>
            <w:r>
              <w:rPr>
                <w:rFonts w:ascii="Times New Roman" w:hAnsi="Times New Roman"/>
                <w:vertAlign w:val="subscript"/>
              </w:rPr>
              <w:t>40</w:t>
            </w: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Merge w:val="continue"/>
            <w:vAlign w:val="center"/>
          </w:tcPr>
          <w:p>
            <w:pPr>
              <w:pStyle w:val="39"/>
              <w:rPr>
                <w:rFonts w:ascii="Times New Roman" w:hAnsi="Times New Roman"/>
              </w:rPr>
            </w:pPr>
          </w:p>
        </w:tc>
        <w:tc>
          <w:tcPr>
            <w:tcW w:w="1843" w:type="dxa"/>
            <w:vAlign w:val="center"/>
          </w:tcPr>
          <w:p>
            <w:pPr>
              <w:pStyle w:val="39"/>
              <w:rPr>
                <w:rFonts w:ascii="Times New Roman" w:hAnsi="Times New Roman"/>
              </w:rPr>
            </w:pPr>
            <w:r>
              <w:rPr>
                <w:rFonts w:ascii="Times New Roman" w:hAnsi="Times New Roman"/>
              </w:rPr>
              <w:t>噪声</w:t>
            </w:r>
          </w:p>
        </w:tc>
        <w:tc>
          <w:tcPr>
            <w:tcW w:w="4615" w:type="dxa"/>
            <w:vAlign w:val="center"/>
          </w:tcPr>
          <w:p>
            <w:pPr>
              <w:pStyle w:val="39"/>
              <w:rPr>
                <w:rFonts w:ascii="Times New Roman" w:hAnsi="Times New Roman"/>
              </w:rPr>
            </w:pPr>
            <w:r>
              <w:rPr>
                <w:rFonts w:ascii="Times New Roman" w:hAnsi="Times New Roman"/>
              </w:rPr>
              <w:t>等效连续A声级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Merge w:val="continue"/>
            <w:vAlign w:val="center"/>
          </w:tcPr>
          <w:p>
            <w:pPr>
              <w:pStyle w:val="39"/>
              <w:rPr>
                <w:rFonts w:ascii="Times New Roman" w:hAnsi="Times New Roman"/>
              </w:rPr>
            </w:pPr>
          </w:p>
        </w:tc>
        <w:tc>
          <w:tcPr>
            <w:tcW w:w="1843" w:type="dxa"/>
            <w:vAlign w:val="center"/>
          </w:tcPr>
          <w:p>
            <w:pPr>
              <w:pStyle w:val="39"/>
              <w:rPr>
                <w:rFonts w:ascii="Times New Roman" w:hAnsi="Times New Roman"/>
              </w:rPr>
            </w:pPr>
            <w:r>
              <w:rPr>
                <w:rFonts w:ascii="Times New Roman" w:hAnsi="Times New Roman"/>
              </w:rPr>
              <w:t>固体废物</w:t>
            </w:r>
          </w:p>
        </w:tc>
        <w:tc>
          <w:tcPr>
            <w:tcW w:w="4615" w:type="dxa"/>
            <w:vAlign w:val="center"/>
          </w:tcPr>
          <w:p>
            <w:pPr>
              <w:pStyle w:val="39"/>
              <w:rPr>
                <w:rFonts w:ascii="Times New Roman" w:hAnsi="Times New Roman"/>
              </w:rPr>
            </w:pPr>
            <w:r>
              <w:rPr>
                <w:rFonts w:ascii="Times New Roman" w:hAnsi="Times New Roman"/>
              </w:rPr>
              <w:t>危险废物、生活垃圾、一般固废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Merge w:val="continue"/>
            <w:vAlign w:val="center"/>
          </w:tcPr>
          <w:p>
            <w:pPr>
              <w:pStyle w:val="39"/>
              <w:rPr>
                <w:rFonts w:ascii="Times New Roman" w:hAnsi="Times New Roman"/>
              </w:rPr>
            </w:pPr>
          </w:p>
        </w:tc>
        <w:tc>
          <w:tcPr>
            <w:tcW w:w="1843" w:type="dxa"/>
            <w:vAlign w:val="center"/>
          </w:tcPr>
          <w:p>
            <w:pPr>
              <w:pStyle w:val="39"/>
              <w:rPr>
                <w:rFonts w:ascii="Times New Roman" w:hAnsi="Times New Roman"/>
              </w:rPr>
            </w:pPr>
            <w:r>
              <w:rPr>
                <w:rFonts w:ascii="Times New Roman" w:hAnsi="Times New Roman"/>
              </w:rPr>
              <w:t>环境风险</w:t>
            </w:r>
          </w:p>
        </w:tc>
        <w:tc>
          <w:tcPr>
            <w:tcW w:w="4615" w:type="dxa"/>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S、气田水</w:t>
            </w:r>
          </w:p>
        </w:tc>
      </w:tr>
    </w:tbl>
    <w:p>
      <w:pPr>
        <w:ind w:firstLine="480"/>
        <w:rPr>
          <w:rFonts w:ascii="Times New Roman" w:hAnsi="Times New Roman"/>
        </w:rPr>
      </w:pPr>
    </w:p>
    <w:p>
      <w:pPr>
        <w:ind w:firstLine="480"/>
        <w:rPr>
          <w:rFonts w:ascii="Times New Roman" w:hAnsi="Times New Roman"/>
        </w:rPr>
      </w:pPr>
      <w:r>
        <w:rPr>
          <w:rFonts w:ascii="Times New Roman" w:hAnsi="Times New Roman"/>
        </w:rPr>
        <w:t>（2）生态环境影响</w:t>
      </w:r>
    </w:p>
    <w:p>
      <w:pPr>
        <w:ind w:firstLine="480"/>
        <w:rPr>
          <w:rFonts w:ascii="Times New Roman" w:hAnsi="Times New Roman"/>
        </w:rPr>
      </w:pPr>
      <w:r>
        <w:rPr>
          <w:rFonts w:ascii="Times New Roman" w:hAnsi="Times New Roman"/>
        </w:rPr>
        <w:t>本项目生态环境影响主要体现在施工期。工程施工期间对生态环境的影响主要是井站、清管站、阀室永久占地和施工期输气管道临时占地引起的自然地貌的改变和地表自然及人工植被的破坏，进而引起对土地利用的改变，生物量和生产力的变化，由此引发区域生态系统稳定性下降，致使生态环境的破坏及水土流失。</w:t>
      </w:r>
    </w:p>
    <w:p>
      <w:pPr>
        <w:ind w:firstLine="480"/>
        <w:rPr>
          <w:rFonts w:ascii="Times New Roman" w:hAnsi="Times New Roman"/>
        </w:rPr>
      </w:pPr>
      <w:r>
        <w:rPr>
          <w:rFonts w:ascii="Times New Roman" w:hAnsi="Times New Roman"/>
        </w:rPr>
        <w:t>试采期不会带来新的生态影响，受施工期影响的生态环境按相应的环境保护措施，将逐步恢复。</w:t>
      </w:r>
    </w:p>
    <w:p>
      <w:pPr>
        <w:ind w:firstLine="480"/>
        <w:rPr>
          <w:rFonts w:ascii="Times New Roman" w:hAnsi="Times New Roman"/>
        </w:rPr>
      </w:pPr>
      <w:r>
        <w:rPr>
          <w:rFonts w:ascii="Times New Roman" w:hAnsi="Times New Roman"/>
        </w:rPr>
        <w:t>在工程分析和现场调查的基础上，结合本项目的特点，进行项目环境影响识别与评价因子筛选，确定本次评价的重点，生态环境影响因素如下表所示。</w:t>
      </w:r>
    </w:p>
    <w:p>
      <w:pPr>
        <w:ind w:firstLine="480"/>
        <w:rPr>
          <w:rFonts w:ascii="Times New Roman" w:hAnsi="Times New Roman"/>
        </w:rPr>
        <w:sectPr>
          <w:headerReference r:id="rId12" w:type="default"/>
          <w:footerReference r:id="rId13" w:type="default"/>
          <w:pgSz w:w="11906" w:h="16838"/>
          <w:pgMar w:top="1440" w:right="1800" w:bottom="1440" w:left="1800" w:header="851" w:footer="992" w:gutter="0"/>
          <w:pgNumType w:start="1"/>
          <w:cols w:space="425" w:num="1"/>
          <w:docGrid w:type="lines" w:linePitch="312" w:charSpace="0"/>
        </w:sectPr>
      </w:pP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 xml:space="preserve">  生态影响评价因子识别表</w:t>
      </w:r>
    </w:p>
    <w:tbl>
      <w:tblPr>
        <w:tblStyle w:val="67"/>
        <w:tblW w:w="50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8"/>
        <w:gridCol w:w="1174"/>
        <w:gridCol w:w="1175"/>
        <w:gridCol w:w="1175"/>
        <w:gridCol w:w="1463"/>
        <w:gridCol w:w="1068"/>
        <w:gridCol w:w="1085"/>
        <w:gridCol w:w="1088"/>
        <w:gridCol w:w="906"/>
        <w:gridCol w:w="915"/>
        <w:gridCol w:w="926"/>
        <w:gridCol w:w="1022"/>
        <w:gridCol w:w="1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5" w:type="pct"/>
            <w:vMerge w:val="restart"/>
            <w:vAlign w:val="center"/>
          </w:tcPr>
          <w:p>
            <w:pPr>
              <w:pStyle w:val="39"/>
              <w:rPr>
                <w:rFonts w:ascii="Times New Roman" w:hAnsi="Times New Roman"/>
              </w:rPr>
            </w:pPr>
            <w:r>
              <w:rPr>
                <w:rFonts w:ascii="Times New Roman" w:hAnsi="Times New Roman"/>
              </w:rPr>
              <w:t>时段</w:t>
            </w:r>
          </w:p>
        </w:tc>
        <w:tc>
          <w:tcPr>
            <w:tcW w:w="407" w:type="pct"/>
            <w:vMerge w:val="restart"/>
            <w:vAlign w:val="center"/>
          </w:tcPr>
          <w:p>
            <w:pPr>
              <w:pStyle w:val="39"/>
              <w:rPr>
                <w:rFonts w:ascii="Times New Roman" w:hAnsi="Times New Roman"/>
              </w:rPr>
            </w:pPr>
            <w:r>
              <w:rPr>
                <w:rFonts w:ascii="Times New Roman" w:hAnsi="Times New Roman"/>
              </w:rPr>
              <w:t>建设内容</w:t>
            </w:r>
          </w:p>
        </w:tc>
        <w:tc>
          <w:tcPr>
            <w:tcW w:w="4188" w:type="pct"/>
            <w:gridSpan w:val="11"/>
            <w:vAlign w:val="center"/>
          </w:tcPr>
          <w:p>
            <w:pPr>
              <w:pStyle w:val="39"/>
              <w:rPr>
                <w:rFonts w:ascii="Times New Roman" w:hAnsi="Times New Roman"/>
              </w:rPr>
            </w:pPr>
            <w:r>
              <w:rPr>
                <w:rFonts w:ascii="Times New Roman" w:hAnsi="Times New Roman"/>
              </w:rPr>
              <w:t>生态影响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5" w:type="pct"/>
            <w:vMerge w:val="continue"/>
            <w:vAlign w:val="center"/>
          </w:tcPr>
          <w:p>
            <w:pPr>
              <w:pStyle w:val="39"/>
              <w:rPr>
                <w:rFonts w:ascii="Times New Roman" w:hAnsi="Times New Roman"/>
              </w:rPr>
            </w:pPr>
          </w:p>
        </w:tc>
        <w:tc>
          <w:tcPr>
            <w:tcW w:w="407" w:type="pct"/>
            <w:vMerge w:val="continue"/>
            <w:vAlign w:val="center"/>
          </w:tcPr>
          <w:p>
            <w:pPr>
              <w:pStyle w:val="39"/>
              <w:rPr>
                <w:rFonts w:ascii="Times New Roman" w:hAnsi="Times New Roman"/>
              </w:rPr>
            </w:pPr>
          </w:p>
        </w:tc>
        <w:tc>
          <w:tcPr>
            <w:tcW w:w="1321" w:type="pct"/>
            <w:gridSpan w:val="3"/>
            <w:vAlign w:val="center"/>
          </w:tcPr>
          <w:p>
            <w:pPr>
              <w:pStyle w:val="39"/>
              <w:rPr>
                <w:rFonts w:ascii="Times New Roman" w:hAnsi="Times New Roman"/>
              </w:rPr>
            </w:pPr>
            <w:r>
              <w:rPr>
                <w:rFonts w:ascii="Times New Roman" w:hAnsi="Times New Roman"/>
              </w:rPr>
              <w:t>物种</w:t>
            </w:r>
          </w:p>
        </w:tc>
        <w:tc>
          <w:tcPr>
            <w:tcW w:w="1123" w:type="pct"/>
            <w:gridSpan w:val="3"/>
            <w:vAlign w:val="center"/>
          </w:tcPr>
          <w:p>
            <w:pPr>
              <w:pStyle w:val="39"/>
              <w:rPr>
                <w:rFonts w:ascii="Times New Roman" w:hAnsi="Times New Roman"/>
              </w:rPr>
            </w:pPr>
            <w:r>
              <w:rPr>
                <w:rFonts w:ascii="Times New Roman" w:hAnsi="Times New Roman"/>
              </w:rPr>
              <w:t>生境</w:t>
            </w:r>
          </w:p>
        </w:tc>
        <w:tc>
          <w:tcPr>
            <w:tcW w:w="952" w:type="pct"/>
            <w:gridSpan w:val="3"/>
            <w:vAlign w:val="center"/>
          </w:tcPr>
          <w:p>
            <w:pPr>
              <w:pStyle w:val="39"/>
              <w:rPr>
                <w:rFonts w:ascii="Times New Roman" w:hAnsi="Times New Roman"/>
              </w:rPr>
            </w:pPr>
            <w:r>
              <w:rPr>
                <w:rFonts w:ascii="Times New Roman" w:hAnsi="Times New Roman"/>
              </w:rPr>
              <w:t>生态系统</w:t>
            </w:r>
          </w:p>
        </w:tc>
        <w:tc>
          <w:tcPr>
            <w:tcW w:w="354" w:type="pct"/>
            <w:vAlign w:val="center"/>
          </w:tcPr>
          <w:p>
            <w:pPr>
              <w:pStyle w:val="39"/>
              <w:rPr>
                <w:rFonts w:ascii="Times New Roman" w:hAnsi="Times New Roman"/>
              </w:rPr>
            </w:pPr>
            <w:r>
              <w:rPr>
                <w:rFonts w:ascii="Times New Roman" w:hAnsi="Times New Roman"/>
              </w:rPr>
              <w:t>生态敏感区</w:t>
            </w:r>
          </w:p>
        </w:tc>
        <w:tc>
          <w:tcPr>
            <w:tcW w:w="438" w:type="pct"/>
            <w:vAlign w:val="center"/>
          </w:tcPr>
          <w:p>
            <w:pPr>
              <w:pStyle w:val="39"/>
              <w:rPr>
                <w:rFonts w:ascii="Times New Roman" w:hAnsi="Times New Roman"/>
              </w:rPr>
            </w:pPr>
            <w:r>
              <w:rPr>
                <w:rFonts w:ascii="Times New Roman" w:hAnsi="Times New Roman"/>
              </w:rPr>
              <w:t>自然景观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5" w:type="pct"/>
            <w:vMerge w:val="continue"/>
            <w:vAlign w:val="center"/>
          </w:tcPr>
          <w:p>
            <w:pPr>
              <w:pStyle w:val="39"/>
              <w:rPr>
                <w:rFonts w:ascii="Times New Roman" w:hAnsi="Times New Roman"/>
              </w:rPr>
            </w:pPr>
          </w:p>
        </w:tc>
        <w:tc>
          <w:tcPr>
            <w:tcW w:w="407" w:type="pct"/>
            <w:vMerge w:val="continue"/>
            <w:vAlign w:val="center"/>
          </w:tcPr>
          <w:p>
            <w:pPr>
              <w:pStyle w:val="39"/>
              <w:rPr>
                <w:rFonts w:ascii="Times New Roman" w:hAnsi="Times New Roman"/>
              </w:rPr>
            </w:pPr>
          </w:p>
        </w:tc>
        <w:tc>
          <w:tcPr>
            <w:tcW w:w="407" w:type="pct"/>
            <w:vAlign w:val="center"/>
          </w:tcPr>
          <w:p>
            <w:pPr>
              <w:pStyle w:val="39"/>
              <w:rPr>
                <w:rFonts w:ascii="Times New Roman" w:hAnsi="Times New Roman"/>
              </w:rPr>
            </w:pPr>
            <w:r>
              <w:rPr>
                <w:rFonts w:ascii="Times New Roman" w:hAnsi="Times New Roman"/>
              </w:rPr>
              <w:t>分布范围</w:t>
            </w:r>
          </w:p>
        </w:tc>
        <w:tc>
          <w:tcPr>
            <w:tcW w:w="407" w:type="pct"/>
            <w:vAlign w:val="center"/>
          </w:tcPr>
          <w:p>
            <w:pPr>
              <w:pStyle w:val="39"/>
              <w:rPr>
                <w:rFonts w:ascii="Times New Roman" w:hAnsi="Times New Roman"/>
              </w:rPr>
            </w:pPr>
            <w:r>
              <w:rPr>
                <w:rFonts w:ascii="Times New Roman" w:hAnsi="Times New Roman"/>
              </w:rPr>
              <w:t>种群数量</w:t>
            </w:r>
          </w:p>
        </w:tc>
        <w:tc>
          <w:tcPr>
            <w:tcW w:w="507" w:type="pct"/>
            <w:vAlign w:val="center"/>
          </w:tcPr>
          <w:p>
            <w:pPr>
              <w:pStyle w:val="39"/>
              <w:rPr>
                <w:rFonts w:ascii="Times New Roman" w:hAnsi="Times New Roman"/>
              </w:rPr>
            </w:pPr>
            <w:r>
              <w:rPr>
                <w:rFonts w:ascii="Times New Roman" w:hAnsi="Times New Roman"/>
              </w:rPr>
              <w:t>行为</w:t>
            </w:r>
          </w:p>
        </w:tc>
        <w:tc>
          <w:tcPr>
            <w:tcW w:w="370" w:type="pct"/>
            <w:vAlign w:val="center"/>
          </w:tcPr>
          <w:p>
            <w:pPr>
              <w:pStyle w:val="39"/>
              <w:rPr>
                <w:rFonts w:ascii="Times New Roman" w:hAnsi="Times New Roman"/>
              </w:rPr>
            </w:pPr>
            <w:r>
              <w:rPr>
                <w:rFonts w:ascii="Times New Roman" w:hAnsi="Times New Roman"/>
              </w:rPr>
              <w:t>生境面积</w:t>
            </w:r>
          </w:p>
        </w:tc>
        <w:tc>
          <w:tcPr>
            <w:tcW w:w="376" w:type="pct"/>
            <w:vAlign w:val="center"/>
          </w:tcPr>
          <w:p>
            <w:pPr>
              <w:pStyle w:val="39"/>
              <w:rPr>
                <w:rFonts w:ascii="Times New Roman" w:hAnsi="Times New Roman"/>
              </w:rPr>
            </w:pPr>
            <w:r>
              <w:rPr>
                <w:rFonts w:ascii="Times New Roman" w:hAnsi="Times New Roman"/>
              </w:rPr>
              <w:t>生境质量</w:t>
            </w:r>
          </w:p>
        </w:tc>
        <w:tc>
          <w:tcPr>
            <w:tcW w:w="377" w:type="pct"/>
            <w:vAlign w:val="center"/>
          </w:tcPr>
          <w:p>
            <w:pPr>
              <w:pStyle w:val="39"/>
              <w:rPr>
                <w:rFonts w:ascii="Times New Roman" w:hAnsi="Times New Roman"/>
              </w:rPr>
            </w:pPr>
            <w:r>
              <w:rPr>
                <w:rFonts w:ascii="Times New Roman" w:hAnsi="Times New Roman"/>
              </w:rPr>
              <w:t>连通性</w:t>
            </w:r>
          </w:p>
        </w:tc>
        <w:tc>
          <w:tcPr>
            <w:tcW w:w="314" w:type="pct"/>
            <w:vAlign w:val="center"/>
          </w:tcPr>
          <w:p>
            <w:pPr>
              <w:pStyle w:val="39"/>
              <w:rPr>
                <w:rFonts w:ascii="Times New Roman" w:hAnsi="Times New Roman"/>
              </w:rPr>
            </w:pPr>
            <w:r>
              <w:rPr>
                <w:rFonts w:ascii="Times New Roman" w:hAnsi="Times New Roman"/>
              </w:rPr>
              <w:t>植被覆盖度</w:t>
            </w:r>
          </w:p>
        </w:tc>
        <w:tc>
          <w:tcPr>
            <w:tcW w:w="317" w:type="pct"/>
            <w:vAlign w:val="center"/>
          </w:tcPr>
          <w:p>
            <w:pPr>
              <w:pStyle w:val="39"/>
              <w:rPr>
                <w:rFonts w:ascii="Times New Roman" w:hAnsi="Times New Roman"/>
              </w:rPr>
            </w:pPr>
            <w:r>
              <w:rPr>
                <w:rFonts w:ascii="Times New Roman" w:hAnsi="Times New Roman"/>
              </w:rPr>
              <w:t>生物量</w:t>
            </w:r>
          </w:p>
        </w:tc>
        <w:tc>
          <w:tcPr>
            <w:tcW w:w="321" w:type="pct"/>
            <w:vAlign w:val="center"/>
          </w:tcPr>
          <w:p>
            <w:pPr>
              <w:pStyle w:val="39"/>
              <w:rPr>
                <w:rFonts w:ascii="Times New Roman" w:hAnsi="Times New Roman"/>
              </w:rPr>
            </w:pPr>
            <w:r>
              <w:rPr>
                <w:rFonts w:ascii="Times New Roman" w:hAnsi="Times New Roman"/>
              </w:rPr>
              <w:t>生态系统功能</w:t>
            </w:r>
          </w:p>
        </w:tc>
        <w:tc>
          <w:tcPr>
            <w:tcW w:w="354" w:type="pct"/>
            <w:vAlign w:val="center"/>
          </w:tcPr>
          <w:p>
            <w:pPr>
              <w:pStyle w:val="39"/>
              <w:rPr>
                <w:rFonts w:ascii="Times New Roman" w:hAnsi="Times New Roman"/>
              </w:rPr>
            </w:pPr>
            <w:r>
              <w:rPr>
                <w:rFonts w:ascii="Times New Roman" w:hAnsi="Times New Roman"/>
              </w:rPr>
              <w:t>百里峡风景名胜区</w:t>
            </w:r>
          </w:p>
        </w:tc>
        <w:tc>
          <w:tcPr>
            <w:tcW w:w="438" w:type="pct"/>
            <w:vAlign w:val="center"/>
          </w:tcPr>
          <w:p>
            <w:pPr>
              <w:pStyle w:val="39"/>
              <w:rPr>
                <w:rFonts w:ascii="Times New Roman" w:hAnsi="Times New Roman"/>
              </w:rPr>
            </w:pPr>
            <w:r>
              <w:rPr>
                <w:rFonts w:ascii="Times New Roman" w:hAnsi="Times New Roman"/>
              </w:rPr>
              <w:t>完整性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5" w:type="pct"/>
            <w:vMerge w:val="restart"/>
            <w:vAlign w:val="center"/>
          </w:tcPr>
          <w:p>
            <w:pPr>
              <w:pStyle w:val="39"/>
              <w:rPr>
                <w:rFonts w:ascii="Times New Roman" w:hAnsi="Times New Roman"/>
              </w:rPr>
            </w:pPr>
            <w:r>
              <w:rPr>
                <w:rFonts w:ascii="Times New Roman" w:hAnsi="Times New Roman"/>
              </w:rPr>
              <w:t>施工期</w:t>
            </w:r>
          </w:p>
        </w:tc>
        <w:tc>
          <w:tcPr>
            <w:tcW w:w="407" w:type="pct"/>
            <w:vAlign w:val="center"/>
          </w:tcPr>
          <w:p>
            <w:pPr>
              <w:pStyle w:val="39"/>
              <w:rPr>
                <w:rFonts w:ascii="Times New Roman" w:hAnsi="Times New Roman"/>
              </w:rPr>
            </w:pPr>
            <w:r>
              <w:rPr>
                <w:rFonts w:ascii="Times New Roman" w:hAnsi="Times New Roman"/>
              </w:rPr>
              <w:t>集气管道施工</w:t>
            </w:r>
          </w:p>
        </w:tc>
        <w:tc>
          <w:tcPr>
            <w:tcW w:w="407" w:type="pct"/>
            <w:vAlign w:val="center"/>
          </w:tcPr>
          <w:p>
            <w:pPr>
              <w:pStyle w:val="39"/>
              <w:rPr>
                <w:rFonts w:ascii="Times New Roman" w:hAnsi="Times New Roman"/>
              </w:rPr>
            </w:pPr>
            <w:r>
              <w:rPr>
                <w:rFonts w:ascii="Times New Roman" w:hAnsi="Times New Roman"/>
              </w:rPr>
              <w:t>短期/可逆/直接/弱</w:t>
            </w:r>
          </w:p>
        </w:tc>
        <w:tc>
          <w:tcPr>
            <w:tcW w:w="407" w:type="pct"/>
            <w:vAlign w:val="center"/>
          </w:tcPr>
          <w:p>
            <w:pPr>
              <w:pStyle w:val="39"/>
              <w:rPr>
                <w:rFonts w:ascii="Times New Roman" w:hAnsi="Times New Roman"/>
              </w:rPr>
            </w:pPr>
            <w:r>
              <w:rPr>
                <w:rFonts w:ascii="Times New Roman" w:hAnsi="Times New Roman"/>
              </w:rPr>
              <w:t>短期/可逆/间接/弱</w:t>
            </w:r>
          </w:p>
        </w:tc>
        <w:tc>
          <w:tcPr>
            <w:tcW w:w="507" w:type="pct"/>
            <w:vAlign w:val="center"/>
          </w:tcPr>
          <w:p>
            <w:pPr>
              <w:pStyle w:val="39"/>
              <w:rPr>
                <w:rFonts w:ascii="Times New Roman" w:hAnsi="Times New Roman"/>
              </w:rPr>
            </w:pPr>
            <w:r>
              <w:rPr>
                <w:rFonts w:ascii="Times New Roman" w:hAnsi="Times New Roman"/>
              </w:rPr>
              <w:t>短期/可逆/间接/弱</w:t>
            </w:r>
          </w:p>
        </w:tc>
        <w:tc>
          <w:tcPr>
            <w:tcW w:w="370" w:type="pct"/>
            <w:vAlign w:val="center"/>
          </w:tcPr>
          <w:p>
            <w:pPr>
              <w:pStyle w:val="39"/>
              <w:rPr>
                <w:rFonts w:ascii="Times New Roman" w:hAnsi="Times New Roman"/>
              </w:rPr>
            </w:pPr>
            <w:r>
              <w:rPr>
                <w:rFonts w:ascii="Times New Roman" w:hAnsi="Times New Roman"/>
              </w:rPr>
              <w:t>短期/可逆/直接/弱</w:t>
            </w:r>
          </w:p>
        </w:tc>
        <w:tc>
          <w:tcPr>
            <w:tcW w:w="376" w:type="pct"/>
            <w:vAlign w:val="center"/>
          </w:tcPr>
          <w:p>
            <w:pPr>
              <w:pStyle w:val="39"/>
              <w:rPr>
                <w:rFonts w:ascii="Times New Roman" w:hAnsi="Times New Roman"/>
              </w:rPr>
            </w:pPr>
            <w:r>
              <w:rPr>
                <w:rFonts w:ascii="Times New Roman" w:hAnsi="Times New Roman"/>
              </w:rPr>
              <w:t>短期/可逆/间接/弱</w:t>
            </w:r>
          </w:p>
        </w:tc>
        <w:tc>
          <w:tcPr>
            <w:tcW w:w="377" w:type="pct"/>
            <w:vAlign w:val="center"/>
          </w:tcPr>
          <w:p>
            <w:pPr>
              <w:pStyle w:val="39"/>
              <w:rPr>
                <w:rFonts w:ascii="Times New Roman" w:hAnsi="Times New Roman"/>
              </w:rPr>
            </w:pPr>
            <w:r>
              <w:rPr>
                <w:rFonts w:ascii="Times New Roman" w:hAnsi="Times New Roman"/>
              </w:rPr>
              <w:t>短期/可逆/间接/弱</w:t>
            </w:r>
          </w:p>
        </w:tc>
        <w:tc>
          <w:tcPr>
            <w:tcW w:w="314" w:type="pct"/>
            <w:vAlign w:val="center"/>
          </w:tcPr>
          <w:p>
            <w:pPr>
              <w:pStyle w:val="39"/>
              <w:rPr>
                <w:rFonts w:ascii="Times New Roman" w:hAnsi="Times New Roman"/>
              </w:rPr>
            </w:pPr>
            <w:r>
              <w:rPr>
                <w:rFonts w:ascii="Times New Roman" w:hAnsi="Times New Roman"/>
              </w:rPr>
              <w:t>短期/可逆/直接/弱</w:t>
            </w:r>
          </w:p>
        </w:tc>
        <w:tc>
          <w:tcPr>
            <w:tcW w:w="317" w:type="pct"/>
            <w:vAlign w:val="center"/>
          </w:tcPr>
          <w:p>
            <w:pPr>
              <w:pStyle w:val="39"/>
              <w:rPr>
                <w:rFonts w:ascii="Times New Roman" w:hAnsi="Times New Roman"/>
              </w:rPr>
            </w:pPr>
            <w:r>
              <w:rPr>
                <w:rFonts w:ascii="Times New Roman" w:hAnsi="Times New Roman"/>
              </w:rPr>
              <w:t>短期/可逆/直接/弱</w:t>
            </w:r>
          </w:p>
        </w:tc>
        <w:tc>
          <w:tcPr>
            <w:tcW w:w="321" w:type="pct"/>
            <w:vAlign w:val="center"/>
          </w:tcPr>
          <w:p>
            <w:pPr>
              <w:pStyle w:val="39"/>
              <w:rPr>
                <w:rFonts w:ascii="Times New Roman" w:hAnsi="Times New Roman"/>
              </w:rPr>
            </w:pPr>
            <w:r>
              <w:rPr>
                <w:rFonts w:ascii="Times New Roman" w:hAnsi="Times New Roman"/>
              </w:rPr>
              <w:t>短期/可逆/直接/弱</w:t>
            </w:r>
          </w:p>
        </w:tc>
        <w:tc>
          <w:tcPr>
            <w:tcW w:w="354" w:type="pct"/>
            <w:vAlign w:val="center"/>
          </w:tcPr>
          <w:p>
            <w:pPr>
              <w:pStyle w:val="39"/>
              <w:rPr>
                <w:rFonts w:ascii="Times New Roman" w:hAnsi="Times New Roman"/>
                <w:szCs w:val="22"/>
              </w:rPr>
            </w:pPr>
            <w:r>
              <w:rPr>
                <w:rFonts w:ascii="Times New Roman" w:hAnsi="Times New Roman"/>
              </w:rPr>
              <w:t>间接/弱</w:t>
            </w:r>
          </w:p>
        </w:tc>
        <w:tc>
          <w:tcPr>
            <w:tcW w:w="438" w:type="pct"/>
            <w:vAlign w:val="center"/>
          </w:tcPr>
          <w:p>
            <w:pPr>
              <w:pStyle w:val="39"/>
              <w:rPr>
                <w:rFonts w:ascii="Times New Roman" w:hAnsi="Times New Roman"/>
              </w:rPr>
            </w:pPr>
            <w:r>
              <w:rPr>
                <w:rFonts w:ascii="Times New Roman" w:hAnsi="Times New Roman"/>
              </w:rPr>
              <w:t>短期/可逆/直接/弱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5" w:type="pct"/>
            <w:vMerge w:val="continue"/>
            <w:vAlign w:val="center"/>
          </w:tcPr>
          <w:p>
            <w:pPr>
              <w:pStyle w:val="39"/>
              <w:rPr>
                <w:rFonts w:ascii="Times New Roman" w:hAnsi="Times New Roman"/>
              </w:rPr>
            </w:pPr>
          </w:p>
        </w:tc>
        <w:tc>
          <w:tcPr>
            <w:tcW w:w="407" w:type="pct"/>
            <w:vAlign w:val="center"/>
          </w:tcPr>
          <w:p>
            <w:pPr>
              <w:pStyle w:val="39"/>
              <w:rPr>
                <w:rFonts w:ascii="Times New Roman" w:hAnsi="Times New Roman"/>
              </w:rPr>
            </w:pPr>
            <w:r>
              <w:rPr>
                <w:rFonts w:ascii="Times New Roman" w:hAnsi="Times New Roman"/>
              </w:rPr>
              <w:t>井站、清管站、阀室、放空系统施工</w:t>
            </w:r>
          </w:p>
        </w:tc>
        <w:tc>
          <w:tcPr>
            <w:tcW w:w="407" w:type="pct"/>
            <w:vAlign w:val="center"/>
          </w:tcPr>
          <w:p>
            <w:pPr>
              <w:pStyle w:val="39"/>
              <w:rPr>
                <w:rFonts w:ascii="Times New Roman" w:hAnsi="Times New Roman"/>
              </w:rPr>
            </w:pPr>
            <w:r>
              <w:rPr>
                <w:rFonts w:ascii="Times New Roman" w:hAnsi="Times New Roman"/>
              </w:rPr>
              <w:t>长期/不可逆/直接/中</w:t>
            </w:r>
          </w:p>
        </w:tc>
        <w:tc>
          <w:tcPr>
            <w:tcW w:w="407" w:type="pct"/>
            <w:vAlign w:val="center"/>
          </w:tcPr>
          <w:p>
            <w:pPr>
              <w:pStyle w:val="39"/>
              <w:rPr>
                <w:rFonts w:ascii="Times New Roman" w:hAnsi="Times New Roman"/>
              </w:rPr>
            </w:pPr>
            <w:r>
              <w:rPr>
                <w:rFonts w:ascii="Times New Roman" w:hAnsi="Times New Roman"/>
              </w:rPr>
              <w:t>长期/不可逆/直接/弱</w:t>
            </w:r>
          </w:p>
        </w:tc>
        <w:tc>
          <w:tcPr>
            <w:tcW w:w="507" w:type="pct"/>
            <w:vAlign w:val="center"/>
          </w:tcPr>
          <w:p>
            <w:pPr>
              <w:pStyle w:val="39"/>
              <w:rPr>
                <w:rFonts w:ascii="Times New Roman" w:hAnsi="Times New Roman"/>
              </w:rPr>
            </w:pPr>
            <w:r>
              <w:rPr>
                <w:rFonts w:ascii="Times New Roman" w:hAnsi="Times New Roman"/>
              </w:rPr>
              <w:t>长期/不可逆/间接/弱</w:t>
            </w:r>
          </w:p>
        </w:tc>
        <w:tc>
          <w:tcPr>
            <w:tcW w:w="370" w:type="pct"/>
            <w:vAlign w:val="center"/>
          </w:tcPr>
          <w:p>
            <w:pPr>
              <w:pStyle w:val="39"/>
              <w:rPr>
                <w:rFonts w:ascii="Times New Roman" w:hAnsi="Times New Roman"/>
              </w:rPr>
            </w:pPr>
            <w:r>
              <w:rPr>
                <w:rFonts w:ascii="Times New Roman" w:hAnsi="Times New Roman"/>
              </w:rPr>
              <w:t>长期/不可逆/直接/弱</w:t>
            </w:r>
          </w:p>
        </w:tc>
        <w:tc>
          <w:tcPr>
            <w:tcW w:w="376" w:type="pct"/>
            <w:vAlign w:val="center"/>
          </w:tcPr>
          <w:p>
            <w:pPr>
              <w:pStyle w:val="39"/>
              <w:rPr>
                <w:rFonts w:ascii="Times New Roman" w:hAnsi="Times New Roman"/>
              </w:rPr>
            </w:pPr>
            <w:r>
              <w:rPr>
                <w:rFonts w:ascii="Times New Roman" w:hAnsi="Times New Roman"/>
              </w:rPr>
              <w:t>长期/不可逆/直接/弱</w:t>
            </w:r>
          </w:p>
        </w:tc>
        <w:tc>
          <w:tcPr>
            <w:tcW w:w="377" w:type="pct"/>
            <w:vAlign w:val="center"/>
          </w:tcPr>
          <w:p>
            <w:pPr>
              <w:pStyle w:val="39"/>
              <w:rPr>
                <w:rFonts w:ascii="Times New Roman" w:hAnsi="Times New Roman"/>
              </w:rPr>
            </w:pPr>
            <w:r>
              <w:rPr>
                <w:rFonts w:ascii="Times New Roman" w:hAnsi="Times New Roman"/>
              </w:rPr>
              <w:t>长期/不可逆/直接/弱</w:t>
            </w:r>
          </w:p>
        </w:tc>
        <w:tc>
          <w:tcPr>
            <w:tcW w:w="314" w:type="pct"/>
            <w:vAlign w:val="center"/>
          </w:tcPr>
          <w:p>
            <w:pPr>
              <w:pStyle w:val="39"/>
              <w:rPr>
                <w:rFonts w:ascii="Times New Roman" w:hAnsi="Times New Roman"/>
              </w:rPr>
            </w:pPr>
            <w:r>
              <w:rPr>
                <w:rFonts w:ascii="Times New Roman" w:hAnsi="Times New Roman"/>
              </w:rPr>
              <w:t>长期/不可逆/直接/中</w:t>
            </w:r>
          </w:p>
        </w:tc>
        <w:tc>
          <w:tcPr>
            <w:tcW w:w="317" w:type="pct"/>
            <w:vAlign w:val="center"/>
          </w:tcPr>
          <w:p>
            <w:pPr>
              <w:pStyle w:val="39"/>
              <w:rPr>
                <w:rFonts w:ascii="Times New Roman" w:hAnsi="Times New Roman"/>
              </w:rPr>
            </w:pPr>
            <w:r>
              <w:rPr>
                <w:rFonts w:ascii="Times New Roman" w:hAnsi="Times New Roman"/>
              </w:rPr>
              <w:t>长期/不可逆/直接/中</w:t>
            </w:r>
          </w:p>
        </w:tc>
        <w:tc>
          <w:tcPr>
            <w:tcW w:w="321" w:type="pct"/>
            <w:vAlign w:val="center"/>
          </w:tcPr>
          <w:p>
            <w:pPr>
              <w:pStyle w:val="39"/>
              <w:rPr>
                <w:rFonts w:ascii="Times New Roman" w:hAnsi="Times New Roman"/>
              </w:rPr>
            </w:pPr>
            <w:r>
              <w:rPr>
                <w:rFonts w:ascii="Times New Roman" w:hAnsi="Times New Roman"/>
              </w:rPr>
              <w:t>长期/不可逆/直接/弱</w:t>
            </w:r>
          </w:p>
        </w:tc>
        <w:tc>
          <w:tcPr>
            <w:tcW w:w="354" w:type="pct"/>
            <w:vAlign w:val="center"/>
          </w:tcPr>
          <w:p>
            <w:pPr>
              <w:pStyle w:val="39"/>
              <w:rPr>
                <w:rFonts w:ascii="Times New Roman" w:hAnsi="Times New Roman"/>
              </w:rPr>
            </w:pPr>
            <w:r>
              <w:rPr>
                <w:rFonts w:ascii="Times New Roman" w:hAnsi="Times New Roman"/>
              </w:rPr>
              <w:t>间接/弱</w:t>
            </w:r>
          </w:p>
        </w:tc>
        <w:tc>
          <w:tcPr>
            <w:tcW w:w="438" w:type="pct"/>
            <w:vAlign w:val="center"/>
          </w:tcPr>
          <w:p>
            <w:pPr>
              <w:pStyle w:val="39"/>
              <w:rPr>
                <w:rFonts w:ascii="Times New Roman" w:hAnsi="Times New Roman"/>
              </w:rPr>
            </w:pPr>
            <w:r>
              <w:rPr>
                <w:rFonts w:ascii="Times New Roman" w:hAnsi="Times New Roman"/>
              </w:rPr>
              <w:t>长期/不可逆/直接/弱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5" w:type="pct"/>
            <w:vMerge w:val="restart"/>
            <w:vAlign w:val="center"/>
          </w:tcPr>
          <w:p>
            <w:pPr>
              <w:pStyle w:val="39"/>
              <w:rPr>
                <w:rFonts w:ascii="Times New Roman" w:hAnsi="Times New Roman"/>
              </w:rPr>
            </w:pPr>
            <w:r>
              <w:rPr>
                <w:rFonts w:ascii="Times New Roman" w:hAnsi="Times New Roman"/>
              </w:rPr>
              <w:t>运营期</w:t>
            </w:r>
          </w:p>
        </w:tc>
        <w:tc>
          <w:tcPr>
            <w:tcW w:w="407" w:type="pct"/>
            <w:vAlign w:val="center"/>
          </w:tcPr>
          <w:p>
            <w:pPr>
              <w:pStyle w:val="39"/>
              <w:rPr>
                <w:rFonts w:ascii="Times New Roman" w:hAnsi="Times New Roman"/>
              </w:rPr>
            </w:pPr>
            <w:r>
              <w:rPr>
                <w:rFonts w:ascii="Times New Roman" w:hAnsi="Times New Roman"/>
              </w:rPr>
              <w:t>井下开采</w:t>
            </w:r>
          </w:p>
        </w:tc>
        <w:tc>
          <w:tcPr>
            <w:tcW w:w="407" w:type="pct"/>
            <w:vAlign w:val="center"/>
          </w:tcPr>
          <w:p>
            <w:pPr>
              <w:pStyle w:val="39"/>
              <w:rPr>
                <w:rFonts w:ascii="Times New Roman" w:hAnsi="Times New Roman"/>
              </w:rPr>
            </w:pPr>
            <w:r>
              <w:rPr>
                <w:rFonts w:ascii="Times New Roman" w:hAnsi="Times New Roman"/>
              </w:rPr>
              <w:t>长期/不可逆/间接/无</w:t>
            </w:r>
          </w:p>
        </w:tc>
        <w:tc>
          <w:tcPr>
            <w:tcW w:w="407" w:type="pct"/>
            <w:vAlign w:val="center"/>
          </w:tcPr>
          <w:p>
            <w:pPr>
              <w:pStyle w:val="39"/>
              <w:rPr>
                <w:rFonts w:ascii="Times New Roman" w:hAnsi="Times New Roman"/>
              </w:rPr>
            </w:pPr>
            <w:r>
              <w:rPr>
                <w:rFonts w:ascii="Times New Roman" w:hAnsi="Times New Roman"/>
              </w:rPr>
              <w:t>长期/不可逆/间接/无</w:t>
            </w:r>
          </w:p>
        </w:tc>
        <w:tc>
          <w:tcPr>
            <w:tcW w:w="507" w:type="pct"/>
            <w:vAlign w:val="center"/>
          </w:tcPr>
          <w:p>
            <w:pPr>
              <w:pStyle w:val="39"/>
              <w:rPr>
                <w:rFonts w:ascii="Times New Roman" w:hAnsi="Times New Roman"/>
              </w:rPr>
            </w:pPr>
            <w:r>
              <w:rPr>
                <w:rFonts w:ascii="Times New Roman" w:hAnsi="Times New Roman"/>
              </w:rPr>
              <w:t>长期/不可逆/间接/无</w:t>
            </w:r>
          </w:p>
        </w:tc>
        <w:tc>
          <w:tcPr>
            <w:tcW w:w="370" w:type="pct"/>
            <w:vAlign w:val="center"/>
          </w:tcPr>
          <w:p>
            <w:pPr>
              <w:pStyle w:val="39"/>
              <w:rPr>
                <w:rFonts w:ascii="Times New Roman" w:hAnsi="Times New Roman"/>
              </w:rPr>
            </w:pPr>
            <w:r>
              <w:rPr>
                <w:rFonts w:ascii="Times New Roman" w:hAnsi="Times New Roman"/>
              </w:rPr>
              <w:t>长期/不可逆/间接/无</w:t>
            </w:r>
          </w:p>
        </w:tc>
        <w:tc>
          <w:tcPr>
            <w:tcW w:w="376" w:type="pct"/>
            <w:vAlign w:val="center"/>
          </w:tcPr>
          <w:p>
            <w:pPr>
              <w:pStyle w:val="39"/>
              <w:rPr>
                <w:rFonts w:ascii="Times New Roman" w:hAnsi="Times New Roman"/>
              </w:rPr>
            </w:pPr>
            <w:r>
              <w:rPr>
                <w:rFonts w:ascii="Times New Roman" w:hAnsi="Times New Roman"/>
              </w:rPr>
              <w:t>长期/不可逆/间接/无</w:t>
            </w:r>
          </w:p>
        </w:tc>
        <w:tc>
          <w:tcPr>
            <w:tcW w:w="377" w:type="pct"/>
            <w:vAlign w:val="center"/>
          </w:tcPr>
          <w:p>
            <w:pPr>
              <w:pStyle w:val="39"/>
              <w:rPr>
                <w:rFonts w:ascii="Times New Roman" w:hAnsi="Times New Roman"/>
              </w:rPr>
            </w:pPr>
            <w:r>
              <w:rPr>
                <w:rFonts w:ascii="Times New Roman" w:hAnsi="Times New Roman"/>
              </w:rPr>
              <w:t>长期/不可逆/间接/无</w:t>
            </w:r>
          </w:p>
        </w:tc>
        <w:tc>
          <w:tcPr>
            <w:tcW w:w="314" w:type="pct"/>
            <w:vAlign w:val="center"/>
          </w:tcPr>
          <w:p>
            <w:pPr>
              <w:pStyle w:val="39"/>
              <w:rPr>
                <w:rFonts w:ascii="Times New Roman" w:hAnsi="Times New Roman"/>
              </w:rPr>
            </w:pPr>
            <w:r>
              <w:rPr>
                <w:rFonts w:ascii="Times New Roman" w:hAnsi="Times New Roman"/>
              </w:rPr>
              <w:t>长期/不可逆/间接/无</w:t>
            </w:r>
          </w:p>
        </w:tc>
        <w:tc>
          <w:tcPr>
            <w:tcW w:w="317" w:type="pct"/>
            <w:vAlign w:val="center"/>
          </w:tcPr>
          <w:p>
            <w:pPr>
              <w:pStyle w:val="39"/>
              <w:rPr>
                <w:rFonts w:ascii="Times New Roman" w:hAnsi="Times New Roman"/>
              </w:rPr>
            </w:pPr>
            <w:r>
              <w:rPr>
                <w:rFonts w:ascii="Times New Roman" w:hAnsi="Times New Roman"/>
              </w:rPr>
              <w:t>长期/不可逆/间接/无</w:t>
            </w:r>
          </w:p>
        </w:tc>
        <w:tc>
          <w:tcPr>
            <w:tcW w:w="321" w:type="pct"/>
            <w:vAlign w:val="center"/>
          </w:tcPr>
          <w:p>
            <w:pPr>
              <w:pStyle w:val="39"/>
              <w:rPr>
                <w:rFonts w:ascii="Times New Roman" w:hAnsi="Times New Roman"/>
              </w:rPr>
            </w:pPr>
            <w:r>
              <w:rPr>
                <w:rFonts w:ascii="Times New Roman" w:hAnsi="Times New Roman"/>
              </w:rPr>
              <w:t>长期/不可逆/间接/弱</w:t>
            </w:r>
          </w:p>
        </w:tc>
        <w:tc>
          <w:tcPr>
            <w:tcW w:w="354" w:type="pct"/>
            <w:vAlign w:val="center"/>
          </w:tcPr>
          <w:p>
            <w:pPr>
              <w:pStyle w:val="39"/>
              <w:rPr>
                <w:rFonts w:ascii="Times New Roman" w:hAnsi="Times New Roman"/>
                <w:szCs w:val="22"/>
              </w:rPr>
            </w:pPr>
            <w:r>
              <w:rPr>
                <w:rFonts w:ascii="Times New Roman" w:hAnsi="Times New Roman"/>
              </w:rPr>
              <w:t>间接/弱</w:t>
            </w:r>
          </w:p>
        </w:tc>
        <w:tc>
          <w:tcPr>
            <w:tcW w:w="438" w:type="pct"/>
            <w:vAlign w:val="center"/>
          </w:tcPr>
          <w:p>
            <w:pPr>
              <w:pStyle w:val="39"/>
              <w:rPr>
                <w:rFonts w:ascii="Times New Roman" w:hAnsi="Times New Roman"/>
              </w:rPr>
            </w:pPr>
            <w:r>
              <w:rPr>
                <w:rFonts w:ascii="Times New Roman" w:hAnsi="Times New Roman"/>
              </w:rPr>
              <w:t>长期/不可逆/间接/弱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5" w:type="pct"/>
            <w:vMerge w:val="continue"/>
            <w:vAlign w:val="center"/>
          </w:tcPr>
          <w:p>
            <w:pPr>
              <w:pStyle w:val="39"/>
              <w:rPr>
                <w:rFonts w:ascii="Times New Roman" w:hAnsi="Times New Roman"/>
              </w:rPr>
            </w:pPr>
          </w:p>
        </w:tc>
        <w:tc>
          <w:tcPr>
            <w:tcW w:w="407" w:type="pct"/>
            <w:vAlign w:val="center"/>
          </w:tcPr>
          <w:p>
            <w:pPr>
              <w:pStyle w:val="39"/>
              <w:rPr>
                <w:rFonts w:ascii="Times New Roman" w:hAnsi="Times New Roman"/>
              </w:rPr>
            </w:pPr>
            <w:r>
              <w:rPr>
                <w:rFonts w:ascii="Times New Roman" w:hAnsi="Times New Roman"/>
              </w:rPr>
              <w:t>原料气</w:t>
            </w:r>
          </w:p>
          <w:p>
            <w:pPr>
              <w:pStyle w:val="39"/>
              <w:rPr>
                <w:rFonts w:ascii="Times New Roman" w:hAnsi="Times New Roman"/>
              </w:rPr>
            </w:pPr>
            <w:r>
              <w:rPr>
                <w:rFonts w:ascii="Times New Roman" w:hAnsi="Times New Roman"/>
              </w:rPr>
              <w:t>集输</w:t>
            </w:r>
          </w:p>
        </w:tc>
        <w:tc>
          <w:tcPr>
            <w:tcW w:w="407" w:type="pct"/>
            <w:vAlign w:val="center"/>
          </w:tcPr>
          <w:p>
            <w:pPr>
              <w:pStyle w:val="39"/>
              <w:rPr>
                <w:rFonts w:ascii="Times New Roman" w:hAnsi="Times New Roman"/>
              </w:rPr>
            </w:pPr>
            <w:r>
              <w:rPr>
                <w:rFonts w:ascii="Times New Roman" w:hAnsi="Times New Roman"/>
              </w:rPr>
              <w:t>长期/不可逆/间接/无</w:t>
            </w:r>
          </w:p>
        </w:tc>
        <w:tc>
          <w:tcPr>
            <w:tcW w:w="407" w:type="pct"/>
            <w:vAlign w:val="center"/>
          </w:tcPr>
          <w:p>
            <w:pPr>
              <w:pStyle w:val="39"/>
              <w:rPr>
                <w:rFonts w:ascii="Times New Roman" w:hAnsi="Times New Roman"/>
              </w:rPr>
            </w:pPr>
            <w:r>
              <w:rPr>
                <w:rFonts w:ascii="Times New Roman" w:hAnsi="Times New Roman"/>
              </w:rPr>
              <w:t>长期/不可逆/间接/无</w:t>
            </w:r>
          </w:p>
        </w:tc>
        <w:tc>
          <w:tcPr>
            <w:tcW w:w="507" w:type="pct"/>
            <w:vAlign w:val="center"/>
          </w:tcPr>
          <w:p>
            <w:pPr>
              <w:pStyle w:val="39"/>
              <w:rPr>
                <w:rFonts w:ascii="Times New Roman" w:hAnsi="Times New Roman"/>
              </w:rPr>
            </w:pPr>
            <w:r>
              <w:rPr>
                <w:rFonts w:ascii="Times New Roman" w:hAnsi="Times New Roman"/>
              </w:rPr>
              <w:t>长期/不可逆/间接/无</w:t>
            </w:r>
          </w:p>
        </w:tc>
        <w:tc>
          <w:tcPr>
            <w:tcW w:w="370" w:type="pct"/>
            <w:vAlign w:val="center"/>
          </w:tcPr>
          <w:p>
            <w:pPr>
              <w:pStyle w:val="39"/>
              <w:rPr>
                <w:rFonts w:ascii="Times New Roman" w:hAnsi="Times New Roman"/>
              </w:rPr>
            </w:pPr>
            <w:r>
              <w:rPr>
                <w:rFonts w:ascii="Times New Roman" w:hAnsi="Times New Roman"/>
              </w:rPr>
              <w:t>长期/不可逆/间接/无</w:t>
            </w:r>
          </w:p>
        </w:tc>
        <w:tc>
          <w:tcPr>
            <w:tcW w:w="376" w:type="pct"/>
            <w:vAlign w:val="center"/>
          </w:tcPr>
          <w:p>
            <w:pPr>
              <w:pStyle w:val="39"/>
              <w:rPr>
                <w:rFonts w:ascii="Times New Roman" w:hAnsi="Times New Roman"/>
              </w:rPr>
            </w:pPr>
            <w:r>
              <w:rPr>
                <w:rFonts w:ascii="Times New Roman" w:hAnsi="Times New Roman"/>
              </w:rPr>
              <w:t>长期/不可逆/间接/无</w:t>
            </w:r>
          </w:p>
        </w:tc>
        <w:tc>
          <w:tcPr>
            <w:tcW w:w="377" w:type="pct"/>
            <w:vAlign w:val="center"/>
          </w:tcPr>
          <w:p>
            <w:pPr>
              <w:pStyle w:val="39"/>
              <w:rPr>
                <w:rFonts w:ascii="Times New Roman" w:hAnsi="Times New Roman"/>
              </w:rPr>
            </w:pPr>
            <w:r>
              <w:rPr>
                <w:rFonts w:ascii="Times New Roman" w:hAnsi="Times New Roman"/>
              </w:rPr>
              <w:t>长期/不可逆/间接/无</w:t>
            </w:r>
          </w:p>
        </w:tc>
        <w:tc>
          <w:tcPr>
            <w:tcW w:w="314" w:type="pct"/>
            <w:vAlign w:val="center"/>
          </w:tcPr>
          <w:p>
            <w:pPr>
              <w:pStyle w:val="39"/>
              <w:rPr>
                <w:rFonts w:ascii="Times New Roman" w:hAnsi="Times New Roman"/>
              </w:rPr>
            </w:pPr>
            <w:r>
              <w:rPr>
                <w:rFonts w:ascii="Times New Roman" w:hAnsi="Times New Roman"/>
              </w:rPr>
              <w:t>长期/不可逆/间接/无</w:t>
            </w:r>
          </w:p>
        </w:tc>
        <w:tc>
          <w:tcPr>
            <w:tcW w:w="317" w:type="pct"/>
            <w:vAlign w:val="center"/>
          </w:tcPr>
          <w:p>
            <w:pPr>
              <w:pStyle w:val="39"/>
              <w:rPr>
                <w:rFonts w:ascii="Times New Roman" w:hAnsi="Times New Roman"/>
              </w:rPr>
            </w:pPr>
            <w:r>
              <w:rPr>
                <w:rFonts w:ascii="Times New Roman" w:hAnsi="Times New Roman"/>
              </w:rPr>
              <w:t>长期/不可逆/间接/无</w:t>
            </w:r>
          </w:p>
        </w:tc>
        <w:tc>
          <w:tcPr>
            <w:tcW w:w="321" w:type="pct"/>
            <w:vAlign w:val="center"/>
          </w:tcPr>
          <w:p>
            <w:pPr>
              <w:pStyle w:val="39"/>
              <w:rPr>
                <w:rFonts w:ascii="Times New Roman" w:hAnsi="Times New Roman"/>
              </w:rPr>
            </w:pPr>
            <w:r>
              <w:rPr>
                <w:rFonts w:ascii="Times New Roman" w:hAnsi="Times New Roman"/>
              </w:rPr>
              <w:t>长期/不可逆/间接/弱</w:t>
            </w:r>
          </w:p>
        </w:tc>
        <w:tc>
          <w:tcPr>
            <w:tcW w:w="354" w:type="pct"/>
            <w:vAlign w:val="center"/>
          </w:tcPr>
          <w:p>
            <w:pPr>
              <w:pStyle w:val="39"/>
              <w:rPr>
                <w:rFonts w:ascii="Times New Roman" w:hAnsi="Times New Roman"/>
                <w:szCs w:val="22"/>
              </w:rPr>
            </w:pPr>
            <w:r>
              <w:rPr>
                <w:rFonts w:ascii="Times New Roman" w:hAnsi="Times New Roman"/>
              </w:rPr>
              <w:t>间接/弱</w:t>
            </w:r>
          </w:p>
        </w:tc>
        <w:tc>
          <w:tcPr>
            <w:tcW w:w="438" w:type="pct"/>
            <w:vAlign w:val="center"/>
          </w:tcPr>
          <w:p>
            <w:pPr>
              <w:pStyle w:val="39"/>
              <w:rPr>
                <w:rFonts w:ascii="Times New Roman" w:hAnsi="Times New Roman"/>
              </w:rPr>
            </w:pPr>
            <w:r>
              <w:rPr>
                <w:rFonts w:ascii="Times New Roman" w:hAnsi="Times New Roman"/>
              </w:rPr>
              <w:t>长期/不可逆/间接/弱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3"/>
            <w:vAlign w:val="center"/>
          </w:tcPr>
          <w:p>
            <w:pPr>
              <w:pStyle w:val="39"/>
              <w:rPr>
                <w:rFonts w:ascii="Times New Roman" w:hAnsi="Times New Roman"/>
              </w:rPr>
            </w:pPr>
            <w:r>
              <w:rPr>
                <w:rFonts w:ascii="Times New Roman" w:hAnsi="Times New Roman"/>
              </w:rPr>
              <w:t>备注：</w:t>
            </w:r>
            <w:r>
              <w:rPr>
                <w:rFonts w:hint="eastAsia" w:ascii="宋体" w:hAnsi="宋体" w:cs="宋体"/>
              </w:rPr>
              <w:t>①</w:t>
            </w:r>
            <w:r>
              <w:rPr>
                <w:rFonts w:ascii="Times New Roman" w:hAnsi="Times New Roman"/>
              </w:rPr>
              <w:t>影响性质主要包括长期与短期、可逆与不可逆；影响方式分为直接、间接、累积；影响程度分为强、中、弱、无。</w:t>
            </w:r>
          </w:p>
          <w:p>
            <w:pPr>
              <w:pStyle w:val="39"/>
              <w:rPr>
                <w:rFonts w:ascii="Times New Roman" w:hAnsi="Times New Roman"/>
                <w:szCs w:val="22"/>
              </w:rPr>
            </w:pPr>
            <w:r>
              <w:rPr>
                <w:rFonts w:hint="eastAsia" w:ascii="宋体" w:hAnsi="宋体" w:cs="宋体"/>
              </w:rPr>
              <w:t>②</w:t>
            </w:r>
            <w:r>
              <w:rPr>
                <w:rFonts w:ascii="Times New Roman" w:hAnsi="Times New Roman"/>
              </w:rPr>
              <w:t>表中影响为：影响性质/影响方式/影响程度</w:t>
            </w:r>
          </w:p>
        </w:tc>
      </w:tr>
    </w:tbl>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sectPr>
          <w:pgSz w:w="16838" w:h="11906" w:orient="landscape"/>
          <w:pgMar w:top="1797" w:right="1440" w:bottom="1797" w:left="1440" w:header="851" w:footer="992" w:gutter="0"/>
          <w:cols w:space="425" w:num="1"/>
          <w:docGrid w:type="linesAndChars" w:linePitch="312" w:charSpace="0"/>
        </w:sectPr>
      </w:pPr>
    </w:p>
    <w:p>
      <w:pPr>
        <w:pStyle w:val="3"/>
        <w:rPr>
          <w:rFonts w:ascii="Times New Roman" w:hAnsi="Times New Roman" w:cs="Times New Roman"/>
        </w:rPr>
      </w:pPr>
      <w:bookmarkStart w:id="15" w:name="_Toc162339385"/>
      <w:r>
        <w:rPr>
          <w:rFonts w:ascii="Times New Roman" w:hAnsi="Times New Roman" w:cs="Times New Roman"/>
        </w:rPr>
        <w:t>环境功能区划</w:t>
      </w:r>
      <w:bookmarkEnd w:id="15"/>
    </w:p>
    <w:p>
      <w:pPr>
        <w:pStyle w:val="4"/>
        <w:rPr>
          <w:rFonts w:ascii="Times New Roman" w:hAnsi="Times New Roman" w:cs="Times New Roman"/>
        </w:rPr>
      </w:pPr>
      <w:r>
        <w:rPr>
          <w:rFonts w:ascii="Times New Roman" w:hAnsi="Times New Roman" w:cs="Times New Roman"/>
        </w:rPr>
        <w:t>环境空气</w:t>
      </w:r>
    </w:p>
    <w:p>
      <w:pPr>
        <w:ind w:firstLine="480"/>
        <w:rPr>
          <w:rFonts w:ascii="Times New Roman" w:hAnsi="Times New Roman"/>
        </w:rPr>
      </w:pPr>
      <w:r>
        <w:rPr>
          <w:rFonts w:ascii="Times New Roman" w:hAnsi="Times New Roman"/>
        </w:rPr>
        <w:t>项目所在区域属于环境空气质量二类功能区。</w:t>
      </w:r>
    </w:p>
    <w:p>
      <w:pPr>
        <w:pStyle w:val="4"/>
        <w:rPr>
          <w:rFonts w:ascii="Times New Roman" w:hAnsi="Times New Roman" w:cs="Times New Roman"/>
        </w:rPr>
      </w:pPr>
      <w:r>
        <w:rPr>
          <w:rFonts w:ascii="Times New Roman" w:hAnsi="Times New Roman" w:cs="Times New Roman"/>
        </w:rPr>
        <w:t>地表水</w:t>
      </w:r>
    </w:p>
    <w:p>
      <w:pPr>
        <w:ind w:firstLine="480"/>
        <w:rPr>
          <w:rFonts w:ascii="Times New Roman" w:hAnsi="Times New Roman"/>
        </w:rPr>
      </w:pPr>
      <w:r>
        <w:rPr>
          <w:rFonts w:ascii="Times New Roman" w:hAnsi="Times New Roman"/>
        </w:rPr>
        <w:t>本工程废水不外排，本项目集输管道穿越清溪河，根据《四川省水功能区划报告》（川府函〔2003〕194号），清溪河为III类地表水环境功能区。</w:t>
      </w:r>
    </w:p>
    <w:p>
      <w:pPr>
        <w:pStyle w:val="4"/>
        <w:rPr>
          <w:rFonts w:ascii="Times New Roman" w:hAnsi="Times New Roman" w:cs="Times New Roman"/>
        </w:rPr>
      </w:pPr>
      <w:r>
        <w:rPr>
          <w:rFonts w:ascii="Times New Roman" w:hAnsi="Times New Roman" w:cs="Times New Roman"/>
        </w:rPr>
        <w:t>声环境</w:t>
      </w:r>
    </w:p>
    <w:p>
      <w:pPr>
        <w:ind w:firstLine="480"/>
        <w:rPr>
          <w:rFonts w:ascii="Times New Roman" w:hAnsi="Times New Roman"/>
        </w:rPr>
      </w:pPr>
      <w:r>
        <w:rPr>
          <w:rFonts w:ascii="Times New Roman" w:hAnsi="Times New Roman"/>
        </w:rPr>
        <w:t>本项目所在区域为农村地区，主要为散户居民，属一般居住环境，根据《声环境功能区划分技术规范》（GB/T15190-2014）及《声环境质量标准》（GB3096-2008），为声环境功能二类区。</w:t>
      </w:r>
    </w:p>
    <w:p>
      <w:pPr>
        <w:pStyle w:val="4"/>
        <w:rPr>
          <w:rFonts w:ascii="Times New Roman" w:hAnsi="Times New Roman" w:cs="Times New Roman"/>
        </w:rPr>
      </w:pPr>
      <w:r>
        <w:rPr>
          <w:rFonts w:ascii="Times New Roman" w:hAnsi="Times New Roman" w:cs="Times New Roman"/>
        </w:rPr>
        <w:t>地下水</w:t>
      </w:r>
    </w:p>
    <w:p>
      <w:pPr>
        <w:ind w:firstLine="480"/>
        <w:rPr>
          <w:rFonts w:ascii="Times New Roman" w:hAnsi="Times New Roman"/>
        </w:rPr>
      </w:pPr>
      <w:r>
        <w:rPr>
          <w:rFonts w:ascii="Times New Roman" w:hAnsi="Times New Roman"/>
        </w:rPr>
        <w:t>据现场调查，项目所涉及区域的地下水开发利用方式为以井、泉作为农村散居农户生活饮用水，按照《地下水质量标准》（GB/T14848-2017）地下水质量分类，项目所涉及区域地下水环境属Ⅲ类用水。</w:t>
      </w:r>
    </w:p>
    <w:p>
      <w:pPr>
        <w:pStyle w:val="4"/>
        <w:rPr>
          <w:rFonts w:ascii="Times New Roman" w:hAnsi="Times New Roman" w:cs="Times New Roman"/>
        </w:rPr>
      </w:pPr>
      <w:r>
        <w:rPr>
          <w:rFonts w:ascii="Times New Roman" w:hAnsi="Times New Roman" w:cs="Times New Roman"/>
        </w:rPr>
        <w:t>生态</w:t>
      </w:r>
    </w:p>
    <w:p>
      <w:pPr>
        <w:ind w:firstLine="480"/>
        <w:rPr>
          <w:rFonts w:ascii="Times New Roman" w:hAnsi="Times New Roman"/>
        </w:rPr>
      </w:pPr>
      <w:r>
        <w:rPr>
          <w:rFonts w:ascii="Times New Roman" w:hAnsi="Times New Roman"/>
        </w:rPr>
        <w:t>根据《四川省生态功能区划》，建设项目涉及I-2-1盆北深丘农林业与土壤保持生态功能区、I-4-1华蓥山农林业与土壤保持生态功能区。</w:t>
      </w:r>
    </w:p>
    <w:p>
      <w:pPr>
        <w:pStyle w:val="3"/>
        <w:rPr>
          <w:rFonts w:ascii="Times New Roman" w:hAnsi="Times New Roman" w:cs="Times New Roman"/>
        </w:rPr>
      </w:pPr>
      <w:bookmarkStart w:id="16" w:name="_Toc162339386"/>
      <w:r>
        <w:rPr>
          <w:rFonts w:ascii="Times New Roman" w:hAnsi="Times New Roman" w:cs="Times New Roman"/>
        </w:rPr>
        <w:t>评价标准</w:t>
      </w:r>
      <w:bookmarkEnd w:id="16"/>
    </w:p>
    <w:p>
      <w:pPr>
        <w:pStyle w:val="4"/>
        <w:rPr>
          <w:rFonts w:ascii="Times New Roman" w:hAnsi="Times New Roman" w:cs="Times New Roman"/>
        </w:rPr>
      </w:pPr>
      <w:r>
        <w:rPr>
          <w:rFonts w:ascii="Times New Roman" w:hAnsi="Times New Roman" w:cs="Times New Roman"/>
        </w:rPr>
        <w:t>环境质量标准</w:t>
      </w:r>
    </w:p>
    <w:p>
      <w:pPr>
        <w:pStyle w:val="5"/>
        <w:rPr>
          <w:rFonts w:ascii="Times New Roman" w:hAnsi="Times New Roman"/>
        </w:rPr>
      </w:pPr>
      <w:r>
        <w:rPr>
          <w:rFonts w:ascii="Times New Roman" w:hAnsi="Times New Roman"/>
        </w:rPr>
        <w:t>环境空气</w:t>
      </w:r>
    </w:p>
    <w:p>
      <w:pPr>
        <w:ind w:firstLine="480"/>
        <w:rPr>
          <w:rFonts w:ascii="Times New Roman" w:hAnsi="Times New Roman"/>
        </w:rPr>
      </w:pPr>
      <w:r>
        <w:rPr>
          <w:rFonts w:ascii="Times New Roman" w:hAnsi="Times New Roman"/>
        </w:rPr>
        <w:t>常规因子SO</w:t>
      </w:r>
      <w:r>
        <w:rPr>
          <w:rFonts w:ascii="Times New Roman" w:hAnsi="Times New Roman"/>
          <w:vertAlign w:val="subscript"/>
        </w:rPr>
        <w:t>2</w:t>
      </w:r>
      <w:r>
        <w:rPr>
          <w:rFonts w:ascii="Times New Roman" w:hAnsi="Times New Roman"/>
        </w:rPr>
        <w:t>、NO</w:t>
      </w:r>
      <w:r>
        <w:rPr>
          <w:rFonts w:ascii="Times New Roman" w:hAnsi="Times New Roman"/>
          <w:vertAlign w:val="subscript"/>
        </w:rPr>
        <w:t>2</w:t>
      </w:r>
      <w:r>
        <w:rPr>
          <w:rFonts w:ascii="Times New Roman" w:hAnsi="Times New Roman"/>
        </w:rPr>
        <w:t>、PM</w:t>
      </w:r>
      <w:r>
        <w:rPr>
          <w:rFonts w:ascii="Times New Roman" w:hAnsi="Times New Roman"/>
          <w:vertAlign w:val="subscript"/>
        </w:rPr>
        <w:t>10</w:t>
      </w:r>
      <w:r>
        <w:rPr>
          <w:rFonts w:ascii="Times New Roman" w:hAnsi="Times New Roman"/>
        </w:rPr>
        <w:t>、PM</w:t>
      </w:r>
      <w:r>
        <w:rPr>
          <w:rFonts w:ascii="Times New Roman" w:hAnsi="Times New Roman"/>
          <w:vertAlign w:val="subscript"/>
        </w:rPr>
        <w:t>2.5</w:t>
      </w:r>
      <w:r>
        <w:rPr>
          <w:rFonts w:ascii="Times New Roman" w:hAnsi="Times New Roman"/>
        </w:rPr>
        <w:t>、O</w:t>
      </w:r>
      <w:r>
        <w:rPr>
          <w:rFonts w:ascii="Times New Roman" w:hAnsi="Times New Roman"/>
          <w:vertAlign w:val="subscript"/>
        </w:rPr>
        <w:t>3</w:t>
      </w:r>
      <w:r>
        <w:rPr>
          <w:rFonts w:ascii="Times New Roman" w:hAnsi="Times New Roman"/>
        </w:rPr>
        <w:t>、CO执行《环境空气质量标准》（GB3095-2012）及其修改单（生态环境部2018年29号）的二级标准；特征因子非甲烷总烃（NMHC）浓度参照执行《大气污染物综合排放标准详解》中的标准限值，H</w:t>
      </w:r>
      <w:r>
        <w:rPr>
          <w:rFonts w:ascii="Times New Roman" w:hAnsi="Times New Roman"/>
          <w:vertAlign w:val="subscript"/>
        </w:rPr>
        <w:t>2</w:t>
      </w:r>
      <w:r>
        <w:rPr>
          <w:rFonts w:ascii="Times New Roman" w:hAnsi="Times New Roman"/>
        </w:rPr>
        <w:t>S参照执行《环境影响评价技术导则 大气环境》（HJ2.2-2018）中附表D.1中的质量浓度参考限值。具体见</w:t>
      </w:r>
      <w:r>
        <w:rPr>
          <w:rFonts w:ascii="Times New Roman" w:hAnsi="Times New Roman"/>
        </w:rPr>
        <w:fldChar w:fldCharType="begin"/>
      </w:r>
      <w:r>
        <w:rPr>
          <w:rFonts w:ascii="Times New Roman" w:hAnsi="Times New Roman"/>
        </w:rPr>
        <w:instrText xml:space="preserve"> REF _Ref42523604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4</w:t>
      </w:r>
      <w:r>
        <w:rPr>
          <w:rFonts w:ascii="Times New Roman" w:hAnsi="Times New Roman"/>
        </w:rPr>
        <w:fldChar w:fldCharType="end"/>
      </w:r>
      <w:r>
        <w:rPr>
          <w:rFonts w:ascii="Times New Roman" w:hAnsi="Times New Roman"/>
        </w:rPr>
        <w:t>。</w:t>
      </w:r>
    </w:p>
    <w:p>
      <w:pPr>
        <w:ind w:firstLine="480"/>
        <w:rPr>
          <w:rFonts w:ascii="Times New Roman" w:hAnsi="Times New Roman"/>
        </w:rPr>
      </w:pPr>
    </w:p>
    <w:p>
      <w:pPr>
        <w:pStyle w:val="37"/>
        <w:rPr>
          <w:rFonts w:ascii="Times New Roman" w:hAnsi="Times New Roman" w:cs="Times New Roman"/>
        </w:rPr>
      </w:pPr>
      <w:bookmarkStart w:id="17" w:name="_Ref42523604"/>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bookmarkEnd w:id="17"/>
      <w:r>
        <w:rPr>
          <w:rFonts w:ascii="Times New Roman" w:hAnsi="Times New Roman" w:cs="Times New Roman"/>
        </w:rPr>
        <w:t>环境空气质量标准限值</w:t>
      </w:r>
    </w:p>
    <w:tbl>
      <w:tblPr>
        <w:tblStyle w:val="28"/>
        <w:tblW w:w="8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6"/>
        <w:gridCol w:w="1563"/>
        <w:gridCol w:w="1236"/>
        <w:gridCol w:w="1034"/>
        <w:gridCol w:w="33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tcBorders>
              <w:bottom w:val="single" w:color="auto" w:sz="4" w:space="0"/>
            </w:tcBorders>
            <w:vAlign w:val="center"/>
          </w:tcPr>
          <w:p>
            <w:pPr>
              <w:pStyle w:val="39"/>
              <w:rPr>
                <w:rFonts w:ascii="Times New Roman" w:hAnsi="Times New Roman"/>
              </w:rPr>
            </w:pPr>
            <w:r>
              <w:rPr>
                <w:rFonts w:ascii="Times New Roman" w:hAnsi="Times New Roman"/>
              </w:rPr>
              <w:t>污染物</w:t>
            </w:r>
          </w:p>
        </w:tc>
        <w:tc>
          <w:tcPr>
            <w:tcW w:w="1563" w:type="dxa"/>
            <w:tcBorders>
              <w:bottom w:val="single" w:color="auto" w:sz="4" w:space="0"/>
            </w:tcBorders>
            <w:vAlign w:val="center"/>
          </w:tcPr>
          <w:p>
            <w:pPr>
              <w:pStyle w:val="39"/>
              <w:rPr>
                <w:rFonts w:ascii="Times New Roman" w:hAnsi="Times New Roman"/>
              </w:rPr>
            </w:pPr>
            <w:r>
              <w:rPr>
                <w:rFonts w:ascii="Times New Roman" w:hAnsi="Times New Roman"/>
              </w:rPr>
              <w:t>取值时间</w:t>
            </w:r>
          </w:p>
        </w:tc>
        <w:tc>
          <w:tcPr>
            <w:tcW w:w="1236" w:type="dxa"/>
            <w:tcBorders>
              <w:bottom w:val="single" w:color="auto" w:sz="4" w:space="0"/>
            </w:tcBorders>
            <w:vAlign w:val="center"/>
          </w:tcPr>
          <w:p>
            <w:pPr>
              <w:pStyle w:val="39"/>
              <w:rPr>
                <w:rFonts w:ascii="Times New Roman" w:hAnsi="Times New Roman"/>
              </w:rPr>
            </w:pPr>
            <w:r>
              <w:rPr>
                <w:rFonts w:ascii="Times New Roman" w:hAnsi="Times New Roman"/>
              </w:rPr>
              <w:t>浓度限值</w:t>
            </w:r>
          </w:p>
        </w:tc>
        <w:tc>
          <w:tcPr>
            <w:tcW w:w="1034" w:type="dxa"/>
            <w:tcBorders>
              <w:bottom w:val="single" w:color="auto" w:sz="4" w:space="0"/>
            </w:tcBorders>
            <w:vAlign w:val="center"/>
          </w:tcPr>
          <w:p>
            <w:pPr>
              <w:pStyle w:val="39"/>
              <w:rPr>
                <w:rFonts w:ascii="Times New Roman" w:hAnsi="Times New Roman"/>
              </w:rPr>
            </w:pPr>
            <w:r>
              <w:rPr>
                <w:rFonts w:ascii="Times New Roman" w:hAnsi="Times New Roman"/>
              </w:rPr>
              <w:t>单位</w:t>
            </w:r>
          </w:p>
        </w:tc>
        <w:tc>
          <w:tcPr>
            <w:tcW w:w="3321" w:type="dxa"/>
            <w:tcBorders>
              <w:bottom w:val="single" w:color="auto" w:sz="4" w:space="0"/>
            </w:tcBorders>
            <w:vAlign w:val="center"/>
          </w:tcPr>
          <w:p>
            <w:pPr>
              <w:pStyle w:val="39"/>
              <w:rPr>
                <w:rFonts w:ascii="Times New Roman" w:hAnsi="Times New Roman"/>
              </w:rPr>
            </w:pPr>
            <w:r>
              <w:rPr>
                <w:rFonts w:ascii="Times New Roman" w:hAnsi="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vMerge w:val="restart"/>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1563" w:type="dxa"/>
            <w:tcBorders>
              <w:bottom w:val="single" w:color="auto" w:sz="4" w:space="0"/>
            </w:tcBorders>
            <w:vAlign w:val="center"/>
          </w:tcPr>
          <w:p>
            <w:pPr>
              <w:pStyle w:val="39"/>
              <w:rPr>
                <w:rFonts w:ascii="Times New Roman" w:hAnsi="Times New Roman"/>
              </w:rPr>
            </w:pPr>
            <w:r>
              <w:rPr>
                <w:rFonts w:ascii="Times New Roman" w:hAnsi="Times New Roman"/>
              </w:rPr>
              <w:t>24小时平均</w:t>
            </w:r>
          </w:p>
        </w:tc>
        <w:tc>
          <w:tcPr>
            <w:tcW w:w="1236" w:type="dxa"/>
            <w:tcBorders>
              <w:bottom w:val="single" w:color="auto" w:sz="4" w:space="0"/>
            </w:tcBorders>
            <w:vAlign w:val="center"/>
          </w:tcPr>
          <w:p>
            <w:pPr>
              <w:pStyle w:val="39"/>
              <w:rPr>
                <w:rFonts w:ascii="Times New Roman" w:hAnsi="Times New Roman"/>
              </w:rPr>
            </w:pPr>
            <w:r>
              <w:rPr>
                <w:rFonts w:ascii="Times New Roman" w:hAnsi="Times New Roman"/>
              </w:rPr>
              <w:t>150</w:t>
            </w:r>
          </w:p>
        </w:tc>
        <w:tc>
          <w:tcPr>
            <w:tcW w:w="1034" w:type="dxa"/>
            <w:vMerge w:val="restart"/>
            <w:vAlign w:val="center"/>
          </w:tcPr>
          <w:p>
            <w:pPr>
              <w:pStyle w:val="39"/>
              <w:rPr>
                <w:rFonts w:ascii="Times New Roman" w:hAnsi="Times New Roman"/>
              </w:rPr>
            </w:pPr>
            <w:r>
              <w:rPr>
                <w:rFonts w:ascii="Times New Roman" w:hAnsi="Times New Roman"/>
              </w:rPr>
              <w:t>μg/m</w:t>
            </w:r>
            <w:r>
              <w:rPr>
                <w:rFonts w:ascii="Times New Roman" w:hAnsi="Times New Roman"/>
                <w:vertAlign w:val="superscript"/>
              </w:rPr>
              <w:t>3</w:t>
            </w:r>
          </w:p>
        </w:tc>
        <w:tc>
          <w:tcPr>
            <w:tcW w:w="3321" w:type="dxa"/>
            <w:vMerge w:val="restart"/>
            <w:vAlign w:val="center"/>
          </w:tcPr>
          <w:p>
            <w:pPr>
              <w:pStyle w:val="39"/>
              <w:rPr>
                <w:rFonts w:ascii="Times New Roman" w:hAnsi="Times New Roman"/>
              </w:rPr>
            </w:pPr>
            <w:r>
              <w:rPr>
                <w:rFonts w:ascii="Times New Roman" w:hAnsi="Times New Roman"/>
              </w:rPr>
              <w:t>《环境空气质量标准》（GB3095-2012）及其修改单（生态环境部2018年9号）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vMerge w:val="continue"/>
            <w:vAlign w:val="center"/>
          </w:tcPr>
          <w:p>
            <w:pPr>
              <w:pStyle w:val="39"/>
              <w:rPr>
                <w:rFonts w:ascii="Times New Roman" w:hAnsi="Times New Roman"/>
              </w:rPr>
            </w:pPr>
          </w:p>
        </w:tc>
        <w:tc>
          <w:tcPr>
            <w:tcW w:w="1563" w:type="dxa"/>
            <w:tcBorders>
              <w:bottom w:val="single" w:color="auto" w:sz="4" w:space="0"/>
            </w:tcBorders>
            <w:vAlign w:val="center"/>
          </w:tcPr>
          <w:p>
            <w:pPr>
              <w:pStyle w:val="39"/>
              <w:rPr>
                <w:rFonts w:ascii="Times New Roman" w:hAnsi="Times New Roman"/>
              </w:rPr>
            </w:pPr>
            <w:r>
              <w:rPr>
                <w:rFonts w:ascii="Times New Roman" w:hAnsi="Times New Roman"/>
              </w:rPr>
              <w:t>1小时平均</w:t>
            </w:r>
          </w:p>
        </w:tc>
        <w:tc>
          <w:tcPr>
            <w:tcW w:w="1236" w:type="dxa"/>
            <w:tcBorders>
              <w:bottom w:val="single" w:color="auto" w:sz="4" w:space="0"/>
            </w:tcBorders>
            <w:vAlign w:val="center"/>
          </w:tcPr>
          <w:p>
            <w:pPr>
              <w:pStyle w:val="39"/>
              <w:rPr>
                <w:rFonts w:ascii="Times New Roman" w:hAnsi="Times New Roman"/>
              </w:rPr>
            </w:pPr>
            <w:r>
              <w:rPr>
                <w:rFonts w:ascii="Times New Roman" w:hAnsi="Times New Roman"/>
              </w:rPr>
              <w:t>500</w:t>
            </w:r>
          </w:p>
        </w:tc>
        <w:tc>
          <w:tcPr>
            <w:tcW w:w="1034" w:type="dxa"/>
            <w:vMerge w:val="continue"/>
            <w:vAlign w:val="center"/>
          </w:tcPr>
          <w:p>
            <w:pPr>
              <w:pStyle w:val="39"/>
              <w:rPr>
                <w:rFonts w:ascii="Times New Roman" w:hAnsi="Times New Roman"/>
              </w:rPr>
            </w:pPr>
          </w:p>
        </w:tc>
        <w:tc>
          <w:tcPr>
            <w:tcW w:w="3321"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vMerge w:val="continue"/>
            <w:tcBorders>
              <w:bottom w:val="single" w:color="auto" w:sz="4" w:space="0"/>
            </w:tcBorders>
            <w:vAlign w:val="center"/>
          </w:tcPr>
          <w:p>
            <w:pPr>
              <w:pStyle w:val="39"/>
              <w:rPr>
                <w:rFonts w:ascii="Times New Roman" w:hAnsi="Times New Roman"/>
              </w:rPr>
            </w:pPr>
          </w:p>
        </w:tc>
        <w:tc>
          <w:tcPr>
            <w:tcW w:w="1563" w:type="dxa"/>
            <w:tcBorders>
              <w:bottom w:val="single" w:color="auto" w:sz="4" w:space="0"/>
            </w:tcBorders>
            <w:vAlign w:val="center"/>
          </w:tcPr>
          <w:p>
            <w:pPr>
              <w:pStyle w:val="39"/>
              <w:rPr>
                <w:rFonts w:ascii="Times New Roman" w:hAnsi="Times New Roman"/>
              </w:rPr>
            </w:pPr>
            <w:r>
              <w:rPr>
                <w:rFonts w:ascii="Times New Roman" w:hAnsi="Times New Roman"/>
              </w:rPr>
              <w:t>年平均</w:t>
            </w:r>
          </w:p>
        </w:tc>
        <w:tc>
          <w:tcPr>
            <w:tcW w:w="1236" w:type="dxa"/>
            <w:tcBorders>
              <w:bottom w:val="single" w:color="auto" w:sz="4" w:space="0"/>
            </w:tcBorders>
            <w:vAlign w:val="center"/>
          </w:tcPr>
          <w:p>
            <w:pPr>
              <w:pStyle w:val="39"/>
              <w:rPr>
                <w:rFonts w:ascii="Times New Roman" w:hAnsi="Times New Roman"/>
              </w:rPr>
            </w:pPr>
            <w:r>
              <w:rPr>
                <w:rFonts w:ascii="Times New Roman" w:hAnsi="Times New Roman"/>
              </w:rPr>
              <w:t>60</w:t>
            </w:r>
          </w:p>
        </w:tc>
        <w:tc>
          <w:tcPr>
            <w:tcW w:w="1034" w:type="dxa"/>
            <w:vMerge w:val="continue"/>
            <w:vAlign w:val="center"/>
          </w:tcPr>
          <w:p>
            <w:pPr>
              <w:pStyle w:val="39"/>
              <w:rPr>
                <w:rFonts w:ascii="Times New Roman" w:hAnsi="Times New Roman"/>
              </w:rPr>
            </w:pPr>
          </w:p>
        </w:tc>
        <w:tc>
          <w:tcPr>
            <w:tcW w:w="3321"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vMerge w:val="restart"/>
            <w:vAlign w:val="center"/>
          </w:tcPr>
          <w:p>
            <w:pPr>
              <w:pStyle w:val="39"/>
              <w:rPr>
                <w:rFonts w:ascii="Times New Roman" w:hAnsi="Times New Roman"/>
              </w:rPr>
            </w:pPr>
            <w:r>
              <w:rPr>
                <w:rFonts w:ascii="Times New Roman" w:hAnsi="Times New Roman"/>
              </w:rPr>
              <w:t>NO</w:t>
            </w:r>
            <w:r>
              <w:rPr>
                <w:rFonts w:ascii="Times New Roman" w:hAnsi="Times New Roman"/>
                <w:vertAlign w:val="subscript"/>
              </w:rPr>
              <w:t>2</w:t>
            </w:r>
          </w:p>
        </w:tc>
        <w:tc>
          <w:tcPr>
            <w:tcW w:w="1563" w:type="dxa"/>
            <w:tcBorders>
              <w:bottom w:val="single" w:color="auto" w:sz="4" w:space="0"/>
            </w:tcBorders>
            <w:vAlign w:val="center"/>
          </w:tcPr>
          <w:p>
            <w:pPr>
              <w:pStyle w:val="39"/>
              <w:rPr>
                <w:rFonts w:ascii="Times New Roman" w:hAnsi="Times New Roman"/>
              </w:rPr>
            </w:pPr>
            <w:r>
              <w:rPr>
                <w:rFonts w:ascii="Times New Roman" w:hAnsi="Times New Roman"/>
              </w:rPr>
              <w:t>24小时平均</w:t>
            </w:r>
          </w:p>
        </w:tc>
        <w:tc>
          <w:tcPr>
            <w:tcW w:w="1236" w:type="dxa"/>
            <w:tcBorders>
              <w:bottom w:val="single" w:color="auto" w:sz="4" w:space="0"/>
            </w:tcBorders>
            <w:vAlign w:val="center"/>
          </w:tcPr>
          <w:p>
            <w:pPr>
              <w:pStyle w:val="39"/>
              <w:rPr>
                <w:rFonts w:ascii="Times New Roman" w:hAnsi="Times New Roman"/>
              </w:rPr>
            </w:pPr>
            <w:r>
              <w:rPr>
                <w:rFonts w:ascii="Times New Roman" w:hAnsi="Times New Roman"/>
              </w:rPr>
              <w:t>80</w:t>
            </w:r>
          </w:p>
        </w:tc>
        <w:tc>
          <w:tcPr>
            <w:tcW w:w="1034" w:type="dxa"/>
            <w:vMerge w:val="continue"/>
            <w:vAlign w:val="center"/>
          </w:tcPr>
          <w:p>
            <w:pPr>
              <w:pStyle w:val="39"/>
              <w:rPr>
                <w:rFonts w:ascii="Times New Roman" w:hAnsi="Times New Roman"/>
              </w:rPr>
            </w:pPr>
          </w:p>
        </w:tc>
        <w:tc>
          <w:tcPr>
            <w:tcW w:w="3321"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vMerge w:val="continue"/>
            <w:vAlign w:val="center"/>
          </w:tcPr>
          <w:p>
            <w:pPr>
              <w:pStyle w:val="39"/>
              <w:rPr>
                <w:rFonts w:ascii="Times New Roman" w:hAnsi="Times New Roman"/>
              </w:rPr>
            </w:pPr>
          </w:p>
        </w:tc>
        <w:tc>
          <w:tcPr>
            <w:tcW w:w="1563" w:type="dxa"/>
            <w:tcBorders>
              <w:bottom w:val="single" w:color="auto" w:sz="4" w:space="0"/>
            </w:tcBorders>
            <w:vAlign w:val="center"/>
          </w:tcPr>
          <w:p>
            <w:pPr>
              <w:pStyle w:val="39"/>
              <w:rPr>
                <w:rFonts w:ascii="Times New Roman" w:hAnsi="Times New Roman"/>
              </w:rPr>
            </w:pPr>
            <w:r>
              <w:rPr>
                <w:rFonts w:ascii="Times New Roman" w:hAnsi="Times New Roman"/>
              </w:rPr>
              <w:t>1小时平均</w:t>
            </w:r>
          </w:p>
        </w:tc>
        <w:tc>
          <w:tcPr>
            <w:tcW w:w="1236" w:type="dxa"/>
            <w:tcBorders>
              <w:bottom w:val="single" w:color="auto" w:sz="4" w:space="0"/>
            </w:tcBorders>
            <w:vAlign w:val="center"/>
          </w:tcPr>
          <w:p>
            <w:pPr>
              <w:pStyle w:val="39"/>
              <w:rPr>
                <w:rFonts w:ascii="Times New Roman" w:hAnsi="Times New Roman"/>
              </w:rPr>
            </w:pPr>
            <w:r>
              <w:rPr>
                <w:rFonts w:ascii="Times New Roman" w:hAnsi="Times New Roman"/>
              </w:rPr>
              <w:t>200</w:t>
            </w:r>
          </w:p>
        </w:tc>
        <w:tc>
          <w:tcPr>
            <w:tcW w:w="1034" w:type="dxa"/>
            <w:vMerge w:val="continue"/>
            <w:vAlign w:val="center"/>
          </w:tcPr>
          <w:p>
            <w:pPr>
              <w:pStyle w:val="39"/>
              <w:rPr>
                <w:rFonts w:ascii="Times New Roman" w:hAnsi="Times New Roman"/>
              </w:rPr>
            </w:pPr>
          </w:p>
        </w:tc>
        <w:tc>
          <w:tcPr>
            <w:tcW w:w="3321"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vMerge w:val="continue"/>
            <w:tcBorders>
              <w:bottom w:val="single" w:color="auto" w:sz="4" w:space="0"/>
            </w:tcBorders>
            <w:vAlign w:val="center"/>
          </w:tcPr>
          <w:p>
            <w:pPr>
              <w:pStyle w:val="39"/>
              <w:rPr>
                <w:rFonts w:ascii="Times New Roman" w:hAnsi="Times New Roman"/>
              </w:rPr>
            </w:pPr>
          </w:p>
        </w:tc>
        <w:tc>
          <w:tcPr>
            <w:tcW w:w="1563" w:type="dxa"/>
            <w:tcBorders>
              <w:bottom w:val="single" w:color="auto" w:sz="4" w:space="0"/>
            </w:tcBorders>
            <w:vAlign w:val="center"/>
          </w:tcPr>
          <w:p>
            <w:pPr>
              <w:pStyle w:val="39"/>
              <w:rPr>
                <w:rFonts w:ascii="Times New Roman" w:hAnsi="Times New Roman"/>
              </w:rPr>
            </w:pPr>
            <w:r>
              <w:rPr>
                <w:rFonts w:ascii="Times New Roman" w:hAnsi="Times New Roman"/>
              </w:rPr>
              <w:t>年平均</w:t>
            </w:r>
          </w:p>
        </w:tc>
        <w:tc>
          <w:tcPr>
            <w:tcW w:w="1236" w:type="dxa"/>
            <w:tcBorders>
              <w:bottom w:val="single" w:color="auto" w:sz="4" w:space="0"/>
            </w:tcBorders>
            <w:vAlign w:val="center"/>
          </w:tcPr>
          <w:p>
            <w:pPr>
              <w:pStyle w:val="39"/>
              <w:rPr>
                <w:rFonts w:ascii="Times New Roman" w:hAnsi="Times New Roman"/>
              </w:rPr>
            </w:pPr>
            <w:r>
              <w:rPr>
                <w:rFonts w:ascii="Times New Roman" w:hAnsi="Times New Roman"/>
              </w:rPr>
              <w:t>40</w:t>
            </w:r>
          </w:p>
        </w:tc>
        <w:tc>
          <w:tcPr>
            <w:tcW w:w="1034" w:type="dxa"/>
            <w:vMerge w:val="continue"/>
            <w:tcBorders>
              <w:bottom w:val="single" w:color="auto" w:sz="4" w:space="0"/>
            </w:tcBorders>
            <w:vAlign w:val="center"/>
          </w:tcPr>
          <w:p>
            <w:pPr>
              <w:pStyle w:val="39"/>
              <w:rPr>
                <w:rFonts w:ascii="Times New Roman" w:hAnsi="Times New Roman"/>
              </w:rPr>
            </w:pPr>
          </w:p>
        </w:tc>
        <w:tc>
          <w:tcPr>
            <w:tcW w:w="3321"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vMerge w:val="restart"/>
            <w:vAlign w:val="center"/>
          </w:tcPr>
          <w:p>
            <w:pPr>
              <w:pStyle w:val="39"/>
              <w:rPr>
                <w:rFonts w:ascii="Times New Roman" w:hAnsi="Times New Roman"/>
              </w:rPr>
            </w:pPr>
            <w:r>
              <w:rPr>
                <w:rFonts w:ascii="Times New Roman" w:hAnsi="Times New Roman"/>
              </w:rPr>
              <w:t>CO</w:t>
            </w:r>
          </w:p>
        </w:tc>
        <w:tc>
          <w:tcPr>
            <w:tcW w:w="1563" w:type="dxa"/>
            <w:tcBorders>
              <w:bottom w:val="single" w:color="auto" w:sz="4" w:space="0"/>
            </w:tcBorders>
            <w:vAlign w:val="center"/>
          </w:tcPr>
          <w:p>
            <w:pPr>
              <w:pStyle w:val="39"/>
              <w:rPr>
                <w:rFonts w:ascii="Times New Roman" w:hAnsi="Times New Roman"/>
              </w:rPr>
            </w:pPr>
            <w:r>
              <w:rPr>
                <w:rFonts w:ascii="Times New Roman" w:hAnsi="Times New Roman"/>
              </w:rPr>
              <w:t>24小时平均</w:t>
            </w:r>
          </w:p>
        </w:tc>
        <w:tc>
          <w:tcPr>
            <w:tcW w:w="1236" w:type="dxa"/>
            <w:tcBorders>
              <w:bottom w:val="single" w:color="auto" w:sz="4" w:space="0"/>
            </w:tcBorders>
            <w:vAlign w:val="center"/>
          </w:tcPr>
          <w:p>
            <w:pPr>
              <w:pStyle w:val="39"/>
              <w:rPr>
                <w:rFonts w:ascii="Times New Roman" w:hAnsi="Times New Roman"/>
              </w:rPr>
            </w:pPr>
            <w:r>
              <w:rPr>
                <w:rFonts w:ascii="Times New Roman" w:hAnsi="Times New Roman"/>
              </w:rPr>
              <w:t>4</w:t>
            </w:r>
          </w:p>
        </w:tc>
        <w:tc>
          <w:tcPr>
            <w:tcW w:w="1034" w:type="dxa"/>
            <w:vMerge w:val="restart"/>
            <w:vAlign w:val="center"/>
          </w:tcPr>
          <w:p>
            <w:pPr>
              <w:pStyle w:val="39"/>
              <w:rPr>
                <w:rFonts w:ascii="Times New Roman" w:hAnsi="Times New Roman"/>
              </w:rPr>
            </w:pPr>
            <w:r>
              <w:rPr>
                <w:rFonts w:ascii="Times New Roman" w:hAnsi="Times New Roman"/>
              </w:rPr>
              <w:t>mg/m</w:t>
            </w:r>
            <w:r>
              <w:rPr>
                <w:rFonts w:ascii="Times New Roman" w:hAnsi="Times New Roman"/>
                <w:vertAlign w:val="superscript"/>
              </w:rPr>
              <w:t>3</w:t>
            </w:r>
          </w:p>
        </w:tc>
        <w:tc>
          <w:tcPr>
            <w:tcW w:w="3321"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vMerge w:val="continue"/>
            <w:tcBorders>
              <w:bottom w:val="single" w:color="auto" w:sz="4" w:space="0"/>
            </w:tcBorders>
            <w:vAlign w:val="center"/>
          </w:tcPr>
          <w:p>
            <w:pPr>
              <w:pStyle w:val="39"/>
              <w:rPr>
                <w:rFonts w:ascii="Times New Roman" w:hAnsi="Times New Roman"/>
              </w:rPr>
            </w:pPr>
          </w:p>
        </w:tc>
        <w:tc>
          <w:tcPr>
            <w:tcW w:w="1563" w:type="dxa"/>
            <w:tcBorders>
              <w:bottom w:val="single" w:color="auto" w:sz="4" w:space="0"/>
            </w:tcBorders>
            <w:vAlign w:val="center"/>
          </w:tcPr>
          <w:p>
            <w:pPr>
              <w:pStyle w:val="39"/>
              <w:rPr>
                <w:rFonts w:ascii="Times New Roman" w:hAnsi="Times New Roman"/>
              </w:rPr>
            </w:pPr>
            <w:r>
              <w:rPr>
                <w:rFonts w:ascii="Times New Roman" w:hAnsi="Times New Roman"/>
              </w:rPr>
              <w:t>1小时平均</w:t>
            </w:r>
          </w:p>
        </w:tc>
        <w:tc>
          <w:tcPr>
            <w:tcW w:w="1236" w:type="dxa"/>
            <w:tcBorders>
              <w:bottom w:val="single" w:color="auto" w:sz="4" w:space="0"/>
            </w:tcBorders>
            <w:vAlign w:val="center"/>
          </w:tcPr>
          <w:p>
            <w:pPr>
              <w:pStyle w:val="39"/>
              <w:rPr>
                <w:rFonts w:ascii="Times New Roman" w:hAnsi="Times New Roman"/>
              </w:rPr>
            </w:pPr>
            <w:r>
              <w:rPr>
                <w:rFonts w:ascii="Times New Roman" w:hAnsi="Times New Roman"/>
              </w:rPr>
              <w:t>10</w:t>
            </w:r>
          </w:p>
        </w:tc>
        <w:tc>
          <w:tcPr>
            <w:tcW w:w="1034" w:type="dxa"/>
            <w:vMerge w:val="continue"/>
            <w:tcBorders>
              <w:bottom w:val="single" w:color="auto" w:sz="4" w:space="0"/>
            </w:tcBorders>
            <w:vAlign w:val="center"/>
          </w:tcPr>
          <w:p>
            <w:pPr>
              <w:pStyle w:val="39"/>
              <w:rPr>
                <w:rFonts w:ascii="Times New Roman" w:hAnsi="Times New Roman"/>
              </w:rPr>
            </w:pPr>
          </w:p>
        </w:tc>
        <w:tc>
          <w:tcPr>
            <w:tcW w:w="3321"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vMerge w:val="restart"/>
            <w:vAlign w:val="center"/>
          </w:tcPr>
          <w:p>
            <w:pPr>
              <w:pStyle w:val="39"/>
              <w:rPr>
                <w:rFonts w:ascii="Times New Roman" w:hAnsi="Times New Roman"/>
              </w:rPr>
            </w:pPr>
            <w:r>
              <w:rPr>
                <w:rFonts w:ascii="Times New Roman" w:hAnsi="Times New Roman"/>
              </w:rPr>
              <w:t>O</w:t>
            </w:r>
            <w:r>
              <w:rPr>
                <w:rFonts w:ascii="Times New Roman" w:hAnsi="Times New Roman"/>
                <w:vertAlign w:val="subscript"/>
              </w:rPr>
              <w:t>3</w:t>
            </w:r>
          </w:p>
        </w:tc>
        <w:tc>
          <w:tcPr>
            <w:tcW w:w="1563" w:type="dxa"/>
            <w:tcBorders>
              <w:bottom w:val="single" w:color="auto" w:sz="4" w:space="0"/>
            </w:tcBorders>
            <w:vAlign w:val="center"/>
          </w:tcPr>
          <w:p>
            <w:pPr>
              <w:pStyle w:val="39"/>
              <w:rPr>
                <w:rFonts w:ascii="Times New Roman" w:hAnsi="Times New Roman"/>
              </w:rPr>
            </w:pPr>
            <w:r>
              <w:rPr>
                <w:rFonts w:ascii="Times New Roman" w:hAnsi="Times New Roman"/>
              </w:rPr>
              <w:t>8小时平均</w:t>
            </w:r>
          </w:p>
        </w:tc>
        <w:tc>
          <w:tcPr>
            <w:tcW w:w="1236" w:type="dxa"/>
            <w:tcBorders>
              <w:bottom w:val="single" w:color="auto" w:sz="4" w:space="0"/>
            </w:tcBorders>
            <w:vAlign w:val="center"/>
          </w:tcPr>
          <w:p>
            <w:pPr>
              <w:pStyle w:val="39"/>
              <w:rPr>
                <w:rFonts w:ascii="Times New Roman" w:hAnsi="Times New Roman"/>
              </w:rPr>
            </w:pPr>
            <w:r>
              <w:rPr>
                <w:rFonts w:ascii="Times New Roman" w:hAnsi="Times New Roman"/>
              </w:rPr>
              <w:t>160</w:t>
            </w:r>
          </w:p>
        </w:tc>
        <w:tc>
          <w:tcPr>
            <w:tcW w:w="1034" w:type="dxa"/>
            <w:vMerge w:val="restart"/>
            <w:vAlign w:val="center"/>
          </w:tcPr>
          <w:p>
            <w:pPr>
              <w:pStyle w:val="39"/>
              <w:rPr>
                <w:rFonts w:ascii="Times New Roman" w:hAnsi="Times New Roman"/>
              </w:rPr>
            </w:pPr>
            <w:r>
              <w:rPr>
                <w:rFonts w:ascii="Times New Roman" w:hAnsi="Times New Roman"/>
              </w:rPr>
              <w:t>μg/m</w:t>
            </w:r>
            <w:r>
              <w:rPr>
                <w:rFonts w:ascii="Times New Roman" w:hAnsi="Times New Roman"/>
                <w:vertAlign w:val="superscript"/>
              </w:rPr>
              <w:t>3</w:t>
            </w:r>
          </w:p>
        </w:tc>
        <w:tc>
          <w:tcPr>
            <w:tcW w:w="3321"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vMerge w:val="continue"/>
            <w:tcBorders>
              <w:bottom w:val="single" w:color="auto" w:sz="4" w:space="0"/>
            </w:tcBorders>
            <w:vAlign w:val="center"/>
          </w:tcPr>
          <w:p>
            <w:pPr>
              <w:pStyle w:val="39"/>
              <w:rPr>
                <w:rFonts w:ascii="Times New Roman" w:hAnsi="Times New Roman"/>
              </w:rPr>
            </w:pPr>
          </w:p>
        </w:tc>
        <w:tc>
          <w:tcPr>
            <w:tcW w:w="1563" w:type="dxa"/>
            <w:tcBorders>
              <w:bottom w:val="single" w:color="auto" w:sz="4" w:space="0"/>
            </w:tcBorders>
            <w:vAlign w:val="center"/>
          </w:tcPr>
          <w:p>
            <w:pPr>
              <w:pStyle w:val="39"/>
              <w:rPr>
                <w:rFonts w:ascii="Times New Roman" w:hAnsi="Times New Roman"/>
              </w:rPr>
            </w:pPr>
            <w:r>
              <w:rPr>
                <w:rFonts w:ascii="Times New Roman" w:hAnsi="Times New Roman"/>
              </w:rPr>
              <w:t>1小时平均</w:t>
            </w:r>
          </w:p>
        </w:tc>
        <w:tc>
          <w:tcPr>
            <w:tcW w:w="1236" w:type="dxa"/>
            <w:tcBorders>
              <w:bottom w:val="single" w:color="auto" w:sz="4" w:space="0"/>
            </w:tcBorders>
            <w:vAlign w:val="center"/>
          </w:tcPr>
          <w:p>
            <w:pPr>
              <w:pStyle w:val="39"/>
              <w:rPr>
                <w:rFonts w:ascii="Times New Roman" w:hAnsi="Times New Roman"/>
              </w:rPr>
            </w:pPr>
            <w:r>
              <w:rPr>
                <w:rFonts w:ascii="Times New Roman" w:hAnsi="Times New Roman"/>
              </w:rPr>
              <w:t>200</w:t>
            </w:r>
          </w:p>
        </w:tc>
        <w:tc>
          <w:tcPr>
            <w:tcW w:w="1034" w:type="dxa"/>
            <w:vMerge w:val="continue"/>
            <w:vAlign w:val="center"/>
          </w:tcPr>
          <w:p>
            <w:pPr>
              <w:pStyle w:val="39"/>
              <w:rPr>
                <w:rFonts w:ascii="Times New Roman" w:hAnsi="Times New Roman"/>
              </w:rPr>
            </w:pPr>
          </w:p>
        </w:tc>
        <w:tc>
          <w:tcPr>
            <w:tcW w:w="3321"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vMerge w:val="restart"/>
            <w:vAlign w:val="center"/>
          </w:tcPr>
          <w:p>
            <w:pPr>
              <w:pStyle w:val="39"/>
              <w:rPr>
                <w:rFonts w:ascii="Times New Roman" w:hAnsi="Times New Roman"/>
              </w:rPr>
            </w:pPr>
            <w:r>
              <w:rPr>
                <w:rFonts w:ascii="Times New Roman" w:hAnsi="Times New Roman"/>
              </w:rPr>
              <w:t>PM</w:t>
            </w:r>
            <w:r>
              <w:rPr>
                <w:rFonts w:ascii="Times New Roman" w:hAnsi="Times New Roman"/>
                <w:vertAlign w:val="subscript"/>
              </w:rPr>
              <w:t>10</w:t>
            </w:r>
          </w:p>
        </w:tc>
        <w:tc>
          <w:tcPr>
            <w:tcW w:w="1563" w:type="dxa"/>
            <w:tcBorders>
              <w:bottom w:val="single" w:color="auto" w:sz="4" w:space="0"/>
            </w:tcBorders>
            <w:vAlign w:val="center"/>
          </w:tcPr>
          <w:p>
            <w:pPr>
              <w:pStyle w:val="39"/>
              <w:rPr>
                <w:rFonts w:ascii="Times New Roman" w:hAnsi="Times New Roman"/>
              </w:rPr>
            </w:pPr>
            <w:r>
              <w:rPr>
                <w:rFonts w:ascii="Times New Roman" w:hAnsi="Times New Roman"/>
              </w:rPr>
              <w:t>24小时平均</w:t>
            </w:r>
          </w:p>
        </w:tc>
        <w:tc>
          <w:tcPr>
            <w:tcW w:w="1236" w:type="dxa"/>
            <w:tcBorders>
              <w:bottom w:val="single" w:color="auto" w:sz="4" w:space="0"/>
            </w:tcBorders>
            <w:vAlign w:val="center"/>
          </w:tcPr>
          <w:p>
            <w:pPr>
              <w:pStyle w:val="39"/>
              <w:rPr>
                <w:rFonts w:ascii="Times New Roman" w:hAnsi="Times New Roman"/>
              </w:rPr>
            </w:pPr>
            <w:r>
              <w:rPr>
                <w:rFonts w:ascii="Times New Roman" w:hAnsi="Times New Roman"/>
              </w:rPr>
              <w:t>150</w:t>
            </w:r>
          </w:p>
        </w:tc>
        <w:tc>
          <w:tcPr>
            <w:tcW w:w="1034" w:type="dxa"/>
            <w:vMerge w:val="continue"/>
            <w:vAlign w:val="center"/>
          </w:tcPr>
          <w:p>
            <w:pPr>
              <w:pStyle w:val="39"/>
              <w:rPr>
                <w:rFonts w:ascii="Times New Roman" w:hAnsi="Times New Roman"/>
              </w:rPr>
            </w:pPr>
          </w:p>
        </w:tc>
        <w:tc>
          <w:tcPr>
            <w:tcW w:w="3321"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vMerge w:val="continue"/>
            <w:tcBorders>
              <w:bottom w:val="single" w:color="auto" w:sz="4" w:space="0"/>
            </w:tcBorders>
            <w:vAlign w:val="center"/>
          </w:tcPr>
          <w:p>
            <w:pPr>
              <w:pStyle w:val="39"/>
              <w:rPr>
                <w:rFonts w:ascii="Times New Roman" w:hAnsi="Times New Roman"/>
              </w:rPr>
            </w:pPr>
          </w:p>
        </w:tc>
        <w:tc>
          <w:tcPr>
            <w:tcW w:w="1563" w:type="dxa"/>
            <w:tcBorders>
              <w:bottom w:val="single" w:color="auto" w:sz="4" w:space="0"/>
            </w:tcBorders>
            <w:vAlign w:val="center"/>
          </w:tcPr>
          <w:p>
            <w:pPr>
              <w:pStyle w:val="39"/>
              <w:rPr>
                <w:rFonts w:ascii="Times New Roman" w:hAnsi="Times New Roman"/>
              </w:rPr>
            </w:pPr>
            <w:r>
              <w:rPr>
                <w:rFonts w:ascii="Times New Roman" w:hAnsi="Times New Roman"/>
              </w:rPr>
              <w:t>年平均</w:t>
            </w:r>
          </w:p>
        </w:tc>
        <w:tc>
          <w:tcPr>
            <w:tcW w:w="1236" w:type="dxa"/>
            <w:tcBorders>
              <w:bottom w:val="single" w:color="auto" w:sz="4" w:space="0"/>
            </w:tcBorders>
            <w:vAlign w:val="center"/>
          </w:tcPr>
          <w:p>
            <w:pPr>
              <w:pStyle w:val="39"/>
              <w:rPr>
                <w:rFonts w:ascii="Times New Roman" w:hAnsi="Times New Roman"/>
              </w:rPr>
            </w:pPr>
            <w:r>
              <w:rPr>
                <w:rFonts w:ascii="Times New Roman" w:hAnsi="Times New Roman"/>
              </w:rPr>
              <w:t>70</w:t>
            </w:r>
          </w:p>
        </w:tc>
        <w:tc>
          <w:tcPr>
            <w:tcW w:w="1034" w:type="dxa"/>
            <w:vMerge w:val="continue"/>
            <w:vAlign w:val="center"/>
          </w:tcPr>
          <w:p>
            <w:pPr>
              <w:pStyle w:val="39"/>
              <w:rPr>
                <w:rFonts w:ascii="Times New Roman" w:hAnsi="Times New Roman"/>
              </w:rPr>
            </w:pPr>
          </w:p>
        </w:tc>
        <w:tc>
          <w:tcPr>
            <w:tcW w:w="3321"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vMerge w:val="restart"/>
            <w:vAlign w:val="center"/>
          </w:tcPr>
          <w:p>
            <w:pPr>
              <w:pStyle w:val="39"/>
              <w:rPr>
                <w:rFonts w:ascii="Times New Roman" w:hAnsi="Times New Roman"/>
              </w:rPr>
            </w:pPr>
            <w:r>
              <w:rPr>
                <w:rFonts w:ascii="Times New Roman" w:hAnsi="Times New Roman"/>
              </w:rPr>
              <w:t>PM</w:t>
            </w:r>
            <w:r>
              <w:rPr>
                <w:rFonts w:ascii="Times New Roman" w:hAnsi="Times New Roman"/>
                <w:vertAlign w:val="subscript"/>
              </w:rPr>
              <w:t>2.5</w:t>
            </w:r>
          </w:p>
        </w:tc>
        <w:tc>
          <w:tcPr>
            <w:tcW w:w="1563" w:type="dxa"/>
            <w:tcBorders>
              <w:bottom w:val="single" w:color="auto" w:sz="4" w:space="0"/>
            </w:tcBorders>
            <w:vAlign w:val="center"/>
          </w:tcPr>
          <w:p>
            <w:pPr>
              <w:pStyle w:val="39"/>
              <w:rPr>
                <w:rFonts w:ascii="Times New Roman" w:hAnsi="Times New Roman"/>
              </w:rPr>
            </w:pPr>
            <w:r>
              <w:rPr>
                <w:rFonts w:ascii="Times New Roman" w:hAnsi="Times New Roman"/>
              </w:rPr>
              <w:t>24小时平均</w:t>
            </w:r>
          </w:p>
        </w:tc>
        <w:tc>
          <w:tcPr>
            <w:tcW w:w="1236" w:type="dxa"/>
            <w:tcBorders>
              <w:bottom w:val="single" w:color="auto" w:sz="4" w:space="0"/>
            </w:tcBorders>
            <w:vAlign w:val="center"/>
          </w:tcPr>
          <w:p>
            <w:pPr>
              <w:pStyle w:val="39"/>
              <w:rPr>
                <w:rFonts w:ascii="Times New Roman" w:hAnsi="Times New Roman"/>
              </w:rPr>
            </w:pPr>
            <w:r>
              <w:rPr>
                <w:rFonts w:ascii="Times New Roman" w:hAnsi="Times New Roman"/>
              </w:rPr>
              <w:t>75</w:t>
            </w:r>
          </w:p>
        </w:tc>
        <w:tc>
          <w:tcPr>
            <w:tcW w:w="1034" w:type="dxa"/>
            <w:vMerge w:val="continue"/>
            <w:vAlign w:val="center"/>
          </w:tcPr>
          <w:p>
            <w:pPr>
              <w:pStyle w:val="39"/>
              <w:rPr>
                <w:rFonts w:ascii="Times New Roman" w:hAnsi="Times New Roman"/>
              </w:rPr>
            </w:pPr>
          </w:p>
        </w:tc>
        <w:tc>
          <w:tcPr>
            <w:tcW w:w="3321"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vMerge w:val="continue"/>
            <w:tcBorders>
              <w:bottom w:val="single" w:color="auto" w:sz="4" w:space="0"/>
            </w:tcBorders>
            <w:vAlign w:val="center"/>
          </w:tcPr>
          <w:p>
            <w:pPr>
              <w:pStyle w:val="39"/>
              <w:rPr>
                <w:rFonts w:ascii="Times New Roman" w:hAnsi="Times New Roman"/>
              </w:rPr>
            </w:pPr>
          </w:p>
        </w:tc>
        <w:tc>
          <w:tcPr>
            <w:tcW w:w="1563" w:type="dxa"/>
            <w:tcBorders>
              <w:bottom w:val="single" w:color="auto" w:sz="4" w:space="0"/>
            </w:tcBorders>
            <w:vAlign w:val="center"/>
          </w:tcPr>
          <w:p>
            <w:pPr>
              <w:pStyle w:val="39"/>
              <w:rPr>
                <w:rFonts w:ascii="Times New Roman" w:hAnsi="Times New Roman"/>
              </w:rPr>
            </w:pPr>
            <w:r>
              <w:rPr>
                <w:rFonts w:ascii="Times New Roman" w:hAnsi="Times New Roman"/>
              </w:rPr>
              <w:t>年平均</w:t>
            </w:r>
          </w:p>
        </w:tc>
        <w:tc>
          <w:tcPr>
            <w:tcW w:w="1236" w:type="dxa"/>
            <w:tcBorders>
              <w:bottom w:val="single" w:color="auto" w:sz="4" w:space="0"/>
            </w:tcBorders>
            <w:vAlign w:val="center"/>
          </w:tcPr>
          <w:p>
            <w:pPr>
              <w:pStyle w:val="39"/>
              <w:rPr>
                <w:rFonts w:ascii="Times New Roman" w:hAnsi="Times New Roman"/>
              </w:rPr>
            </w:pPr>
            <w:r>
              <w:rPr>
                <w:rFonts w:ascii="Times New Roman" w:hAnsi="Times New Roman"/>
              </w:rPr>
              <w:t>35</w:t>
            </w:r>
          </w:p>
        </w:tc>
        <w:tc>
          <w:tcPr>
            <w:tcW w:w="1034" w:type="dxa"/>
            <w:vMerge w:val="continue"/>
            <w:vAlign w:val="center"/>
          </w:tcPr>
          <w:p>
            <w:pPr>
              <w:pStyle w:val="39"/>
              <w:rPr>
                <w:rFonts w:ascii="Times New Roman" w:hAnsi="Times New Roman"/>
              </w:rPr>
            </w:pPr>
          </w:p>
        </w:tc>
        <w:tc>
          <w:tcPr>
            <w:tcW w:w="3321" w:type="dxa"/>
            <w:vMerge w:val="continue"/>
            <w:tcBorders>
              <w:bottom w:val="single" w:color="auto" w:sz="4" w:space="0"/>
            </w:tcBorders>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vAlign w:val="center"/>
          </w:tcPr>
          <w:p>
            <w:pPr>
              <w:pStyle w:val="39"/>
              <w:rPr>
                <w:rFonts w:ascii="Times New Roman" w:hAnsi="Times New Roman"/>
              </w:rPr>
            </w:pPr>
            <w:r>
              <w:rPr>
                <w:rFonts w:ascii="Times New Roman" w:hAnsi="Times New Roman"/>
              </w:rPr>
              <w:t>NMHC</w:t>
            </w:r>
          </w:p>
        </w:tc>
        <w:tc>
          <w:tcPr>
            <w:tcW w:w="1563" w:type="dxa"/>
            <w:vAlign w:val="center"/>
          </w:tcPr>
          <w:p>
            <w:pPr>
              <w:pStyle w:val="39"/>
              <w:rPr>
                <w:rFonts w:ascii="Times New Roman" w:hAnsi="Times New Roman"/>
              </w:rPr>
            </w:pPr>
            <w:r>
              <w:rPr>
                <w:rFonts w:ascii="Times New Roman" w:hAnsi="Times New Roman"/>
              </w:rPr>
              <w:t>一次</w:t>
            </w:r>
          </w:p>
        </w:tc>
        <w:tc>
          <w:tcPr>
            <w:tcW w:w="1236" w:type="dxa"/>
            <w:vAlign w:val="center"/>
          </w:tcPr>
          <w:p>
            <w:pPr>
              <w:pStyle w:val="39"/>
              <w:rPr>
                <w:rFonts w:ascii="Times New Roman" w:hAnsi="Times New Roman"/>
              </w:rPr>
            </w:pPr>
            <w:r>
              <w:rPr>
                <w:rFonts w:ascii="Times New Roman" w:hAnsi="Times New Roman"/>
              </w:rPr>
              <w:t>2000</w:t>
            </w:r>
          </w:p>
        </w:tc>
        <w:tc>
          <w:tcPr>
            <w:tcW w:w="1034" w:type="dxa"/>
            <w:vMerge w:val="continue"/>
            <w:vAlign w:val="center"/>
          </w:tcPr>
          <w:p>
            <w:pPr>
              <w:pStyle w:val="39"/>
              <w:rPr>
                <w:rFonts w:ascii="Times New Roman" w:hAnsi="Times New Roman"/>
              </w:rPr>
            </w:pPr>
          </w:p>
        </w:tc>
        <w:tc>
          <w:tcPr>
            <w:tcW w:w="3321" w:type="dxa"/>
            <w:vAlign w:val="center"/>
          </w:tcPr>
          <w:p>
            <w:pPr>
              <w:pStyle w:val="39"/>
              <w:rPr>
                <w:rFonts w:ascii="Times New Roman" w:hAnsi="Times New Roman"/>
              </w:rPr>
            </w:pPr>
            <w:r>
              <w:rPr>
                <w:rFonts w:ascii="Times New Roman" w:hAnsi="Times New Roman"/>
              </w:rPr>
              <w:t>《大气污染物综合排放标准详解》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tcBorders>
              <w:bottom w:val="single" w:color="auto" w:sz="4" w:space="0"/>
            </w:tcBorders>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1563" w:type="dxa"/>
            <w:tcBorders>
              <w:bottom w:val="single" w:color="auto" w:sz="4" w:space="0"/>
            </w:tcBorders>
            <w:vAlign w:val="center"/>
          </w:tcPr>
          <w:p>
            <w:pPr>
              <w:pStyle w:val="39"/>
              <w:rPr>
                <w:rFonts w:ascii="Times New Roman" w:hAnsi="Times New Roman"/>
              </w:rPr>
            </w:pPr>
            <w:r>
              <w:rPr>
                <w:rFonts w:ascii="Times New Roman" w:hAnsi="Times New Roman"/>
              </w:rPr>
              <w:t>1小时平均</w:t>
            </w:r>
          </w:p>
        </w:tc>
        <w:tc>
          <w:tcPr>
            <w:tcW w:w="1236" w:type="dxa"/>
            <w:tcBorders>
              <w:bottom w:val="single" w:color="auto" w:sz="4" w:space="0"/>
            </w:tcBorders>
            <w:vAlign w:val="center"/>
          </w:tcPr>
          <w:p>
            <w:pPr>
              <w:pStyle w:val="39"/>
              <w:rPr>
                <w:rFonts w:ascii="Times New Roman" w:hAnsi="Times New Roman"/>
              </w:rPr>
            </w:pPr>
            <w:r>
              <w:rPr>
                <w:rFonts w:ascii="Times New Roman" w:hAnsi="Times New Roman"/>
              </w:rPr>
              <w:t>10</w:t>
            </w:r>
          </w:p>
        </w:tc>
        <w:tc>
          <w:tcPr>
            <w:tcW w:w="1034" w:type="dxa"/>
            <w:vAlign w:val="center"/>
          </w:tcPr>
          <w:p>
            <w:pPr>
              <w:pStyle w:val="39"/>
              <w:rPr>
                <w:rFonts w:ascii="Times New Roman" w:hAnsi="Times New Roman"/>
              </w:rPr>
            </w:pPr>
            <w:r>
              <w:rPr>
                <w:rFonts w:ascii="Times New Roman" w:hAnsi="Times New Roman"/>
              </w:rPr>
              <w:t>μg/m</w:t>
            </w:r>
            <w:r>
              <w:rPr>
                <w:rFonts w:ascii="Times New Roman" w:hAnsi="Times New Roman"/>
                <w:vertAlign w:val="superscript"/>
              </w:rPr>
              <w:t>3</w:t>
            </w:r>
          </w:p>
        </w:tc>
        <w:tc>
          <w:tcPr>
            <w:tcW w:w="3321" w:type="dxa"/>
            <w:tcBorders>
              <w:bottom w:val="single" w:color="auto" w:sz="4" w:space="0"/>
            </w:tcBorders>
            <w:vAlign w:val="center"/>
          </w:tcPr>
          <w:p>
            <w:pPr>
              <w:pStyle w:val="39"/>
              <w:rPr>
                <w:rFonts w:ascii="Times New Roman" w:hAnsi="Times New Roman"/>
              </w:rPr>
            </w:pPr>
            <w:r>
              <w:rPr>
                <w:rFonts w:ascii="Times New Roman" w:hAnsi="Times New Roman"/>
              </w:rPr>
              <w:t>《环境影响评价技术导则 大气环境》（HJ2.2-2018）</w:t>
            </w:r>
          </w:p>
        </w:tc>
      </w:tr>
    </w:tbl>
    <w:p>
      <w:pPr>
        <w:pStyle w:val="5"/>
        <w:rPr>
          <w:rFonts w:ascii="Times New Roman" w:hAnsi="Times New Roman"/>
        </w:rPr>
      </w:pPr>
      <w:r>
        <w:rPr>
          <w:rFonts w:ascii="Times New Roman" w:hAnsi="Times New Roman"/>
        </w:rPr>
        <w:t>地表水环境</w:t>
      </w:r>
    </w:p>
    <w:p>
      <w:pPr>
        <w:ind w:firstLine="480"/>
        <w:rPr>
          <w:rFonts w:ascii="Times New Roman" w:hAnsi="Times New Roman"/>
        </w:rPr>
      </w:pPr>
      <w:r>
        <w:rPr>
          <w:rFonts w:ascii="Times New Roman" w:hAnsi="Times New Roman"/>
        </w:rPr>
        <w:t>根据水体功能，清溪河执行《地表水环境质量标准》（GB3838-2002）Ⅲ类水质标准，具体标准限值见</w:t>
      </w:r>
      <w:r>
        <w:rPr>
          <w:rFonts w:ascii="Times New Roman" w:hAnsi="Times New Roman"/>
        </w:rPr>
        <w:fldChar w:fldCharType="begin"/>
      </w:r>
      <w:r>
        <w:rPr>
          <w:rFonts w:ascii="Times New Roman" w:hAnsi="Times New Roman"/>
        </w:rPr>
        <w:instrText xml:space="preserve"> REF _Ref151455618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5</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8" w:name="_Ref151455618"/>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bookmarkEnd w:id="18"/>
      <w:r>
        <w:rPr>
          <w:rFonts w:ascii="Times New Roman" w:hAnsi="Times New Roman" w:cs="Times New Roman"/>
        </w:rPr>
        <w:t xml:space="preserve">  地表水环境质量标准限值      单位：mg/L</w:t>
      </w:r>
    </w:p>
    <w:tbl>
      <w:tblPr>
        <w:tblStyle w:val="28"/>
        <w:tblW w:w="87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1"/>
        <w:gridCol w:w="1065"/>
        <w:gridCol w:w="1065"/>
        <w:gridCol w:w="1065"/>
        <w:gridCol w:w="1065"/>
        <w:gridCol w:w="1065"/>
        <w:gridCol w:w="1066"/>
        <w:gridCol w:w="1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1" w:type="dxa"/>
            <w:vAlign w:val="center"/>
          </w:tcPr>
          <w:p>
            <w:pPr>
              <w:pStyle w:val="39"/>
              <w:rPr>
                <w:rFonts w:ascii="Times New Roman" w:hAnsi="Times New Roman"/>
              </w:rPr>
            </w:pPr>
            <w:r>
              <w:rPr>
                <w:rFonts w:ascii="Times New Roman" w:hAnsi="Times New Roman"/>
              </w:rPr>
              <w:t>项目</w:t>
            </w:r>
          </w:p>
        </w:tc>
        <w:tc>
          <w:tcPr>
            <w:tcW w:w="1065" w:type="dxa"/>
            <w:vAlign w:val="center"/>
          </w:tcPr>
          <w:p>
            <w:pPr>
              <w:pStyle w:val="39"/>
              <w:rPr>
                <w:rFonts w:ascii="Times New Roman" w:hAnsi="Times New Roman"/>
              </w:rPr>
            </w:pPr>
            <w:r>
              <w:rPr>
                <w:rFonts w:ascii="Times New Roman" w:hAnsi="Times New Roman"/>
              </w:rPr>
              <w:t>pH值（无量纲）</w:t>
            </w:r>
          </w:p>
        </w:tc>
        <w:tc>
          <w:tcPr>
            <w:tcW w:w="1065" w:type="dxa"/>
            <w:vAlign w:val="center"/>
          </w:tcPr>
          <w:p>
            <w:pPr>
              <w:pStyle w:val="39"/>
              <w:rPr>
                <w:rFonts w:ascii="Times New Roman" w:hAnsi="Times New Roman"/>
              </w:rPr>
            </w:pPr>
            <w:r>
              <w:rPr>
                <w:rFonts w:ascii="Times New Roman" w:hAnsi="Times New Roman"/>
              </w:rPr>
              <w:t>溶解氧</w:t>
            </w:r>
          </w:p>
        </w:tc>
        <w:tc>
          <w:tcPr>
            <w:tcW w:w="1065" w:type="dxa"/>
            <w:vAlign w:val="center"/>
          </w:tcPr>
          <w:p>
            <w:pPr>
              <w:pStyle w:val="39"/>
              <w:rPr>
                <w:rFonts w:ascii="Times New Roman" w:hAnsi="Times New Roman"/>
              </w:rPr>
            </w:pPr>
            <w:r>
              <w:rPr>
                <w:rFonts w:ascii="Times New Roman" w:hAnsi="Times New Roman"/>
              </w:rPr>
              <w:t>高锰酸盐指数</w:t>
            </w:r>
          </w:p>
        </w:tc>
        <w:tc>
          <w:tcPr>
            <w:tcW w:w="1065" w:type="dxa"/>
            <w:vAlign w:val="center"/>
          </w:tcPr>
          <w:p>
            <w:pPr>
              <w:pStyle w:val="39"/>
              <w:rPr>
                <w:rFonts w:ascii="Times New Roman" w:hAnsi="Times New Roman"/>
              </w:rPr>
            </w:pPr>
            <w:r>
              <w:rPr>
                <w:rFonts w:ascii="Times New Roman" w:hAnsi="Times New Roman"/>
              </w:rPr>
              <w:t>COD</w:t>
            </w:r>
            <w:r>
              <w:rPr>
                <w:rFonts w:ascii="Times New Roman" w:hAnsi="Times New Roman"/>
                <w:vertAlign w:val="subscript"/>
              </w:rPr>
              <w:t>Cr</w:t>
            </w:r>
          </w:p>
        </w:tc>
        <w:tc>
          <w:tcPr>
            <w:tcW w:w="1065" w:type="dxa"/>
            <w:vAlign w:val="center"/>
          </w:tcPr>
          <w:p>
            <w:pPr>
              <w:pStyle w:val="39"/>
              <w:rPr>
                <w:rFonts w:ascii="Times New Roman" w:hAnsi="Times New Roman"/>
              </w:rPr>
            </w:pPr>
            <w:r>
              <w:rPr>
                <w:rFonts w:ascii="Times New Roman" w:hAnsi="Times New Roman"/>
              </w:rPr>
              <w:t>BOD</w:t>
            </w:r>
            <w:r>
              <w:rPr>
                <w:rFonts w:ascii="Times New Roman" w:hAnsi="Times New Roman"/>
                <w:vertAlign w:val="subscript"/>
              </w:rPr>
              <w:t>5</w:t>
            </w:r>
          </w:p>
        </w:tc>
        <w:tc>
          <w:tcPr>
            <w:tcW w:w="1066" w:type="dxa"/>
            <w:vAlign w:val="center"/>
          </w:tcPr>
          <w:p>
            <w:pPr>
              <w:pStyle w:val="39"/>
              <w:rPr>
                <w:rFonts w:ascii="Times New Roman" w:hAnsi="Times New Roman"/>
              </w:rPr>
            </w:pPr>
            <w:r>
              <w:rPr>
                <w:rFonts w:ascii="Times New Roman" w:hAnsi="Times New Roman"/>
              </w:rPr>
              <w:t>氨氮</w:t>
            </w:r>
          </w:p>
        </w:tc>
        <w:tc>
          <w:tcPr>
            <w:tcW w:w="1066" w:type="dxa"/>
            <w:vAlign w:val="center"/>
          </w:tcPr>
          <w:p>
            <w:pPr>
              <w:pStyle w:val="39"/>
              <w:rPr>
                <w:rFonts w:ascii="Times New Roman" w:hAnsi="Times New Roman"/>
              </w:rPr>
            </w:pPr>
            <w:r>
              <w:rPr>
                <w:rFonts w:ascii="Times New Roman" w:hAnsi="Times New Roman"/>
              </w:rPr>
              <w:t>氯化物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1" w:type="dxa"/>
            <w:vAlign w:val="center"/>
          </w:tcPr>
          <w:p>
            <w:pPr>
              <w:pStyle w:val="39"/>
              <w:rPr>
                <w:rFonts w:ascii="Times New Roman" w:hAnsi="Times New Roman"/>
              </w:rPr>
            </w:pPr>
            <w:r>
              <w:rPr>
                <w:rFonts w:ascii="Times New Roman" w:hAnsi="Times New Roman"/>
              </w:rPr>
              <w:t>Ⅲ类标准值</w:t>
            </w:r>
          </w:p>
        </w:tc>
        <w:tc>
          <w:tcPr>
            <w:tcW w:w="1065" w:type="dxa"/>
            <w:vAlign w:val="center"/>
          </w:tcPr>
          <w:p>
            <w:pPr>
              <w:pStyle w:val="39"/>
              <w:rPr>
                <w:rFonts w:ascii="Times New Roman" w:hAnsi="Times New Roman"/>
              </w:rPr>
            </w:pPr>
            <w:r>
              <w:rPr>
                <w:rFonts w:ascii="Times New Roman" w:hAnsi="Times New Roman"/>
              </w:rPr>
              <w:t>6～9</w:t>
            </w:r>
          </w:p>
        </w:tc>
        <w:tc>
          <w:tcPr>
            <w:tcW w:w="1065" w:type="dxa"/>
            <w:vAlign w:val="center"/>
          </w:tcPr>
          <w:p>
            <w:pPr>
              <w:pStyle w:val="39"/>
              <w:rPr>
                <w:rFonts w:ascii="Times New Roman" w:hAnsi="Times New Roman"/>
              </w:rPr>
            </w:pPr>
            <w:r>
              <w:rPr>
                <w:rFonts w:ascii="Times New Roman" w:hAnsi="Times New Roman"/>
              </w:rPr>
              <w:t>5</w:t>
            </w:r>
          </w:p>
        </w:tc>
        <w:tc>
          <w:tcPr>
            <w:tcW w:w="1065" w:type="dxa"/>
            <w:vAlign w:val="center"/>
          </w:tcPr>
          <w:p>
            <w:pPr>
              <w:pStyle w:val="39"/>
              <w:rPr>
                <w:rFonts w:ascii="Times New Roman" w:hAnsi="Times New Roman"/>
              </w:rPr>
            </w:pPr>
            <w:r>
              <w:rPr>
                <w:rFonts w:ascii="Times New Roman" w:hAnsi="Times New Roman"/>
              </w:rPr>
              <w:t>6</w:t>
            </w:r>
          </w:p>
        </w:tc>
        <w:tc>
          <w:tcPr>
            <w:tcW w:w="1065" w:type="dxa"/>
            <w:vAlign w:val="center"/>
          </w:tcPr>
          <w:p>
            <w:pPr>
              <w:pStyle w:val="39"/>
              <w:rPr>
                <w:rFonts w:ascii="Times New Roman" w:hAnsi="Times New Roman"/>
              </w:rPr>
            </w:pPr>
            <w:r>
              <w:rPr>
                <w:rFonts w:ascii="Times New Roman" w:hAnsi="Times New Roman"/>
              </w:rPr>
              <w:t>20</w:t>
            </w:r>
          </w:p>
        </w:tc>
        <w:tc>
          <w:tcPr>
            <w:tcW w:w="1065" w:type="dxa"/>
            <w:vAlign w:val="center"/>
          </w:tcPr>
          <w:p>
            <w:pPr>
              <w:pStyle w:val="39"/>
              <w:rPr>
                <w:rFonts w:ascii="Times New Roman" w:hAnsi="Times New Roman"/>
              </w:rPr>
            </w:pPr>
            <w:r>
              <w:rPr>
                <w:rFonts w:ascii="Times New Roman" w:hAnsi="Times New Roman"/>
              </w:rPr>
              <w:t>4</w:t>
            </w:r>
          </w:p>
        </w:tc>
        <w:tc>
          <w:tcPr>
            <w:tcW w:w="1066" w:type="dxa"/>
            <w:vAlign w:val="center"/>
          </w:tcPr>
          <w:p>
            <w:pPr>
              <w:pStyle w:val="39"/>
              <w:rPr>
                <w:rFonts w:ascii="Times New Roman" w:hAnsi="Times New Roman"/>
              </w:rPr>
            </w:pPr>
            <w:r>
              <w:rPr>
                <w:rFonts w:ascii="Times New Roman" w:hAnsi="Times New Roman"/>
              </w:rPr>
              <w:t>1.0</w:t>
            </w:r>
          </w:p>
        </w:tc>
        <w:tc>
          <w:tcPr>
            <w:tcW w:w="1066" w:type="dxa"/>
            <w:vAlign w:val="center"/>
          </w:tcPr>
          <w:p>
            <w:pPr>
              <w:pStyle w:val="39"/>
              <w:rPr>
                <w:rFonts w:ascii="Times New Roman" w:hAnsi="Times New Roman"/>
              </w:rPr>
            </w:pPr>
            <w:r>
              <w:rPr>
                <w:rFonts w:ascii="Times New Roman" w:hAnsi="Times New Roma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1" w:type="dxa"/>
            <w:vAlign w:val="center"/>
          </w:tcPr>
          <w:p>
            <w:pPr>
              <w:pStyle w:val="39"/>
              <w:rPr>
                <w:rFonts w:ascii="Times New Roman" w:hAnsi="Times New Roman"/>
              </w:rPr>
            </w:pPr>
            <w:r>
              <w:rPr>
                <w:rFonts w:ascii="Times New Roman" w:hAnsi="Times New Roman"/>
              </w:rPr>
              <w:t>项目</w:t>
            </w:r>
          </w:p>
        </w:tc>
        <w:tc>
          <w:tcPr>
            <w:tcW w:w="1065" w:type="dxa"/>
            <w:vAlign w:val="center"/>
          </w:tcPr>
          <w:p>
            <w:pPr>
              <w:pStyle w:val="39"/>
              <w:rPr>
                <w:rFonts w:ascii="Times New Roman" w:hAnsi="Times New Roman"/>
              </w:rPr>
            </w:pPr>
            <w:r>
              <w:rPr>
                <w:rFonts w:ascii="Times New Roman" w:hAnsi="Times New Roman"/>
              </w:rPr>
              <w:t>石油类</w:t>
            </w:r>
          </w:p>
        </w:tc>
        <w:tc>
          <w:tcPr>
            <w:tcW w:w="1065" w:type="dxa"/>
            <w:vAlign w:val="center"/>
          </w:tcPr>
          <w:p>
            <w:pPr>
              <w:pStyle w:val="39"/>
              <w:rPr>
                <w:rFonts w:ascii="Times New Roman" w:hAnsi="Times New Roman"/>
              </w:rPr>
            </w:pPr>
            <w:r>
              <w:rPr>
                <w:rFonts w:ascii="Times New Roman" w:hAnsi="Times New Roman"/>
              </w:rPr>
              <w:t>硫化物</w:t>
            </w:r>
          </w:p>
        </w:tc>
        <w:tc>
          <w:tcPr>
            <w:tcW w:w="1065" w:type="dxa"/>
            <w:vAlign w:val="center"/>
          </w:tcPr>
          <w:p>
            <w:pPr>
              <w:pStyle w:val="39"/>
              <w:rPr>
                <w:rFonts w:ascii="Times New Roman" w:hAnsi="Times New Roman"/>
              </w:rPr>
            </w:pPr>
            <w:r>
              <w:rPr>
                <w:rFonts w:ascii="Times New Roman" w:hAnsi="Times New Roman"/>
              </w:rPr>
              <w:t>六价铬</w:t>
            </w:r>
          </w:p>
        </w:tc>
        <w:tc>
          <w:tcPr>
            <w:tcW w:w="1065" w:type="dxa"/>
            <w:vAlign w:val="center"/>
          </w:tcPr>
          <w:p>
            <w:pPr>
              <w:pStyle w:val="39"/>
              <w:rPr>
                <w:rFonts w:ascii="Times New Roman" w:hAnsi="Times New Roman"/>
              </w:rPr>
            </w:pPr>
            <w:r>
              <w:rPr>
                <w:rFonts w:ascii="Times New Roman" w:hAnsi="Times New Roman"/>
              </w:rPr>
              <w:t>挥发酚</w:t>
            </w:r>
          </w:p>
        </w:tc>
        <w:tc>
          <w:tcPr>
            <w:tcW w:w="1065" w:type="dxa"/>
            <w:vAlign w:val="center"/>
          </w:tcPr>
          <w:p>
            <w:pPr>
              <w:pStyle w:val="39"/>
              <w:rPr>
                <w:rFonts w:ascii="Times New Roman" w:hAnsi="Times New Roman"/>
              </w:rPr>
            </w:pPr>
            <w:r>
              <w:rPr>
                <w:rFonts w:ascii="Times New Roman" w:hAnsi="Times New Roman"/>
              </w:rPr>
              <w:t>总磷</w:t>
            </w:r>
          </w:p>
        </w:tc>
        <w:tc>
          <w:tcPr>
            <w:tcW w:w="1066" w:type="dxa"/>
            <w:vAlign w:val="center"/>
          </w:tcPr>
          <w:p>
            <w:pPr>
              <w:pStyle w:val="39"/>
              <w:rPr>
                <w:rFonts w:ascii="Times New Roman" w:hAnsi="Times New Roman"/>
              </w:rPr>
            </w:pPr>
            <w:r>
              <w:rPr>
                <w:rFonts w:ascii="Times New Roman" w:hAnsi="Times New Roman"/>
              </w:rPr>
              <w:t>硫酸盐</w:t>
            </w:r>
          </w:p>
        </w:tc>
        <w:tc>
          <w:tcPr>
            <w:tcW w:w="1066" w:type="dxa"/>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1" w:type="dxa"/>
            <w:vAlign w:val="center"/>
          </w:tcPr>
          <w:p>
            <w:pPr>
              <w:pStyle w:val="39"/>
              <w:rPr>
                <w:rFonts w:ascii="Times New Roman" w:hAnsi="Times New Roman"/>
              </w:rPr>
            </w:pPr>
            <w:r>
              <w:rPr>
                <w:rFonts w:ascii="Times New Roman" w:hAnsi="Times New Roman"/>
              </w:rPr>
              <w:t>Ⅲ类标准值</w:t>
            </w:r>
          </w:p>
        </w:tc>
        <w:tc>
          <w:tcPr>
            <w:tcW w:w="1065" w:type="dxa"/>
            <w:vAlign w:val="center"/>
          </w:tcPr>
          <w:p>
            <w:pPr>
              <w:pStyle w:val="39"/>
              <w:rPr>
                <w:rFonts w:ascii="Times New Roman" w:hAnsi="Times New Roman"/>
              </w:rPr>
            </w:pPr>
            <w:r>
              <w:rPr>
                <w:rFonts w:ascii="Times New Roman" w:hAnsi="Times New Roman"/>
              </w:rPr>
              <w:t>0.05</w:t>
            </w:r>
          </w:p>
        </w:tc>
        <w:tc>
          <w:tcPr>
            <w:tcW w:w="1065" w:type="dxa"/>
            <w:vAlign w:val="center"/>
          </w:tcPr>
          <w:p>
            <w:pPr>
              <w:pStyle w:val="39"/>
              <w:rPr>
                <w:rFonts w:ascii="Times New Roman" w:hAnsi="Times New Roman"/>
              </w:rPr>
            </w:pPr>
            <w:r>
              <w:rPr>
                <w:rFonts w:ascii="Times New Roman" w:hAnsi="Times New Roman"/>
              </w:rPr>
              <w:t>0.2</w:t>
            </w:r>
          </w:p>
        </w:tc>
        <w:tc>
          <w:tcPr>
            <w:tcW w:w="1065" w:type="dxa"/>
            <w:vAlign w:val="center"/>
          </w:tcPr>
          <w:p>
            <w:pPr>
              <w:pStyle w:val="39"/>
              <w:rPr>
                <w:rFonts w:ascii="Times New Roman" w:hAnsi="Times New Roman"/>
              </w:rPr>
            </w:pPr>
            <w:r>
              <w:rPr>
                <w:rFonts w:ascii="Times New Roman" w:hAnsi="Times New Roman"/>
              </w:rPr>
              <w:t>0.05</w:t>
            </w:r>
          </w:p>
        </w:tc>
        <w:tc>
          <w:tcPr>
            <w:tcW w:w="1065" w:type="dxa"/>
            <w:vAlign w:val="center"/>
          </w:tcPr>
          <w:p>
            <w:pPr>
              <w:pStyle w:val="39"/>
              <w:rPr>
                <w:rFonts w:ascii="Times New Roman" w:hAnsi="Times New Roman"/>
              </w:rPr>
            </w:pPr>
            <w:r>
              <w:rPr>
                <w:rFonts w:ascii="Times New Roman" w:hAnsi="Times New Roman"/>
              </w:rPr>
              <w:t>0.005</w:t>
            </w:r>
          </w:p>
        </w:tc>
        <w:tc>
          <w:tcPr>
            <w:tcW w:w="1065" w:type="dxa"/>
            <w:vAlign w:val="center"/>
          </w:tcPr>
          <w:p>
            <w:pPr>
              <w:pStyle w:val="39"/>
              <w:rPr>
                <w:rFonts w:ascii="Times New Roman" w:hAnsi="Times New Roman"/>
              </w:rPr>
            </w:pPr>
            <w:r>
              <w:rPr>
                <w:rFonts w:ascii="Times New Roman" w:hAnsi="Times New Roman"/>
              </w:rPr>
              <w:t>0.2</w:t>
            </w:r>
          </w:p>
        </w:tc>
        <w:tc>
          <w:tcPr>
            <w:tcW w:w="1066" w:type="dxa"/>
            <w:vAlign w:val="center"/>
          </w:tcPr>
          <w:p>
            <w:pPr>
              <w:pStyle w:val="39"/>
              <w:rPr>
                <w:rFonts w:ascii="Times New Roman" w:hAnsi="Times New Roman"/>
              </w:rPr>
            </w:pPr>
            <w:r>
              <w:rPr>
                <w:rFonts w:ascii="Times New Roman" w:hAnsi="Times New Roman"/>
              </w:rPr>
              <w:t>250</w:t>
            </w:r>
          </w:p>
        </w:tc>
        <w:tc>
          <w:tcPr>
            <w:tcW w:w="1066" w:type="dxa"/>
            <w:vAlign w:val="center"/>
          </w:tcPr>
          <w:p>
            <w:pPr>
              <w:pStyle w:val="39"/>
              <w:rPr>
                <w:rFonts w:ascii="Times New Roman" w:hAnsi="Times New Roman"/>
              </w:rPr>
            </w:pPr>
          </w:p>
        </w:tc>
      </w:tr>
    </w:tbl>
    <w:p>
      <w:pPr>
        <w:pStyle w:val="5"/>
        <w:rPr>
          <w:rFonts w:ascii="Times New Roman" w:hAnsi="Times New Roman"/>
        </w:rPr>
      </w:pPr>
      <w:r>
        <w:rPr>
          <w:rFonts w:ascii="Times New Roman" w:hAnsi="Times New Roman"/>
        </w:rPr>
        <w:t>地下水环境</w:t>
      </w:r>
    </w:p>
    <w:p>
      <w:pPr>
        <w:ind w:firstLine="480"/>
        <w:rPr>
          <w:rFonts w:ascii="Times New Roman" w:hAnsi="Times New Roman"/>
        </w:rPr>
      </w:pPr>
      <w:r>
        <w:rPr>
          <w:rFonts w:ascii="Times New Roman" w:hAnsi="Times New Roman"/>
        </w:rPr>
        <w:t>地下水执行《地下水质量标准》（GB/T14848-2017）中III类标准，石油类参照执行《地表水环境质量标准》（GB 3838-2002），其限值见</w:t>
      </w:r>
      <w:r>
        <w:rPr>
          <w:rFonts w:ascii="Times New Roman" w:hAnsi="Times New Roman"/>
        </w:rPr>
        <w:fldChar w:fldCharType="begin"/>
      </w:r>
      <w:r>
        <w:rPr>
          <w:rFonts w:ascii="Times New Roman" w:hAnsi="Times New Roman"/>
        </w:rPr>
        <w:instrText xml:space="preserve"> REF _Ref157459972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6</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9" w:name="_Ref15745997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bookmarkEnd w:id="19"/>
      <w:r>
        <w:rPr>
          <w:rFonts w:ascii="Times New Roman" w:hAnsi="Times New Roman" w:cs="Times New Roman"/>
        </w:rPr>
        <w:t xml:space="preserve">  地下水质量标准限值（mg/L，pH、总大肠菌群、细菌总数除外）</w:t>
      </w:r>
    </w:p>
    <w:tbl>
      <w:tblPr>
        <w:tblStyle w:val="28"/>
        <w:tblW w:w="94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9"/>
        <w:gridCol w:w="1083"/>
        <w:gridCol w:w="812"/>
        <w:gridCol w:w="872"/>
        <w:gridCol w:w="852"/>
        <w:gridCol w:w="832"/>
        <w:gridCol w:w="872"/>
        <w:gridCol w:w="1077"/>
        <w:gridCol w:w="17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pStyle w:val="39"/>
              <w:rPr>
                <w:rFonts w:ascii="Times New Roman" w:hAnsi="Times New Roman"/>
              </w:rPr>
            </w:pPr>
            <w:r>
              <w:rPr>
                <w:rFonts w:ascii="Times New Roman" w:hAnsi="Times New Roman"/>
              </w:rPr>
              <w:t>项目</w:t>
            </w:r>
          </w:p>
        </w:tc>
        <w:tc>
          <w:tcPr>
            <w:tcW w:w="1083" w:type="dxa"/>
            <w:vAlign w:val="center"/>
          </w:tcPr>
          <w:p>
            <w:pPr>
              <w:pStyle w:val="39"/>
              <w:rPr>
                <w:rFonts w:ascii="Times New Roman" w:hAnsi="Times New Roman"/>
              </w:rPr>
            </w:pPr>
            <w:r>
              <w:rPr>
                <w:rFonts w:ascii="Times New Roman" w:hAnsi="Times New Roman"/>
              </w:rPr>
              <w:t>pH值（无量纲）</w:t>
            </w:r>
          </w:p>
        </w:tc>
        <w:tc>
          <w:tcPr>
            <w:tcW w:w="812" w:type="dxa"/>
            <w:vAlign w:val="center"/>
          </w:tcPr>
          <w:p>
            <w:pPr>
              <w:pStyle w:val="39"/>
              <w:rPr>
                <w:rFonts w:ascii="Times New Roman" w:hAnsi="Times New Roman"/>
              </w:rPr>
            </w:pPr>
            <w:r>
              <w:rPr>
                <w:rFonts w:ascii="Times New Roman" w:hAnsi="Times New Roman"/>
              </w:rPr>
              <w:t>氯化物</w:t>
            </w:r>
          </w:p>
        </w:tc>
        <w:tc>
          <w:tcPr>
            <w:tcW w:w="872" w:type="dxa"/>
            <w:vAlign w:val="center"/>
          </w:tcPr>
          <w:p>
            <w:pPr>
              <w:pStyle w:val="39"/>
              <w:rPr>
                <w:rFonts w:ascii="Times New Roman" w:hAnsi="Times New Roman"/>
              </w:rPr>
            </w:pPr>
            <w:r>
              <w:rPr>
                <w:rFonts w:ascii="Times New Roman" w:hAnsi="Times New Roman"/>
              </w:rPr>
              <w:t>硫酸盐</w:t>
            </w:r>
          </w:p>
        </w:tc>
        <w:tc>
          <w:tcPr>
            <w:tcW w:w="852" w:type="dxa"/>
            <w:vAlign w:val="center"/>
          </w:tcPr>
          <w:p>
            <w:pPr>
              <w:pStyle w:val="39"/>
              <w:rPr>
                <w:rFonts w:ascii="Times New Roman" w:hAnsi="Times New Roman"/>
              </w:rPr>
            </w:pPr>
            <w:r>
              <w:rPr>
                <w:rFonts w:ascii="Times New Roman" w:hAnsi="Times New Roman"/>
              </w:rPr>
              <w:t>氨氮</w:t>
            </w:r>
          </w:p>
        </w:tc>
        <w:tc>
          <w:tcPr>
            <w:tcW w:w="832" w:type="dxa"/>
            <w:vAlign w:val="center"/>
          </w:tcPr>
          <w:p>
            <w:pPr>
              <w:pStyle w:val="39"/>
              <w:rPr>
                <w:rFonts w:ascii="Times New Roman" w:hAnsi="Times New Roman"/>
              </w:rPr>
            </w:pPr>
            <w:r>
              <w:rPr>
                <w:rFonts w:ascii="Times New Roman" w:hAnsi="Times New Roman"/>
              </w:rPr>
              <w:t>硝酸盐</w:t>
            </w:r>
          </w:p>
        </w:tc>
        <w:tc>
          <w:tcPr>
            <w:tcW w:w="872" w:type="dxa"/>
            <w:vAlign w:val="center"/>
          </w:tcPr>
          <w:p>
            <w:pPr>
              <w:pStyle w:val="39"/>
              <w:rPr>
                <w:rFonts w:ascii="Times New Roman" w:hAnsi="Times New Roman"/>
              </w:rPr>
            </w:pPr>
            <w:r>
              <w:rPr>
                <w:rFonts w:ascii="Times New Roman" w:hAnsi="Times New Roman"/>
              </w:rPr>
              <w:t>石油类</w:t>
            </w:r>
          </w:p>
        </w:tc>
        <w:tc>
          <w:tcPr>
            <w:tcW w:w="1077" w:type="dxa"/>
            <w:vAlign w:val="center"/>
          </w:tcPr>
          <w:p>
            <w:pPr>
              <w:pStyle w:val="39"/>
              <w:rPr>
                <w:rFonts w:ascii="Times New Roman" w:hAnsi="Times New Roman"/>
              </w:rPr>
            </w:pPr>
            <w:r>
              <w:rPr>
                <w:rFonts w:ascii="Times New Roman" w:hAnsi="Times New Roman"/>
              </w:rPr>
              <w:t>亚硝酸盐</w:t>
            </w:r>
          </w:p>
        </w:tc>
        <w:tc>
          <w:tcPr>
            <w:tcW w:w="1757" w:type="dxa"/>
            <w:vAlign w:val="center"/>
          </w:tcPr>
          <w:p>
            <w:pPr>
              <w:pStyle w:val="39"/>
              <w:rPr>
                <w:rFonts w:ascii="Times New Roman" w:hAnsi="Times New Roman"/>
              </w:rPr>
            </w:pPr>
            <w:r>
              <w:rPr>
                <w:rFonts w:ascii="Times New Roman" w:hAnsi="Times New Roman"/>
              </w:rPr>
              <w:t>总大肠菌群（MPN/100mL）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pStyle w:val="39"/>
              <w:rPr>
                <w:rFonts w:ascii="Times New Roman" w:hAnsi="Times New Roman"/>
              </w:rPr>
            </w:pPr>
            <w:r>
              <w:rPr>
                <w:rFonts w:ascii="Times New Roman" w:hAnsi="Times New Roman"/>
              </w:rPr>
              <w:t>Ⅲ类标准值</w:t>
            </w:r>
          </w:p>
        </w:tc>
        <w:tc>
          <w:tcPr>
            <w:tcW w:w="1083" w:type="dxa"/>
            <w:vAlign w:val="center"/>
          </w:tcPr>
          <w:p>
            <w:pPr>
              <w:pStyle w:val="39"/>
              <w:rPr>
                <w:rFonts w:ascii="Times New Roman" w:hAnsi="Times New Roman"/>
              </w:rPr>
            </w:pPr>
            <w:r>
              <w:rPr>
                <w:rFonts w:ascii="Times New Roman" w:hAnsi="Times New Roman"/>
              </w:rPr>
              <w:t>6.5～8.5</w:t>
            </w:r>
          </w:p>
        </w:tc>
        <w:tc>
          <w:tcPr>
            <w:tcW w:w="812" w:type="dxa"/>
            <w:vAlign w:val="center"/>
          </w:tcPr>
          <w:p>
            <w:pPr>
              <w:pStyle w:val="39"/>
              <w:rPr>
                <w:rFonts w:ascii="Times New Roman" w:hAnsi="Times New Roman"/>
              </w:rPr>
            </w:pPr>
            <w:r>
              <w:rPr>
                <w:rFonts w:ascii="Times New Roman" w:hAnsi="Times New Roman"/>
              </w:rPr>
              <w:t>250</w:t>
            </w:r>
          </w:p>
        </w:tc>
        <w:tc>
          <w:tcPr>
            <w:tcW w:w="872" w:type="dxa"/>
            <w:vAlign w:val="center"/>
          </w:tcPr>
          <w:p>
            <w:pPr>
              <w:pStyle w:val="39"/>
              <w:rPr>
                <w:rFonts w:ascii="Times New Roman" w:hAnsi="Times New Roman"/>
              </w:rPr>
            </w:pPr>
            <w:r>
              <w:rPr>
                <w:rFonts w:ascii="Times New Roman" w:hAnsi="Times New Roman"/>
              </w:rPr>
              <w:t>250</w:t>
            </w:r>
          </w:p>
        </w:tc>
        <w:tc>
          <w:tcPr>
            <w:tcW w:w="852" w:type="dxa"/>
            <w:vAlign w:val="center"/>
          </w:tcPr>
          <w:p>
            <w:pPr>
              <w:pStyle w:val="39"/>
              <w:rPr>
                <w:rFonts w:ascii="Times New Roman" w:hAnsi="Times New Roman"/>
              </w:rPr>
            </w:pPr>
            <w:r>
              <w:rPr>
                <w:rFonts w:ascii="Times New Roman" w:hAnsi="Times New Roman"/>
              </w:rPr>
              <w:t>0.5</w:t>
            </w:r>
          </w:p>
        </w:tc>
        <w:tc>
          <w:tcPr>
            <w:tcW w:w="832" w:type="dxa"/>
            <w:vAlign w:val="center"/>
          </w:tcPr>
          <w:p>
            <w:pPr>
              <w:pStyle w:val="39"/>
              <w:rPr>
                <w:rFonts w:ascii="Times New Roman" w:hAnsi="Times New Roman"/>
              </w:rPr>
            </w:pPr>
            <w:r>
              <w:rPr>
                <w:rFonts w:ascii="Times New Roman" w:hAnsi="Times New Roman"/>
              </w:rPr>
              <w:t>20</w:t>
            </w:r>
          </w:p>
        </w:tc>
        <w:tc>
          <w:tcPr>
            <w:tcW w:w="872" w:type="dxa"/>
            <w:vAlign w:val="center"/>
          </w:tcPr>
          <w:p>
            <w:pPr>
              <w:pStyle w:val="39"/>
              <w:rPr>
                <w:rFonts w:ascii="Times New Roman" w:hAnsi="Times New Roman"/>
              </w:rPr>
            </w:pPr>
            <w:r>
              <w:rPr>
                <w:rFonts w:ascii="Times New Roman" w:hAnsi="Times New Roman"/>
              </w:rPr>
              <w:t>0.05</w:t>
            </w:r>
          </w:p>
        </w:tc>
        <w:tc>
          <w:tcPr>
            <w:tcW w:w="1077" w:type="dxa"/>
            <w:vAlign w:val="center"/>
          </w:tcPr>
          <w:p>
            <w:pPr>
              <w:pStyle w:val="39"/>
              <w:rPr>
                <w:rFonts w:ascii="Times New Roman" w:hAnsi="Times New Roman"/>
              </w:rPr>
            </w:pPr>
            <w:r>
              <w:rPr>
                <w:rFonts w:ascii="Times New Roman" w:hAnsi="Times New Roman"/>
              </w:rPr>
              <w:t>1</w:t>
            </w:r>
          </w:p>
        </w:tc>
        <w:tc>
          <w:tcPr>
            <w:tcW w:w="1757" w:type="dxa"/>
            <w:vAlign w:val="center"/>
          </w:tcPr>
          <w:p>
            <w:pPr>
              <w:pStyle w:val="39"/>
              <w:rPr>
                <w:rFonts w:ascii="Times New Roman" w:hAnsi="Times New Roman"/>
              </w:rPr>
            </w:pPr>
            <w:r>
              <w:rPr>
                <w:rFonts w:ascii="Times New Roman" w:hAnsi="Times New Roma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pStyle w:val="39"/>
              <w:rPr>
                <w:rFonts w:ascii="Times New Roman" w:hAnsi="Times New Roman"/>
              </w:rPr>
            </w:pPr>
            <w:r>
              <w:rPr>
                <w:rFonts w:ascii="Times New Roman" w:hAnsi="Times New Roman"/>
              </w:rPr>
              <w:t>项目</w:t>
            </w:r>
          </w:p>
        </w:tc>
        <w:tc>
          <w:tcPr>
            <w:tcW w:w="1083" w:type="dxa"/>
            <w:vAlign w:val="center"/>
          </w:tcPr>
          <w:p>
            <w:pPr>
              <w:pStyle w:val="39"/>
              <w:rPr>
                <w:rFonts w:ascii="Times New Roman" w:hAnsi="Times New Roman"/>
              </w:rPr>
            </w:pPr>
            <w:r>
              <w:rPr>
                <w:rFonts w:ascii="Times New Roman" w:hAnsi="Times New Roman"/>
              </w:rPr>
              <w:t>硫化物</w:t>
            </w:r>
          </w:p>
        </w:tc>
        <w:tc>
          <w:tcPr>
            <w:tcW w:w="812" w:type="dxa"/>
            <w:vAlign w:val="center"/>
          </w:tcPr>
          <w:p>
            <w:pPr>
              <w:pStyle w:val="39"/>
              <w:rPr>
                <w:rFonts w:ascii="Times New Roman" w:hAnsi="Times New Roman"/>
              </w:rPr>
            </w:pPr>
            <w:r>
              <w:rPr>
                <w:rFonts w:ascii="Times New Roman" w:hAnsi="Times New Roman"/>
              </w:rPr>
              <w:t>铁</w:t>
            </w:r>
          </w:p>
        </w:tc>
        <w:tc>
          <w:tcPr>
            <w:tcW w:w="872" w:type="dxa"/>
            <w:vAlign w:val="center"/>
          </w:tcPr>
          <w:p>
            <w:pPr>
              <w:pStyle w:val="39"/>
              <w:rPr>
                <w:rFonts w:ascii="Times New Roman" w:hAnsi="Times New Roman"/>
              </w:rPr>
            </w:pPr>
            <w:r>
              <w:rPr>
                <w:rFonts w:ascii="Times New Roman" w:hAnsi="Times New Roman"/>
              </w:rPr>
              <w:t>锰</w:t>
            </w:r>
          </w:p>
        </w:tc>
        <w:tc>
          <w:tcPr>
            <w:tcW w:w="852" w:type="dxa"/>
            <w:vAlign w:val="center"/>
          </w:tcPr>
          <w:p>
            <w:pPr>
              <w:pStyle w:val="39"/>
              <w:rPr>
                <w:rFonts w:ascii="Times New Roman" w:hAnsi="Times New Roman"/>
              </w:rPr>
            </w:pPr>
            <w:r>
              <w:rPr>
                <w:rFonts w:ascii="Times New Roman" w:hAnsi="Times New Roman"/>
              </w:rPr>
              <w:t>氰化物</w:t>
            </w:r>
          </w:p>
        </w:tc>
        <w:tc>
          <w:tcPr>
            <w:tcW w:w="832" w:type="dxa"/>
            <w:vAlign w:val="center"/>
          </w:tcPr>
          <w:p>
            <w:pPr>
              <w:pStyle w:val="39"/>
              <w:rPr>
                <w:rFonts w:ascii="Times New Roman" w:hAnsi="Times New Roman"/>
              </w:rPr>
            </w:pPr>
            <w:r>
              <w:rPr>
                <w:rFonts w:ascii="Times New Roman" w:hAnsi="Times New Roman"/>
              </w:rPr>
              <w:t>砷</w:t>
            </w:r>
          </w:p>
        </w:tc>
        <w:tc>
          <w:tcPr>
            <w:tcW w:w="872" w:type="dxa"/>
            <w:vAlign w:val="center"/>
          </w:tcPr>
          <w:p>
            <w:pPr>
              <w:pStyle w:val="39"/>
              <w:rPr>
                <w:rFonts w:ascii="Times New Roman" w:hAnsi="Times New Roman"/>
              </w:rPr>
            </w:pPr>
            <w:r>
              <w:rPr>
                <w:rFonts w:ascii="Times New Roman" w:hAnsi="Times New Roman"/>
              </w:rPr>
              <w:t>汞</w:t>
            </w:r>
          </w:p>
        </w:tc>
        <w:tc>
          <w:tcPr>
            <w:tcW w:w="1077" w:type="dxa"/>
            <w:vAlign w:val="center"/>
          </w:tcPr>
          <w:p>
            <w:pPr>
              <w:pStyle w:val="39"/>
              <w:rPr>
                <w:rFonts w:ascii="Times New Roman" w:hAnsi="Times New Roman"/>
              </w:rPr>
            </w:pPr>
            <w:r>
              <w:rPr>
                <w:rFonts w:ascii="Times New Roman" w:hAnsi="Times New Roman"/>
              </w:rPr>
              <w:t>六价铬</w:t>
            </w:r>
          </w:p>
        </w:tc>
        <w:tc>
          <w:tcPr>
            <w:tcW w:w="1757" w:type="dxa"/>
            <w:vAlign w:val="center"/>
          </w:tcPr>
          <w:p>
            <w:pPr>
              <w:pStyle w:val="39"/>
              <w:rPr>
                <w:rFonts w:ascii="Times New Roman" w:hAnsi="Times New Roman"/>
              </w:rPr>
            </w:pPr>
            <w:r>
              <w:rPr>
                <w:rFonts w:ascii="Times New Roman" w:hAnsi="Times New Roman"/>
              </w:rPr>
              <w:t>细菌总数（CFU/mL）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pStyle w:val="39"/>
              <w:rPr>
                <w:rFonts w:ascii="Times New Roman" w:hAnsi="Times New Roman"/>
              </w:rPr>
            </w:pPr>
            <w:r>
              <w:rPr>
                <w:rFonts w:ascii="Times New Roman" w:hAnsi="Times New Roman"/>
              </w:rPr>
              <w:t>Ⅲ类标准值</w:t>
            </w:r>
          </w:p>
        </w:tc>
        <w:tc>
          <w:tcPr>
            <w:tcW w:w="1083" w:type="dxa"/>
            <w:vAlign w:val="center"/>
          </w:tcPr>
          <w:p>
            <w:pPr>
              <w:pStyle w:val="39"/>
              <w:rPr>
                <w:rFonts w:ascii="Times New Roman" w:hAnsi="Times New Roman"/>
              </w:rPr>
            </w:pPr>
            <w:r>
              <w:rPr>
                <w:rFonts w:ascii="Times New Roman" w:hAnsi="Times New Roman"/>
              </w:rPr>
              <w:t>0.02</w:t>
            </w:r>
          </w:p>
        </w:tc>
        <w:tc>
          <w:tcPr>
            <w:tcW w:w="812" w:type="dxa"/>
            <w:vAlign w:val="center"/>
          </w:tcPr>
          <w:p>
            <w:pPr>
              <w:pStyle w:val="39"/>
              <w:rPr>
                <w:rFonts w:ascii="Times New Roman" w:hAnsi="Times New Roman"/>
              </w:rPr>
            </w:pPr>
            <w:r>
              <w:rPr>
                <w:rFonts w:ascii="Times New Roman" w:hAnsi="Times New Roman"/>
              </w:rPr>
              <w:t>0.3</w:t>
            </w:r>
          </w:p>
        </w:tc>
        <w:tc>
          <w:tcPr>
            <w:tcW w:w="872" w:type="dxa"/>
            <w:vAlign w:val="center"/>
          </w:tcPr>
          <w:p>
            <w:pPr>
              <w:pStyle w:val="39"/>
              <w:rPr>
                <w:rFonts w:ascii="Times New Roman" w:hAnsi="Times New Roman"/>
              </w:rPr>
            </w:pPr>
            <w:r>
              <w:rPr>
                <w:rFonts w:ascii="Times New Roman" w:hAnsi="Times New Roman"/>
              </w:rPr>
              <w:t>0.1</w:t>
            </w:r>
          </w:p>
        </w:tc>
        <w:tc>
          <w:tcPr>
            <w:tcW w:w="852" w:type="dxa"/>
            <w:vAlign w:val="center"/>
          </w:tcPr>
          <w:p>
            <w:pPr>
              <w:pStyle w:val="39"/>
              <w:rPr>
                <w:rFonts w:ascii="Times New Roman" w:hAnsi="Times New Roman"/>
              </w:rPr>
            </w:pPr>
            <w:r>
              <w:rPr>
                <w:rFonts w:ascii="Times New Roman" w:hAnsi="Times New Roman"/>
              </w:rPr>
              <w:t>0.05</w:t>
            </w:r>
          </w:p>
        </w:tc>
        <w:tc>
          <w:tcPr>
            <w:tcW w:w="832" w:type="dxa"/>
            <w:vAlign w:val="center"/>
          </w:tcPr>
          <w:p>
            <w:pPr>
              <w:pStyle w:val="39"/>
              <w:rPr>
                <w:rFonts w:ascii="Times New Roman" w:hAnsi="Times New Roman"/>
              </w:rPr>
            </w:pPr>
            <w:r>
              <w:rPr>
                <w:rFonts w:ascii="Times New Roman" w:hAnsi="Times New Roman"/>
              </w:rPr>
              <w:t>0.01</w:t>
            </w:r>
          </w:p>
        </w:tc>
        <w:tc>
          <w:tcPr>
            <w:tcW w:w="872" w:type="dxa"/>
            <w:vAlign w:val="center"/>
          </w:tcPr>
          <w:p>
            <w:pPr>
              <w:pStyle w:val="39"/>
              <w:rPr>
                <w:rFonts w:ascii="Times New Roman" w:hAnsi="Times New Roman"/>
              </w:rPr>
            </w:pPr>
            <w:r>
              <w:rPr>
                <w:rFonts w:ascii="Times New Roman" w:hAnsi="Times New Roman"/>
              </w:rPr>
              <w:t>0.001</w:t>
            </w:r>
          </w:p>
        </w:tc>
        <w:tc>
          <w:tcPr>
            <w:tcW w:w="1077" w:type="dxa"/>
            <w:vAlign w:val="center"/>
          </w:tcPr>
          <w:p>
            <w:pPr>
              <w:pStyle w:val="39"/>
              <w:rPr>
                <w:rFonts w:ascii="Times New Roman" w:hAnsi="Times New Roman"/>
              </w:rPr>
            </w:pPr>
            <w:r>
              <w:rPr>
                <w:rFonts w:ascii="Times New Roman" w:hAnsi="Times New Roman"/>
              </w:rPr>
              <w:t>0.05</w:t>
            </w:r>
          </w:p>
        </w:tc>
        <w:tc>
          <w:tcPr>
            <w:tcW w:w="1757" w:type="dxa"/>
            <w:vAlign w:val="center"/>
          </w:tcPr>
          <w:p>
            <w:pPr>
              <w:pStyle w:val="39"/>
              <w:rPr>
                <w:rFonts w:ascii="Times New Roman" w:hAnsi="Times New Roman"/>
              </w:rPr>
            </w:pPr>
            <w:r>
              <w:rPr>
                <w:rFonts w:ascii="Times New Roman" w:hAnsi="Times New Roma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pStyle w:val="39"/>
              <w:rPr>
                <w:rFonts w:ascii="Times New Roman" w:hAnsi="Times New Roman"/>
              </w:rPr>
            </w:pPr>
            <w:r>
              <w:rPr>
                <w:rFonts w:ascii="Times New Roman" w:hAnsi="Times New Roman"/>
              </w:rPr>
              <w:t>项目</w:t>
            </w:r>
          </w:p>
        </w:tc>
        <w:tc>
          <w:tcPr>
            <w:tcW w:w="1083" w:type="dxa"/>
            <w:vAlign w:val="center"/>
          </w:tcPr>
          <w:p>
            <w:pPr>
              <w:pStyle w:val="39"/>
              <w:rPr>
                <w:rFonts w:ascii="Times New Roman" w:hAnsi="Times New Roman"/>
              </w:rPr>
            </w:pPr>
            <w:r>
              <w:rPr>
                <w:rFonts w:ascii="Times New Roman" w:hAnsi="Times New Roman"/>
              </w:rPr>
              <w:t>铅</w:t>
            </w:r>
          </w:p>
        </w:tc>
        <w:tc>
          <w:tcPr>
            <w:tcW w:w="812" w:type="dxa"/>
            <w:vAlign w:val="center"/>
          </w:tcPr>
          <w:p>
            <w:pPr>
              <w:pStyle w:val="39"/>
              <w:rPr>
                <w:rFonts w:ascii="Times New Roman" w:hAnsi="Times New Roman"/>
              </w:rPr>
            </w:pPr>
            <w:r>
              <w:rPr>
                <w:rFonts w:ascii="Times New Roman" w:hAnsi="Times New Roman"/>
              </w:rPr>
              <w:t>氟化物</w:t>
            </w:r>
          </w:p>
        </w:tc>
        <w:tc>
          <w:tcPr>
            <w:tcW w:w="872" w:type="dxa"/>
            <w:vAlign w:val="center"/>
          </w:tcPr>
          <w:p>
            <w:pPr>
              <w:pStyle w:val="39"/>
              <w:rPr>
                <w:rFonts w:ascii="Times New Roman" w:hAnsi="Times New Roman"/>
              </w:rPr>
            </w:pPr>
            <w:r>
              <w:rPr>
                <w:rFonts w:ascii="Times New Roman" w:hAnsi="Times New Roman"/>
              </w:rPr>
              <w:t>镉</w:t>
            </w:r>
          </w:p>
        </w:tc>
        <w:tc>
          <w:tcPr>
            <w:tcW w:w="852" w:type="dxa"/>
            <w:vAlign w:val="center"/>
          </w:tcPr>
          <w:p>
            <w:pPr>
              <w:pStyle w:val="39"/>
              <w:rPr>
                <w:rFonts w:ascii="Times New Roman" w:hAnsi="Times New Roman"/>
              </w:rPr>
            </w:pPr>
            <w:r>
              <w:rPr>
                <w:rFonts w:ascii="Times New Roman" w:hAnsi="Times New Roman"/>
              </w:rPr>
              <w:t>溶解性总固体</w:t>
            </w:r>
          </w:p>
        </w:tc>
        <w:tc>
          <w:tcPr>
            <w:tcW w:w="832" w:type="dxa"/>
            <w:vAlign w:val="center"/>
          </w:tcPr>
          <w:p>
            <w:pPr>
              <w:pStyle w:val="39"/>
              <w:rPr>
                <w:rFonts w:ascii="Times New Roman" w:hAnsi="Times New Roman"/>
              </w:rPr>
            </w:pPr>
            <w:r>
              <w:rPr>
                <w:rFonts w:ascii="Times New Roman" w:hAnsi="Times New Roman"/>
              </w:rPr>
              <w:t>耗氧量</w:t>
            </w:r>
          </w:p>
        </w:tc>
        <w:tc>
          <w:tcPr>
            <w:tcW w:w="872" w:type="dxa"/>
            <w:vAlign w:val="center"/>
          </w:tcPr>
          <w:p>
            <w:pPr>
              <w:pStyle w:val="39"/>
              <w:rPr>
                <w:rFonts w:ascii="Times New Roman" w:hAnsi="Times New Roman"/>
              </w:rPr>
            </w:pPr>
            <w:r>
              <w:rPr>
                <w:rFonts w:ascii="Times New Roman" w:hAnsi="Times New Roman"/>
              </w:rPr>
              <w:t>挥发酚</w:t>
            </w:r>
          </w:p>
        </w:tc>
        <w:tc>
          <w:tcPr>
            <w:tcW w:w="1077" w:type="dxa"/>
            <w:vAlign w:val="center"/>
          </w:tcPr>
          <w:p>
            <w:pPr>
              <w:pStyle w:val="39"/>
              <w:rPr>
                <w:rFonts w:ascii="Times New Roman" w:hAnsi="Times New Roman"/>
              </w:rPr>
            </w:pPr>
            <w:r>
              <w:rPr>
                <w:rFonts w:ascii="Times New Roman" w:hAnsi="Times New Roman"/>
              </w:rPr>
              <w:t>总硬度</w:t>
            </w:r>
          </w:p>
        </w:tc>
        <w:tc>
          <w:tcPr>
            <w:tcW w:w="1757" w:type="dxa"/>
            <w:vAlign w:val="center"/>
          </w:tcPr>
          <w:p>
            <w:pPr>
              <w:pStyle w:val="39"/>
              <w:rPr>
                <w:rFonts w:ascii="Times New Roman" w:hAnsi="Times New Roman"/>
              </w:rPr>
            </w:pPr>
            <w:r>
              <w:rPr>
                <w:rFonts w:ascii="Times New Roman" w:hAnsi="Times New Roman"/>
              </w:rPr>
              <w:t>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vAlign w:val="center"/>
          </w:tcPr>
          <w:p>
            <w:pPr>
              <w:pStyle w:val="39"/>
              <w:rPr>
                <w:rFonts w:ascii="Times New Roman" w:hAnsi="Times New Roman"/>
              </w:rPr>
            </w:pPr>
            <w:r>
              <w:rPr>
                <w:rFonts w:ascii="Times New Roman" w:hAnsi="Times New Roman"/>
              </w:rPr>
              <w:t>Ⅲ类标准值</w:t>
            </w:r>
          </w:p>
        </w:tc>
        <w:tc>
          <w:tcPr>
            <w:tcW w:w="1083" w:type="dxa"/>
            <w:vAlign w:val="center"/>
          </w:tcPr>
          <w:p>
            <w:pPr>
              <w:pStyle w:val="39"/>
              <w:rPr>
                <w:rFonts w:ascii="Times New Roman" w:hAnsi="Times New Roman"/>
              </w:rPr>
            </w:pPr>
            <w:r>
              <w:rPr>
                <w:rFonts w:ascii="Times New Roman" w:hAnsi="Times New Roman"/>
              </w:rPr>
              <w:t>0.01</w:t>
            </w:r>
          </w:p>
        </w:tc>
        <w:tc>
          <w:tcPr>
            <w:tcW w:w="812" w:type="dxa"/>
            <w:vAlign w:val="center"/>
          </w:tcPr>
          <w:p>
            <w:pPr>
              <w:pStyle w:val="39"/>
              <w:rPr>
                <w:rFonts w:ascii="Times New Roman" w:hAnsi="Times New Roman"/>
              </w:rPr>
            </w:pPr>
            <w:r>
              <w:rPr>
                <w:rFonts w:ascii="Times New Roman" w:hAnsi="Times New Roman"/>
              </w:rPr>
              <w:t>1</w:t>
            </w:r>
          </w:p>
        </w:tc>
        <w:tc>
          <w:tcPr>
            <w:tcW w:w="872" w:type="dxa"/>
            <w:vAlign w:val="center"/>
          </w:tcPr>
          <w:p>
            <w:pPr>
              <w:pStyle w:val="39"/>
              <w:rPr>
                <w:rFonts w:ascii="Times New Roman" w:hAnsi="Times New Roman"/>
              </w:rPr>
            </w:pPr>
            <w:r>
              <w:rPr>
                <w:rFonts w:ascii="Times New Roman" w:hAnsi="Times New Roman"/>
              </w:rPr>
              <w:t>0.005</w:t>
            </w:r>
          </w:p>
        </w:tc>
        <w:tc>
          <w:tcPr>
            <w:tcW w:w="852" w:type="dxa"/>
            <w:vAlign w:val="center"/>
          </w:tcPr>
          <w:p>
            <w:pPr>
              <w:pStyle w:val="39"/>
              <w:rPr>
                <w:rFonts w:ascii="Times New Roman" w:hAnsi="Times New Roman"/>
              </w:rPr>
            </w:pPr>
            <w:r>
              <w:rPr>
                <w:rFonts w:ascii="Times New Roman" w:hAnsi="Times New Roman"/>
              </w:rPr>
              <w:t>1000</w:t>
            </w:r>
          </w:p>
        </w:tc>
        <w:tc>
          <w:tcPr>
            <w:tcW w:w="832" w:type="dxa"/>
            <w:vAlign w:val="center"/>
          </w:tcPr>
          <w:p>
            <w:pPr>
              <w:pStyle w:val="39"/>
              <w:rPr>
                <w:rFonts w:ascii="Times New Roman" w:hAnsi="Times New Roman"/>
              </w:rPr>
            </w:pPr>
            <w:r>
              <w:rPr>
                <w:rFonts w:ascii="Times New Roman" w:hAnsi="Times New Roman"/>
              </w:rPr>
              <w:t>3</w:t>
            </w:r>
          </w:p>
        </w:tc>
        <w:tc>
          <w:tcPr>
            <w:tcW w:w="872" w:type="dxa"/>
            <w:vAlign w:val="center"/>
          </w:tcPr>
          <w:p>
            <w:pPr>
              <w:pStyle w:val="39"/>
              <w:rPr>
                <w:rFonts w:ascii="Times New Roman" w:hAnsi="Times New Roman"/>
              </w:rPr>
            </w:pPr>
            <w:r>
              <w:rPr>
                <w:rFonts w:ascii="Times New Roman" w:hAnsi="Times New Roman"/>
              </w:rPr>
              <w:t>0.002</w:t>
            </w:r>
          </w:p>
        </w:tc>
        <w:tc>
          <w:tcPr>
            <w:tcW w:w="1077" w:type="dxa"/>
            <w:vAlign w:val="center"/>
          </w:tcPr>
          <w:p>
            <w:pPr>
              <w:pStyle w:val="39"/>
              <w:rPr>
                <w:rFonts w:ascii="Times New Roman" w:hAnsi="Times New Roman"/>
              </w:rPr>
            </w:pPr>
            <w:r>
              <w:rPr>
                <w:rFonts w:ascii="Times New Roman" w:hAnsi="Times New Roman"/>
              </w:rPr>
              <w:t>450</w:t>
            </w:r>
          </w:p>
        </w:tc>
        <w:tc>
          <w:tcPr>
            <w:tcW w:w="1757" w:type="dxa"/>
            <w:vAlign w:val="center"/>
          </w:tcPr>
          <w:p>
            <w:pPr>
              <w:pStyle w:val="39"/>
              <w:rPr>
                <w:rFonts w:ascii="Times New Roman" w:hAnsi="Times New Roman"/>
              </w:rPr>
            </w:pPr>
            <w:r>
              <w:rPr>
                <w:rFonts w:ascii="Times New Roman" w:hAnsi="Times New Roman"/>
              </w:rPr>
              <w:t>0.7</w:t>
            </w:r>
          </w:p>
        </w:tc>
      </w:tr>
    </w:tbl>
    <w:p>
      <w:pPr>
        <w:pStyle w:val="5"/>
        <w:rPr>
          <w:rFonts w:ascii="Times New Roman" w:hAnsi="Times New Roman"/>
        </w:rPr>
      </w:pPr>
      <w:r>
        <w:rPr>
          <w:rFonts w:ascii="Times New Roman" w:hAnsi="Times New Roman"/>
        </w:rPr>
        <w:t>声环境</w:t>
      </w:r>
    </w:p>
    <w:p>
      <w:pPr>
        <w:ind w:firstLine="480"/>
        <w:rPr>
          <w:rFonts w:ascii="Times New Roman" w:hAnsi="Times New Roman"/>
        </w:rPr>
      </w:pPr>
      <w:r>
        <w:rPr>
          <w:rFonts w:ascii="Times New Roman" w:hAnsi="Times New Roman"/>
        </w:rPr>
        <w:t>声环境质量执行《声环境质量标准》（GB 3096-2008）中2类标准，其限值见</w:t>
      </w:r>
      <w:r>
        <w:rPr>
          <w:rFonts w:ascii="Times New Roman" w:hAnsi="Times New Roman"/>
        </w:rPr>
        <w:fldChar w:fldCharType="begin"/>
      </w:r>
      <w:r>
        <w:rPr>
          <w:rFonts w:ascii="Times New Roman" w:hAnsi="Times New Roman"/>
        </w:rPr>
        <w:instrText xml:space="preserve"> REF _Ref151457361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7</w:t>
      </w:r>
      <w:r>
        <w:rPr>
          <w:rFonts w:ascii="Times New Roman" w:hAnsi="Times New Roman"/>
        </w:rPr>
        <w:fldChar w:fldCharType="end"/>
      </w:r>
      <w:r>
        <w:rPr>
          <w:rFonts w:ascii="Times New Roman" w:hAnsi="Times New Roman"/>
        </w:rPr>
        <w:t>。夜间突发噪声最大声级超过环境限值的幅度不得高于15dB（A）。</w:t>
      </w:r>
    </w:p>
    <w:p>
      <w:pPr>
        <w:pStyle w:val="37"/>
        <w:rPr>
          <w:rFonts w:ascii="Times New Roman" w:hAnsi="Times New Roman" w:cs="Times New Roman"/>
        </w:rPr>
      </w:pPr>
      <w:bookmarkStart w:id="20" w:name="_Ref15145736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bookmarkEnd w:id="20"/>
      <w:r>
        <w:rPr>
          <w:rFonts w:ascii="Times New Roman" w:hAnsi="Times New Roman" w:cs="Times New Roman"/>
        </w:rPr>
        <w:t xml:space="preserve">  声环境质量标准限值   单位：dB（A）</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4"/>
        <w:gridCol w:w="2766"/>
        <w:gridCol w:w="2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4" w:type="dxa"/>
          </w:tcPr>
          <w:p>
            <w:pPr>
              <w:pStyle w:val="39"/>
              <w:rPr>
                <w:rFonts w:ascii="Times New Roman" w:hAnsi="Times New Roman"/>
              </w:rPr>
            </w:pPr>
            <w:r>
              <w:rPr>
                <w:rFonts w:ascii="Times New Roman" w:hAnsi="Times New Roman"/>
              </w:rPr>
              <w:t>类别</w:t>
            </w:r>
          </w:p>
        </w:tc>
        <w:tc>
          <w:tcPr>
            <w:tcW w:w="2766" w:type="dxa"/>
          </w:tcPr>
          <w:p>
            <w:pPr>
              <w:pStyle w:val="39"/>
              <w:rPr>
                <w:rFonts w:ascii="Times New Roman" w:hAnsi="Times New Roman"/>
              </w:rPr>
            </w:pPr>
            <w:r>
              <w:rPr>
                <w:rFonts w:ascii="Times New Roman" w:hAnsi="Times New Roman"/>
              </w:rPr>
              <w:t>昼间</w:t>
            </w:r>
          </w:p>
        </w:tc>
        <w:tc>
          <w:tcPr>
            <w:tcW w:w="2766" w:type="dxa"/>
          </w:tcPr>
          <w:p>
            <w:pPr>
              <w:pStyle w:val="39"/>
              <w:rPr>
                <w:rFonts w:ascii="Times New Roman" w:hAnsi="Times New Roman"/>
              </w:rPr>
            </w:pPr>
            <w:r>
              <w:rPr>
                <w:rFonts w:ascii="Times New Roman" w:hAnsi="Times New Roma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4" w:type="dxa"/>
          </w:tcPr>
          <w:p>
            <w:pPr>
              <w:pStyle w:val="39"/>
              <w:rPr>
                <w:rFonts w:ascii="Times New Roman" w:hAnsi="Times New Roman"/>
              </w:rPr>
            </w:pPr>
            <w:r>
              <w:rPr>
                <w:rFonts w:ascii="Times New Roman" w:hAnsi="Times New Roman"/>
              </w:rPr>
              <w:t>2类标准</w:t>
            </w:r>
          </w:p>
        </w:tc>
        <w:tc>
          <w:tcPr>
            <w:tcW w:w="2766" w:type="dxa"/>
          </w:tcPr>
          <w:p>
            <w:pPr>
              <w:pStyle w:val="39"/>
              <w:rPr>
                <w:rFonts w:ascii="Times New Roman" w:hAnsi="Times New Roman"/>
              </w:rPr>
            </w:pPr>
            <w:r>
              <w:rPr>
                <w:rFonts w:ascii="Times New Roman" w:hAnsi="Times New Roman"/>
              </w:rPr>
              <w:t>60</w:t>
            </w:r>
          </w:p>
        </w:tc>
        <w:tc>
          <w:tcPr>
            <w:tcW w:w="2766" w:type="dxa"/>
          </w:tcPr>
          <w:p>
            <w:pPr>
              <w:pStyle w:val="39"/>
              <w:rPr>
                <w:rFonts w:ascii="Times New Roman" w:hAnsi="Times New Roman"/>
              </w:rPr>
            </w:pPr>
            <w:r>
              <w:rPr>
                <w:rFonts w:ascii="Times New Roman" w:hAnsi="Times New Roman"/>
              </w:rPr>
              <w:t>50</w:t>
            </w:r>
          </w:p>
        </w:tc>
      </w:tr>
    </w:tbl>
    <w:p>
      <w:pPr>
        <w:pStyle w:val="5"/>
        <w:rPr>
          <w:rFonts w:ascii="Times New Roman" w:hAnsi="Times New Roman"/>
        </w:rPr>
      </w:pPr>
      <w:r>
        <w:rPr>
          <w:rFonts w:ascii="Times New Roman" w:hAnsi="Times New Roman"/>
        </w:rPr>
        <w:t>土壤环境质量标准</w:t>
      </w:r>
    </w:p>
    <w:p>
      <w:pPr>
        <w:ind w:firstLine="480"/>
        <w:rPr>
          <w:rFonts w:ascii="Times New Roman" w:hAnsi="Times New Roman"/>
        </w:rPr>
      </w:pPr>
      <w:r>
        <w:rPr>
          <w:rFonts w:ascii="Times New Roman" w:hAnsi="Times New Roman"/>
        </w:rPr>
        <w:t>站场内土壤执行《土壤环境质量 建设用地土壤污染风险管控标准（试行）》（GB36600-2018）第二类用地风险筛选值，站场外土壤执行《土壤环境质量 农用地土壤污染风险管控标准（试行）》（GB 15618-2018）风险筛选值。</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t xml:space="preserve">  建设用地土壤污染风险管控标准（GB 36600-2018）（mg/kg）</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1"/>
        <w:gridCol w:w="1625"/>
        <w:gridCol w:w="2592"/>
        <w:gridCol w:w="2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279" w:type="pct"/>
            <w:vAlign w:val="center"/>
          </w:tcPr>
          <w:p>
            <w:pPr>
              <w:pStyle w:val="39"/>
              <w:rPr>
                <w:rFonts w:ascii="Times New Roman" w:hAnsi="Times New Roman"/>
              </w:rPr>
            </w:pPr>
            <w:r>
              <w:rPr>
                <w:rFonts w:ascii="Times New Roman" w:hAnsi="Times New Roman"/>
                <w:lang w:bidi="ar"/>
              </w:rPr>
              <w:t>污染物项目</w:t>
            </w:r>
          </w:p>
        </w:tc>
        <w:tc>
          <w:tcPr>
            <w:tcW w:w="953" w:type="pct"/>
            <w:vAlign w:val="center"/>
          </w:tcPr>
          <w:p>
            <w:pPr>
              <w:pStyle w:val="39"/>
              <w:rPr>
                <w:rFonts w:ascii="Times New Roman" w:hAnsi="Times New Roman"/>
                <w:lang w:bidi="ar"/>
              </w:rPr>
            </w:pPr>
            <w:r>
              <w:rPr>
                <w:rFonts w:ascii="Times New Roman" w:hAnsi="Times New Roman"/>
                <w:lang w:bidi="ar"/>
              </w:rPr>
              <w:t>第二类用地</w:t>
            </w:r>
          </w:p>
          <w:p>
            <w:pPr>
              <w:pStyle w:val="39"/>
              <w:rPr>
                <w:rFonts w:ascii="Times New Roman" w:hAnsi="Times New Roman"/>
              </w:rPr>
            </w:pPr>
            <w:r>
              <w:rPr>
                <w:rFonts w:ascii="Times New Roman" w:hAnsi="Times New Roman"/>
                <w:lang w:bidi="ar"/>
              </w:rPr>
              <w:t>风险筛选值</w:t>
            </w:r>
          </w:p>
        </w:tc>
        <w:tc>
          <w:tcPr>
            <w:tcW w:w="1520" w:type="pct"/>
            <w:vAlign w:val="center"/>
          </w:tcPr>
          <w:p>
            <w:pPr>
              <w:pStyle w:val="39"/>
              <w:rPr>
                <w:rFonts w:ascii="Times New Roman" w:hAnsi="Times New Roman"/>
              </w:rPr>
            </w:pPr>
            <w:r>
              <w:rPr>
                <w:rFonts w:ascii="Times New Roman" w:hAnsi="Times New Roman"/>
                <w:lang w:bidi="ar"/>
              </w:rPr>
              <w:t>污染物项目</w:t>
            </w:r>
          </w:p>
        </w:tc>
        <w:tc>
          <w:tcPr>
            <w:tcW w:w="1246" w:type="pct"/>
            <w:vAlign w:val="center"/>
          </w:tcPr>
          <w:p>
            <w:pPr>
              <w:pStyle w:val="39"/>
              <w:rPr>
                <w:rFonts w:ascii="Times New Roman" w:hAnsi="Times New Roman"/>
                <w:lang w:bidi="ar"/>
              </w:rPr>
            </w:pPr>
            <w:r>
              <w:rPr>
                <w:rFonts w:ascii="Times New Roman" w:hAnsi="Times New Roman"/>
                <w:lang w:bidi="ar"/>
              </w:rPr>
              <w:t>第二类用地</w:t>
            </w:r>
          </w:p>
          <w:p>
            <w:pPr>
              <w:pStyle w:val="39"/>
              <w:rPr>
                <w:rFonts w:ascii="Times New Roman" w:hAnsi="Times New Roman"/>
              </w:rPr>
            </w:pPr>
            <w:r>
              <w:rPr>
                <w:rFonts w:ascii="Times New Roman" w:hAnsi="Times New Roman"/>
                <w:lang w:bidi="ar"/>
              </w:rPr>
              <w:t>风险筛选值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砷</w:t>
            </w:r>
          </w:p>
        </w:tc>
        <w:tc>
          <w:tcPr>
            <w:tcW w:w="953" w:type="pct"/>
            <w:vAlign w:val="center"/>
          </w:tcPr>
          <w:p>
            <w:pPr>
              <w:pStyle w:val="39"/>
              <w:rPr>
                <w:rFonts w:ascii="Times New Roman" w:hAnsi="Times New Roman"/>
              </w:rPr>
            </w:pPr>
            <w:r>
              <w:rPr>
                <w:rFonts w:ascii="Times New Roman" w:hAnsi="Times New Roman"/>
                <w:lang w:bidi="ar"/>
              </w:rPr>
              <w:t>≤60</w:t>
            </w:r>
          </w:p>
        </w:tc>
        <w:tc>
          <w:tcPr>
            <w:tcW w:w="1520" w:type="pct"/>
            <w:vAlign w:val="center"/>
          </w:tcPr>
          <w:p>
            <w:pPr>
              <w:pStyle w:val="39"/>
              <w:rPr>
                <w:rFonts w:ascii="Times New Roman" w:hAnsi="Times New Roman"/>
              </w:rPr>
            </w:pPr>
            <w:r>
              <w:rPr>
                <w:rFonts w:ascii="Times New Roman" w:hAnsi="Times New Roman"/>
                <w:lang w:bidi="ar"/>
              </w:rPr>
              <w:t>1,2,3-三氯丙烷</w:t>
            </w:r>
          </w:p>
        </w:tc>
        <w:tc>
          <w:tcPr>
            <w:tcW w:w="1246" w:type="pct"/>
            <w:vAlign w:val="center"/>
          </w:tcPr>
          <w:p>
            <w:pPr>
              <w:pStyle w:val="39"/>
              <w:rPr>
                <w:rFonts w:ascii="Times New Roman" w:hAnsi="Times New Roman"/>
              </w:rPr>
            </w:pPr>
            <w:r>
              <w:rPr>
                <w:rFonts w:ascii="Times New Roman" w:hAnsi="Times New Roman"/>
                <w:lang w:bidi="ar"/>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镉</w:t>
            </w:r>
          </w:p>
        </w:tc>
        <w:tc>
          <w:tcPr>
            <w:tcW w:w="953" w:type="pct"/>
            <w:vAlign w:val="center"/>
          </w:tcPr>
          <w:p>
            <w:pPr>
              <w:pStyle w:val="39"/>
              <w:rPr>
                <w:rFonts w:ascii="Times New Roman" w:hAnsi="Times New Roman"/>
              </w:rPr>
            </w:pPr>
            <w:r>
              <w:rPr>
                <w:rFonts w:ascii="Times New Roman" w:hAnsi="Times New Roman"/>
                <w:lang w:bidi="ar"/>
              </w:rPr>
              <w:t>≤65</w:t>
            </w:r>
          </w:p>
        </w:tc>
        <w:tc>
          <w:tcPr>
            <w:tcW w:w="1520" w:type="pct"/>
            <w:vAlign w:val="center"/>
          </w:tcPr>
          <w:p>
            <w:pPr>
              <w:pStyle w:val="39"/>
              <w:rPr>
                <w:rFonts w:ascii="Times New Roman" w:hAnsi="Times New Roman"/>
              </w:rPr>
            </w:pPr>
            <w:r>
              <w:rPr>
                <w:rFonts w:ascii="Times New Roman" w:hAnsi="Times New Roman"/>
                <w:lang w:bidi="ar"/>
              </w:rPr>
              <w:t>氯乙烯</w:t>
            </w:r>
          </w:p>
        </w:tc>
        <w:tc>
          <w:tcPr>
            <w:tcW w:w="1246" w:type="pct"/>
            <w:vAlign w:val="center"/>
          </w:tcPr>
          <w:p>
            <w:pPr>
              <w:pStyle w:val="39"/>
              <w:rPr>
                <w:rFonts w:ascii="Times New Roman" w:hAnsi="Times New Roman"/>
              </w:rPr>
            </w:pPr>
            <w:r>
              <w:rPr>
                <w:rFonts w:ascii="Times New Roman" w:hAnsi="Times New Roman"/>
                <w:lang w:bidi="ar"/>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铬（六价）</w:t>
            </w:r>
          </w:p>
        </w:tc>
        <w:tc>
          <w:tcPr>
            <w:tcW w:w="953" w:type="pct"/>
            <w:vAlign w:val="center"/>
          </w:tcPr>
          <w:p>
            <w:pPr>
              <w:pStyle w:val="39"/>
              <w:rPr>
                <w:rFonts w:ascii="Times New Roman" w:hAnsi="Times New Roman"/>
              </w:rPr>
            </w:pPr>
            <w:r>
              <w:rPr>
                <w:rFonts w:ascii="Times New Roman" w:hAnsi="Times New Roman"/>
                <w:lang w:bidi="ar"/>
              </w:rPr>
              <w:t>≤5.7</w:t>
            </w:r>
          </w:p>
        </w:tc>
        <w:tc>
          <w:tcPr>
            <w:tcW w:w="1520" w:type="pct"/>
            <w:vAlign w:val="center"/>
          </w:tcPr>
          <w:p>
            <w:pPr>
              <w:pStyle w:val="39"/>
              <w:rPr>
                <w:rFonts w:ascii="Times New Roman" w:hAnsi="Times New Roman"/>
              </w:rPr>
            </w:pPr>
            <w:r>
              <w:rPr>
                <w:rFonts w:ascii="Times New Roman" w:hAnsi="Times New Roman"/>
                <w:lang w:bidi="ar"/>
              </w:rPr>
              <w:t>苯</w:t>
            </w:r>
          </w:p>
        </w:tc>
        <w:tc>
          <w:tcPr>
            <w:tcW w:w="1246" w:type="pct"/>
            <w:vAlign w:val="center"/>
          </w:tcPr>
          <w:p>
            <w:pPr>
              <w:pStyle w:val="39"/>
              <w:rPr>
                <w:rFonts w:ascii="Times New Roman" w:hAnsi="Times New Roman"/>
              </w:rPr>
            </w:pPr>
            <w:r>
              <w:rPr>
                <w:rFonts w:ascii="Times New Roman" w:hAnsi="Times New Roman"/>
                <w:lang w:bidi="ar"/>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铜</w:t>
            </w:r>
          </w:p>
        </w:tc>
        <w:tc>
          <w:tcPr>
            <w:tcW w:w="953" w:type="pct"/>
            <w:vAlign w:val="center"/>
          </w:tcPr>
          <w:p>
            <w:pPr>
              <w:pStyle w:val="39"/>
              <w:rPr>
                <w:rFonts w:ascii="Times New Roman" w:hAnsi="Times New Roman"/>
              </w:rPr>
            </w:pPr>
            <w:r>
              <w:rPr>
                <w:rFonts w:ascii="Times New Roman" w:hAnsi="Times New Roman"/>
                <w:lang w:bidi="ar"/>
              </w:rPr>
              <w:t>≤18000</w:t>
            </w:r>
          </w:p>
        </w:tc>
        <w:tc>
          <w:tcPr>
            <w:tcW w:w="1520" w:type="pct"/>
            <w:vAlign w:val="center"/>
          </w:tcPr>
          <w:p>
            <w:pPr>
              <w:pStyle w:val="39"/>
              <w:rPr>
                <w:rFonts w:ascii="Times New Roman" w:hAnsi="Times New Roman"/>
              </w:rPr>
            </w:pPr>
            <w:r>
              <w:rPr>
                <w:rFonts w:ascii="Times New Roman" w:hAnsi="Times New Roman"/>
                <w:lang w:bidi="ar"/>
              </w:rPr>
              <w:t>氯苯</w:t>
            </w:r>
          </w:p>
        </w:tc>
        <w:tc>
          <w:tcPr>
            <w:tcW w:w="1246" w:type="pct"/>
            <w:vAlign w:val="center"/>
          </w:tcPr>
          <w:p>
            <w:pPr>
              <w:pStyle w:val="39"/>
              <w:rPr>
                <w:rFonts w:ascii="Times New Roman" w:hAnsi="Times New Roman"/>
              </w:rPr>
            </w:pPr>
            <w:r>
              <w:rPr>
                <w:rFonts w:ascii="Times New Roman" w:hAnsi="Times New Roman"/>
                <w:lang w:bidi="ar"/>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铅</w:t>
            </w:r>
          </w:p>
        </w:tc>
        <w:tc>
          <w:tcPr>
            <w:tcW w:w="953" w:type="pct"/>
            <w:vAlign w:val="center"/>
          </w:tcPr>
          <w:p>
            <w:pPr>
              <w:pStyle w:val="39"/>
              <w:rPr>
                <w:rFonts w:ascii="Times New Roman" w:hAnsi="Times New Roman"/>
              </w:rPr>
            </w:pPr>
            <w:r>
              <w:rPr>
                <w:rFonts w:ascii="Times New Roman" w:hAnsi="Times New Roman"/>
                <w:lang w:bidi="ar"/>
              </w:rPr>
              <w:t>≤800</w:t>
            </w:r>
          </w:p>
        </w:tc>
        <w:tc>
          <w:tcPr>
            <w:tcW w:w="1520" w:type="pct"/>
            <w:vAlign w:val="center"/>
          </w:tcPr>
          <w:p>
            <w:pPr>
              <w:pStyle w:val="39"/>
              <w:rPr>
                <w:rFonts w:ascii="Times New Roman" w:hAnsi="Times New Roman"/>
              </w:rPr>
            </w:pPr>
            <w:r>
              <w:rPr>
                <w:rFonts w:ascii="Times New Roman" w:hAnsi="Times New Roman"/>
                <w:lang w:bidi="ar"/>
              </w:rPr>
              <w:t>1,2-二氯苯</w:t>
            </w:r>
          </w:p>
        </w:tc>
        <w:tc>
          <w:tcPr>
            <w:tcW w:w="1246" w:type="pct"/>
            <w:vAlign w:val="center"/>
          </w:tcPr>
          <w:p>
            <w:pPr>
              <w:pStyle w:val="39"/>
              <w:rPr>
                <w:rFonts w:ascii="Times New Roman" w:hAnsi="Times New Roman"/>
              </w:rPr>
            </w:pPr>
            <w:r>
              <w:rPr>
                <w:rFonts w:ascii="Times New Roman" w:hAnsi="Times New Roman"/>
                <w:lang w:bidi="ar"/>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汞</w:t>
            </w:r>
          </w:p>
        </w:tc>
        <w:tc>
          <w:tcPr>
            <w:tcW w:w="953" w:type="pct"/>
            <w:vAlign w:val="center"/>
          </w:tcPr>
          <w:p>
            <w:pPr>
              <w:pStyle w:val="39"/>
              <w:rPr>
                <w:rFonts w:ascii="Times New Roman" w:hAnsi="Times New Roman"/>
              </w:rPr>
            </w:pPr>
            <w:r>
              <w:rPr>
                <w:rFonts w:ascii="Times New Roman" w:hAnsi="Times New Roman"/>
                <w:lang w:bidi="ar"/>
              </w:rPr>
              <w:t>≤38</w:t>
            </w:r>
          </w:p>
        </w:tc>
        <w:tc>
          <w:tcPr>
            <w:tcW w:w="1520" w:type="pct"/>
            <w:vAlign w:val="center"/>
          </w:tcPr>
          <w:p>
            <w:pPr>
              <w:pStyle w:val="39"/>
              <w:rPr>
                <w:rFonts w:ascii="Times New Roman" w:hAnsi="Times New Roman"/>
              </w:rPr>
            </w:pPr>
            <w:r>
              <w:rPr>
                <w:rFonts w:ascii="Times New Roman" w:hAnsi="Times New Roman"/>
                <w:lang w:bidi="ar"/>
              </w:rPr>
              <w:t>1,4-二氯苯</w:t>
            </w:r>
          </w:p>
        </w:tc>
        <w:tc>
          <w:tcPr>
            <w:tcW w:w="1246" w:type="pct"/>
            <w:vAlign w:val="center"/>
          </w:tcPr>
          <w:p>
            <w:pPr>
              <w:pStyle w:val="39"/>
              <w:rPr>
                <w:rFonts w:ascii="Times New Roman" w:hAnsi="Times New Roman"/>
              </w:rPr>
            </w:pPr>
            <w:r>
              <w:rPr>
                <w:rFonts w:ascii="Times New Roman" w:hAnsi="Times New Roman"/>
                <w:lang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镍</w:t>
            </w:r>
          </w:p>
        </w:tc>
        <w:tc>
          <w:tcPr>
            <w:tcW w:w="953" w:type="pct"/>
            <w:vAlign w:val="center"/>
          </w:tcPr>
          <w:p>
            <w:pPr>
              <w:pStyle w:val="39"/>
              <w:rPr>
                <w:rFonts w:ascii="Times New Roman" w:hAnsi="Times New Roman"/>
              </w:rPr>
            </w:pPr>
            <w:r>
              <w:rPr>
                <w:rFonts w:ascii="Times New Roman" w:hAnsi="Times New Roman"/>
                <w:lang w:bidi="ar"/>
              </w:rPr>
              <w:t>≤900</w:t>
            </w:r>
          </w:p>
        </w:tc>
        <w:tc>
          <w:tcPr>
            <w:tcW w:w="1520" w:type="pct"/>
            <w:vAlign w:val="center"/>
          </w:tcPr>
          <w:p>
            <w:pPr>
              <w:pStyle w:val="39"/>
              <w:rPr>
                <w:rFonts w:ascii="Times New Roman" w:hAnsi="Times New Roman"/>
              </w:rPr>
            </w:pPr>
            <w:r>
              <w:rPr>
                <w:rFonts w:ascii="Times New Roman" w:hAnsi="Times New Roman"/>
                <w:lang w:bidi="ar"/>
              </w:rPr>
              <w:t>乙苯</w:t>
            </w:r>
          </w:p>
        </w:tc>
        <w:tc>
          <w:tcPr>
            <w:tcW w:w="1246" w:type="pct"/>
            <w:vAlign w:val="center"/>
          </w:tcPr>
          <w:p>
            <w:pPr>
              <w:pStyle w:val="39"/>
              <w:rPr>
                <w:rFonts w:ascii="Times New Roman" w:hAnsi="Times New Roman"/>
              </w:rPr>
            </w:pPr>
            <w:r>
              <w:rPr>
                <w:rFonts w:ascii="Times New Roman" w:hAnsi="Times New Roman"/>
                <w:lang w:bidi="ar"/>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四氯化碳</w:t>
            </w:r>
          </w:p>
        </w:tc>
        <w:tc>
          <w:tcPr>
            <w:tcW w:w="953" w:type="pct"/>
            <w:vAlign w:val="center"/>
          </w:tcPr>
          <w:p>
            <w:pPr>
              <w:pStyle w:val="39"/>
              <w:rPr>
                <w:rFonts w:ascii="Times New Roman" w:hAnsi="Times New Roman"/>
              </w:rPr>
            </w:pPr>
            <w:r>
              <w:rPr>
                <w:rFonts w:ascii="Times New Roman" w:hAnsi="Times New Roman"/>
                <w:lang w:bidi="ar"/>
              </w:rPr>
              <w:t>≤2.8</w:t>
            </w:r>
          </w:p>
        </w:tc>
        <w:tc>
          <w:tcPr>
            <w:tcW w:w="1520" w:type="pct"/>
            <w:vAlign w:val="center"/>
          </w:tcPr>
          <w:p>
            <w:pPr>
              <w:pStyle w:val="39"/>
              <w:rPr>
                <w:rFonts w:ascii="Times New Roman" w:hAnsi="Times New Roman"/>
              </w:rPr>
            </w:pPr>
            <w:r>
              <w:rPr>
                <w:rFonts w:ascii="Times New Roman" w:hAnsi="Times New Roman"/>
                <w:lang w:bidi="ar"/>
              </w:rPr>
              <w:t>苯乙烯</w:t>
            </w:r>
          </w:p>
        </w:tc>
        <w:tc>
          <w:tcPr>
            <w:tcW w:w="1246" w:type="pct"/>
            <w:vAlign w:val="center"/>
          </w:tcPr>
          <w:p>
            <w:pPr>
              <w:pStyle w:val="39"/>
              <w:rPr>
                <w:rFonts w:ascii="Times New Roman" w:hAnsi="Times New Roman"/>
              </w:rPr>
            </w:pPr>
            <w:r>
              <w:rPr>
                <w:rFonts w:ascii="Times New Roman" w:hAnsi="Times New Roman"/>
                <w:lang w:bidi="ar"/>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氯仿</w:t>
            </w:r>
          </w:p>
        </w:tc>
        <w:tc>
          <w:tcPr>
            <w:tcW w:w="953" w:type="pct"/>
            <w:vAlign w:val="center"/>
          </w:tcPr>
          <w:p>
            <w:pPr>
              <w:pStyle w:val="39"/>
              <w:rPr>
                <w:rFonts w:ascii="Times New Roman" w:hAnsi="Times New Roman"/>
              </w:rPr>
            </w:pPr>
            <w:r>
              <w:rPr>
                <w:rFonts w:ascii="Times New Roman" w:hAnsi="Times New Roman"/>
                <w:lang w:bidi="ar"/>
              </w:rPr>
              <w:t>≤0.9</w:t>
            </w:r>
          </w:p>
        </w:tc>
        <w:tc>
          <w:tcPr>
            <w:tcW w:w="1520" w:type="pct"/>
            <w:vAlign w:val="center"/>
          </w:tcPr>
          <w:p>
            <w:pPr>
              <w:pStyle w:val="39"/>
              <w:rPr>
                <w:rFonts w:ascii="Times New Roman" w:hAnsi="Times New Roman"/>
              </w:rPr>
            </w:pPr>
            <w:r>
              <w:rPr>
                <w:rFonts w:ascii="Times New Roman" w:hAnsi="Times New Roman"/>
                <w:lang w:bidi="ar"/>
              </w:rPr>
              <w:t>甲苯</w:t>
            </w:r>
          </w:p>
        </w:tc>
        <w:tc>
          <w:tcPr>
            <w:tcW w:w="1246" w:type="pct"/>
            <w:vAlign w:val="center"/>
          </w:tcPr>
          <w:p>
            <w:pPr>
              <w:pStyle w:val="39"/>
              <w:rPr>
                <w:rFonts w:ascii="Times New Roman" w:hAnsi="Times New Roman"/>
              </w:rPr>
            </w:pPr>
            <w:r>
              <w:rPr>
                <w:rFonts w:ascii="Times New Roman" w:hAnsi="Times New Roman"/>
                <w:lang w:bidi="ar"/>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氯甲烷</w:t>
            </w:r>
          </w:p>
        </w:tc>
        <w:tc>
          <w:tcPr>
            <w:tcW w:w="953" w:type="pct"/>
            <w:vAlign w:val="center"/>
          </w:tcPr>
          <w:p>
            <w:pPr>
              <w:pStyle w:val="39"/>
              <w:rPr>
                <w:rFonts w:ascii="Times New Roman" w:hAnsi="Times New Roman"/>
              </w:rPr>
            </w:pPr>
            <w:r>
              <w:rPr>
                <w:rFonts w:ascii="Times New Roman" w:hAnsi="Times New Roman"/>
                <w:lang w:bidi="ar"/>
              </w:rPr>
              <w:t>≤37</w:t>
            </w:r>
          </w:p>
        </w:tc>
        <w:tc>
          <w:tcPr>
            <w:tcW w:w="1520" w:type="pct"/>
            <w:vAlign w:val="center"/>
          </w:tcPr>
          <w:p>
            <w:pPr>
              <w:pStyle w:val="39"/>
              <w:rPr>
                <w:rFonts w:ascii="Times New Roman" w:hAnsi="Times New Roman"/>
              </w:rPr>
            </w:pPr>
            <w:r>
              <w:rPr>
                <w:rFonts w:ascii="Times New Roman" w:hAnsi="Times New Roman"/>
                <w:lang w:bidi="ar"/>
              </w:rPr>
              <w:t>间二甲苯+对二甲苯</w:t>
            </w:r>
          </w:p>
        </w:tc>
        <w:tc>
          <w:tcPr>
            <w:tcW w:w="1246" w:type="pct"/>
            <w:vAlign w:val="center"/>
          </w:tcPr>
          <w:p>
            <w:pPr>
              <w:pStyle w:val="39"/>
              <w:rPr>
                <w:rFonts w:ascii="Times New Roman" w:hAnsi="Times New Roman"/>
              </w:rPr>
            </w:pPr>
            <w:r>
              <w:rPr>
                <w:rFonts w:ascii="Times New Roman" w:hAnsi="Times New Roman"/>
                <w:lang w:bidi="ar"/>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1,1-二氯乙烷</w:t>
            </w:r>
          </w:p>
        </w:tc>
        <w:tc>
          <w:tcPr>
            <w:tcW w:w="953" w:type="pct"/>
            <w:vAlign w:val="center"/>
          </w:tcPr>
          <w:p>
            <w:pPr>
              <w:pStyle w:val="39"/>
              <w:rPr>
                <w:rFonts w:ascii="Times New Roman" w:hAnsi="Times New Roman"/>
              </w:rPr>
            </w:pPr>
            <w:r>
              <w:rPr>
                <w:rFonts w:ascii="Times New Roman" w:hAnsi="Times New Roman"/>
                <w:lang w:bidi="ar"/>
              </w:rPr>
              <w:t>≤9</w:t>
            </w:r>
          </w:p>
        </w:tc>
        <w:tc>
          <w:tcPr>
            <w:tcW w:w="1520" w:type="pct"/>
            <w:vAlign w:val="center"/>
          </w:tcPr>
          <w:p>
            <w:pPr>
              <w:pStyle w:val="39"/>
              <w:rPr>
                <w:rFonts w:ascii="Times New Roman" w:hAnsi="Times New Roman"/>
              </w:rPr>
            </w:pPr>
            <w:r>
              <w:rPr>
                <w:rFonts w:ascii="Times New Roman" w:hAnsi="Times New Roman"/>
                <w:lang w:bidi="ar"/>
              </w:rPr>
              <w:t>邻二甲苯</w:t>
            </w:r>
          </w:p>
        </w:tc>
        <w:tc>
          <w:tcPr>
            <w:tcW w:w="1246" w:type="pct"/>
            <w:vAlign w:val="center"/>
          </w:tcPr>
          <w:p>
            <w:pPr>
              <w:pStyle w:val="39"/>
              <w:rPr>
                <w:rFonts w:ascii="Times New Roman" w:hAnsi="Times New Roman"/>
              </w:rPr>
            </w:pPr>
            <w:r>
              <w:rPr>
                <w:rFonts w:ascii="Times New Roman" w:hAnsi="Times New Roman"/>
                <w:lang w:bidi="ar"/>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1,2-二氯乙烷</w:t>
            </w:r>
          </w:p>
        </w:tc>
        <w:tc>
          <w:tcPr>
            <w:tcW w:w="953" w:type="pct"/>
            <w:vAlign w:val="center"/>
          </w:tcPr>
          <w:p>
            <w:pPr>
              <w:pStyle w:val="39"/>
              <w:rPr>
                <w:rFonts w:ascii="Times New Roman" w:hAnsi="Times New Roman"/>
              </w:rPr>
            </w:pPr>
            <w:r>
              <w:rPr>
                <w:rFonts w:ascii="Times New Roman" w:hAnsi="Times New Roman"/>
                <w:lang w:bidi="ar"/>
              </w:rPr>
              <w:t>≤5</w:t>
            </w:r>
          </w:p>
        </w:tc>
        <w:tc>
          <w:tcPr>
            <w:tcW w:w="1520" w:type="pct"/>
            <w:vAlign w:val="center"/>
          </w:tcPr>
          <w:p>
            <w:pPr>
              <w:pStyle w:val="39"/>
              <w:rPr>
                <w:rFonts w:ascii="Times New Roman" w:hAnsi="Times New Roman"/>
              </w:rPr>
            </w:pPr>
            <w:r>
              <w:rPr>
                <w:rFonts w:ascii="Times New Roman" w:hAnsi="Times New Roman"/>
                <w:lang w:bidi="ar"/>
              </w:rPr>
              <w:t>硝基苯</w:t>
            </w:r>
          </w:p>
        </w:tc>
        <w:tc>
          <w:tcPr>
            <w:tcW w:w="1246" w:type="pct"/>
            <w:vAlign w:val="center"/>
          </w:tcPr>
          <w:p>
            <w:pPr>
              <w:pStyle w:val="39"/>
              <w:rPr>
                <w:rFonts w:ascii="Times New Roman" w:hAnsi="Times New Roman"/>
              </w:rPr>
            </w:pPr>
            <w:r>
              <w:rPr>
                <w:rFonts w:ascii="Times New Roman" w:hAnsi="Times New Roman"/>
                <w:lang w:bidi="ar"/>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1,1-二氯乙烯</w:t>
            </w:r>
          </w:p>
        </w:tc>
        <w:tc>
          <w:tcPr>
            <w:tcW w:w="953" w:type="pct"/>
            <w:vAlign w:val="center"/>
          </w:tcPr>
          <w:p>
            <w:pPr>
              <w:pStyle w:val="39"/>
              <w:rPr>
                <w:rFonts w:ascii="Times New Roman" w:hAnsi="Times New Roman"/>
              </w:rPr>
            </w:pPr>
            <w:r>
              <w:rPr>
                <w:rFonts w:ascii="Times New Roman" w:hAnsi="Times New Roman"/>
                <w:lang w:bidi="ar"/>
              </w:rPr>
              <w:t>≤66</w:t>
            </w:r>
          </w:p>
        </w:tc>
        <w:tc>
          <w:tcPr>
            <w:tcW w:w="1520" w:type="pct"/>
            <w:vAlign w:val="center"/>
          </w:tcPr>
          <w:p>
            <w:pPr>
              <w:pStyle w:val="39"/>
              <w:rPr>
                <w:rFonts w:ascii="Times New Roman" w:hAnsi="Times New Roman"/>
              </w:rPr>
            </w:pPr>
            <w:r>
              <w:rPr>
                <w:rFonts w:ascii="Times New Roman" w:hAnsi="Times New Roman"/>
                <w:lang w:bidi="ar"/>
              </w:rPr>
              <w:t>苯胺</w:t>
            </w:r>
          </w:p>
        </w:tc>
        <w:tc>
          <w:tcPr>
            <w:tcW w:w="1246" w:type="pct"/>
            <w:vAlign w:val="center"/>
          </w:tcPr>
          <w:p>
            <w:pPr>
              <w:pStyle w:val="39"/>
              <w:rPr>
                <w:rFonts w:ascii="Times New Roman" w:hAnsi="Times New Roman"/>
              </w:rPr>
            </w:pPr>
            <w:r>
              <w:rPr>
                <w:rFonts w:ascii="Times New Roman" w:hAnsi="Times New Roman"/>
                <w:lang w:bidi="ar"/>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顺-1,2-二氯乙烯</w:t>
            </w:r>
          </w:p>
        </w:tc>
        <w:tc>
          <w:tcPr>
            <w:tcW w:w="953" w:type="pct"/>
            <w:vAlign w:val="center"/>
          </w:tcPr>
          <w:p>
            <w:pPr>
              <w:pStyle w:val="39"/>
              <w:rPr>
                <w:rFonts w:ascii="Times New Roman" w:hAnsi="Times New Roman"/>
              </w:rPr>
            </w:pPr>
            <w:r>
              <w:rPr>
                <w:rFonts w:ascii="Times New Roman" w:hAnsi="Times New Roman"/>
                <w:lang w:bidi="ar"/>
              </w:rPr>
              <w:t>≤596</w:t>
            </w:r>
          </w:p>
        </w:tc>
        <w:tc>
          <w:tcPr>
            <w:tcW w:w="1520" w:type="pct"/>
            <w:vAlign w:val="center"/>
          </w:tcPr>
          <w:p>
            <w:pPr>
              <w:pStyle w:val="39"/>
              <w:rPr>
                <w:rFonts w:ascii="Times New Roman" w:hAnsi="Times New Roman"/>
              </w:rPr>
            </w:pPr>
            <w:r>
              <w:rPr>
                <w:rFonts w:ascii="Times New Roman" w:hAnsi="Times New Roman"/>
                <w:lang w:bidi="ar"/>
              </w:rPr>
              <w:t>2-氯酚</w:t>
            </w:r>
          </w:p>
        </w:tc>
        <w:tc>
          <w:tcPr>
            <w:tcW w:w="1246" w:type="pct"/>
            <w:vAlign w:val="center"/>
          </w:tcPr>
          <w:p>
            <w:pPr>
              <w:pStyle w:val="39"/>
              <w:rPr>
                <w:rFonts w:ascii="Times New Roman" w:hAnsi="Times New Roman"/>
              </w:rPr>
            </w:pPr>
            <w:r>
              <w:rPr>
                <w:rFonts w:ascii="Times New Roman" w:hAnsi="Times New Roman"/>
                <w:lang w:bidi="ar"/>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反-1,2-二氯乙烯</w:t>
            </w:r>
          </w:p>
        </w:tc>
        <w:tc>
          <w:tcPr>
            <w:tcW w:w="953" w:type="pct"/>
            <w:vAlign w:val="center"/>
          </w:tcPr>
          <w:p>
            <w:pPr>
              <w:pStyle w:val="39"/>
              <w:rPr>
                <w:rFonts w:ascii="Times New Roman" w:hAnsi="Times New Roman"/>
              </w:rPr>
            </w:pPr>
            <w:r>
              <w:rPr>
                <w:rFonts w:ascii="Times New Roman" w:hAnsi="Times New Roman"/>
                <w:lang w:bidi="ar"/>
              </w:rPr>
              <w:t>≤54</w:t>
            </w:r>
          </w:p>
        </w:tc>
        <w:tc>
          <w:tcPr>
            <w:tcW w:w="1520" w:type="pct"/>
            <w:vAlign w:val="center"/>
          </w:tcPr>
          <w:p>
            <w:pPr>
              <w:pStyle w:val="39"/>
              <w:rPr>
                <w:rFonts w:ascii="Times New Roman" w:hAnsi="Times New Roman"/>
              </w:rPr>
            </w:pPr>
            <w:r>
              <w:rPr>
                <w:rFonts w:ascii="Times New Roman" w:hAnsi="Times New Roman"/>
                <w:lang w:bidi="ar"/>
              </w:rPr>
              <w:t>苯并［a］蒽</w:t>
            </w:r>
          </w:p>
        </w:tc>
        <w:tc>
          <w:tcPr>
            <w:tcW w:w="1246" w:type="pct"/>
            <w:vAlign w:val="center"/>
          </w:tcPr>
          <w:p>
            <w:pPr>
              <w:pStyle w:val="39"/>
              <w:rPr>
                <w:rFonts w:ascii="Times New Roman" w:hAnsi="Times New Roman"/>
              </w:rPr>
            </w:pPr>
            <w:r>
              <w:rPr>
                <w:rFonts w:ascii="Times New Roman" w:hAnsi="Times New Roman"/>
                <w:lang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二氯甲烷</w:t>
            </w:r>
          </w:p>
        </w:tc>
        <w:tc>
          <w:tcPr>
            <w:tcW w:w="953" w:type="pct"/>
            <w:vAlign w:val="center"/>
          </w:tcPr>
          <w:p>
            <w:pPr>
              <w:pStyle w:val="39"/>
              <w:rPr>
                <w:rFonts w:ascii="Times New Roman" w:hAnsi="Times New Roman"/>
              </w:rPr>
            </w:pPr>
            <w:r>
              <w:rPr>
                <w:rFonts w:ascii="Times New Roman" w:hAnsi="Times New Roman"/>
                <w:lang w:bidi="ar"/>
              </w:rPr>
              <w:t>≤616</w:t>
            </w:r>
          </w:p>
        </w:tc>
        <w:tc>
          <w:tcPr>
            <w:tcW w:w="1520" w:type="pct"/>
            <w:vAlign w:val="center"/>
          </w:tcPr>
          <w:p>
            <w:pPr>
              <w:pStyle w:val="39"/>
              <w:rPr>
                <w:rFonts w:ascii="Times New Roman" w:hAnsi="Times New Roman"/>
              </w:rPr>
            </w:pPr>
            <w:r>
              <w:rPr>
                <w:rFonts w:ascii="Times New Roman" w:hAnsi="Times New Roman"/>
                <w:lang w:bidi="ar"/>
              </w:rPr>
              <w:t>苯并［a］芘</w:t>
            </w:r>
          </w:p>
        </w:tc>
        <w:tc>
          <w:tcPr>
            <w:tcW w:w="1246" w:type="pct"/>
            <w:vAlign w:val="center"/>
          </w:tcPr>
          <w:p>
            <w:pPr>
              <w:pStyle w:val="39"/>
              <w:rPr>
                <w:rFonts w:ascii="Times New Roman" w:hAnsi="Times New Roman"/>
              </w:rPr>
            </w:pPr>
            <w:r>
              <w:rPr>
                <w:rFonts w:ascii="Times New Roman" w:hAnsi="Times New Roman"/>
                <w:lang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1,2-二氯丙烷</w:t>
            </w:r>
          </w:p>
        </w:tc>
        <w:tc>
          <w:tcPr>
            <w:tcW w:w="953" w:type="pct"/>
            <w:vAlign w:val="center"/>
          </w:tcPr>
          <w:p>
            <w:pPr>
              <w:pStyle w:val="39"/>
              <w:rPr>
                <w:rFonts w:ascii="Times New Roman" w:hAnsi="Times New Roman"/>
              </w:rPr>
            </w:pPr>
            <w:r>
              <w:rPr>
                <w:rFonts w:ascii="Times New Roman" w:hAnsi="Times New Roman"/>
                <w:lang w:bidi="ar"/>
              </w:rPr>
              <w:t>≤5</w:t>
            </w:r>
          </w:p>
        </w:tc>
        <w:tc>
          <w:tcPr>
            <w:tcW w:w="1520" w:type="pct"/>
            <w:vAlign w:val="center"/>
          </w:tcPr>
          <w:p>
            <w:pPr>
              <w:pStyle w:val="39"/>
              <w:rPr>
                <w:rFonts w:ascii="Times New Roman" w:hAnsi="Times New Roman"/>
              </w:rPr>
            </w:pPr>
            <w:r>
              <w:rPr>
                <w:rFonts w:ascii="Times New Roman" w:hAnsi="Times New Roman"/>
                <w:lang w:bidi="ar"/>
              </w:rPr>
              <w:t>苯并［b］荧蒽</w:t>
            </w:r>
          </w:p>
        </w:tc>
        <w:tc>
          <w:tcPr>
            <w:tcW w:w="1246" w:type="pct"/>
            <w:vAlign w:val="center"/>
          </w:tcPr>
          <w:p>
            <w:pPr>
              <w:pStyle w:val="39"/>
              <w:rPr>
                <w:rFonts w:ascii="Times New Roman" w:hAnsi="Times New Roman"/>
              </w:rPr>
            </w:pPr>
            <w:r>
              <w:rPr>
                <w:rFonts w:ascii="Times New Roman" w:hAnsi="Times New Roman"/>
                <w:lang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1,1,1,2-四氯乙烷</w:t>
            </w:r>
          </w:p>
        </w:tc>
        <w:tc>
          <w:tcPr>
            <w:tcW w:w="953" w:type="pct"/>
            <w:vAlign w:val="center"/>
          </w:tcPr>
          <w:p>
            <w:pPr>
              <w:pStyle w:val="39"/>
              <w:rPr>
                <w:rFonts w:ascii="Times New Roman" w:hAnsi="Times New Roman"/>
              </w:rPr>
            </w:pPr>
            <w:r>
              <w:rPr>
                <w:rFonts w:ascii="Times New Roman" w:hAnsi="Times New Roman"/>
                <w:lang w:bidi="ar"/>
              </w:rPr>
              <w:t>≤10</w:t>
            </w:r>
          </w:p>
        </w:tc>
        <w:tc>
          <w:tcPr>
            <w:tcW w:w="1520" w:type="pct"/>
            <w:vAlign w:val="center"/>
          </w:tcPr>
          <w:p>
            <w:pPr>
              <w:pStyle w:val="39"/>
              <w:rPr>
                <w:rFonts w:ascii="Times New Roman" w:hAnsi="Times New Roman"/>
              </w:rPr>
            </w:pPr>
            <w:r>
              <w:rPr>
                <w:rFonts w:ascii="Times New Roman" w:hAnsi="Times New Roman"/>
                <w:lang w:bidi="ar"/>
              </w:rPr>
              <w:t>苯并［k］荧蒽</w:t>
            </w:r>
          </w:p>
        </w:tc>
        <w:tc>
          <w:tcPr>
            <w:tcW w:w="1246" w:type="pct"/>
            <w:vAlign w:val="center"/>
          </w:tcPr>
          <w:p>
            <w:pPr>
              <w:pStyle w:val="39"/>
              <w:rPr>
                <w:rFonts w:ascii="Times New Roman" w:hAnsi="Times New Roman"/>
              </w:rPr>
            </w:pPr>
            <w:r>
              <w:rPr>
                <w:rFonts w:ascii="Times New Roman" w:hAnsi="Times New Roman"/>
                <w:lang w:bidi="ar"/>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1,1,2,2-四氯乙烷</w:t>
            </w:r>
          </w:p>
        </w:tc>
        <w:tc>
          <w:tcPr>
            <w:tcW w:w="953" w:type="pct"/>
            <w:vAlign w:val="center"/>
          </w:tcPr>
          <w:p>
            <w:pPr>
              <w:pStyle w:val="39"/>
              <w:rPr>
                <w:rFonts w:ascii="Times New Roman" w:hAnsi="Times New Roman"/>
              </w:rPr>
            </w:pPr>
            <w:r>
              <w:rPr>
                <w:rFonts w:ascii="Times New Roman" w:hAnsi="Times New Roman"/>
                <w:lang w:bidi="ar"/>
              </w:rPr>
              <w:t>≤6.8</w:t>
            </w:r>
          </w:p>
        </w:tc>
        <w:tc>
          <w:tcPr>
            <w:tcW w:w="1520" w:type="pct"/>
            <w:vAlign w:val="center"/>
          </w:tcPr>
          <w:p>
            <w:pPr>
              <w:pStyle w:val="39"/>
              <w:rPr>
                <w:rFonts w:ascii="Times New Roman" w:hAnsi="Times New Roman"/>
              </w:rPr>
            </w:pPr>
            <w:r>
              <w:rPr>
                <w:rFonts w:ascii="Times New Roman" w:hAnsi="Times New Roman"/>
                <w:lang w:bidi="ar"/>
              </w:rPr>
              <w:t>䓛</w:t>
            </w:r>
          </w:p>
        </w:tc>
        <w:tc>
          <w:tcPr>
            <w:tcW w:w="1246" w:type="pct"/>
            <w:vAlign w:val="center"/>
          </w:tcPr>
          <w:p>
            <w:pPr>
              <w:pStyle w:val="39"/>
              <w:rPr>
                <w:rFonts w:ascii="Times New Roman" w:hAnsi="Times New Roman"/>
              </w:rPr>
            </w:pPr>
            <w:r>
              <w:rPr>
                <w:rFonts w:ascii="Times New Roman" w:hAnsi="Times New Roman"/>
                <w:lang w:bidi="ar"/>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四氯乙烯</w:t>
            </w:r>
          </w:p>
        </w:tc>
        <w:tc>
          <w:tcPr>
            <w:tcW w:w="953" w:type="pct"/>
            <w:vAlign w:val="center"/>
          </w:tcPr>
          <w:p>
            <w:pPr>
              <w:pStyle w:val="39"/>
              <w:rPr>
                <w:rFonts w:ascii="Times New Roman" w:hAnsi="Times New Roman"/>
              </w:rPr>
            </w:pPr>
            <w:r>
              <w:rPr>
                <w:rFonts w:ascii="Times New Roman" w:hAnsi="Times New Roman"/>
                <w:lang w:bidi="ar"/>
              </w:rPr>
              <w:t>≤53</w:t>
            </w:r>
          </w:p>
        </w:tc>
        <w:tc>
          <w:tcPr>
            <w:tcW w:w="1520" w:type="pct"/>
            <w:vAlign w:val="center"/>
          </w:tcPr>
          <w:p>
            <w:pPr>
              <w:pStyle w:val="39"/>
              <w:rPr>
                <w:rFonts w:ascii="Times New Roman" w:hAnsi="Times New Roman"/>
              </w:rPr>
            </w:pPr>
            <w:r>
              <w:rPr>
                <w:rFonts w:ascii="Times New Roman" w:hAnsi="Times New Roman"/>
                <w:lang w:bidi="ar"/>
              </w:rPr>
              <w:t>二苯并［a，h］蒽</w:t>
            </w:r>
          </w:p>
        </w:tc>
        <w:tc>
          <w:tcPr>
            <w:tcW w:w="1246" w:type="pct"/>
            <w:vAlign w:val="center"/>
          </w:tcPr>
          <w:p>
            <w:pPr>
              <w:pStyle w:val="39"/>
              <w:rPr>
                <w:rFonts w:ascii="Times New Roman" w:hAnsi="Times New Roman"/>
              </w:rPr>
            </w:pPr>
            <w:r>
              <w:rPr>
                <w:rFonts w:ascii="Times New Roman" w:hAnsi="Times New Roman"/>
                <w:lang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1,1,1-三氯乙烷</w:t>
            </w:r>
          </w:p>
        </w:tc>
        <w:tc>
          <w:tcPr>
            <w:tcW w:w="953" w:type="pct"/>
            <w:vAlign w:val="center"/>
          </w:tcPr>
          <w:p>
            <w:pPr>
              <w:pStyle w:val="39"/>
              <w:rPr>
                <w:rFonts w:ascii="Times New Roman" w:hAnsi="Times New Roman"/>
              </w:rPr>
            </w:pPr>
            <w:r>
              <w:rPr>
                <w:rFonts w:ascii="Times New Roman" w:hAnsi="Times New Roman"/>
                <w:lang w:bidi="ar"/>
              </w:rPr>
              <w:t>≤840</w:t>
            </w:r>
          </w:p>
        </w:tc>
        <w:tc>
          <w:tcPr>
            <w:tcW w:w="1520" w:type="pct"/>
            <w:vAlign w:val="center"/>
          </w:tcPr>
          <w:p>
            <w:pPr>
              <w:pStyle w:val="39"/>
              <w:rPr>
                <w:rFonts w:ascii="Times New Roman" w:hAnsi="Times New Roman"/>
              </w:rPr>
            </w:pPr>
            <w:r>
              <w:rPr>
                <w:rFonts w:ascii="Times New Roman" w:hAnsi="Times New Roman"/>
                <w:lang w:bidi="ar"/>
              </w:rPr>
              <w:t>茚并［1,2,3-cd］芘</w:t>
            </w:r>
          </w:p>
        </w:tc>
        <w:tc>
          <w:tcPr>
            <w:tcW w:w="1246" w:type="pct"/>
            <w:vAlign w:val="center"/>
          </w:tcPr>
          <w:p>
            <w:pPr>
              <w:pStyle w:val="39"/>
              <w:rPr>
                <w:rFonts w:ascii="Times New Roman" w:hAnsi="Times New Roman"/>
              </w:rPr>
            </w:pPr>
            <w:r>
              <w:rPr>
                <w:rFonts w:ascii="Times New Roman" w:hAnsi="Times New Roman"/>
                <w:lang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1,1,2-三氯乙烷</w:t>
            </w:r>
          </w:p>
        </w:tc>
        <w:tc>
          <w:tcPr>
            <w:tcW w:w="953" w:type="pct"/>
            <w:vAlign w:val="center"/>
          </w:tcPr>
          <w:p>
            <w:pPr>
              <w:pStyle w:val="39"/>
              <w:rPr>
                <w:rFonts w:ascii="Times New Roman" w:hAnsi="Times New Roman"/>
              </w:rPr>
            </w:pPr>
            <w:r>
              <w:rPr>
                <w:rFonts w:ascii="Times New Roman" w:hAnsi="Times New Roman"/>
                <w:lang w:bidi="ar"/>
              </w:rPr>
              <w:t>≤2.8</w:t>
            </w:r>
          </w:p>
        </w:tc>
        <w:tc>
          <w:tcPr>
            <w:tcW w:w="1520" w:type="pct"/>
            <w:vAlign w:val="center"/>
          </w:tcPr>
          <w:p>
            <w:pPr>
              <w:pStyle w:val="39"/>
              <w:rPr>
                <w:rFonts w:ascii="Times New Roman" w:hAnsi="Times New Roman"/>
              </w:rPr>
            </w:pPr>
            <w:r>
              <w:rPr>
                <w:rFonts w:ascii="Times New Roman" w:hAnsi="Times New Roman"/>
                <w:lang w:bidi="ar"/>
              </w:rPr>
              <w:t>萘</w:t>
            </w:r>
          </w:p>
        </w:tc>
        <w:tc>
          <w:tcPr>
            <w:tcW w:w="1246" w:type="pct"/>
            <w:vAlign w:val="center"/>
          </w:tcPr>
          <w:p>
            <w:pPr>
              <w:pStyle w:val="39"/>
              <w:rPr>
                <w:rFonts w:ascii="Times New Roman" w:hAnsi="Times New Roman"/>
              </w:rPr>
            </w:pPr>
            <w:r>
              <w:rPr>
                <w:rFonts w:ascii="Times New Roman" w:hAnsi="Times New Roman"/>
                <w:lang w:bidi="ar"/>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9" w:type="pct"/>
            <w:vAlign w:val="center"/>
          </w:tcPr>
          <w:p>
            <w:pPr>
              <w:pStyle w:val="39"/>
              <w:rPr>
                <w:rFonts w:ascii="Times New Roman" w:hAnsi="Times New Roman"/>
              </w:rPr>
            </w:pPr>
            <w:r>
              <w:rPr>
                <w:rFonts w:ascii="Times New Roman" w:hAnsi="Times New Roman"/>
                <w:lang w:bidi="ar"/>
              </w:rPr>
              <w:t>三氯乙烯</w:t>
            </w:r>
          </w:p>
        </w:tc>
        <w:tc>
          <w:tcPr>
            <w:tcW w:w="953" w:type="pct"/>
            <w:vAlign w:val="center"/>
          </w:tcPr>
          <w:p>
            <w:pPr>
              <w:pStyle w:val="39"/>
              <w:rPr>
                <w:rFonts w:ascii="Times New Roman" w:hAnsi="Times New Roman"/>
              </w:rPr>
            </w:pPr>
            <w:r>
              <w:rPr>
                <w:rFonts w:ascii="Times New Roman" w:hAnsi="Times New Roman"/>
                <w:lang w:bidi="ar"/>
              </w:rPr>
              <w:t>≤2.8</w:t>
            </w:r>
          </w:p>
        </w:tc>
        <w:tc>
          <w:tcPr>
            <w:tcW w:w="1520" w:type="pct"/>
            <w:vAlign w:val="center"/>
          </w:tcPr>
          <w:p>
            <w:pPr>
              <w:pStyle w:val="39"/>
              <w:rPr>
                <w:rFonts w:ascii="Times New Roman" w:hAnsi="Times New Roman"/>
              </w:rPr>
            </w:pPr>
            <w:r>
              <w:rPr>
                <w:rFonts w:ascii="Times New Roman" w:hAnsi="Times New Roman"/>
                <w:lang w:bidi="ar"/>
              </w:rPr>
              <w:t>石油烃（C</w:t>
            </w:r>
            <w:r>
              <w:rPr>
                <w:rFonts w:ascii="Times New Roman" w:hAnsi="Times New Roman"/>
                <w:vertAlign w:val="subscript"/>
                <w:lang w:bidi="ar"/>
              </w:rPr>
              <w:t>10-40</w:t>
            </w:r>
            <w:r>
              <w:rPr>
                <w:rFonts w:ascii="Times New Roman" w:hAnsi="Times New Roman"/>
                <w:lang w:bidi="ar"/>
              </w:rPr>
              <w:t>）</w:t>
            </w:r>
          </w:p>
        </w:tc>
        <w:tc>
          <w:tcPr>
            <w:tcW w:w="1246" w:type="pct"/>
            <w:vAlign w:val="center"/>
          </w:tcPr>
          <w:p>
            <w:pPr>
              <w:pStyle w:val="39"/>
              <w:rPr>
                <w:rFonts w:ascii="Times New Roman" w:hAnsi="Times New Roman"/>
              </w:rPr>
            </w:pPr>
            <w:r>
              <w:rPr>
                <w:rFonts w:ascii="Times New Roman" w:hAnsi="Times New Roman"/>
                <w:lang w:bidi="ar"/>
              </w:rPr>
              <w:t>≤4500</w:t>
            </w:r>
          </w:p>
        </w:tc>
      </w:tr>
    </w:tbl>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t xml:space="preserve">  农用地土壤污染风险管控标准（GB 15618-2018）（mg/kg）</w:t>
      </w:r>
    </w:p>
    <w:tbl>
      <w:tblPr>
        <w:tblStyle w:val="28"/>
        <w:tblW w:w="83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606"/>
        <w:gridCol w:w="1217"/>
        <w:gridCol w:w="7"/>
        <w:gridCol w:w="1210"/>
        <w:gridCol w:w="7"/>
        <w:gridCol w:w="1612"/>
        <w:gridCol w:w="7"/>
        <w:gridCol w:w="1669"/>
        <w:gridCol w:w="1222"/>
        <w:gridCol w:w="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trPr>
        <w:tc>
          <w:tcPr>
            <w:tcW w:w="816" w:type="dxa"/>
            <w:vMerge w:val="restart"/>
          </w:tcPr>
          <w:p>
            <w:pPr>
              <w:pStyle w:val="39"/>
              <w:rPr>
                <w:rFonts w:ascii="Times New Roman" w:hAnsi="Times New Roman"/>
              </w:rPr>
            </w:pPr>
            <w:r>
              <w:rPr>
                <w:rFonts w:ascii="Times New Roman" w:hAnsi="Times New Roman"/>
              </w:rPr>
              <w:t>序号</w:t>
            </w:r>
          </w:p>
        </w:tc>
        <w:tc>
          <w:tcPr>
            <w:tcW w:w="1830" w:type="dxa"/>
            <w:gridSpan w:val="3"/>
            <w:vMerge w:val="restart"/>
          </w:tcPr>
          <w:p>
            <w:pPr>
              <w:pStyle w:val="39"/>
              <w:rPr>
                <w:rFonts w:ascii="Times New Roman" w:hAnsi="Times New Roman"/>
              </w:rPr>
            </w:pPr>
            <w:r>
              <w:rPr>
                <w:rFonts w:ascii="Times New Roman" w:hAnsi="Times New Roman"/>
              </w:rPr>
              <w:t>污染物项目</w:t>
            </w:r>
          </w:p>
        </w:tc>
        <w:tc>
          <w:tcPr>
            <w:tcW w:w="5735" w:type="dxa"/>
            <w:gridSpan w:val="7"/>
          </w:tcPr>
          <w:p>
            <w:pPr>
              <w:pStyle w:val="39"/>
              <w:rPr>
                <w:rFonts w:ascii="Times New Roman" w:hAnsi="Times New Roman"/>
              </w:rPr>
            </w:pPr>
            <w:r>
              <w:rPr>
                <w:rFonts w:ascii="Times New Roman" w:hAnsi="Times New Roman"/>
              </w:rPr>
              <w:t>风险筛选值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816" w:type="dxa"/>
            <w:vMerge w:val="continue"/>
          </w:tcPr>
          <w:p>
            <w:pPr>
              <w:pStyle w:val="39"/>
              <w:rPr>
                <w:rFonts w:ascii="Times New Roman" w:hAnsi="Times New Roman"/>
              </w:rPr>
            </w:pPr>
          </w:p>
        </w:tc>
        <w:tc>
          <w:tcPr>
            <w:tcW w:w="1830" w:type="dxa"/>
            <w:gridSpan w:val="3"/>
            <w:vMerge w:val="continue"/>
          </w:tcPr>
          <w:p>
            <w:pPr>
              <w:pStyle w:val="39"/>
              <w:rPr>
                <w:rFonts w:ascii="Times New Roman" w:hAnsi="Times New Roman"/>
              </w:rPr>
            </w:pPr>
          </w:p>
        </w:tc>
        <w:tc>
          <w:tcPr>
            <w:tcW w:w="1217" w:type="dxa"/>
            <w:gridSpan w:val="2"/>
          </w:tcPr>
          <w:p>
            <w:pPr>
              <w:pStyle w:val="39"/>
              <w:rPr>
                <w:rFonts w:ascii="Times New Roman" w:hAnsi="Times New Roman"/>
              </w:rPr>
            </w:pPr>
            <w:r>
              <w:rPr>
                <w:rFonts w:ascii="Times New Roman" w:hAnsi="Times New Roman"/>
              </w:rPr>
              <w:t>pH≤5.5</w:t>
            </w:r>
          </w:p>
        </w:tc>
        <w:tc>
          <w:tcPr>
            <w:tcW w:w="1619" w:type="dxa"/>
            <w:gridSpan w:val="2"/>
          </w:tcPr>
          <w:p>
            <w:pPr>
              <w:pStyle w:val="39"/>
              <w:rPr>
                <w:rFonts w:ascii="Times New Roman" w:hAnsi="Times New Roman"/>
              </w:rPr>
            </w:pPr>
            <w:r>
              <w:rPr>
                <w:rFonts w:ascii="Times New Roman" w:hAnsi="Times New Roman"/>
              </w:rPr>
              <w:t>5.5＜pH≤6.5</w:t>
            </w:r>
          </w:p>
        </w:tc>
        <w:tc>
          <w:tcPr>
            <w:tcW w:w="1669" w:type="dxa"/>
          </w:tcPr>
          <w:p>
            <w:pPr>
              <w:pStyle w:val="39"/>
              <w:rPr>
                <w:rFonts w:ascii="Times New Roman" w:hAnsi="Times New Roman"/>
              </w:rPr>
            </w:pPr>
            <w:r>
              <w:rPr>
                <w:rFonts w:ascii="Times New Roman" w:hAnsi="Times New Roman"/>
              </w:rPr>
              <w:t>6.5＜pH≤7.5</w:t>
            </w:r>
          </w:p>
        </w:tc>
        <w:tc>
          <w:tcPr>
            <w:tcW w:w="1222" w:type="dxa"/>
          </w:tcPr>
          <w:p>
            <w:pPr>
              <w:pStyle w:val="39"/>
              <w:rPr>
                <w:rFonts w:ascii="Times New Roman" w:hAnsi="Times New Roman"/>
              </w:rPr>
            </w:pPr>
            <w:r>
              <w:rPr>
                <w:rFonts w:ascii="Times New Roman" w:hAnsi="Times New Roman"/>
              </w:rPr>
              <w:t>pH＞7.5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816" w:type="dxa"/>
            <w:vMerge w:val="restart"/>
          </w:tcPr>
          <w:p>
            <w:pPr>
              <w:pStyle w:val="39"/>
              <w:rPr>
                <w:rFonts w:ascii="Times New Roman" w:hAnsi="Times New Roman"/>
              </w:rPr>
            </w:pPr>
            <w:r>
              <w:rPr>
                <w:rFonts w:ascii="Times New Roman" w:hAnsi="Times New Roman"/>
              </w:rPr>
              <w:t>1</w:t>
            </w:r>
          </w:p>
        </w:tc>
        <w:tc>
          <w:tcPr>
            <w:tcW w:w="606" w:type="dxa"/>
            <w:vMerge w:val="restart"/>
          </w:tcPr>
          <w:p>
            <w:pPr>
              <w:pStyle w:val="39"/>
              <w:rPr>
                <w:rFonts w:ascii="Times New Roman" w:hAnsi="Times New Roman"/>
              </w:rPr>
            </w:pPr>
            <w:r>
              <w:rPr>
                <w:rFonts w:ascii="Times New Roman" w:hAnsi="Times New Roman"/>
              </w:rPr>
              <w:t>镉</w:t>
            </w:r>
          </w:p>
        </w:tc>
        <w:tc>
          <w:tcPr>
            <w:tcW w:w="1217" w:type="dxa"/>
          </w:tcPr>
          <w:p>
            <w:pPr>
              <w:pStyle w:val="39"/>
              <w:rPr>
                <w:rFonts w:ascii="Times New Roman" w:hAnsi="Times New Roman"/>
              </w:rPr>
            </w:pPr>
            <w:r>
              <w:rPr>
                <w:rFonts w:ascii="Times New Roman" w:hAnsi="Times New Roman"/>
              </w:rPr>
              <w:t>水田</w:t>
            </w:r>
          </w:p>
        </w:tc>
        <w:tc>
          <w:tcPr>
            <w:tcW w:w="1217" w:type="dxa"/>
            <w:gridSpan w:val="2"/>
          </w:tcPr>
          <w:p>
            <w:pPr>
              <w:pStyle w:val="39"/>
              <w:rPr>
                <w:rFonts w:ascii="Times New Roman" w:hAnsi="Times New Roman"/>
              </w:rPr>
            </w:pPr>
            <w:r>
              <w:rPr>
                <w:rFonts w:ascii="Times New Roman" w:hAnsi="Times New Roman"/>
              </w:rPr>
              <w:t>0.3</w:t>
            </w:r>
          </w:p>
        </w:tc>
        <w:tc>
          <w:tcPr>
            <w:tcW w:w="1619" w:type="dxa"/>
            <w:gridSpan w:val="2"/>
          </w:tcPr>
          <w:p>
            <w:pPr>
              <w:pStyle w:val="39"/>
              <w:rPr>
                <w:rFonts w:ascii="Times New Roman" w:hAnsi="Times New Roman"/>
              </w:rPr>
            </w:pPr>
            <w:r>
              <w:rPr>
                <w:rFonts w:ascii="Times New Roman" w:hAnsi="Times New Roman"/>
              </w:rPr>
              <w:t>0.4</w:t>
            </w:r>
          </w:p>
        </w:tc>
        <w:tc>
          <w:tcPr>
            <w:tcW w:w="1676" w:type="dxa"/>
            <w:gridSpan w:val="2"/>
          </w:tcPr>
          <w:p>
            <w:pPr>
              <w:pStyle w:val="39"/>
              <w:rPr>
                <w:rFonts w:ascii="Times New Roman" w:hAnsi="Times New Roman"/>
              </w:rPr>
            </w:pPr>
            <w:r>
              <w:rPr>
                <w:rFonts w:ascii="Times New Roman" w:hAnsi="Times New Roman"/>
              </w:rPr>
              <w:t>0.6</w:t>
            </w:r>
          </w:p>
        </w:tc>
        <w:tc>
          <w:tcPr>
            <w:tcW w:w="1222" w:type="dxa"/>
          </w:tcPr>
          <w:p>
            <w:pPr>
              <w:pStyle w:val="39"/>
              <w:rPr>
                <w:rFonts w:ascii="Times New Roman" w:hAnsi="Times New Roman"/>
              </w:rPr>
            </w:pPr>
            <w:r>
              <w:rPr>
                <w:rFonts w:ascii="Times New Roman" w:hAnsi="Times New Roma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816" w:type="dxa"/>
            <w:vMerge w:val="continue"/>
          </w:tcPr>
          <w:p>
            <w:pPr>
              <w:pStyle w:val="39"/>
              <w:rPr>
                <w:rFonts w:ascii="Times New Roman" w:hAnsi="Times New Roman"/>
              </w:rPr>
            </w:pPr>
          </w:p>
        </w:tc>
        <w:tc>
          <w:tcPr>
            <w:tcW w:w="606" w:type="dxa"/>
            <w:vMerge w:val="continue"/>
          </w:tcPr>
          <w:p>
            <w:pPr>
              <w:pStyle w:val="39"/>
              <w:rPr>
                <w:rFonts w:ascii="Times New Roman" w:hAnsi="Times New Roman"/>
              </w:rPr>
            </w:pPr>
          </w:p>
        </w:tc>
        <w:tc>
          <w:tcPr>
            <w:tcW w:w="1217" w:type="dxa"/>
          </w:tcPr>
          <w:p>
            <w:pPr>
              <w:pStyle w:val="39"/>
              <w:rPr>
                <w:rFonts w:ascii="Times New Roman" w:hAnsi="Times New Roman"/>
              </w:rPr>
            </w:pPr>
            <w:r>
              <w:rPr>
                <w:rFonts w:ascii="Times New Roman" w:hAnsi="Times New Roman"/>
              </w:rPr>
              <w:t>其他</w:t>
            </w:r>
          </w:p>
        </w:tc>
        <w:tc>
          <w:tcPr>
            <w:tcW w:w="1217" w:type="dxa"/>
            <w:gridSpan w:val="2"/>
          </w:tcPr>
          <w:p>
            <w:pPr>
              <w:pStyle w:val="39"/>
              <w:rPr>
                <w:rFonts w:ascii="Times New Roman" w:hAnsi="Times New Roman"/>
              </w:rPr>
            </w:pPr>
            <w:r>
              <w:rPr>
                <w:rFonts w:ascii="Times New Roman" w:hAnsi="Times New Roman"/>
              </w:rPr>
              <w:t>0.3</w:t>
            </w:r>
          </w:p>
        </w:tc>
        <w:tc>
          <w:tcPr>
            <w:tcW w:w="1619" w:type="dxa"/>
            <w:gridSpan w:val="2"/>
          </w:tcPr>
          <w:p>
            <w:pPr>
              <w:pStyle w:val="39"/>
              <w:rPr>
                <w:rFonts w:ascii="Times New Roman" w:hAnsi="Times New Roman"/>
              </w:rPr>
            </w:pPr>
            <w:r>
              <w:rPr>
                <w:rFonts w:ascii="Times New Roman" w:hAnsi="Times New Roman"/>
              </w:rPr>
              <w:t>0.3</w:t>
            </w:r>
          </w:p>
        </w:tc>
        <w:tc>
          <w:tcPr>
            <w:tcW w:w="1676" w:type="dxa"/>
            <w:gridSpan w:val="2"/>
          </w:tcPr>
          <w:p>
            <w:pPr>
              <w:pStyle w:val="39"/>
              <w:rPr>
                <w:rFonts w:ascii="Times New Roman" w:hAnsi="Times New Roman"/>
              </w:rPr>
            </w:pPr>
            <w:r>
              <w:rPr>
                <w:rFonts w:ascii="Times New Roman" w:hAnsi="Times New Roman"/>
              </w:rPr>
              <w:t>0.3</w:t>
            </w:r>
          </w:p>
        </w:tc>
        <w:tc>
          <w:tcPr>
            <w:tcW w:w="1222" w:type="dxa"/>
          </w:tcPr>
          <w:p>
            <w:pPr>
              <w:pStyle w:val="39"/>
              <w:rPr>
                <w:rFonts w:ascii="Times New Roman" w:hAnsi="Times New Roman"/>
              </w:rPr>
            </w:pPr>
            <w:r>
              <w:rPr>
                <w:rFonts w:ascii="Times New Roman" w:hAnsi="Times New Roman"/>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816" w:type="dxa"/>
            <w:vMerge w:val="restart"/>
          </w:tcPr>
          <w:p>
            <w:pPr>
              <w:pStyle w:val="39"/>
              <w:rPr>
                <w:rFonts w:ascii="Times New Roman" w:hAnsi="Times New Roman"/>
              </w:rPr>
            </w:pPr>
            <w:r>
              <w:rPr>
                <w:rFonts w:ascii="Times New Roman" w:hAnsi="Times New Roman"/>
              </w:rPr>
              <w:t>2</w:t>
            </w:r>
          </w:p>
        </w:tc>
        <w:tc>
          <w:tcPr>
            <w:tcW w:w="606" w:type="dxa"/>
            <w:vMerge w:val="restart"/>
          </w:tcPr>
          <w:p>
            <w:pPr>
              <w:pStyle w:val="39"/>
              <w:rPr>
                <w:rFonts w:ascii="Times New Roman" w:hAnsi="Times New Roman"/>
              </w:rPr>
            </w:pPr>
            <w:r>
              <w:rPr>
                <w:rFonts w:ascii="Times New Roman" w:hAnsi="Times New Roman"/>
              </w:rPr>
              <w:t>汞</w:t>
            </w:r>
          </w:p>
        </w:tc>
        <w:tc>
          <w:tcPr>
            <w:tcW w:w="1217" w:type="dxa"/>
          </w:tcPr>
          <w:p>
            <w:pPr>
              <w:pStyle w:val="39"/>
              <w:rPr>
                <w:rFonts w:ascii="Times New Roman" w:hAnsi="Times New Roman"/>
              </w:rPr>
            </w:pPr>
            <w:r>
              <w:rPr>
                <w:rFonts w:ascii="Times New Roman" w:hAnsi="Times New Roman"/>
              </w:rPr>
              <w:t>水田</w:t>
            </w:r>
          </w:p>
        </w:tc>
        <w:tc>
          <w:tcPr>
            <w:tcW w:w="1217" w:type="dxa"/>
            <w:gridSpan w:val="2"/>
          </w:tcPr>
          <w:p>
            <w:pPr>
              <w:pStyle w:val="39"/>
              <w:rPr>
                <w:rFonts w:ascii="Times New Roman" w:hAnsi="Times New Roman"/>
              </w:rPr>
            </w:pPr>
            <w:r>
              <w:rPr>
                <w:rFonts w:ascii="Times New Roman" w:hAnsi="Times New Roman"/>
              </w:rPr>
              <w:t>0.5</w:t>
            </w:r>
          </w:p>
        </w:tc>
        <w:tc>
          <w:tcPr>
            <w:tcW w:w="1619" w:type="dxa"/>
            <w:gridSpan w:val="2"/>
          </w:tcPr>
          <w:p>
            <w:pPr>
              <w:pStyle w:val="39"/>
              <w:rPr>
                <w:rFonts w:ascii="Times New Roman" w:hAnsi="Times New Roman"/>
              </w:rPr>
            </w:pPr>
            <w:r>
              <w:rPr>
                <w:rFonts w:ascii="Times New Roman" w:hAnsi="Times New Roman"/>
              </w:rPr>
              <w:t>0.5</w:t>
            </w:r>
          </w:p>
        </w:tc>
        <w:tc>
          <w:tcPr>
            <w:tcW w:w="1676" w:type="dxa"/>
            <w:gridSpan w:val="2"/>
          </w:tcPr>
          <w:p>
            <w:pPr>
              <w:pStyle w:val="39"/>
              <w:rPr>
                <w:rFonts w:ascii="Times New Roman" w:hAnsi="Times New Roman"/>
              </w:rPr>
            </w:pPr>
            <w:r>
              <w:rPr>
                <w:rFonts w:ascii="Times New Roman" w:hAnsi="Times New Roman"/>
              </w:rPr>
              <w:t>0.6</w:t>
            </w:r>
          </w:p>
        </w:tc>
        <w:tc>
          <w:tcPr>
            <w:tcW w:w="1222" w:type="dxa"/>
          </w:tcPr>
          <w:p>
            <w:pPr>
              <w:pStyle w:val="39"/>
              <w:rPr>
                <w:rFonts w:ascii="Times New Roman" w:hAnsi="Times New Roman"/>
              </w:rPr>
            </w:pPr>
            <w:r>
              <w:rPr>
                <w:rFonts w:ascii="Times New Roman" w:hAnsi="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816" w:type="dxa"/>
            <w:vMerge w:val="continue"/>
          </w:tcPr>
          <w:p>
            <w:pPr>
              <w:pStyle w:val="39"/>
              <w:rPr>
                <w:rFonts w:ascii="Times New Roman" w:hAnsi="Times New Roman"/>
              </w:rPr>
            </w:pPr>
          </w:p>
        </w:tc>
        <w:tc>
          <w:tcPr>
            <w:tcW w:w="606" w:type="dxa"/>
            <w:vMerge w:val="continue"/>
          </w:tcPr>
          <w:p>
            <w:pPr>
              <w:pStyle w:val="39"/>
              <w:rPr>
                <w:rFonts w:ascii="Times New Roman" w:hAnsi="Times New Roman"/>
              </w:rPr>
            </w:pPr>
          </w:p>
        </w:tc>
        <w:tc>
          <w:tcPr>
            <w:tcW w:w="1217" w:type="dxa"/>
          </w:tcPr>
          <w:p>
            <w:pPr>
              <w:pStyle w:val="39"/>
              <w:rPr>
                <w:rFonts w:ascii="Times New Roman" w:hAnsi="Times New Roman"/>
              </w:rPr>
            </w:pPr>
            <w:r>
              <w:rPr>
                <w:rFonts w:ascii="Times New Roman" w:hAnsi="Times New Roman"/>
              </w:rPr>
              <w:t>其他</w:t>
            </w:r>
          </w:p>
        </w:tc>
        <w:tc>
          <w:tcPr>
            <w:tcW w:w="1217" w:type="dxa"/>
            <w:gridSpan w:val="2"/>
          </w:tcPr>
          <w:p>
            <w:pPr>
              <w:pStyle w:val="39"/>
              <w:rPr>
                <w:rFonts w:ascii="Times New Roman" w:hAnsi="Times New Roman"/>
              </w:rPr>
            </w:pPr>
            <w:r>
              <w:rPr>
                <w:rFonts w:ascii="Times New Roman" w:hAnsi="Times New Roman"/>
              </w:rPr>
              <w:t>1.3</w:t>
            </w:r>
          </w:p>
        </w:tc>
        <w:tc>
          <w:tcPr>
            <w:tcW w:w="1619" w:type="dxa"/>
            <w:gridSpan w:val="2"/>
          </w:tcPr>
          <w:p>
            <w:pPr>
              <w:pStyle w:val="39"/>
              <w:rPr>
                <w:rFonts w:ascii="Times New Roman" w:hAnsi="Times New Roman"/>
              </w:rPr>
            </w:pPr>
            <w:r>
              <w:rPr>
                <w:rFonts w:ascii="Times New Roman" w:hAnsi="Times New Roman"/>
              </w:rPr>
              <w:t>1.8</w:t>
            </w:r>
          </w:p>
        </w:tc>
        <w:tc>
          <w:tcPr>
            <w:tcW w:w="1676" w:type="dxa"/>
            <w:gridSpan w:val="2"/>
          </w:tcPr>
          <w:p>
            <w:pPr>
              <w:pStyle w:val="39"/>
              <w:rPr>
                <w:rFonts w:ascii="Times New Roman" w:hAnsi="Times New Roman"/>
              </w:rPr>
            </w:pPr>
            <w:r>
              <w:rPr>
                <w:rFonts w:ascii="Times New Roman" w:hAnsi="Times New Roman"/>
              </w:rPr>
              <w:t>2.4</w:t>
            </w:r>
          </w:p>
        </w:tc>
        <w:tc>
          <w:tcPr>
            <w:tcW w:w="1222" w:type="dxa"/>
          </w:tcPr>
          <w:p>
            <w:pPr>
              <w:pStyle w:val="39"/>
              <w:rPr>
                <w:rFonts w:ascii="Times New Roman" w:hAnsi="Times New Roman"/>
              </w:rPr>
            </w:pPr>
            <w:r>
              <w:rPr>
                <w:rFonts w:ascii="Times New Roman" w:hAnsi="Times New Roma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816" w:type="dxa"/>
            <w:vMerge w:val="restart"/>
          </w:tcPr>
          <w:p>
            <w:pPr>
              <w:pStyle w:val="39"/>
              <w:rPr>
                <w:rFonts w:ascii="Times New Roman" w:hAnsi="Times New Roman"/>
              </w:rPr>
            </w:pPr>
            <w:r>
              <w:rPr>
                <w:rFonts w:ascii="Times New Roman" w:hAnsi="Times New Roman"/>
              </w:rPr>
              <w:t>3</w:t>
            </w:r>
          </w:p>
        </w:tc>
        <w:tc>
          <w:tcPr>
            <w:tcW w:w="606" w:type="dxa"/>
            <w:vMerge w:val="restart"/>
          </w:tcPr>
          <w:p>
            <w:pPr>
              <w:pStyle w:val="39"/>
              <w:rPr>
                <w:rFonts w:ascii="Times New Roman" w:hAnsi="Times New Roman"/>
              </w:rPr>
            </w:pPr>
            <w:r>
              <w:rPr>
                <w:rFonts w:ascii="Times New Roman" w:hAnsi="Times New Roman"/>
              </w:rPr>
              <w:t>砷</w:t>
            </w:r>
          </w:p>
        </w:tc>
        <w:tc>
          <w:tcPr>
            <w:tcW w:w="1217" w:type="dxa"/>
          </w:tcPr>
          <w:p>
            <w:pPr>
              <w:pStyle w:val="39"/>
              <w:rPr>
                <w:rFonts w:ascii="Times New Roman" w:hAnsi="Times New Roman"/>
              </w:rPr>
            </w:pPr>
            <w:r>
              <w:rPr>
                <w:rFonts w:ascii="Times New Roman" w:hAnsi="Times New Roman"/>
              </w:rPr>
              <w:t>水田</w:t>
            </w:r>
          </w:p>
        </w:tc>
        <w:tc>
          <w:tcPr>
            <w:tcW w:w="1217" w:type="dxa"/>
            <w:gridSpan w:val="2"/>
          </w:tcPr>
          <w:p>
            <w:pPr>
              <w:pStyle w:val="39"/>
              <w:rPr>
                <w:rFonts w:ascii="Times New Roman" w:hAnsi="Times New Roman"/>
              </w:rPr>
            </w:pPr>
            <w:r>
              <w:rPr>
                <w:rFonts w:ascii="Times New Roman" w:hAnsi="Times New Roman"/>
              </w:rPr>
              <w:t>30</w:t>
            </w:r>
          </w:p>
        </w:tc>
        <w:tc>
          <w:tcPr>
            <w:tcW w:w="1619" w:type="dxa"/>
            <w:gridSpan w:val="2"/>
          </w:tcPr>
          <w:p>
            <w:pPr>
              <w:pStyle w:val="39"/>
              <w:rPr>
                <w:rFonts w:ascii="Times New Roman" w:hAnsi="Times New Roman"/>
              </w:rPr>
            </w:pPr>
            <w:r>
              <w:rPr>
                <w:rFonts w:ascii="Times New Roman" w:hAnsi="Times New Roman"/>
              </w:rPr>
              <w:t>30</w:t>
            </w:r>
          </w:p>
        </w:tc>
        <w:tc>
          <w:tcPr>
            <w:tcW w:w="1676" w:type="dxa"/>
            <w:gridSpan w:val="2"/>
          </w:tcPr>
          <w:p>
            <w:pPr>
              <w:pStyle w:val="39"/>
              <w:rPr>
                <w:rFonts w:ascii="Times New Roman" w:hAnsi="Times New Roman"/>
              </w:rPr>
            </w:pPr>
            <w:r>
              <w:rPr>
                <w:rFonts w:ascii="Times New Roman" w:hAnsi="Times New Roman"/>
              </w:rPr>
              <w:t>25</w:t>
            </w:r>
          </w:p>
        </w:tc>
        <w:tc>
          <w:tcPr>
            <w:tcW w:w="1222" w:type="dxa"/>
          </w:tcPr>
          <w:p>
            <w:pPr>
              <w:pStyle w:val="39"/>
              <w:rPr>
                <w:rFonts w:ascii="Times New Roman" w:hAnsi="Times New Roman"/>
              </w:rPr>
            </w:pPr>
            <w:r>
              <w:rPr>
                <w:rFonts w:ascii="Times New Roman" w:hAnsi="Times New Roma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816" w:type="dxa"/>
            <w:vMerge w:val="continue"/>
          </w:tcPr>
          <w:p>
            <w:pPr>
              <w:pStyle w:val="39"/>
              <w:rPr>
                <w:rFonts w:ascii="Times New Roman" w:hAnsi="Times New Roman"/>
              </w:rPr>
            </w:pPr>
          </w:p>
        </w:tc>
        <w:tc>
          <w:tcPr>
            <w:tcW w:w="606" w:type="dxa"/>
            <w:vMerge w:val="continue"/>
          </w:tcPr>
          <w:p>
            <w:pPr>
              <w:pStyle w:val="39"/>
              <w:rPr>
                <w:rFonts w:ascii="Times New Roman" w:hAnsi="Times New Roman"/>
              </w:rPr>
            </w:pPr>
          </w:p>
        </w:tc>
        <w:tc>
          <w:tcPr>
            <w:tcW w:w="1217" w:type="dxa"/>
          </w:tcPr>
          <w:p>
            <w:pPr>
              <w:pStyle w:val="39"/>
              <w:rPr>
                <w:rFonts w:ascii="Times New Roman" w:hAnsi="Times New Roman"/>
              </w:rPr>
            </w:pPr>
            <w:r>
              <w:rPr>
                <w:rFonts w:ascii="Times New Roman" w:hAnsi="Times New Roman"/>
              </w:rPr>
              <w:t>其他</w:t>
            </w:r>
          </w:p>
        </w:tc>
        <w:tc>
          <w:tcPr>
            <w:tcW w:w="1217" w:type="dxa"/>
            <w:gridSpan w:val="2"/>
          </w:tcPr>
          <w:p>
            <w:pPr>
              <w:pStyle w:val="39"/>
              <w:rPr>
                <w:rFonts w:ascii="Times New Roman" w:hAnsi="Times New Roman"/>
              </w:rPr>
            </w:pPr>
            <w:r>
              <w:rPr>
                <w:rFonts w:ascii="Times New Roman" w:hAnsi="Times New Roman"/>
              </w:rPr>
              <w:t>40</w:t>
            </w:r>
          </w:p>
        </w:tc>
        <w:tc>
          <w:tcPr>
            <w:tcW w:w="1619" w:type="dxa"/>
            <w:gridSpan w:val="2"/>
          </w:tcPr>
          <w:p>
            <w:pPr>
              <w:pStyle w:val="39"/>
              <w:rPr>
                <w:rFonts w:ascii="Times New Roman" w:hAnsi="Times New Roman"/>
              </w:rPr>
            </w:pPr>
            <w:r>
              <w:rPr>
                <w:rFonts w:ascii="Times New Roman" w:hAnsi="Times New Roman"/>
              </w:rPr>
              <w:t>40</w:t>
            </w:r>
          </w:p>
        </w:tc>
        <w:tc>
          <w:tcPr>
            <w:tcW w:w="1676" w:type="dxa"/>
            <w:gridSpan w:val="2"/>
          </w:tcPr>
          <w:p>
            <w:pPr>
              <w:pStyle w:val="39"/>
              <w:rPr>
                <w:rFonts w:ascii="Times New Roman" w:hAnsi="Times New Roman"/>
              </w:rPr>
            </w:pPr>
            <w:r>
              <w:rPr>
                <w:rFonts w:ascii="Times New Roman" w:hAnsi="Times New Roman"/>
              </w:rPr>
              <w:t>30</w:t>
            </w:r>
          </w:p>
        </w:tc>
        <w:tc>
          <w:tcPr>
            <w:tcW w:w="1222" w:type="dxa"/>
          </w:tcPr>
          <w:p>
            <w:pPr>
              <w:pStyle w:val="39"/>
              <w:rPr>
                <w:rFonts w:ascii="Times New Roman" w:hAnsi="Times New Roman"/>
              </w:rPr>
            </w:pPr>
            <w:r>
              <w:rPr>
                <w:rFonts w:ascii="Times New Roman" w:hAnsi="Times New Roma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816" w:type="dxa"/>
            <w:vMerge w:val="restart"/>
          </w:tcPr>
          <w:p>
            <w:pPr>
              <w:pStyle w:val="39"/>
              <w:rPr>
                <w:rFonts w:ascii="Times New Roman" w:hAnsi="Times New Roman"/>
              </w:rPr>
            </w:pPr>
            <w:r>
              <w:rPr>
                <w:rFonts w:ascii="Times New Roman" w:hAnsi="Times New Roman"/>
              </w:rPr>
              <w:t>4</w:t>
            </w:r>
          </w:p>
        </w:tc>
        <w:tc>
          <w:tcPr>
            <w:tcW w:w="606" w:type="dxa"/>
            <w:vMerge w:val="restart"/>
          </w:tcPr>
          <w:p>
            <w:pPr>
              <w:pStyle w:val="39"/>
              <w:rPr>
                <w:rFonts w:ascii="Times New Roman" w:hAnsi="Times New Roman"/>
              </w:rPr>
            </w:pPr>
            <w:r>
              <w:rPr>
                <w:rFonts w:ascii="Times New Roman" w:hAnsi="Times New Roman"/>
              </w:rPr>
              <w:t>铅</w:t>
            </w:r>
          </w:p>
        </w:tc>
        <w:tc>
          <w:tcPr>
            <w:tcW w:w="1217" w:type="dxa"/>
          </w:tcPr>
          <w:p>
            <w:pPr>
              <w:pStyle w:val="39"/>
              <w:rPr>
                <w:rFonts w:ascii="Times New Roman" w:hAnsi="Times New Roman"/>
              </w:rPr>
            </w:pPr>
            <w:r>
              <w:rPr>
                <w:rFonts w:ascii="Times New Roman" w:hAnsi="Times New Roman"/>
              </w:rPr>
              <w:t>水田</w:t>
            </w:r>
          </w:p>
        </w:tc>
        <w:tc>
          <w:tcPr>
            <w:tcW w:w="1217" w:type="dxa"/>
            <w:gridSpan w:val="2"/>
          </w:tcPr>
          <w:p>
            <w:pPr>
              <w:pStyle w:val="39"/>
              <w:rPr>
                <w:rFonts w:ascii="Times New Roman" w:hAnsi="Times New Roman"/>
              </w:rPr>
            </w:pPr>
            <w:r>
              <w:rPr>
                <w:rFonts w:ascii="Times New Roman" w:hAnsi="Times New Roman"/>
              </w:rPr>
              <w:t>80</w:t>
            </w:r>
          </w:p>
        </w:tc>
        <w:tc>
          <w:tcPr>
            <w:tcW w:w="1619" w:type="dxa"/>
            <w:gridSpan w:val="2"/>
          </w:tcPr>
          <w:p>
            <w:pPr>
              <w:pStyle w:val="39"/>
              <w:rPr>
                <w:rFonts w:ascii="Times New Roman" w:hAnsi="Times New Roman"/>
              </w:rPr>
            </w:pPr>
            <w:r>
              <w:rPr>
                <w:rFonts w:ascii="Times New Roman" w:hAnsi="Times New Roman"/>
              </w:rPr>
              <w:t>100</w:t>
            </w:r>
          </w:p>
        </w:tc>
        <w:tc>
          <w:tcPr>
            <w:tcW w:w="1676" w:type="dxa"/>
            <w:gridSpan w:val="2"/>
          </w:tcPr>
          <w:p>
            <w:pPr>
              <w:pStyle w:val="39"/>
              <w:rPr>
                <w:rFonts w:ascii="Times New Roman" w:hAnsi="Times New Roman"/>
              </w:rPr>
            </w:pPr>
            <w:r>
              <w:rPr>
                <w:rFonts w:ascii="Times New Roman" w:hAnsi="Times New Roman"/>
              </w:rPr>
              <w:t>140</w:t>
            </w:r>
          </w:p>
        </w:tc>
        <w:tc>
          <w:tcPr>
            <w:tcW w:w="1222" w:type="dxa"/>
          </w:tcPr>
          <w:p>
            <w:pPr>
              <w:pStyle w:val="39"/>
              <w:rPr>
                <w:rFonts w:ascii="Times New Roman" w:hAnsi="Times New Roman"/>
              </w:rPr>
            </w:pPr>
            <w:r>
              <w:rPr>
                <w:rFonts w:ascii="Times New Roman" w:hAnsi="Times New Roman"/>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816" w:type="dxa"/>
            <w:vMerge w:val="continue"/>
          </w:tcPr>
          <w:p>
            <w:pPr>
              <w:pStyle w:val="39"/>
              <w:rPr>
                <w:rFonts w:ascii="Times New Roman" w:hAnsi="Times New Roman"/>
              </w:rPr>
            </w:pPr>
          </w:p>
        </w:tc>
        <w:tc>
          <w:tcPr>
            <w:tcW w:w="606" w:type="dxa"/>
            <w:vMerge w:val="continue"/>
          </w:tcPr>
          <w:p>
            <w:pPr>
              <w:pStyle w:val="39"/>
              <w:rPr>
                <w:rFonts w:ascii="Times New Roman" w:hAnsi="Times New Roman"/>
              </w:rPr>
            </w:pPr>
          </w:p>
        </w:tc>
        <w:tc>
          <w:tcPr>
            <w:tcW w:w="1217" w:type="dxa"/>
          </w:tcPr>
          <w:p>
            <w:pPr>
              <w:pStyle w:val="39"/>
              <w:rPr>
                <w:rFonts w:ascii="Times New Roman" w:hAnsi="Times New Roman"/>
              </w:rPr>
            </w:pPr>
            <w:r>
              <w:rPr>
                <w:rFonts w:ascii="Times New Roman" w:hAnsi="Times New Roman"/>
              </w:rPr>
              <w:t>其他</w:t>
            </w:r>
          </w:p>
        </w:tc>
        <w:tc>
          <w:tcPr>
            <w:tcW w:w="1217" w:type="dxa"/>
            <w:gridSpan w:val="2"/>
          </w:tcPr>
          <w:p>
            <w:pPr>
              <w:pStyle w:val="39"/>
              <w:rPr>
                <w:rFonts w:ascii="Times New Roman" w:hAnsi="Times New Roman"/>
              </w:rPr>
            </w:pPr>
            <w:r>
              <w:rPr>
                <w:rFonts w:ascii="Times New Roman" w:hAnsi="Times New Roman"/>
              </w:rPr>
              <w:t>70</w:t>
            </w:r>
          </w:p>
        </w:tc>
        <w:tc>
          <w:tcPr>
            <w:tcW w:w="1619" w:type="dxa"/>
            <w:gridSpan w:val="2"/>
          </w:tcPr>
          <w:p>
            <w:pPr>
              <w:pStyle w:val="39"/>
              <w:rPr>
                <w:rFonts w:ascii="Times New Roman" w:hAnsi="Times New Roman"/>
              </w:rPr>
            </w:pPr>
            <w:r>
              <w:rPr>
                <w:rFonts w:ascii="Times New Roman" w:hAnsi="Times New Roman"/>
              </w:rPr>
              <w:t>90</w:t>
            </w:r>
          </w:p>
        </w:tc>
        <w:tc>
          <w:tcPr>
            <w:tcW w:w="1676" w:type="dxa"/>
            <w:gridSpan w:val="2"/>
          </w:tcPr>
          <w:p>
            <w:pPr>
              <w:pStyle w:val="39"/>
              <w:rPr>
                <w:rFonts w:ascii="Times New Roman" w:hAnsi="Times New Roman"/>
              </w:rPr>
            </w:pPr>
            <w:r>
              <w:rPr>
                <w:rFonts w:ascii="Times New Roman" w:hAnsi="Times New Roman"/>
              </w:rPr>
              <w:t>120</w:t>
            </w:r>
          </w:p>
        </w:tc>
        <w:tc>
          <w:tcPr>
            <w:tcW w:w="1222" w:type="dxa"/>
          </w:tcPr>
          <w:p>
            <w:pPr>
              <w:pStyle w:val="39"/>
              <w:rPr>
                <w:rFonts w:ascii="Times New Roman" w:hAnsi="Times New Roman"/>
              </w:rPr>
            </w:pPr>
            <w:r>
              <w:rPr>
                <w:rFonts w:ascii="Times New Roman" w:hAnsi="Times New Roman"/>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816" w:type="dxa"/>
            <w:vMerge w:val="restart"/>
          </w:tcPr>
          <w:p>
            <w:pPr>
              <w:pStyle w:val="39"/>
              <w:rPr>
                <w:rFonts w:ascii="Times New Roman" w:hAnsi="Times New Roman"/>
              </w:rPr>
            </w:pPr>
            <w:r>
              <w:rPr>
                <w:rFonts w:ascii="Times New Roman" w:hAnsi="Times New Roman"/>
              </w:rPr>
              <w:t>5</w:t>
            </w:r>
          </w:p>
        </w:tc>
        <w:tc>
          <w:tcPr>
            <w:tcW w:w="606" w:type="dxa"/>
            <w:vMerge w:val="restart"/>
          </w:tcPr>
          <w:p>
            <w:pPr>
              <w:pStyle w:val="39"/>
              <w:rPr>
                <w:rFonts w:ascii="Times New Roman" w:hAnsi="Times New Roman"/>
              </w:rPr>
            </w:pPr>
            <w:r>
              <w:rPr>
                <w:rFonts w:ascii="Times New Roman" w:hAnsi="Times New Roman"/>
              </w:rPr>
              <w:t>铬</w:t>
            </w:r>
          </w:p>
        </w:tc>
        <w:tc>
          <w:tcPr>
            <w:tcW w:w="1217" w:type="dxa"/>
          </w:tcPr>
          <w:p>
            <w:pPr>
              <w:pStyle w:val="39"/>
              <w:rPr>
                <w:rFonts w:ascii="Times New Roman" w:hAnsi="Times New Roman"/>
              </w:rPr>
            </w:pPr>
            <w:r>
              <w:rPr>
                <w:rFonts w:ascii="Times New Roman" w:hAnsi="Times New Roman"/>
              </w:rPr>
              <w:t>水田</w:t>
            </w:r>
          </w:p>
        </w:tc>
        <w:tc>
          <w:tcPr>
            <w:tcW w:w="1217" w:type="dxa"/>
            <w:gridSpan w:val="2"/>
          </w:tcPr>
          <w:p>
            <w:pPr>
              <w:pStyle w:val="39"/>
              <w:rPr>
                <w:rFonts w:ascii="Times New Roman" w:hAnsi="Times New Roman"/>
              </w:rPr>
            </w:pPr>
            <w:r>
              <w:rPr>
                <w:rFonts w:ascii="Times New Roman" w:hAnsi="Times New Roman"/>
              </w:rPr>
              <w:t>250</w:t>
            </w:r>
          </w:p>
        </w:tc>
        <w:tc>
          <w:tcPr>
            <w:tcW w:w="1619" w:type="dxa"/>
            <w:gridSpan w:val="2"/>
          </w:tcPr>
          <w:p>
            <w:pPr>
              <w:pStyle w:val="39"/>
              <w:rPr>
                <w:rFonts w:ascii="Times New Roman" w:hAnsi="Times New Roman"/>
              </w:rPr>
            </w:pPr>
            <w:r>
              <w:rPr>
                <w:rFonts w:ascii="Times New Roman" w:hAnsi="Times New Roman"/>
              </w:rPr>
              <w:t>250</w:t>
            </w:r>
          </w:p>
        </w:tc>
        <w:tc>
          <w:tcPr>
            <w:tcW w:w="1676" w:type="dxa"/>
            <w:gridSpan w:val="2"/>
          </w:tcPr>
          <w:p>
            <w:pPr>
              <w:pStyle w:val="39"/>
              <w:rPr>
                <w:rFonts w:ascii="Times New Roman" w:hAnsi="Times New Roman"/>
              </w:rPr>
            </w:pPr>
            <w:r>
              <w:rPr>
                <w:rFonts w:ascii="Times New Roman" w:hAnsi="Times New Roman"/>
              </w:rPr>
              <w:t>300</w:t>
            </w:r>
          </w:p>
        </w:tc>
        <w:tc>
          <w:tcPr>
            <w:tcW w:w="1222" w:type="dxa"/>
          </w:tcPr>
          <w:p>
            <w:pPr>
              <w:pStyle w:val="39"/>
              <w:rPr>
                <w:rFonts w:ascii="Times New Roman" w:hAnsi="Times New Roman"/>
              </w:rPr>
            </w:pPr>
            <w:r>
              <w:rPr>
                <w:rFonts w:ascii="Times New Roman" w:hAnsi="Times New Roma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816" w:type="dxa"/>
            <w:vMerge w:val="continue"/>
          </w:tcPr>
          <w:p>
            <w:pPr>
              <w:pStyle w:val="39"/>
              <w:rPr>
                <w:rFonts w:ascii="Times New Roman" w:hAnsi="Times New Roman"/>
              </w:rPr>
            </w:pPr>
          </w:p>
        </w:tc>
        <w:tc>
          <w:tcPr>
            <w:tcW w:w="606" w:type="dxa"/>
            <w:vMerge w:val="continue"/>
          </w:tcPr>
          <w:p>
            <w:pPr>
              <w:pStyle w:val="39"/>
              <w:rPr>
                <w:rFonts w:ascii="Times New Roman" w:hAnsi="Times New Roman"/>
              </w:rPr>
            </w:pPr>
          </w:p>
        </w:tc>
        <w:tc>
          <w:tcPr>
            <w:tcW w:w="1217" w:type="dxa"/>
          </w:tcPr>
          <w:p>
            <w:pPr>
              <w:pStyle w:val="39"/>
              <w:rPr>
                <w:rFonts w:ascii="Times New Roman" w:hAnsi="Times New Roman"/>
              </w:rPr>
            </w:pPr>
            <w:r>
              <w:rPr>
                <w:rFonts w:ascii="Times New Roman" w:hAnsi="Times New Roman"/>
              </w:rPr>
              <w:t>其他</w:t>
            </w:r>
          </w:p>
        </w:tc>
        <w:tc>
          <w:tcPr>
            <w:tcW w:w="1217" w:type="dxa"/>
            <w:gridSpan w:val="2"/>
          </w:tcPr>
          <w:p>
            <w:pPr>
              <w:pStyle w:val="39"/>
              <w:rPr>
                <w:rFonts w:ascii="Times New Roman" w:hAnsi="Times New Roman"/>
              </w:rPr>
            </w:pPr>
            <w:r>
              <w:rPr>
                <w:rFonts w:ascii="Times New Roman" w:hAnsi="Times New Roman"/>
              </w:rPr>
              <w:t>150</w:t>
            </w:r>
          </w:p>
        </w:tc>
        <w:tc>
          <w:tcPr>
            <w:tcW w:w="1619" w:type="dxa"/>
            <w:gridSpan w:val="2"/>
          </w:tcPr>
          <w:p>
            <w:pPr>
              <w:pStyle w:val="39"/>
              <w:rPr>
                <w:rFonts w:ascii="Times New Roman" w:hAnsi="Times New Roman"/>
              </w:rPr>
            </w:pPr>
            <w:r>
              <w:rPr>
                <w:rFonts w:ascii="Times New Roman" w:hAnsi="Times New Roman"/>
              </w:rPr>
              <w:t>150</w:t>
            </w:r>
          </w:p>
        </w:tc>
        <w:tc>
          <w:tcPr>
            <w:tcW w:w="1676" w:type="dxa"/>
            <w:gridSpan w:val="2"/>
          </w:tcPr>
          <w:p>
            <w:pPr>
              <w:pStyle w:val="39"/>
              <w:rPr>
                <w:rFonts w:ascii="Times New Roman" w:hAnsi="Times New Roman"/>
              </w:rPr>
            </w:pPr>
            <w:r>
              <w:rPr>
                <w:rFonts w:ascii="Times New Roman" w:hAnsi="Times New Roman"/>
              </w:rPr>
              <w:t>200</w:t>
            </w:r>
          </w:p>
        </w:tc>
        <w:tc>
          <w:tcPr>
            <w:tcW w:w="1222" w:type="dxa"/>
          </w:tcPr>
          <w:p>
            <w:pPr>
              <w:pStyle w:val="39"/>
              <w:rPr>
                <w:rFonts w:ascii="Times New Roman" w:hAnsi="Times New Roman"/>
              </w:rPr>
            </w:pPr>
            <w:r>
              <w:rPr>
                <w:rFonts w:ascii="Times New Roman" w:hAnsi="Times New Roma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816" w:type="dxa"/>
            <w:vMerge w:val="restart"/>
          </w:tcPr>
          <w:p>
            <w:pPr>
              <w:pStyle w:val="39"/>
              <w:rPr>
                <w:rFonts w:ascii="Times New Roman" w:hAnsi="Times New Roman"/>
              </w:rPr>
            </w:pPr>
            <w:r>
              <w:rPr>
                <w:rFonts w:ascii="Times New Roman" w:hAnsi="Times New Roman"/>
              </w:rPr>
              <w:t>6</w:t>
            </w:r>
          </w:p>
        </w:tc>
        <w:tc>
          <w:tcPr>
            <w:tcW w:w="606" w:type="dxa"/>
            <w:vMerge w:val="restart"/>
          </w:tcPr>
          <w:p>
            <w:pPr>
              <w:pStyle w:val="39"/>
              <w:rPr>
                <w:rFonts w:ascii="Times New Roman" w:hAnsi="Times New Roman"/>
              </w:rPr>
            </w:pPr>
            <w:r>
              <w:rPr>
                <w:rFonts w:ascii="Times New Roman" w:hAnsi="Times New Roman"/>
              </w:rPr>
              <w:t>铜</w:t>
            </w:r>
          </w:p>
        </w:tc>
        <w:tc>
          <w:tcPr>
            <w:tcW w:w="1217" w:type="dxa"/>
          </w:tcPr>
          <w:p>
            <w:pPr>
              <w:pStyle w:val="39"/>
              <w:rPr>
                <w:rFonts w:ascii="Times New Roman" w:hAnsi="Times New Roman"/>
              </w:rPr>
            </w:pPr>
            <w:r>
              <w:rPr>
                <w:rFonts w:ascii="Times New Roman" w:hAnsi="Times New Roman"/>
              </w:rPr>
              <w:t>果园</w:t>
            </w:r>
          </w:p>
        </w:tc>
        <w:tc>
          <w:tcPr>
            <w:tcW w:w="1217" w:type="dxa"/>
            <w:gridSpan w:val="2"/>
          </w:tcPr>
          <w:p>
            <w:pPr>
              <w:pStyle w:val="39"/>
              <w:rPr>
                <w:rFonts w:ascii="Times New Roman" w:hAnsi="Times New Roman"/>
              </w:rPr>
            </w:pPr>
            <w:r>
              <w:rPr>
                <w:rFonts w:ascii="Times New Roman" w:hAnsi="Times New Roman"/>
              </w:rPr>
              <w:t>150</w:t>
            </w:r>
          </w:p>
        </w:tc>
        <w:tc>
          <w:tcPr>
            <w:tcW w:w="1619" w:type="dxa"/>
            <w:gridSpan w:val="2"/>
          </w:tcPr>
          <w:p>
            <w:pPr>
              <w:pStyle w:val="39"/>
              <w:rPr>
                <w:rFonts w:ascii="Times New Roman" w:hAnsi="Times New Roman"/>
              </w:rPr>
            </w:pPr>
            <w:r>
              <w:rPr>
                <w:rFonts w:ascii="Times New Roman" w:hAnsi="Times New Roman"/>
              </w:rPr>
              <w:t>150</w:t>
            </w:r>
          </w:p>
        </w:tc>
        <w:tc>
          <w:tcPr>
            <w:tcW w:w="1676" w:type="dxa"/>
            <w:gridSpan w:val="2"/>
          </w:tcPr>
          <w:p>
            <w:pPr>
              <w:pStyle w:val="39"/>
              <w:rPr>
                <w:rFonts w:ascii="Times New Roman" w:hAnsi="Times New Roman"/>
              </w:rPr>
            </w:pPr>
            <w:r>
              <w:rPr>
                <w:rFonts w:ascii="Times New Roman" w:hAnsi="Times New Roman"/>
              </w:rPr>
              <w:t>200</w:t>
            </w:r>
          </w:p>
        </w:tc>
        <w:tc>
          <w:tcPr>
            <w:tcW w:w="1222" w:type="dxa"/>
          </w:tcPr>
          <w:p>
            <w:pPr>
              <w:pStyle w:val="39"/>
              <w:rPr>
                <w:rFonts w:ascii="Times New Roman" w:hAnsi="Times New Roman"/>
              </w:rPr>
            </w:pPr>
            <w:r>
              <w:rPr>
                <w:rFonts w:ascii="Times New Roman" w:hAnsi="Times New Roma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816" w:type="dxa"/>
            <w:vMerge w:val="continue"/>
          </w:tcPr>
          <w:p>
            <w:pPr>
              <w:pStyle w:val="39"/>
              <w:rPr>
                <w:rFonts w:ascii="Times New Roman" w:hAnsi="Times New Roman"/>
              </w:rPr>
            </w:pPr>
          </w:p>
        </w:tc>
        <w:tc>
          <w:tcPr>
            <w:tcW w:w="606" w:type="dxa"/>
            <w:vMerge w:val="continue"/>
          </w:tcPr>
          <w:p>
            <w:pPr>
              <w:pStyle w:val="39"/>
              <w:rPr>
                <w:rFonts w:ascii="Times New Roman" w:hAnsi="Times New Roman"/>
              </w:rPr>
            </w:pPr>
          </w:p>
        </w:tc>
        <w:tc>
          <w:tcPr>
            <w:tcW w:w="1217" w:type="dxa"/>
          </w:tcPr>
          <w:p>
            <w:pPr>
              <w:pStyle w:val="39"/>
              <w:rPr>
                <w:rFonts w:ascii="Times New Roman" w:hAnsi="Times New Roman"/>
              </w:rPr>
            </w:pPr>
            <w:r>
              <w:rPr>
                <w:rFonts w:ascii="Times New Roman" w:hAnsi="Times New Roman"/>
              </w:rPr>
              <w:t>其他</w:t>
            </w:r>
          </w:p>
        </w:tc>
        <w:tc>
          <w:tcPr>
            <w:tcW w:w="1217" w:type="dxa"/>
            <w:gridSpan w:val="2"/>
          </w:tcPr>
          <w:p>
            <w:pPr>
              <w:pStyle w:val="39"/>
              <w:rPr>
                <w:rFonts w:ascii="Times New Roman" w:hAnsi="Times New Roman"/>
              </w:rPr>
            </w:pPr>
            <w:r>
              <w:rPr>
                <w:rFonts w:ascii="Times New Roman" w:hAnsi="Times New Roman"/>
              </w:rPr>
              <w:t>50</w:t>
            </w:r>
          </w:p>
        </w:tc>
        <w:tc>
          <w:tcPr>
            <w:tcW w:w="1619" w:type="dxa"/>
            <w:gridSpan w:val="2"/>
          </w:tcPr>
          <w:p>
            <w:pPr>
              <w:pStyle w:val="39"/>
              <w:rPr>
                <w:rFonts w:ascii="Times New Roman" w:hAnsi="Times New Roman"/>
              </w:rPr>
            </w:pPr>
            <w:r>
              <w:rPr>
                <w:rFonts w:ascii="Times New Roman" w:hAnsi="Times New Roman"/>
              </w:rPr>
              <w:t>50</w:t>
            </w:r>
          </w:p>
        </w:tc>
        <w:tc>
          <w:tcPr>
            <w:tcW w:w="1676" w:type="dxa"/>
            <w:gridSpan w:val="2"/>
          </w:tcPr>
          <w:p>
            <w:pPr>
              <w:pStyle w:val="39"/>
              <w:rPr>
                <w:rFonts w:ascii="Times New Roman" w:hAnsi="Times New Roman"/>
              </w:rPr>
            </w:pPr>
            <w:r>
              <w:rPr>
                <w:rFonts w:ascii="Times New Roman" w:hAnsi="Times New Roman"/>
              </w:rPr>
              <w:t>100</w:t>
            </w:r>
          </w:p>
        </w:tc>
        <w:tc>
          <w:tcPr>
            <w:tcW w:w="1222" w:type="dxa"/>
          </w:tcPr>
          <w:p>
            <w:pPr>
              <w:pStyle w:val="39"/>
              <w:rPr>
                <w:rFonts w:ascii="Times New Roman" w:hAnsi="Times New Roman"/>
              </w:rPr>
            </w:pPr>
            <w:r>
              <w:rPr>
                <w:rFonts w:ascii="Times New Roman" w:hAnsi="Times New Roma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816" w:type="dxa"/>
          </w:tcPr>
          <w:p>
            <w:pPr>
              <w:pStyle w:val="39"/>
              <w:rPr>
                <w:rFonts w:ascii="Times New Roman" w:hAnsi="Times New Roman"/>
              </w:rPr>
            </w:pPr>
            <w:r>
              <w:rPr>
                <w:rFonts w:ascii="Times New Roman" w:hAnsi="Times New Roman"/>
              </w:rPr>
              <w:t>7</w:t>
            </w:r>
          </w:p>
        </w:tc>
        <w:tc>
          <w:tcPr>
            <w:tcW w:w="1823" w:type="dxa"/>
            <w:gridSpan w:val="2"/>
          </w:tcPr>
          <w:p>
            <w:pPr>
              <w:pStyle w:val="39"/>
              <w:rPr>
                <w:rFonts w:ascii="Times New Roman" w:hAnsi="Times New Roman"/>
              </w:rPr>
            </w:pPr>
            <w:r>
              <w:rPr>
                <w:rFonts w:ascii="Times New Roman" w:hAnsi="Times New Roman"/>
              </w:rPr>
              <w:t>镍</w:t>
            </w:r>
          </w:p>
        </w:tc>
        <w:tc>
          <w:tcPr>
            <w:tcW w:w="1217" w:type="dxa"/>
            <w:gridSpan w:val="2"/>
          </w:tcPr>
          <w:p>
            <w:pPr>
              <w:pStyle w:val="39"/>
              <w:rPr>
                <w:rFonts w:ascii="Times New Roman" w:hAnsi="Times New Roman"/>
              </w:rPr>
            </w:pPr>
            <w:r>
              <w:rPr>
                <w:rFonts w:ascii="Times New Roman" w:hAnsi="Times New Roman"/>
              </w:rPr>
              <w:t>60</w:t>
            </w:r>
          </w:p>
        </w:tc>
        <w:tc>
          <w:tcPr>
            <w:tcW w:w="1619" w:type="dxa"/>
            <w:gridSpan w:val="2"/>
          </w:tcPr>
          <w:p>
            <w:pPr>
              <w:pStyle w:val="39"/>
              <w:rPr>
                <w:rFonts w:ascii="Times New Roman" w:hAnsi="Times New Roman"/>
              </w:rPr>
            </w:pPr>
            <w:r>
              <w:rPr>
                <w:rFonts w:ascii="Times New Roman" w:hAnsi="Times New Roman"/>
              </w:rPr>
              <w:t>70</w:t>
            </w:r>
          </w:p>
        </w:tc>
        <w:tc>
          <w:tcPr>
            <w:tcW w:w="1676" w:type="dxa"/>
            <w:gridSpan w:val="2"/>
          </w:tcPr>
          <w:p>
            <w:pPr>
              <w:pStyle w:val="39"/>
              <w:rPr>
                <w:rFonts w:ascii="Times New Roman" w:hAnsi="Times New Roman"/>
              </w:rPr>
            </w:pPr>
            <w:r>
              <w:rPr>
                <w:rFonts w:ascii="Times New Roman" w:hAnsi="Times New Roman"/>
              </w:rPr>
              <w:t>100</w:t>
            </w:r>
          </w:p>
        </w:tc>
        <w:tc>
          <w:tcPr>
            <w:tcW w:w="1222" w:type="dxa"/>
          </w:tcPr>
          <w:p>
            <w:pPr>
              <w:pStyle w:val="39"/>
              <w:rPr>
                <w:rFonts w:ascii="Times New Roman" w:hAnsi="Times New Roman"/>
              </w:rPr>
            </w:pPr>
            <w:r>
              <w:rPr>
                <w:rFonts w:ascii="Times New Roman" w:hAnsi="Times New Roman"/>
              </w:rP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816" w:type="dxa"/>
          </w:tcPr>
          <w:p>
            <w:pPr>
              <w:pStyle w:val="39"/>
              <w:rPr>
                <w:rFonts w:ascii="Times New Roman" w:hAnsi="Times New Roman"/>
              </w:rPr>
            </w:pPr>
            <w:r>
              <w:rPr>
                <w:rFonts w:ascii="Times New Roman" w:hAnsi="Times New Roman"/>
              </w:rPr>
              <w:t>8</w:t>
            </w:r>
          </w:p>
        </w:tc>
        <w:tc>
          <w:tcPr>
            <w:tcW w:w="1823" w:type="dxa"/>
            <w:gridSpan w:val="2"/>
          </w:tcPr>
          <w:p>
            <w:pPr>
              <w:pStyle w:val="39"/>
              <w:rPr>
                <w:rFonts w:ascii="Times New Roman" w:hAnsi="Times New Roman"/>
              </w:rPr>
            </w:pPr>
            <w:r>
              <w:rPr>
                <w:rFonts w:ascii="Times New Roman" w:hAnsi="Times New Roman"/>
              </w:rPr>
              <w:t>锌</w:t>
            </w:r>
          </w:p>
        </w:tc>
        <w:tc>
          <w:tcPr>
            <w:tcW w:w="1217" w:type="dxa"/>
            <w:gridSpan w:val="2"/>
          </w:tcPr>
          <w:p>
            <w:pPr>
              <w:pStyle w:val="39"/>
              <w:rPr>
                <w:rFonts w:ascii="Times New Roman" w:hAnsi="Times New Roman"/>
              </w:rPr>
            </w:pPr>
            <w:r>
              <w:rPr>
                <w:rFonts w:ascii="Times New Roman" w:hAnsi="Times New Roman"/>
              </w:rPr>
              <w:t>200</w:t>
            </w:r>
          </w:p>
        </w:tc>
        <w:tc>
          <w:tcPr>
            <w:tcW w:w="1619" w:type="dxa"/>
            <w:gridSpan w:val="2"/>
          </w:tcPr>
          <w:p>
            <w:pPr>
              <w:pStyle w:val="39"/>
              <w:rPr>
                <w:rFonts w:ascii="Times New Roman" w:hAnsi="Times New Roman"/>
              </w:rPr>
            </w:pPr>
            <w:r>
              <w:rPr>
                <w:rFonts w:ascii="Times New Roman" w:hAnsi="Times New Roman"/>
              </w:rPr>
              <w:t>200</w:t>
            </w:r>
          </w:p>
        </w:tc>
        <w:tc>
          <w:tcPr>
            <w:tcW w:w="1676" w:type="dxa"/>
            <w:gridSpan w:val="2"/>
          </w:tcPr>
          <w:p>
            <w:pPr>
              <w:pStyle w:val="39"/>
              <w:rPr>
                <w:rFonts w:ascii="Times New Roman" w:hAnsi="Times New Roman"/>
              </w:rPr>
            </w:pPr>
            <w:r>
              <w:rPr>
                <w:rFonts w:ascii="Times New Roman" w:hAnsi="Times New Roman"/>
              </w:rPr>
              <w:t>250</w:t>
            </w:r>
          </w:p>
        </w:tc>
        <w:tc>
          <w:tcPr>
            <w:tcW w:w="1222" w:type="dxa"/>
          </w:tcPr>
          <w:p>
            <w:pPr>
              <w:pStyle w:val="39"/>
              <w:rPr>
                <w:rFonts w:ascii="Times New Roman" w:hAnsi="Times New Roman"/>
              </w:rPr>
            </w:pPr>
            <w:r>
              <w:rPr>
                <w:rFonts w:ascii="Times New Roman" w:hAnsi="Times New Roma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8373" w:type="dxa"/>
            <w:gridSpan w:val="10"/>
          </w:tcPr>
          <w:p>
            <w:pPr>
              <w:pStyle w:val="39"/>
              <w:jc w:val="left"/>
              <w:rPr>
                <w:rFonts w:ascii="Times New Roman" w:hAnsi="Times New Roman"/>
              </w:rPr>
            </w:pPr>
            <w:r>
              <w:rPr>
                <w:rFonts w:ascii="Times New Roman" w:hAnsi="Times New Roman"/>
              </w:rPr>
              <w:t>注：</w:t>
            </w:r>
            <w:r>
              <w:rPr>
                <w:rFonts w:hint="eastAsia" w:ascii="宋体" w:hAnsi="宋体" w:cs="宋体"/>
              </w:rPr>
              <w:t>①</w:t>
            </w:r>
            <w:r>
              <w:rPr>
                <w:rFonts w:ascii="Times New Roman" w:hAnsi="Times New Roman"/>
              </w:rPr>
              <w:t>重金属和类金属砷均按元素总量计。</w:t>
            </w:r>
          </w:p>
          <w:p>
            <w:pPr>
              <w:pStyle w:val="39"/>
              <w:jc w:val="left"/>
              <w:rPr>
                <w:rFonts w:ascii="Times New Roman" w:hAnsi="Times New Roman"/>
              </w:rPr>
            </w:pPr>
            <w:r>
              <w:rPr>
                <w:rFonts w:hint="eastAsia" w:ascii="宋体" w:hAnsi="宋体" w:cs="宋体"/>
              </w:rPr>
              <w:t>②</w:t>
            </w:r>
            <w:r>
              <w:rPr>
                <w:rFonts w:ascii="Times New Roman" w:hAnsi="Times New Roman"/>
              </w:rPr>
              <w:t>对于水旱轮作地，采用其中较严格的风险筛选值。</w:t>
            </w:r>
          </w:p>
        </w:tc>
      </w:tr>
    </w:tbl>
    <w:p>
      <w:pPr>
        <w:pStyle w:val="4"/>
        <w:rPr>
          <w:rFonts w:ascii="Times New Roman" w:hAnsi="Times New Roman" w:cs="Times New Roman"/>
        </w:rPr>
      </w:pPr>
      <w:r>
        <w:rPr>
          <w:rFonts w:ascii="Times New Roman" w:hAnsi="Times New Roman" w:cs="Times New Roman"/>
        </w:rPr>
        <w:t>污染物排放标准</w:t>
      </w:r>
    </w:p>
    <w:p>
      <w:pPr>
        <w:pStyle w:val="5"/>
        <w:rPr>
          <w:rFonts w:ascii="Times New Roman" w:hAnsi="Times New Roman"/>
        </w:rPr>
      </w:pPr>
      <w:r>
        <w:rPr>
          <w:rFonts w:ascii="Times New Roman" w:hAnsi="Times New Roman"/>
        </w:rPr>
        <w:t>废气</w:t>
      </w:r>
    </w:p>
    <w:p>
      <w:pPr>
        <w:ind w:firstLine="480"/>
        <w:rPr>
          <w:rFonts w:ascii="Times New Roman" w:hAnsi="Times New Roman"/>
        </w:rPr>
      </w:pPr>
      <w:r>
        <w:rPr>
          <w:rFonts w:ascii="Times New Roman" w:hAnsi="Times New Roman"/>
        </w:rPr>
        <w:t>施工期施工场地烟尘执行《四川省施工场地扬尘排放标准》（DB51/2682-2020）。</w:t>
      </w:r>
    </w:p>
    <w:p>
      <w:pPr>
        <w:ind w:firstLine="480"/>
        <w:rPr>
          <w:rFonts w:ascii="Times New Roman" w:hAnsi="Times New Roman"/>
        </w:rPr>
      </w:pPr>
      <w:r>
        <w:rPr>
          <w:rFonts w:ascii="Times New Roman" w:hAnsi="Times New Roman"/>
        </w:rPr>
        <w:t>运营期水套加热炉废气执行《锅炉大气污染物排放标准》（GB 13271-2014）。</w:t>
      </w:r>
    </w:p>
    <w:p>
      <w:pPr>
        <w:ind w:firstLine="480"/>
        <w:rPr>
          <w:rFonts w:ascii="Times New Roman" w:hAnsi="Times New Roman"/>
        </w:rPr>
      </w:pPr>
      <w:r>
        <w:rPr>
          <w:rFonts w:ascii="Times New Roman" w:hAnsi="Times New Roman"/>
        </w:rPr>
        <w:t>运营期宣探1井站和宣兴1井站的厂界污染物VOCs执行《陆上石油天然气开采工业大气污染物排放标准》（GB39728-2020），污染物H</w:t>
      </w:r>
      <w:r>
        <w:rPr>
          <w:rFonts w:ascii="Times New Roman" w:hAnsi="Times New Roman"/>
          <w:vertAlign w:val="subscript"/>
        </w:rPr>
        <w:t>2</w:t>
      </w:r>
      <w:r>
        <w:rPr>
          <w:rFonts w:ascii="Times New Roman" w:hAnsi="Times New Roman"/>
        </w:rPr>
        <w:t>S执行《恶臭污染物排放标准》（GB14554-93）中表1限值。</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r>
        <w:rPr>
          <w:rFonts w:ascii="Times New Roman" w:hAnsi="Times New Roman" w:cs="Times New Roman"/>
        </w:rPr>
        <w:t xml:space="preserve">  四川省施工场地扬尘排放标准</w:t>
      </w:r>
    </w:p>
    <w:tbl>
      <w:tblPr>
        <w:tblStyle w:val="28"/>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0"/>
        <w:gridCol w:w="931"/>
        <w:gridCol w:w="3604"/>
        <w:gridCol w:w="1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10" w:type="dxa"/>
            <w:vAlign w:val="center"/>
          </w:tcPr>
          <w:p>
            <w:pPr>
              <w:pStyle w:val="39"/>
              <w:rPr>
                <w:rFonts w:ascii="Times New Roman" w:hAnsi="Times New Roman"/>
              </w:rPr>
            </w:pPr>
            <w:r>
              <w:rPr>
                <w:rFonts w:ascii="Times New Roman" w:hAnsi="Times New Roman"/>
              </w:rPr>
              <w:t>项目</w:t>
            </w:r>
          </w:p>
        </w:tc>
        <w:tc>
          <w:tcPr>
            <w:tcW w:w="0" w:type="auto"/>
            <w:vAlign w:val="center"/>
          </w:tcPr>
          <w:p>
            <w:pPr>
              <w:pStyle w:val="39"/>
              <w:rPr>
                <w:rFonts w:ascii="Times New Roman" w:hAnsi="Times New Roman"/>
              </w:rPr>
            </w:pPr>
            <w:r>
              <w:rPr>
                <w:rFonts w:ascii="Times New Roman" w:hAnsi="Times New Roman"/>
              </w:rPr>
              <w:t>区域</w:t>
            </w:r>
          </w:p>
        </w:tc>
        <w:tc>
          <w:tcPr>
            <w:tcW w:w="0" w:type="auto"/>
            <w:vAlign w:val="center"/>
          </w:tcPr>
          <w:p>
            <w:pPr>
              <w:pStyle w:val="39"/>
              <w:rPr>
                <w:rFonts w:ascii="Times New Roman" w:hAnsi="Times New Roman"/>
              </w:rPr>
            </w:pPr>
            <w:r>
              <w:rPr>
                <w:rFonts w:ascii="Times New Roman" w:hAnsi="Times New Roman"/>
              </w:rPr>
              <w:t>施工阶段</w:t>
            </w:r>
          </w:p>
        </w:tc>
        <w:tc>
          <w:tcPr>
            <w:tcW w:w="1977" w:type="dxa"/>
            <w:vAlign w:val="center"/>
          </w:tcPr>
          <w:p>
            <w:pPr>
              <w:pStyle w:val="39"/>
              <w:rPr>
                <w:rFonts w:ascii="Times New Roman" w:hAnsi="Times New Roman"/>
              </w:rPr>
            </w:pPr>
            <w:r>
              <w:rPr>
                <w:rFonts w:ascii="Times New Roman" w:hAnsi="Times New Roman"/>
              </w:rPr>
              <w:t>监测点排放限值（μg/m</w:t>
            </w:r>
            <w:r>
              <w:rPr>
                <w:rFonts w:ascii="Times New Roman" w:hAnsi="Times New Roman"/>
                <w:vertAlign w:val="superscript"/>
              </w:rPr>
              <w:t>3</w:t>
            </w: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10" w:type="dxa"/>
            <w:vMerge w:val="restart"/>
            <w:vAlign w:val="center"/>
          </w:tcPr>
          <w:p>
            <w:pPr>
              <w:pStyle w:val="39"/>
              <w:rPr>
                <w:rFonts w:ascii="Times New Roman" w:hAnsi="Times New Roman"/>
              </w:rPr>
            </w:pPr>
            <w:r>
              <w:rPr>
                <w:rFonts w:ascii="Times New Roman" w:hAnsi="Times New Roman"/>
              </w:rPr>
              <w:t>总悬浮颗粒物TSP</w:t>
            </w:r>
          </w:p>
        </w:tc>
        <w:tc>
          <w:tcPr>
            <w:tcW w:w="0" w:type="auto"/>
            <w:vMerge w:val="restart"/>
            <w:vAlign w:val="center"/>
          </w:tcPr>
          <w:p>
            <w:pPr>
              <w:pStyle w:val="39"/>
              <w:rPr>
                <w:rFonts w:ascii="Times New Roman" w:hAnsi="Times New Roman"/>
              </w:rPr>
            </w:pPr>
            <w:r>
              <w:rPr>
                <w:rFonts w:ascii="Times New Roman" w:hAnsi="Times New Roman"/>
              </w:rPr>
              <w:t>达州市</w:t>
            </w:r>
          </w:p>
        </w:tc>
        <w:tc>
          <w:tcPr>
            <w:tcW w:w="0" w:type="auto"/>
            <w:vAlign w:val="center"/>
          </w:tcPr>
          <w:p>
            <w:pPr>
              <w:pStyle w:val="39"/>
              <w:rPr>
                <w:rFonts w:ascii="Times New Roman" w:hAnsi="Times New Roman"/>
              </w:rPr>
            </w:pPr>
            <w:r>
              <w:rPr>
                <w:rFonts w:ascii="Times New Roman" w:hAnsi="Times New Roman"/>
              </w:rPr>
              <w:t>拆除工程/土方开挖/土方回填阶段</w:t>
            </w:r>
          </w:p>
        </w:tc>
        <w:tc>
          <w:tcPr>
            <w:tcW w:w="1977" w:type="dxa"/>
            <w:vAlign w:val="center"/>
          </w:tcPr>
          <w:p>
            <w:pPr>
              <w:pStyle w:val="39"/>
              <w:rPr>
                <w:rFonts w:ascii="Times New Roman" w:hAnsi="Times New Roman"/>
              </w:rPr>
            </w:pPr>
            <w:r>
              <w:rPr>
                <w:rFonts w:ascii="Times New Roman" w:hAnsi="Times New Roman"/>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10" w:type="dxa"/>
            <w:vMerge w:val="continue"/>
            <w:vAlign w:val="center"/>
          </w:tcPr>
          <w:p>
            <w:pPr>
              <w:pStyle w:val="39"/>
              <w:rPr>
                <w:rFonts w:ascii="Times New Roman" w:hAnsi="Times New Roman"/>
              </w:rPr>
            </w:pPr>
          </w:p>
        </w:tc>
        <w:tc>
          <w:tcPr>
            <w:tcW w:w="0" w:type="auto"/>
            <w:vMerge w:val="continue"/>
            <w:vAlign w:val="center"/>
          </w:tcPr>
          <w:p>
            <w:pPr>
              <w:pStyle w:val="39"/>
              <w:rPr>
                <w:rFonts w:ascii="Times New Roman" w:hAnsi="Times New Roman"/>
              </w:rPr>
            </w:pPr>
          </w:p>
        </w:tc>
        <w:tc>
          <w:tcPr>
            <w:tcW w:w="0" w:type="auto"/>
            <w:vAlign w:val="center"/>
          </w:tcPr>
          <w:p>
            <w:pPr>
              <w:pStyle w:val="39"/>
              <w:rPr>
                <w:rFonts w:ascii="Times New Roman" w:hAnsi="Times New Roman"/>
              </w:rPr>
            </w:pPr>
            <w:r>
              <w:rPr>
                <w:rFonts w:ascii="Times New Roman" w:hAnsi="Times New Roman"/>
              </w:rPr>
              <w:t xml:space="preserve">其他工程阶段 </w:t>
            </w:r>
          </w:p>
        </w:tc>
        <w:tc>
          <w:tcPr>
            <w:tcW w:w="1977" w:type="dxa"/>
            <w:vAlign w:val="center"/>
          </w:tcPr>
          <w:p>
            <w:pPr>
              <w:pStyle w:val="39"/>
              <w:rPr>
                <w:rFonts w:ascii="Times New Roman" w:hAnsi="Times New Roman"/>
              </w:rPr>
            </w:pPr>
            <w:r>
              <w:rPr>
                <w:rFonts w:ascii="Times New Roman" w:hAnsi="Times New Roman"/>
              </w:rPr>
              <w:t>250</w:t>
            </w:r>
          </w:p>
        </w:tc>
      </w:tr>
    </w:tbl>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t xml:space="preserve">  锅炉大气污染物排放标准     单位：mg/m</w:t>
      </w:r>
      <w:r>
        <w:rPr>
          <w:rFonts w:ascii="Times New Roman" w:hAnsi="Times New Roman" w:cs="Times New Roman"/>
          <w:vertAlign w:val="superscript"/>
        </w:rPr>
        <w:t>3</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4"/>
        <w:gridCol w:w="2074"/>
        <w:gridCol w:w="2074"/>
        <w:gridCol w:w="2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tcPr>
          <w:p>
            <w:pPr>
              <w:pStyle w:val="39"/>
              <w:rPr>
                <w:rFonts w:ascii="Times New Roman" w:hAnsi="Times New Roman"/>
              </w:rPr>
            </w:pPr>
            <w:r>
              <w:rPr>
                <w:rFonts w:ascii="Times New Roman" w:hAnsi="Times New Roman"/>
              </w:rPr>
              <w:t>锅炉类型</w:t>
            </w:r>
          </w:p>
        </w:tc>
        <w:tc>
          <w:tcPr>
            <w:tcW w:w="2074" w:type="dxa"/>
          </w:tcPr>
          <w:p>
            <w:pPr>
              <w:pStyle w:val="39"/>
              <w:rPr>
                <w:rFonts w:ascii="Times New Roman" w:hAnsi="Times New Roman"/>
              </w:rPr>
            </w:pPr>
            <w:r>
              <w:rPr>
                <w:rFonts w:ascii="Times New Roman" w:hAnsi="Times New Roman"/>
              </w:rPr>
              <w:t>颗粒物</w:t>
            </w:r>
          </w:p>
        </w:tc>
        <w:tc>
          <w:tcPr>
            <w:tcW w:w="2074" w:type="dxa"/>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2074" w:type="dxa"/>
          </w:tcPr>
          <w:p>
            <w:pPr>
              <w:pStyle w:val="39"/>
              <w:rPr>
                <w:rFonts w:ascii="Times New Roman" w:hAnsi="Times New Roman"/>
              </w:rPr>
            </w:pPr>
            <w:r>
              <w:rPr>
                <w:rFonts w:ascii="Times New Roman" w:hAnsi="Times New Roman"/>
              </w:rPr>
              <w:t>NOx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tcPr>
          <w:p>
            <w:pPr>
              <w:pStyle w:val="39"/>
              <w:rPr>
                <w:rFonts w:ascii="Times New Roman" w:hAnsi="Times New Roman"/>
              </w:rPr>
            </w:pPr>
            <w:r>
              <w:rPr>
                <w:rFonts w:ascii="Times New Roman" w:hAnsi="Times New Roman"/>
              </w:rPr>
              <w:t>燃气锅炉</w:t>
            </w:r>
          </w:p>
        </w:tc>
        <w:tc>
          <w:tcPr>
            <w:tcW w:w="2074" w:type="dxa"/>
          </w:tcPr>
          <w:p>
            <w:pPr>
              <w:pStyle w:val="39"/>
              <w:rPr>
                <w:rFonts w:ascii="Times New Roman" w:hAnsi="Times New Roman"/>
              </w:rPr>
            </w:pPr>
            <w:r>
              <w:rPr>
                <w:rFonts w:ascii="Times New Roman" w:hAnsi="Times New Roman"/>
              </w:rPr>
              <w:t>20</w:t>
            </w:r>
          </w:p>
        </w:tc>
        <w:tc>
          <w:tcPr>
            <w:tcW w:w="2074" w:type="dxa"/>
          </w:tcPr>
          <w:p>
            <w:pPr>
              <w:pStyle w:val="39"/>
              <w:rPr>
                <w:rFonts w:ascii="Times New Roman" w:hAnsi="Times New Roman"/>
              </w:rPr>
            </w:pPr>
            <w:r>
              <w:rPr>
                <w:rFonts w:ascii="Times New Roman" w:hAnsi="Times New Roman"/>
              </w:rPr>
              <w:t>50</w:t>
            </w:r>
          </w:p>
        </w:tc>
        <w:tc>
          <w:tcPr>
            <w:tcW w:w="2074" w:type="dxa"/>
          </w:tcPr>
          <w:p>
            <w:pPr>
              <w:pStyle w:val="39"/>
              <w:rPr>
                <w:rFonts w:ascii="Times New Roman" w:hAnsi="Times New Roman"/>
              </w:rPr>
            </w:pPr>
            <w:r>
              <w:rPr>
                <w:rFonts w:ascii="Times New Roman" w:hAnsi="Times New Roman"/>
              </w:rPr>
              <w:t>200</w:t>
            </w:r>
          </w:p>
        </w:tc>
      </w:tr>
    </w:tbl>
    <w:p>
      <w:pPr>
        <w:pStyle w:val="41"/>
        <w:spacing w:before="156" w:after="156"/>
        <w:rPr>
          <w:rFonts w:ascii="Times New Roman" w:hAnsi="Times New Roman" w:cs="Times New Roman"/>
        </w:rPr>
      </w:pPr>
      <w:r>
        <w:rPr>
          <w:rFonts w:ascii="Times New Roman" w:hAnsi="Times New Roman" w:cs="Times New Roman"/>
        </w:rPr>
        <w:t>注：烟囱高度不得低于8m</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r>
        <w:rPr>
          <w:rFonts w:ascii="Times New Roman" w:hAnsi="Times New Roman" w:cs="Times New Roman"/>
        </w:rPr>
        <w:t xml:space="preserve">  厂界无组织排放限值</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1134"/>
        <w:gridCol w:w="1843"/>
        <w:gridCol w:w="4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pStyle w:val="39"/>
              <w:rPr>
                <w:rFonts w:ascii="Times New Roman" w:hAnsi="Times New Roman"/>
              </w:rPr>
            </w:pPr>
            <w:r>
              <w:rPr>
                <w:rFonts w:ascii="Times New Roman" w:hAnsi="Times New Roman"/>
              </w:rPr>
              <w:t>污染源</w:t>
            </w:r>
          </w:p>
        </w:tc>
        <w:tc>
          <w:tcPr>
            <w:tcW w:w="1134" w:type="dxa"/>
            <w:vAlign w:val="center"/>
          </w:tcPr>
          <w:p>
            <w:pPr>
              <w:pStyle w:val="39"/>
              <w:rPr>
                <w:rFonts w:ascii="Times New Roman" w:hAnsi="Times New Roman"/>
              </w:rPr>
            </w:pPr>
            <w:r>
              <w:rPr>
                <w:rFonts w:ascii="Times New Roman" w:hAnsi="Times New Roman"/>
              </w:rPr>
              <w:t>污染物</w:t>
            </w:r>
          </w:p>
        </w:tc>
        <w:tc>
          <w:tcPr>
            <w:tcW w:w="1843" w:type="dxa"/>
            <w:vAlign w:val="center"/>
          </w:tcPr>
          <w:p>
            <w:pPr>
              <w:pStyle w:val="39"/>
              <w:rPr>
                <w:rFonts w:ascii="Times New Roman" w:hAnsi="Times New Roman"/>
              </w:rPr>
            </w:pPr>
            <w:r>
              <w:rPr>
                <w:rFonts w:ascii="Times New Roman" w:hAnsi="Times New Roman"/>
              </w:rPr>
              <w:t>标准限值（mg/m</w:t>
            </w:r>
            <w:r>
              <w:rPr>
                <w:rFonts w:ascii="Times New Roman" w:hAnsi="Times New Roman"/>
                <w:vertAlign w:val="superscript"/>
              </w:rPr>
              <w:t>3</w:t>
            </w:r>
            <w:r>
              <w:rPr>
                <w:rFonts w:ascii="Times New Roman" w:hAnsi="Times New Roman"/>
              </w:rPr>
              <w:t>）</w:t>
            </w:r>
          </w:p>
        </w:tc>
        <w:tc>
          <w:tcPr>
            <w:tcW w:w="4048" w:type="dxa"/>
            <w:vAlign w:val="center"/>
          </w:tcPr>
          <w:p>
            <w:pPr>
              <w:pStyle w:val="39"/>
              <w:rPr>
                <w:rFonts w:ascii="Times New Roman" w:hAnsi="Times New Roman"/>
              </w:rPr>
            </w:pPr>
            <w:r>
              <w:rPr>
                <w:rFonts w:ascii="Times New Roman" w:hAnsi="Times New Roman"/>
              </w:rPr>
              <w:t>标准名称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restart"/>
            <w:vAlign w:val="center"/>
          </w:tcPr>
          <w:p>
            <w:pPr>
              <w:pStyle w:val="39"/>
              <w:rPr>
                <w:rFonts w:ascii="Times New Roman" w:hAnsi="Times New Roman"/>
              </w:rPr>
            </w:pPr>
            <w:r>
              <w:rPr>
                <w:rFonts w:ascii="Times New Roman" w:hAnsi="Times New Roman"/>
              </w:rPr>
              <w:t>企业边界</w:t>
            </w:r>
          </w:p>
        </w:tc>
        <w:tc>
          <w:tcPr>
            <w:tcW w:w="1134" w:type="dxa"/>
            <w:vAlign w:val="center"/>
          </w:tcPr>
          <w:p>
            <w:pPr>
              <w:pStyle w:val="39"/>
              <w:rPr>
                <w:rFonts w:ascii="Times New Roman" w:hAnsi="Times New Roman"/>
              </w:rPr>
            </w:pPr>
            <w:r>
              <w:rPr>
                <w:rFonts w:ascii="Times New Roman" w:hAnsi="Times New Roman"/>
              </w:rPr>
              <w:t>VOCs</w:t>
            </w:r>
          </w:p>
        </w:tc>
        <w:tc>
          <w:tcPr>
            <w:tcW w:w="1843" w:type="dxa"/>
            <w:vAlign w:val="center"/>
          </w:tcPr>
          <w:p>
            <w:pPr>
              <w:pStyle w:val="39"/>
              <w:rPr>
                <w:rFonts w:ascii="Times New Roman" w:hAnsi="Times New Roman"/>
              </w:rPr>
            </w:pPr>
            <w:r>
              <w:rPr>
                <w:rFonts w:ascii="Times New Roman" w:hAnsi="Times New Roman"/>
              </w:rPr>
              <w:t>4</w:t>
            </w:r>
          </w:p>
        </w:tc>
        <w:tc>
          <w:tcPr>
            <w:tcW w:w="4048" w:type="dxa"/>
            <w:vAlign w:val="center"/>
          </w:tcPr>
          <w:p>
            <w:pPr>
              <w:pStyle w:val="39"/>
              <w:rPr>
                <w:rFonts w:ascii="Times New Roman" w:hAnsi="Times New Roman"/>
              </w:rPr>
            </w:pPr>
            <w:r>
              <w:rPr>
                <w:rFonts w:ascii="Times New Roman" w:hAnsi="Times New Roman"/>
              </w:rPr>
              <w:t>《陆上石油天然气开采工业大气污染物排放标准》（GB39728-2020）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1843" w:type="dxa"/>
            <w:vAlign w:val="center"/>
          </w:tcPr>
          <w:p>
            <w:pPr>
              <w:pStyle w:val="39"/>
              <w:rPr>
                <w:rFonts w:ascii="Times New Roman" w:hAnsi="Times New Roman"/>
              </w:rPr>
            </w:pPr>
            <w:r>
              <w:rPr>
                <w:rFonts w:ascii="Times New Roman" w:hAnsi="Times New Roman"/>
              </w:rPr>
              <w:t>0.1</w:t>
            </w:r>
          </w:p>
        </w:tc>
        <w:tc>
          <w:tcPr>
            <w:tcW w:w="4048" w:type="dxa"/>
            <w:vAlign w:val="center"/>
          </w:tcPr>
          <w:p>
            <w:pPr>
              <w:pStyle w:val="39"/>
              <w:rPr>
                <w:rFonts w:ascii="Times New Roman" w:hAnsi="Times New Roman"/>
              </w:rPr>
            </w:pPr>
            <w:r>
              <w:rPr>
                <w:rFonts w:ascii="Times New Roman" w:hAnsi="Times New Roman"/>
              </w:rPr>
              <w:t>《恶臭污染物排放标准》（GB14554-93）</w:t>
            </w:r>
          </w:p>
        </w:tc>
      </w:tr>
    </w:tbl>
    <w:p>
      <w:pPr>
        <w:pStyle w:val="5"/>
        <w:rPr>
          <w:rFonts w:ascii="Times New Roman" w:hAnsi="Times New Roman"/>
        </w:rPr>
      </w:pPr>
      <w:r>
        <w:rPr>
          <w:rFonts w:ascii="Times New Roman" w:hAnsi="Times New Roman"/>
        </w:rPr>
        <w:t>废水</w:t>
      </w:r>
    </w:p>
    <w:p>
      <w:pPr>
        <w:ind w:firstLine="480"/>
        <w:rPr>
          <w:rFonts w:ascii="Times New Roman" w:hAnsi="Times New Roman"/>
        </w:rPr>
      </w:pPr>
      <w:r>
        <w:rPr>
          <w:rFonts w:ascii="Times New Roman" w:hAnsi="Times New Roman"/>
        </w:rPr>
        <w:t>运营期维抢修队人员租住在当地的民房，产生的生活污水依托当地的污水处理设施（改进型生态厕所）处理后还田。</w:t>
      </w:r>
    </w:p>
    <w:p>
      <w:pPr>
        <w:ind w:firstLine="480"/>
        <w:rPr>
          <w:rFonts w:ascii="Times New Roman" w:hAnsi="Times New Roman"/>
        </w:rPr>
      </w:pPr>
      <w:r>
        <w:rPr>
          <w:rFonts w:ascii="Times New Roman" w:hAnsi="Times New Roman"/>
        </w:rPr>
        <w:t>项目运营期产生的气田水依托渡口河天然气净化厂气田水处理装置处理，满足《碎屑岩油藏注水水质推荐指标及分析方法》（SY/T5329-2012）相应的水质指标（见</w:t>
      </w:r>
      <w:r>
        <w:rPr>
          <w:rFonts w:ascii="Times New Roman" w:hAnsi="Times New Roman"/>
        </w:rPr>
        <w:fldChar w:fldCharType="begin"/>
      </w:r>
      <w:r>
        <w:rPr>
          <w:rFonts w:ascii="Times New Roman" w:hAnsi="Times New Roman"/>
        </w:rPr>
        <w:instrText xml:space="preserve"> REF _Ref152233967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13</w:t>
      </w:r>
      <w:r>
        <w:rPr>
          <w:rFonts w:ascii="Times New Roman" w:hAnsi="Times New Roman"/>
        </w:rPr>
        <w:fldChar w:fldCharType="end"/>
      </w:r>
      <w:r>
        <w:rPr>
          <w:rFonts w:ascii="Times New Roman" w:hAnsi="Times New Roman"/>
        </w:rPr>
        <w:t>）后通过黄龙5井、或蒲西4井或黄龙2井回注。</w:t>
      </w:r>
    </w:p>
    <w:p>
      <w:pPr>
        <w:pStyle w:val="37"/>
        <w:rPr>
          <w:rFonts w:ascii="Times New Roman" w:hAnsi="Times New Roman" w:cs="Times New Roman"/>
        </w:rPr>
      </w:pPr>
      <w:bookmarkStart w:id="21" w:name="_Ref15223396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13</w:t>
      </w:r>
      <w:r>
        <w:rPr>
          <w:rFonts w:ascii="Times New Roman" w:hAnsi="Times New Roman" w:cs="Times New Roman"/>
        </w:rPr>
        <w:fldChar w:fldCharType="end"/>
      </w:r>
      <w:bookmarkEnd w:id="21"/>
      <w:r>
        <w:rPr>
          <w:rFonts w:ascii="Times New Roman" w:hAnsi="Times New Roman" w:cs="Times New Roman"/>
        </w:rPr>
        <w:t xml:space="preserve">  气田水回注推荐水质主要控制指标</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0" w:type="dxa"/>
          <w:bottom w:w="0" w:type="dxa"/>
          <w:right w:w="0" w:type="dxa"/>
        </w:tblCellMar>
      </w:tblPr>
      <w:tblGrid>
        <w:gridCol w:w="4428"/>
        <w:gridCol w:w="40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blHeader/>
          <w:jc w:val="center"/>
        </w:trPr>
        <w:tc>
          <w:tcPr>
            <w:tcW w:w="2598" w:type="pct"/>
            <w:shd w:val="clear" w:color="auto" w:fill="FFFFFF"/>
            <w:tcMar>
              <w:top w:w="15" w:type="dxa"/>
              <w:left w:w="108" w:type="dxa"/>
              <w:bottom w:w="0" w:type="dxa"/>
              <w:right w:w="108" w:type="dxa"/>
            </w:tcMar>
            <w:vAlign w:val="center"/>
          </w:tcPr>
          <w:p>
            <w:pPr>
              <w:pStyle w:val="39"/>
              <w:rPr>
                <w:rFonts w:ascii="Times New Roman" w:hAnsi="Times New Roman"/>
              </w:rPr>
            </w:pPr>
            <w:r>
              <w:rPr>
                <w:rFonts w:ascii="Times New Roman" w:hAnsi="Times New Roman"/>
              </w:rPr>
              <w:t>含油量，mg/L</w:t>
            </w:r>
          </w:p>
        </w:tc>
        <w:tc>
          <w:tcPr>
            <w:tcW w:w="2401" w:type="pct"/>
            <w:shd w:val="clear" w:color="auto" w:fill="FFFFFF"/>
            <w:tcMar>
              <w:top w:w="15" w:type="dxa"/>
              <w:left w:w="108" w:type="dxa"/>
              <w:bottom w:w="0" w:type="dxa"/>
              <w:right w:w="108" w:type="dxa"/>
            </w:tcMar>
            <w:vAlign w:val="center"/>
          </w:tcPr>
          <w:p>
            <w:pPr>
              <w:pStyle w:val="39"/>
              <w:rPr>
                <w:rFonts w:ascii="Times New Roman" w:hAnsi="Times New Roman"/>
              </w:rPr>
            </w:pPr>
            <w:r>
              <w:rPr>
                <w:rFonts w:ascii="Times New Roman" w:hAnsi="Times New Roma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598" w:type="pct"/>
            <w:shd w:val="clear" w:color="auto" w:fill="FFFFFF"/>
            <w:tcMar>
              <w:top w:w="15" w:type="dxa"/>
              <w:left w:w="108" w:type="dxa"/>
              <w:bottom w:w="0" w:type="dxa"/>
              <w:right w:w="108" w:type="dxa"/>
            </w:tcMar>
            <w:vAlign w:val="center"/>
          </w:tcPr>
          <w:p>
            <w:pPr>
              <w:pStyle w:val="39"/>
              <w:rPr>
                <w:rFonts w:ascii="Times New Roman" w:hAnsi="Times New Roman"/>
              </w:rPr>
            </w:pPr>
            <w:r>
              <w:rPr>
                <w:rFonts w:ascii="Times New Roman" w:hAnsi="Times New Roman"/>
              </w:rPr>
              <w:t>悬浮物颗粒直径中值，μm</w:t>
            </w:r>
          </w:p>
        </w:tc>
        <w:tc>
          <w:tcPr>
            <w:tcW w:w="2401" w:type="pct"/>
            <w:shd w:val="clear" w:color="auto" w:fill="FFFFFF"/>
            <w:tcMar>
              <w:top w:w="15" w:type="dxa"/>
              <w:left w:w="108" w:type="dxa"/>
              <w:bottom w:w="0" w:type="dxa"/>
              <w:right w:w="108" w:type="dxa"/>
            </w:tcMar>
            <w:vAlign w:val="center"/>
          </w:tcPr>
          <w:p>
            <w:pPr>
              <w:pStyle w:val="39"/>
              <w:rPr>
                <w:rFonts w:ascii="Times New Roman" w:hAnsi="Times New Roman"/>
              </w:rPr>
            </w:pPr>
            <w:r>
              <w:rPr>
                <w:rFonts w:ascii="Times New Roman" w:hAnsi="Times New Roma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598" w:type="pct"/>
            <w:shd w:val="clear" w:color="auto" w:fill="FFFFFF"/>
            <w:tcMar>
              <w:top w:w="15" w:type="dxa"/>
              <w:left w:w="108" w:type="dxa"/>
              <w:bottom w:w="0" w:type="dxa"/>
              <w:right w:w="108" w:type="dxa"/>
            </w:tcMar>
            <w:vAlign w:val="center"/>
          </w:tcPr>
          <w:p>
            <w:pPr>
              <w:pStyle w:val="39"/>
              <w:rPr>
                <w:rFonts w:ascii="Times New Roman" w:hAnsi="Times New Roman"/>
              </w:rPr>
            </w:pPr>
            <w:r>
              <w:rPr>
                <w:rFonts w:ascii="Times New Roman" w:hAnsi="Times New Roman"/>
              </w:rPr>
              <w:t>悬浮物固体含量，mg/L</w:t>
            </w:r>
          </w:p>
        </w:tc>
        <w:tc>
          <w:tcPr>
            <w:tcW w:w="2401" w:type="pct"/>
            <w:shd w:val="clear" w:color="auto" w:fill="FFFFFF"/>
            <w:tcMar>
              <w:top w:w="15" w:type="dxa"/>
              <w:left w:w="108" w:type="dxa"/>
              <w:bottom w:w="0" w:type="dxa"/>
              <w:right w:w="108" w:type="dxa"/>
            </w:tcMar>
            <w:vAlign w:val="center"/>
          </w:tcPr>
          <w:p>
            <w:pPr>
              <w:pStyle w:val="39"/>
              <w:rPr>
                <w:rFonts w:ascii="Times New Roman" w:hAnsi="Times New Roman"/>
              </w:rPr>
            </w:pPr>
            <w:r>
              <w:rPr>
                <w:rFonts w:ascii="Times New Roman" w:hAnsi="Times New Roma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598" w:type="pct"/>
            <w:shd w:val="clear" w:color="auto" w:fill="FFFFFF"/>
            <w:tcMar>
              <w:top w:w="15" w:type="dxa"/>
              <w:left w:w="108" w:type="dxa"/>
              <w:bottom w:w="0" w:type="dxa"/>
              <w:right w:w="108" w:type="dxa"/>
            </w:tcMar>
            <w:vAlign w:val="center"/>
          </w:tcPr>
          <w:p>
            <w:pPr>
              <w:pStyle w:val="39"/>
              <w:rPr>
                <w:rFonts w:ascii="Times New Roman" w:hAnsi="Times New Roman"/>
              </w:rPr>
            </w:pPr>
            <w:r>
              <w:rPr>
                <w:rFonts w:ascii="Times New Roman" w:hAnsi="Times New Roman"/>
              </w:rPr>
              <w:t>腐生菌（TGB），个/mL</w:t>
            </w:r>
          </w:p>
        </w:tc>
        <w:tc>
          <w:tcPr>
            <w:tcW w:w="2401" w:type="pct"/>
            <w:shd w:val="clear" w:color="auto" w:fill="FFFFFF"/>
            <w:tcMar>
              <w:top w:w="15" w:type="dxa"/>
              <w:left w:w="108" w:type="dxa"/>
              <w:bottom w:w="0" w:type="dxa"/>
              <w:right w:w="108" w:type="dxa"/>
            </w:tcMar>
            <w:vAlign w:val="center"/>
          </w:tcPr>
          <w:p>
            <w:pPr>
              <w:pStyle w:val="39"/>
              <w:rPr>
                <w:rFonts w:ascii="Times New Roman" w:hAnsi="Times New Roman"/>
              </w:rPr>
            </w:pPr>
            <w:r>
              <w:rPr>
                <w:rFonts w:ascii="Times New Roman" w:hAnsi="Times New Roman"/>
              </w:rPr>
              <w:t>n×10</w:t>
            </w:r>
            <w:r>
              <w:rPr>
                <w:rFonts w:ascii="Times New Roman" w:hAnsi="Times New Roman"/>
                <w:vertAlign w:val="superscript"/>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598" w:type="pct"/>
            <w:shd w:val="clear" w:color="auto" w:fill="FFFFFF"/>
            <w:tcMar>
              <w:top w:w="15" w:type="dxa"/>
              <w:left w:w="108" w:type="dxa"/>
              <w:bottom w:w="0" w:type="dxa"/>
              <w:right w:w="108" w:type="dxa"/>
            </w:tcMar>
            <w:vAlign w:val="center"/>
          </w:tcPr>
          <w:p>
            <w:pPr>
              <w:pStyle w:val="39"/>
              <w:rPr>
                <w:rFonts w:ascii="Times New Roman" w:hAnsi="Times New Roman"/>
              </w:rPr>
            </w:pPr>
            <w:r>
              <w:rPr>
                <w:rFonts w:ascii="Times New Roman" w:hAnsi="Times New Roman"/>
              </w:rPr>
              <w:t>铁细菌（IB）*，个/mL</w:t>
            </w:r>
          </w:p>
        </w:tc>
        <w:tc>
          <w:tcPr>
            <w:tcW w:w="2401" w:type="pct"/>
            <w:shd w:val="clear" w:color="auto" w:fill="FFFFFF"/>
            <w:tcMar>
              <w:top w:w="15" w:type="dxa"/>
              <w:left w:w="108" w:type="dxa"/>
              <w:bottom w:w="0" w:type="dxa"/>
              <w:right w:w="108" w:type="dxa"/>
            </w:tcMar>
            <w:vAlign w:val="center"/>
          </w:tcPr>
          <w:p>
            <w:pPr>
              <w:pStyle w:val="39"/>
              <w:rPr>
                <w:rFonts w:ascii="Times New Roman" w:hAnsi="Times New Roman"/>
              </w:rPr>
            </w:pPr>
            <w:r>
              <w:rPr>
                <w:rFonts w:ascii="Times New Roman" w:hAnsi="Times New Roman"/>
              </w:rPr>
              <w:t>n×10</w:t>
            </w:r>
            <w:r>
              <w:rPr>
                <w:rFonts w:ascii="Times New Roman" w:hAnsi="Times New Roman"/>
                <w:vertAlign w:val="superscript"/>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598" w:type="pct"/>
            <w:shd w:val="clear" w:color="auto" w:fill="FFFFFF"/>
            <w:tcMar>
              <w:top w:w="15" w:type="dxa"/>
              <w:left w:w="108" w:type="dxa"/>
              <w:bottom w:w="0" w:type="dxa"/>
              <w:right w:w="108" w:type="dxa"/>
            </w:tcMar>
            <w:vAlign w:val="center"/>
          </w:tcPr>
          <w:p>
            <w:pPr>
              <w:pStyle w:val="39"/>
              <w:rPr>
                <w:rFonts w:ascii="Times New Roman" w:hAnsi="Times New Roman"/>
              </w:rPr>
            </w:pPr>
            <w:r>
              <w:rPr>
                <w:rFonts w:ascii="Times New Roman" w:hAnsi="Times New Roman"/>
              </w:rPr>
              <w:t>硫酸盐还原菌（SRB）*，个/mL</w:t>
            </w:r>
          </w:p>
        </w:tc>
        <w:tc>
          <w:tcPr>
            <w:tcW w:w="2401" w:type="pct"/>
            <w:shd w:val="clear" w:color="auto" w:fill="FFFFFF"/>
            <w:tcMar>
              <w:top w:w="15" w:type="dxa"/>
              <w:left w:w="108" w:type="dxa"/>
              <w:bottom w:w="0" w:type="dxa"/>
              <w:right w:w="108" w:type="dxa"/>
            </w:tcMar>
            <w:vAlign w:val="center"/>
          </w:tcPr>
          <w:p>
            <w:pPr>
              <w:pStyle w:val="39"/>
              <w:rPr>
                <w:rFonts w:ascii="Times New Roman" w:hAnsi="Times New Roman"/>
              </w:rPr>
            </w:pPr>
            <w:r>
              <w:rPr>
                <w:rFonts w:ascii="Times New Roman" w:hAnsi="Times New Roma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0" w:type="pct"/>
            <w:gridSpan w:val="2"/>
            <w:shd w:val="clear" w:color="auto" w:fill="FFFFFF"/>
            <w:tcMar>
              <w:top w:w="15" w:type="dxa"/>
              <w:left w:w="108" w:type="dxa"/>
              <w:bottom w:w="0" w:type="dxa"/>
              <w:right w:w="108" w:type="dxa"/>
            </w:tcMar>
            <w:vAlign w:val="center"/>
          </w:tcPr>
          <w:p>
            <w:pPr>
              <w:pStyle w:val="39"/>
              <w:jc w:val="left"/>
              <w:rPr>
                <w:rFonts w:ascii="Times New Roman" w:hAnsi="Times New Roman"/>
              </w:rPr>
            </w:pPr>
            <w:r>
              <w:rPr>
                <w:rFonts w:ascii="Times New Roman" w:hAnsi="Times New Roman"/>
              </w:rPr>
              <w:t>注：1. 1＜n＜10；</w:t>
            </w:r>
          </w:p>
          <w:p>
            <w:pPr>
              <w:pStyle w:val="39"/>
              <w:jc w:val="left"/>
              <w:rPr>
                <w:rFonts w:ascii="Times New Roman" w:hAnsi="Times New Roman"/>
              </w:rPr>
            </w:pPr>
            <w:r>
              <w:rPr>
                <w:rFonts w:ascii="Times New Roman" w:hAnsi="Times New Roman"/>
              </w:rPr>
              <w:t>2.清水水质指标中去掉含油量。</w:t>
            </w:r>
          </w:p>
        </w:tc>
      </w:tr>
    </w:tbl>
    <w:p>
      <w:pPr>
        <w:pStyle w:val="5"/>
        <w:rPr>
          <w:rFonts w:ascii="Times New Roman" w:hAnsi="Times New Roman"/>
        </w:rPr>
      </w:pPr>
      <w:r>
        <w:rPr>
          <w:rFonts w:ascii="Times New Roman" w:hAnsi="Times New Roman"/>
        </w:rPr>
        <w:t>噪声</w:t>
      </w:r>
    </w:p>
    <w:p>
      <w:pPr>
        <w:ind w:firstLine="480"/>
        <w:rPr>
          <w:rFonts w:ascii="Times New Roman" w:hAnsi="Times New Roman"/>
        </w:rPr>
      </w:pPr>
      <w:r>
        <w:rPr>
          <w:rFonts w:ascii="Times New Roman" w:hAnsi="Times New Roman"/>
        </w:rPr>
        <w:t>（1）施工期：作业场界噪声执行《建筑施工场界环境噪声排放标准》（GB12523-2011）。</w:t>
      </w:r>
    </w:p>
    <w:p>
      <w:pPr>
        <w:ind w:firstLine="480"/>
        <w:rPr>
          <w:rFonts w:ascii="Times New Roman" w:hAnsi="Times New Roman"/>
        </w:rPr>
      </w:pPr>
      <w:r>
        <w:rPr>
          <w:rFonts w:ascii="Times New Roman" w:hAnsi="Times New Roman"/>
        </w:rPr>
        <w:t>（2）运营期：厂界噪声执行《工业企业厂界环境噪声排放标准》 (GB12348-2008)中的 2类标准，具体标准值详见</w:t>
      </w:r>
      <w:r>
        <w:rPr>
          <w:rFonts w:ascii="Times New Roman" w:hAnsi="Times New Roman"/>
        </w:rPr>
        <w:fldChar w:fldCharType="begin"/>
      </w:r>
      <w:r>
        <w:rPr>
          <w:rFonts w:ascii="Times New Roman" w:hAnsi="Times New Roman"/>
        </w:rPr>
        <w:instrText xml:space="preserve"> REF _Ref151371991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14</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22" w:name="_Ref15137199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14</w:t>
      </w:r>
      <w:r>
        <w:rPr>
          <w:rFonts w:ascii="Times New Roman" w:hAnsi="Times New Roman" w:cs="Times New Roman"/>
        </w:rPr>
        <w:fldChar w:fldCharType="end"/>
      </w:r>
      <w:bookmarkEnd w:id="22"/>
      <w:r>
        <w:rPr>
          <w:rFonts w:ascii="Times New Roman" w:hAnsi="Times New Roman" w:cs="Times New Roman"/>
        </w:rPr>
        <w:t xml:space="preserve">  噪声排放标准限值</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7"/>
        <w:gridCol w:w="1589"/>
        <w:gridCol w:w="1647"/>
        <w:gridCol w:w="1647"/>
        <w:gridCol w:w="1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7" w:type="dxa"/>
            <w:vMerge w:val="restart"/>
          </w:tcPr>
          <w:p>
            <w:pPr>
              <w:pStyle w:val="39"/>
              <w:rPr>
                <w:rFonts w:ascii="Times New Roman" w:hAnsi="Times New Roman"/>
              </w:rPr>
            </w:pPr>
            <w:r>
              <w:rPr>
                <w:rFonts w:ascii="Times New Roman" w:hAnsi="Times New Roman"/>
              </w:rPr>
              <w:t>时段</w:t>
            </w:r>
          </w:p>
        </w:tc>
        <w:tc>
          <w:tcPr>
            <w:tcW w:w="1589" w:type="dxa"/>
            <w:vMerge w:val="restart"/>
          </w:tcPr>
          <w:p>
            <w:pPr>
              <w:pStyle w:val="39"/>
              <w:rPr>
                <w:rFonts w:ascii="Times New Roman" w:hAnsi="Times New Roman"/>
              </w:rPr>
            </w:pPr>
            <w:r>
              <w:rPr>
                <w:rFonts w:ascii="Times New Roman" w:hAnsi="Times New Roman"/>
              </w:rPr>
              <w:t>控制类别</w:t>
            </w:r>
          </w:p>
        </w:tc>
        <w:tc>
          <w:tcPr>
            <w:tcW w:w="3294" w:type="dxa"/>
            <w:gridSpan w:val="2"/>
          </w:tcPr>
          <w:p>
            <w:pPr>
              <w:pStyle w:val="39"/>
              <w:rPr>
                <w:rFonts w:ascii="Times New Roman" w:hAnsi="Times New Roman"/>
              </w:rPr>
            </w:pPr>
            <w:r>
              <w:rPr>
                <w:rFonts w:ascii="Times New Roman" w:hAnsi="Times New Roman"/>
              </w:rPr>
              <w:t>标准限值，dB（A）</w:t>
            </w:r>
          </w:p>
        </w:tc>
        <w:tc>
          <w:tcPr>
            <w:tcW w:w="1992" w:type="dxa"/>
            <w:vMerge w:val="restart"/>
          </w:tcPr>
          <w:p>
            <w:pPr>
              <w:pStyle w:val="39"/>
              <w:rPr>
                <w:rFonts w:ascii="Times New Roman" w:hAnsi="Times New Roman"/>
              </w:rPr>
            </w:pPr>
            <w:r>
              <w:rPr>
                <w:rFonts w:ascii="Times New Roman" w:hAnsi="Times New Roman"/>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7" w:type="dxa"/>
            <w:vMerge w:val="continue"/>
          </w:tcPr>
          <w:p>
            <w:pPr>
              <w:pStyle w:val="39"/>
              <w:rPr>
                <w:rFonts w:ascii="Times New Roman" w:hAnsi="Times New Roman"/>
              </w:rPr>
            </w:pPr>
          </w:p>
        </w:tc>
        <w:tc>
          <w:tcPr>
            <w:tcW w:w="1589" w:type="dxa"/>
            <w:vMerge w:val="continue"/>
          </w:tcPr>
          <w:p>
            <w:pPr>
              <w:pStyle w:val="39"/>
              <w:rPr>
                <w:rFonts w:ascii="Times New Roman" w:hAnsi="Times New Roman"/>
              </w:rPr>
            </w:pPr>
          </w:p>
        </w:tc>
        <w:tc>
          <w:tcPr>
            <w:tcW w:w="1647" w:type="dxa"/>
          </w:tcPr>
          <w:p>
            <w:pPr>
              <w:pStyle w:val="39"/>
              <w:rPr>
                <w:rFonts w:ascii="Times New Roman" w:hAnsi="Times New Roman"/>
              </w:rPr>
            </w:pPr>
            <w:r>
              <w:rPr>
                <w:rFonts w:ascii="Times New Roman" w:hAnsi="Times New Roman"/>
              </w:rPr>
              <w:t>昼间</w:t>
            </w:r>
          </w:p>
        </w:tc>
        <w:tc>
          <w:tcPr>
            <w:tcW w:w="1647" w:type="dxa"/>
          </w:tcPr>
          <w:p>
            <w:pPr>
              <w:pStyle w:val="39"/>
              <w:rPr>
                <w:rFonts w:ascii="Times New Roman" w:hAnsi="Times New Roman"/>
              </w:rPr>
            </w:pPr>
            <w:r>
              <w:rPr>
                <w:rFonts w:ascii="Times New Roman" w:hAnsi="Times New Roman"/>
              </w:rPr>
              <w:t>夜间</w:t>
            </w:r>
          </w:p>
        </w:tc>
        <w:tc>
          <w:tcPr>
            <w:tcW w:w="1992" w:type="dxa"/>
            <w:vMerge w:val="continue"/>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7" w:type="dxa"/>
          </w:tcPr>
          <w:p>
            <w:pPr>
              <w:pStyle w:val="39"/>
              <w:rPr>
                <w:rFonts w:ascii="Times New Roman" w:hAnsi="Times New Roman"/>
              </w:rPr>
            </w:pPr>
            <w:r>
              <w:rPr>
                <w:rFonts w:ascii="Times New Roman" w:hAnsi="Times New Roman"/>
              </w:rPr>
              <w:t>施工期</w:t>
            </w:r>
          </w:p>
        </w:tc>
        <w:tc>
          <w:tcPr>
            <w:tcW w:w="1589" w:type="dxa"/>
          </w:tcPr>
          <w:p>
            <w:pPr>
              <w:pStyle w:val="39"/>
              <w:rPr>
                <w:rFonts w:ascii="Times New Roman" w:hAnsi="Times New Roman"/>
              </w:rPr>
            </w:pPr>
            <w:r>
              <w:rPr>
                <w:rFonts w:ascii="Times New Roman" w:hAnsi="Times New Roman"/>
              </w:rPr>
              <w:t>/</w:t>
            </w:r>
          </w:p>
        </w:tc>
        <w:tc>
          <w:tcPr>
            <w:tcW w:w="1647" w:type="dxa"/>
          </w:tcPr>
          <w:p>
            <w:pPr>
              <w:pStyle w:val="39"/>
              <w:rPr>
                <w:rFonts w:ascii="Times New Roman" w:hAnsi="Times New Roman"/>
              </w:rPr>
            </w:pPr>
            <w:r>
              <w:rPr>
                <w:rFonts w:ascii="Times New Roman" w:hAnsi="Times New Roman"/>
              </w:rPr>
              <w:t>70</w:t>
            </w:r>
          </w:p>
        </w:tc>
        <w:tc>
          <w:tcPr>
            <w:tcW w:w="1647" w:type="dxa"/>
          </w:tcPr>
          <w:p>
            <w:pPr>
              <w:pStyle w:val="39"/>
              <w:rPr>
                <w:rFonts w:ascii="Times New Roman" w:hAnsi="Times New Roman"/>
              </w:rPr>
            </w:pPr>
            <w:r>
              <w:rPr>
                <w:rFonts w:ascii="Times New Roman" w:hAnsi="Times New Roman"/>
              </w:rPr>
              <w:t>55</w:t>
            </w:r>
          </w:p>
        </w:tc>
        <w:tc>
          <w:tcPr>
            <w:tcW w:w="1992" w:type="dxa"/>
          </w:tcPr>
          <w:p>
            <w:pPr>
              <w:pStyle w:val="39"/>
              <w:rPr>
                <w:rFonts w:ascii="Times New Roman" w:hAnsi="Times New Roman"/>
              </w:rPr>
            </w:pPr>
            <w:r>
              <w:rPr>
                <w:rFonts w:ascii="Times New Roman" w:hAnsi="Times New Roman"/>
              </w:rPr>
              <w:t>GB12523-2011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7" w:type="dxa"/>
          </w:tcPr>
          <w:p>
            <w:pPr>
              <w:pStyle w:val="39"/>
              <w:rPr>
                <w:rFonts w:ascii="Times New Roman" w:hAnsi="Times New Roman"/>
              </w:rPr>
            </w:pPr>
            <w:r>
              <w:rPr>
                <w:rFonts w:ascii="Times New Roman" w:hAnsi="Times New Roman"/>
              </w:rPr>
              <w:t>运营期</w:t>
            </w:r>
          </w:p>
        </w:tc>
        <w:tc>
          <w:tcPr>
            <w:tcW w:w="1589" w:type="dxa"/>
          </w:tcPr>
          <w:p>
            <w:pPr>
              <w:pStyle w:val="39"/>
              <w:rPr>
                <w:rFonts w:ascii="Times New Roman" w:hAnsi="Times New Roman"/>
              </w:rPr>
            </w:pPr>
            <w:r>
              <w:rPr>
                <w:rFonts w:ascii="Times New Roman" w:hAnsi="Times New Roman"/>
              </w:rPr>
              <w:t>2</w:t>
            </w:r>
          </w:p>
        </w:tc>
        <w:tc>
          <w:tcPr>
            <w:tcW w:w="1647" w:type="dxa"/>
          </w:tcPr>
          <w:p>
            <w:pPr>
              <w:pStyle w:val="39"/>
              <w:rPr>
                <w:rFonts w:ascii="Times New Roman" w:hAnsi="Times New Roman"/>
              </w:rPr>
            </w:pPr>
            <w:r>
              <w:rPr>
                <w:rFonts w:ascii="Times New Roman" w:hAnsi="Times New Roman"/>
              </w:rPr>
              <w:t>60</w:t>
            </w:r>
          </w:p>
        </w:tc>
        <w:tc>
          <w:tcPr>
            <w:tcW w:w="1647" w:type="dxa"/>
          </w:tcPr>
          <w:p>
            <w:pPr>
              <w:pStyle w:val="39"/>
              <w:rPr>
                <w:rFonts w:ascii="Times New Roman" w:hAnsi="Times New Roman"/>
              </w:rPr>
            </w:pPr>
            <w:r>
              <w:rPr>
                <w:rFonts w:ascii="Times New Roman" w:hAnsi="Times New Roman"/>
              </w:rPr>
              <w:t>50</w:t>
            </w:r>
          </w:p>
        </w:tc>
        <w:tc>
          <w:tcPr>
            <w:tcW w:w="1992" w:type="dxa"/>
          </w:tcPr>
          <w:p>
            <w:pPr>
              <w:pStyle w:val="39"/>
              <w:rPr>
                <w:rFonts w:ascii="Times New Roman" w:hAnsi="Times New Roman"/>
              </w:rPr>
            </w:pPr>
            <w:r>
              <w:rPr>
                <w:rFonts w:ascii="Times New Roman" w:hAnsi="Times New Roman"/>
              </w:rPr>
              <w:t>GB12348-2008</w:t>
            </w:r>
          </w:p>
        </w:tc>
      </w:tr>
    </w:tbl>
    <w:p>
      <w:pPr>
        <w:pStyle w:val="5"/>
        <w:rPr>
          <w:rFonts w:ascii="Times New Roman" w:hAnsi="Times New Roman"/>
        </w:rPr>
      </w:pPr>
      <w:r>
        <w:rPr>
          <w:rFonts w:ascii="Times New Roman" w:hAnsi="Times New Roman"/>
        </w:rPr>
        <w:t>固体废物</w:t>
      </w:r>
    </w:p>
    <w:p>
      <w:pPr>
        <w:ind w:firstLine="480"/>
        <w:rPr>
          <w:rFonts w:ascii="Times New Roman" w:hAnsi="Times New Roman"/>
        </w:rPr>
      </w:pPr>
      <w:r>
        <w:rPr>
          <w:rFonts w:ascii="Times New Roman" w:hAnsi="Times New Roman"/>
        </w:rPr>
        <w:t>项目排放的工业固体废物包括一般工业固体废物和危险废物。</w:t>
      </w:r>
    </w:p>
    <w:p>
      <w:pPr>
        <w:ind w:firstLine="480"/>
        <w:rPr>
          <w:rFonts w:ascii="Times New Roman" w:hAnsi="Times New Roman"/>
        </w:rPr>
      </w:pPr>
      <w:r>
        <w:rPr>
          <w:rFonts w:ascii="Times New Roman" w:hAnsi="Times New Roman"/>
        </w:rPr>
        <w:t>一般工业固体废物的处理/处置执行《一般工业固体废物贮存和填埋污染控制标准》（GB18599-2020）。</w:t>
      </w:r>
    </w:p>
    <w:p>
      <w:pPr>
        <w:ind w:firstLine="480"/>
        <w:rPr>
          <w:rFonts w:ascii="Times New Roman" w:hAnsi="Times New Roman"/>
        </w:rPr>
      </w:pPr>
      <w:r>
        <w:rPr>
          <w:rFonts w:ascii="Times New Roman" w:hAnsi="Times New Roman"/>
        </w:rPr>
        <w:t>危险废物按照《国家危险废物名录》（2021年版）和《危险废物鉴别 通则》（GB5085-2019）进行分类、辨识；危险废物的处理、处置执行《危险废物贮存污染控制标准》（GB18597-2023）、《危险废物环境管理指南 陆上石油天然气开采</w:t>
      </w:r>
      <w:r>
        <w:rPr>
          <w:rFonts w:hint="eastAsia" w:ascii="Times New Roman" w:hAnsi="Times New Roman"/>
          <w:lang w:eastAsia="zh-CN"/>
        </w:rPr>
        <w:t>》《</w:t>
      </w:r>
      <w:r>
        <w:rPr>
          <w:rFonts w:ascii="Times New Roman" w:hAnsi="Times New Roman"/>
        </w:rPr>
        <w:t>危险废物收集 贮存 运输技术规范》（HJ2025-2012）等的要求。</w:t>
      </w:r>
    </w:p>
    <w:p>
      <w:pPr>
        <w:pStyle w:val="3"/>
        <w:rPr>
          <w:rFonts w:ascii="Times New Roman" w:hAnsi="Times New Roman" w:cs="Times New Roman"/>
        </w:rPr>
      </w:pPr>
      <w:bookmarkStart w:id="23" w:name="_Toc162339387"/>
      <w:r>
        <w:rPr>
          <w:rFonts w:ascii="Times New Roman" w:hAnsi="Times New Roman" w:cs="Times New Roman"/>
        </w:rPr>
        <w:t>评价等级和评价范围</w:t>
      </w:r>
      <w:bookmarkEnd w:id="23"/>
    </w:p>
    <w:p>
      <w:pPr>
        <w:pStyle w:val="4"/>
        <w:rPr>
          <w:rFonts w:ascii="Times New Roman" w:hAnsi="Times New Roman" w:cs="Times New Roman"/>
        </w:rPr>
      </w:pPr>
      <w:r>
        <w:rPr>
          <w:rFonts w:ascii="Times New Roman" w:hAnsi="Times New Roman" w:cs="Times New Roman"/>
        </w:rPr>
        <w:t>大气环境</w:t>
      </w:r>
    </w:p>
    <w:p>
      <w:pPr>
        <w:pStyle w:val="5"/>
        <w:rPr>
          <w:rFonts w:ascii="Times New Roman" w:hAnsi="Times New Roman"/>
        </w:rPr>
      </w:pPr>
      <w:r>
        <w:rPr>
          <w:rFonts w:ascii="Times New Roman" w:hAnsi="Times New Roman"/>
        </w:rPr>
        <w:t>评价等级</w:t>
      </w:r>
    </w:p>
    <w:p>
      <w:pPr>
        <w:ind w:firstLine="480"/>
        <w:rPr>
          <w:rFonts w:ascii="Times New Roman" w:hAnsi="Times New Roman"/>
        </w:rPr>
      </w:pPr>
      <w:r>
        <w:rPr>
          <w:rFonts w:ascii="Times New Roman" w:hAnsi="Times New Roman"/>
        </w:rPr>
        <w:t>根据《环境影响评价技术导则 大气环境》（HJ2.2-2018），选择推荐模式中的AERSCREEN估算模式对项目的大气环境影响评价工作进行分级，估算模式选项见</w:t>
      </w:r>
      <w:r>
        <w:rPr>
          <w:rFonts w:ascii="Times New Roman" w:hAnsi="Times New Roman"/>
        </w:rPr>
        <w:fldChar w:fldCharType="begin"/>
      </w:r>
      <w:r>
        <w:rPr>
          <w:rFonts w:ascii="Times New Roman" w:hAnsi="Times New Roman"/>
        </w:rPr>
        <w:instrText xml:space="preserve"> REF _Ref20210038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15</w:t>
      </w:r>
      <w:r>
        <w:rPr>
          <w:rFonts w:ascii="Times New Roman" w:hAnsi="Times New Roman"/>
        </w:rPr>
        <w:fldChar w:fldCharType="end"/>
      </w:r>
      <w:r>
        <w:rPr>
          <w:rFonts w:ascii="Times New Roman" w:hAnsi="Times New Roman"/>
        </w:rPr>
        <w:t>。根据项目周边范围内土地利用及建设项目分布情况，其中宣兴1井站周边3km范围内约97.5%的面积为林地及农田，宣探1井站周边3km范围内约97%的面积为林地及农田，土地利用类型判断为农村。</w:t>
      </w:r>
    </w:p>
    <w:p>
      <w:pPr>
        <w:pStyle w:val="37"/>
        <w:rPr>
          <w:rFonts w:ascii="Times New Roman" w:hAnsi="Times New Roman" w:cs="Times New Roman"/>
        </w:rPr>
      </w:pPr>
      <w:bookmarkStart w:id="24" w:name="_Ref20210038"/>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15</w:t>
      </w:r>
      <w:r>
        <w:rPr>
          <w:rFonts w:ascii="Times New Roman" w:hAnsi="Times New Roman" w:cs="Times New Roman"/>
        </w:rPr>
        <w:fldChar w:fldCharType="end"/>
      </w:r>
      <w:bookmarkEnd w:id="24"/>
      <w:r>
        <w:rPr>
          <w:rFonts w:ascii="Times New Roman" w:hAnsi="Times New Roman" w:cs="Times New Roman"/>
        </w:rPr>
        <w:t xml:space="preserve">  估算模式选项</w:t>
      </w:r>
    </w:p>
    <w:tbl>
      <w:tblPr>
        <w:tblStyle w:val="28"/>
        <w:tblW w:w="5000" w:type="pct"/>
        <w:jc w:val="center"/>
        <w:tblLayout w:type="autofit"/>
        <w:tblCellMar>
          <w:top w:w="0" w:type="dxa"/>
          <w:left w:w="108" w:type="dxa"/>
          <w:bottom w:w="0" w:type="dxa"/>
          <w:right w:w="108" w:type="dxa"/>
        </w:tblCellMar>
      </w:tblPr>
      <w:tblGrid>
        <w:gridCol w:w="2234"/>
        <w:gridCol w:w="4537"/>
        <w:gridCol w:w="1751"/>
      </w:tblGrid>
      <w:tr>
        <w:tblPrEx>
          <w:tblCellMar>
            <w:top w:w="0" w:type="dxa"/>
            <w:left w:w="108" w:type="dxa"/>
            <w:bottom w:w="0" w:type="dxa"/>
            <w:right w:w="108" w:type="dxa"/>
          </w:tblCellMar>
        </w:tblPrEx>
        <w:trPr>
          <w:jc w:val="center"/>
        </w:trPr>
        <w:tc>
          <w:tcPr>
            <w:tcW w:w="3973" w:type="pct"/>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参数</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取值</w:t>
            </w:r>
          </w:p>
        </w:tc>
      </w:tr>
      <w:tr>
        <w:tblPrEx>
          <w:tblCellMar>
            <w:top w:w="0" w:type="dxa"/>
            <w:left w:w="108" w:type="dxa"/>
            <w:bottom w:w="0" w:type="dxa"/>
            <w:right w:w="108" w:type="dxa"/>
          </w:tblCellMar>
        </w:tblPrEx>
        <w:trPr>
          <w:jc w:val="center"/>
        </w:trPr>
        <w:tc>
          <w:tcPr>
            <w:tcW w:w="1311" w:type="pct"/>
            <w:vMerge w:val="restar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城市/农村选项</w:t>
            </w:r>
          </w:p>
        </w:tc>
        <w:tc>
          <w:tcPr>
            <w:tcW w:w="2662"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城市/农村</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农村</w:t>
            </w:r>
          </w:p>
        </w:tc>
      </w:tr>
      <w:tr>
        <w:tblPrEx>
          <w:tblCellMar>
            <w:top w:w="0" w:type="dxa"/>
            <w:left w:w="108" w:type="dxa"/>
            <w:bottom w:w="0" w:type="dxa"/>
            <w:right w:w="108" w:type="dxa"/>
          </w:tblCellMar>
        </w:tblPrEx>
        <w:trPr>
          <w:jc w:val="center"/>
        </w:trPr>
        <w:tc>
          <w:tcPr>
            <w:tcW w:w="1311"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2662"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人口数（城市选项时）</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jc w:val="center"/>
        </w:trPr>
        <w:tc>
          <w:tcPr>
            <w:tcW w:w="3973" w:type="pct"/>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最高环境温度/℃</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41.3</w:t>
            </w:r>
          </w:p>
        </w:tc>
      </w:tr>
      <w:tr>
        <w:tblPrEx>
          <w:tblCellMar>
            <w:top w:w="0" w:type="dxa"/>
            <w:left w:w="108" w:type="dxa"/>
            <w:bottom w:w="0" w:type="dxa"/>
            <w:right w:w="108" w:type="dxa"/>
          </w:tblCellMar>
        </w:tblPrEx>
        <w:trPr>
          <w:jc w:val="center"/>
        </w:trPr>
        <w:tc>
          <w:tcPr>
            <w:tcW w:w="3973" w:type="pct"/>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最低环境温度/℃</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-5.3</w:t>
            </w:r>
          </w:p>
        </w:tc>
      </w:tr>
      <w:tr>
        <w:tblPrEx>
          <w:tblCellMar>
            <w:top w:w="0" w:type="dxa"/>
            <w:left w:w="108" w:type="dxa"/>
            <w:bottom w:w="0" w:type="dxa"/>
            <w:right w:w="108" w:type="dxa"/>
          </w:tblCellMar>
        </w:tblPrEx>
        <w:trPr>
          <w:jc w:val="center"/>
        </w:trPr>
        <w:tc>
          <w:tcPr>
            <w:tcW w:w="3973" w:type="pct"/>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土地利用类型</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针叶林</w:t>
            </w:r>
          </w:p>
        </w:tc>
      </w:tr>
      <w:tr>
        <w:tblPrEx>
          <w:tblCellMar>
            <w:top w:w="0" w:type="dxa"/>
            <w:left w:w="108" w:type="dxa"/>
            <w:bottom w:w="0" w:type="dxa"/>
            <w:right w:w="108" w:type="dxa"/>
          </w:tblCellMar>
        </w:tblPrEx>
        <w:trPr>
          <w:jc w:val="center"/>
        </w:trPr>
        <w:tc>
          <w:tcPr>
            <w:tcW w:w="3973" w:type="pct"/>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区域湿度条件</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潮湿</w:t>
            </w:r>
          </w:p>
        </w:tc>
      </w:tr>
      <w:tr>
        <w:tblPrEx>
          <w:tblCellMar>
            <w:top w:w="0" w:type="dxa"/>
            <w:left w:w="108" w:type="dxa"/>
            <w:bottom w:w="0" w:type="dxa"/>
            <w:right w:w="108" w:type="dxa"/>
          </w:tblCellMar>
        </w:tblPrEx>
        <w:trPr>
          <w:jc w:val="center"/>
        </w:trPr>
        <w:tc>
          <w:tcPr>
            <w:tcW w:w="1311" w:type="pct"/>
            <w:vMerge w:val="restar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是否考虑地形</w:t>
            </w:r>
          </w:p>
        </w:tc>
        <w:tc>
          <w:tcPr>
            <w:tcW w:w="2662"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考虑地形</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sym w:font="Wingdings 2" w:char="F052"/>
            </w:r>
            <w:r>
              <w:rPr>
                <w:rFonts w:ascii="Times New Roman" w:hAnsi="Times New Roman"/>
              </w:rPr>
              <w:t xml:space="preserve">是  </w:t>
            </w:r>
            <w:r>
              <w:rPr>
                <w:rFonts w:ascii="Times New Roman" w:hAnsi="Times New Roman"/>
              </w:rPr>
              <w:sym w:font="Wingdings 2" w:char="F02A"/>
            </w:r>
            <w:r>
              <w:rPr>
                <w:rFonts w:ascii="Times New Roman" w:hAnsi="Times New Roman"/>
              </w:rPr>
              <w:t xml:space="preserve">否  </w:t>
            </w:r>
          </w:p>
        </w:tc>
      </w:tr>
      <w:tr>
        <w:tblPrEx>
          <w:tblCellMar>
            <w:top w:w="0" w:type="dxa"/>
            <w:left w:w="108" w:type="dxa"/>
            <w:bottom w:w="0" w:type="dxa"/>
            <w:right w:w="108" w:type="dxa"/>
          </w:tblCellMar>
        </w:tblPrEx>
        <w:trPr>
          <w:jc w:val="center"/>
        </w:trPr>
        <w:tc>
          <w:tcPr>
            <w:tcW w:w="1311"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2662"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地形数据分辨率/m</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30</w:t>
            </w:r>
          </w:p>
        </w:tc>
      </w:tr>
      <w:tr>
        <w:tblPrEx>
          <w:tblCellMar>
            <w:top w:w="0" w:type="dxa"/>
            <w:left w:w="108" w:type="dxa"/>
            <w:bottom w:w="0" w:type="dxa"/>
            <w:right w:w="108" w:type="dxa"/>
          </w:tblCellMar>
        </w:tblPrEx>
        <w:trPr>
          <w:jc w:val="center"/>
        </w:trPr>
        <w:tc>
          <w:tcPr>
            <w:tcW w:w="1311" w:type="pct"/>
            <w:vMerge w:val="restar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是否考虑岸线熏烟</w:t>
            </w:r>
          </w:p>
        </w:tc>
        <w:tc>
          <w:tcPr>
            <w:tcW w:w="2662"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考虑岸线熏烟</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sym w:font="Wingdings 2" w:char="F02A"/>
            </w:r>
            <w:r>
              <w:rPr>
                <w:rFonts w:ascii="Times New Roman" w:hAnsi="Times New Roman"/>
              </w:rPr>
              <w:t xml:space="preserve">是 </w:t>
            </w:r>
            <w:r>
              <w:rPr>
                <w:rFonts w:ascii="Times New Roman" w:hAnsi="Times New Roman"/>
              </w:rPr>
              <w:sym w:font="Wingdings 2" w:char="F052"/>
            </w:r>
            <w:r>
              <w:rPr>
                <w:rFonts w:ascii="Times New Roman" w:hAnsi="Times New Roman"/>
              </w:rPr>
              <w:t>否</w:t>
            </w:r>
          </w:p>
        </w:tc>
      </w:tr>
      <w:tr>
        <w:tblPrEx>
          <w:tblCellMar>
            <w:top w:w="0" w:type="dxa"/>
            <w:left w:w="108" w:type="dxa"/>
            <w:bottom w:w="0" w:type="dxa"/>
            <w:right w:w="108" w:type="dxa"/>
          </w:tblCellMar>
        </w:tblPrEx>
        <w:trPr>
          <w:jc w:val="center"/>
        </w:trPr>
        <w:tc>
          <w:tcPr>
            <w:tcW w:w="1311"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2662"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岸线距离/km</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jc w:val="center"/>
        </w:trPr>
        <w:tc>
          <w:tcPr>
            <w:tcW w:w="1311"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2662"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岸线方向/°</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w:t>
            </w:r>
          </w:p>
        </w:tc>
      </w:tr>
    </w:tbl>
    <w:p>
      <w:pPr>
        <w:ind w:firstLine="480"/>
        <w:rPr>
          <w:rFonts w:ascii="Times New Roman" w:hAnsi="Times New Roman"/>
        </w:rPr>
      </w:pPr>
      <w:r>
        <w:rPr>
          <w:rFonts w:ascii="Times New Roman" w:hAnsi="Times New Roman"/>
        </w:rPr>
        <w:t>根据工程分析，本项目大气污染物主要为各站场水套加热炉产生的废气，以及各站场动静密封点泄漏产生的废气。经过估算模式计算，本项目排放的污染物最大落地浓度及占标率为无组织排放的H</w:t>
      </w:r>
      <w:r>
        <w:rPr>
          <w:rFonts w:ascii="Times New Roman" w:hAnsi="Times New Roman"/>
          <w:vertAlign w:val="subscript"/>
        </w:rPr>
        <w:t>2</w:t>
      </w:r>
      <w:r>
        <w:rPr>
          <w:rFonts w:ascii="Times New Roman" w:hAnsi="Times New Roman"/>
        </w:rPr>
        <w:t>S，最大落地浓度占标率为8.88%，即1%≤P</w:t>
      </w:r>
      <w:r>
        <w:rPr>
          <w:rFonts w:ascii="Times New Roman" w:hAnsi="Times New Roman"/>
          <w:vertAlign w:val="subscript"/>
        </w:rPr>
        <w:t>max</w:t>
      </w:r>
      <w:r>
        <w:rPr>
          <w:rFonts w:ascii="Times New Roman" w:hAnsi="Times New Roman"/>
        </w:rPr>
        <w:t>＜10%，根据《环境影响评价技术导则 大气环境》（HJ2.2-2018）中表2，判定本项目评价等级为二级。</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16</w:t>
      </w:r>
      <w:r>
        <w:rPr>
          <w:rFonts w:ascii="Times New Roman" w:hAnsi="Times New Roman" w:cs="Times New Roman"/>
        </w:rPr>
        <w:fldChar w:fldCharType="end"/>
      </w:r>
      <w:r>
        <w:rPr>
          <w:rFonts w:ascii="Times New Roman" w:hAnsi="Times New Roman" w:cs="Times New Roman"/>
        </w:rPr>
        <w:t xml:space="preserve">  估算模式计算结果</w:t>
      </w:r>
    </w:p>
    <w:tbl>
      <w:tblPr>
        <w:tblStyle w:val="28"/>
        <w:tblW w:w="5000" w:type="pct"/>
        <w:tblInd w:w="0" w:type="dxa"/>
        <w:tblLayout w:type="autofit"/>
        <w:tblCellMar>
          <w:top w:w="0" w:type="dxa"/>
          <w:left w:w="108" w:type="dxa"/>
          <w:bottom w:w="0" w:type="dxa"/>
          <w:right w:w="108" w:type="dxa"/>
        </w:tblCellMar>
      </w:tblPr>
      <w:tblGrid>
        <w:gridCol w:w="1314"/>
        <w:gridCol w:w="1215"/>
        <w:gridCol w:w="1372"/>
        <w:gridCol w:w="1367"/>
        <w:gridCol w:w="1214"/>
        <w:gridCol w:w="1149"/>
        <w:gridCol w:w="891"/>
      </w:tblGrid>
      <w:tr>
        <w:tblPrEx>
          <w:tblCellMar>
            <w:top w:w="0" w:type="dxa"/>
            <w:left w:w="108" w:type="dxa"/>
            <w:bottom w:w="0" w:type="dxa"/>
            <w:right w:w="108" w:type="dxa"/>
          </w:tblCellMar>
        </w:tblPrEx>
        <w:trPr>
          <w:trHeight w:val="499" w:hRule="atLeast"/>
        </w:trPr>
        <w:tc>
          <w:tcPr>
            <w:tcW w:w="77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污染源</w:t>
            </w:r>
          </w:p>
        </w:tc>
        <w:tc>
          <w:tcPr>
            <w:tcW w:w="713" w:type="pct"/>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污染因子</w:t>
            </w:r>
          </w:p>
        </w:tc>
        <w:tc>
          <w:tcPr>
            <w:tcW w:w="805" w:type="pct"/>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最大落地浓度（μg/m</w:t>
            </w:r>
            <w:r>
              <w:rPr>
                <w:rFonts w:ascii="Times New Roman" w:hAnsi="Times New Roman"/>
                <w:vertAlign w:val="superscript"/>
              </w:rPr>
              <w:t>3</w:t>
            </w:r>
            <w:r>
              <w:rPr>
                <w:rFonts w:ascii="Times New Roman" w:hAnsi="Times New Roman"/>
              </w:rPr>
              <w:t>）</w:t>
            </w:r>
          </w:p>
        </w:tc>
        <w:tc>
          <w:tcPr>
            <w:tcW w:w="802" w:type="pct"/>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最大浓度落地点（m）</w:t>
            </w:r>
          </w:p>
        </w:tc>
        <w:tc>
          <w:tcPr>
            <w:tcW w:w="712" w:type="pct"/>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评价标准（μg/m</w:t>
            </w:r>
            <w:r>
              <w:rPr>
                <w:rFonts w:ascii="Times New Roman" w:hAnsi="Times New Roman"/>
                <w:vertAlign w:val="superscript"/>
              </w:rPr>
              <w:t>3</w:t>
            </w:r>
            <w:r>
              <w:rPr>
                <w:rFonts w:ascii="Times New Roman" w:hAnsi="Times New Roman"/>
              </w:rPr>
              <w:t>）</w:t>
            </w:r>
          </w:p>
        </w:tc>
        <w:tc>
          <w:tcPr>
            <w:tcW w:w="674" w:type="pct"/>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占标率（%）</w:t>
            </w:r>
          </w:p>
        </w:tc>
        <w:tc>
          <w:tcPr>
            <w:tcW w:w="523" w:type="pct"/>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D10%（m）</w:t>
            </w:r>
          </w:p>
        </w:tc>
      </w:tr>
      <w:tr>
        <w:tblPrEx>
          <w:tblCellMar>
            <w:top w:w="0" w:type="dxa"/>
            <w:left w:w="108" w:type="dxa"/>
            <w:bottom w:w="0" w:type="dxa"/>
            <w:right w:w="108" w:type="dxa"/>
          </w:tblCellMar>
        </w:tblPrEx>
        <w:trPr>
          <w:trHeight w:val="346" w:hRule="atLeast"/>
        </w:trPr>
        <w:tc>
          <w:tcPr>
            <w:tcW w:w="771" w:type="pct"/>
            <w:vMerge w:val="restart"/>
            <w:tcBorders>
              <w:top w:val="nil"/>
              <w:left w:val="single" w:color="auto" w:sz="4" w:space="0"/>
              <w:bottom w:val="single" w:color="000000"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宣探1井站水套加热炉排气筒</w:t>
            </w:r>
          </w:p>
        </w:tc>
        <w:tc>
          <w:tcPr>
            <w:tcW w:w="71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805"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0.068</w:t>
            </w:r>
          </w:p>
        </w:tc>
        <w:tc>
          <w:tcPr>
            <w:tcW w:w="8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15</w:t>
            </w:r>
          </w:p>
        </w:tc>
        <w:tc>
          <w:tcPr>
            <w:tcW w:w="71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500</w:t>
            </w:r>
          </w:p>
        </w:tc>
        <w:tc>
          <w:tcPr>
            <w:tcW w:w="674"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0.01</w:t>
            </w:r>
          </w:p>
        </w:tc>
        <w:tc>
          <w:tcPr>
            <w:tcW w:w="52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w:t>
            </w:r>
          </w:p>
        </w:tc>
      </w:tr>
      <w:tr>
        <w:tblPrEx>
          <w:tblCellMar>
            <w:top w:w="0" w:type="dxa"/>
            <w:left w:w="108" w:type="dxa"/>
            <w:bottom w:w="0" w:type="dxa"/>
            <w:right w:w="108" w:type="dxa"/>
          </w:tblCellMar>
        </w:tblPrEx>
        <w:trPr>
          <w:trHeight w:val="346" w:hRule="atLeast"/>
        </w:trPr>
        <w:tc>
          <w:tcPr>
            <w:tcW w:w="771" w:type="pct"/>
            <w:vMerge w:val="continue"/>
            <w:tcBorders>
              <w:top w:val="nil"/>
              <w:left w:val="single" w:color="auto" w:sz="4" w:space="0"/>
              <w:bottom w:val="single" w:color="000000" w:sz="4" w:space="0"/>
              <w:right w:val="single" w:color="auto" w:sz="4" w:space="0"/>
            </w:tcBorders>
            <w:vAlign w:val="center"/>
          </w:tcPr>
          <w:p>
            <w:pPr>
              <w:pStyle w:val="39"/>
              <w:rPr>
                <w:rFonts w:ascii="Times New Roman" w:hAnsi="Times New Roman"/>
              </w:rPr>
            </w:pPr>
          </w:p>
        </w:tc>
        <w:tc>
          <w:tcPr>
            <w:tcW w:w="71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NO</w:t>
            </w:r>
            <w:r>
              <w:rPr>
                <w:rFonts w:ascii="Times New Roman" w:hAnsi="Times New Roman"/>
                <w:vertAlign w:val="subscript"/>
              </w:rPr>
              <w:t>X</w:t>
            </w:r>
          </w:p>
        </w:tc>
        <w:tc>
          <w:tcPr>
            <w:tcW w:w="805"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2.677</w:t>
            </w:r>
          </w:p>
        </w:tc>
        <w:tc>
          <w:tcPr>
            <w:tcW w:w="8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15</w:t>
            </w:r>
          </w:p>
        </w:tc>
        <w:tc>
          <w:tcPr>
            <w:tcW w:w="71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250</w:t>
            </w:r>
          </w:p>
        </w:tc>
        <w:tc>
          <w:tcPr>
            <w:tcW w:w="674"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1.07</w:t>
            </w:r>
          </w:p>
        </w:tc>
        <w:tc>
          <w:tcPr>
            <w:tcW w:w="52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w:t>
            </w:r>
          </w:p>
        </w:tc>
      </w:tr>
      <w:tr>
        <w:tblPrEx>
          <w:tblCellMar>
            <w:top w:w="0" w:type="dxa"/>
            <w:left w:w="108" w:type="dxa"/>
            <w:bottom w:w="0" w:type="dxa"/>
            <w:right w:w="108" w:type="dxa"/>
          </w:tblCellMar>
        </w:tblPrEx>
        <w:trPr>
          <w:trHeight w:val="346" w:hRule="atLeast"/>
        </w:trPr>
        <w:tc>
          <w:tcPr>
            <w:tcW w:w="771" w:type="pct"/>
            <w:vMerge w:val="continue"/>
            <w:tcBorders>
              <w:top w:val="nil"/>
              <w:left w:val="single" w:color="auto" w:sz="4" w:space="0"/>
              <w:bottom w:val="single" w:color="000000" w:sz="4" w:space="0"/>
              <w:right w:val="single" w:color="auto" w:sz="4" w:space="0"/>
            </w:tcBorders>
            <w:vAlign w:val="center"/>
          </w:tcPr>
          <w:p>
            <w:pPr>
              <w:pStyle w:val="39"/>
              <w:rPr>
                <w:rFonts w:ascii="Times New Roman" w:hAnsi="Times New Roman"/>
              </w:rPr>
            </w:pPr>
          </w:p>
        </w:tc>
        <w:tc>
          <w:tcPr>
            <w:tcW w:w="71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颗粒物</w:t>
            </w:r>
          </w:p>
        </w:tc>
        <w:tc>
          <w:tcPr>
            <w:tcW w:w="805"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0.269</w:t>
            </w:r>
          </w:p>
        </w:tc>
        <w:tc>
          <w:tcPr>
            <w:tcW w:w="8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15</w:t>
            </w:r>
          </w:p>
        </w:tc>
        <w:tc>
          <w:tcPr>
            <w:tcW w:w="71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450</w:t>
            </w:r>
          </w:p>
        </w:tc>
        <w:tc>
          <w:tcPr>
            <w:tcW w:w="674"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0.06</w:t>
            </w:r>
          </w:p>
        </w:tc>
        <w:tc>
          <w:tcPr>
            <w:tcW w:w="52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w:t>
            </w:r>
          </w:p>
        </w:tc>
      </w:tr>
      <w:tr>
        <w:tblPrEx>
          <w:tblCellMar>
            <w:top w:w="0" w:type="dxa"/>
            <w:left w:w="108" w:type="dxa"/>
            <w:bottom w:w="0" w:type="dxa"/>
            <w:right w:w="108" w:type="dxa"/>
          </w:tblCellMar>
        </w:tblPrEx>
        <w:trPr>
          <w:trHeight w:val="346" w:hRule="atLeast"/>
        </w:trPr>
        <w:tc>
          <w:tcPr>
            <w:tcW w:w="771" w:type="pct"/>
            <w:vMerge w:val="restart"/>
            <w:tcBorders>
              <w:top w:val="nil"/>
              <w:left w:val="single" w:color="auto" w:sz="4" w:space="0"/>
              <w:bottom w:val="single" w:color="000000"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宣兴1井站水套加热炉排气筒</w:t>
            </w:r>
          </w:p>
        </w:tc>
        <w:tc>
          <w:tcPr>
            <w:tcW w:w="71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805"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0.103</w:t>
            </w:r>
          </w:p>
        </w:tc>
        <w:tc>
          <w:tcPr>
            <w:tcW w:w="8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17</w:t>
            </w:r>
          </w:p>
        </w:tc>
        <w:tc>
          <w:tcPr>
            <w:tcW w:w="71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500</w:t>
            </w:r>
          </w:p>
        </w:tc>
        <w:tc>
          <w:tcPr>
            <w:tcW w:w="674"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0.02</w:t>
            </w:r>
          </w:p>
        </w:tc>
        <w:tc>
          <w:tcPr>
            <w:tcW w:w="52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w:t>
            </w:r>
          </w:p>
        </w:tc>
      </w:tr>
      <w:tr>
        <w:tblPrEx>
          <w:tblCellMar>
            <w:top w:w="0" w:type="dxa"/>
            <w:left w:w="108" w:type="dxa"/>
            <w:bottom w:w="0" w:type="dxa"/>
            <w:right w:w="108" w:type="dxa"/>
          </w:tblCellMar>
        </w:tblPrEx>
        <w:trPr>
          <w:trHeight w:val="346" w:hRule="atLeast"/>
        </w:trPr>
        <w:tc>
          <w:tcPr>
            <w:tcW w:w="771" w:type="pct"/>
            <w:vMerge w:val="continue"/>
            <w:tcBorders>
              <w:top w:val="nil"/>
              <w:left w:val="single" w:color="auto" w:sz="4" w:space="0"/>
              <w:bottom w:val="single" w:color="000000" w:sz="4" w:space="0"/>
              <w:right w:val="single" w:color="auto" w:sz="4" w:space="0"/>
            </w:tcBorders>
            <w:vAlign w:val="center"/>
          </w:tcPr>
          <w:p>
            <w:pPr>
              <w:pStyle w:val="39"/>
              <w:rPr>
                <w:rFonts w:ascii="Times New Roman" w:hAnsi="Times New Roman"/>
              </w:rPr>
            </w:pPr>
          </w:p>
        </w:tc>
        <w:tc>
          <w:tcPr>
            <w:tcW w:w="71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NO</w:t>
            </w:r>
            <w:r>
              <w:rPr>
                <w:rFonts w:ascii="Times New Roman" w:hAnsi="Times New Roman"/>
                <w:vertAlign w:val="subscript"/>
              </w:rPr>
              <w:t>X</w:t>
            </w:r>
          </w:p>
        </w:tc>
        <w:tc>
          <w:tcPr>
            <w:tcW w:w="805"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4.038</w:t>
            </w:r>
          </w:p>
        </w:tc>
        <w:tc>
          <w:tcPr>
            <w:tcW w:w="8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17</w:t>
            </w:r>
          </w:p>
        </w:tc>
        <w:tc>
          <w:tcPr>
            <w:tcW w:w="71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250</w:t>
            </w:r>
          </w:p>
        </w:tc>
        <w:tc>
          <w:tcPr>
            <w:tcW w:w="674"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1.62</w:t>
            </w:r>
          </w:p>
        </w:tc>
        <w:tc>
          <w:tcPr>
            <w:tcW w:w="52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w:t>
            </w:r>
          </w:p>
        </w:tc>
      </w:tr>
      <w:tr>
        <w:tblPrEx>
          <w:tblCellMar>
            <w:top w:w="0" w:type="dxa"/>
            <w:left w:w="108" w:type="dxa"/>
            <w:bottom w:w="0" w:type="dxa"/>
            <w:right w:w="108" w:type="dxa"/>
          </w:tblCellMar>
        </w:tblPrEx>
        <w:trPr>
          <w:trHeight w:val="346" w:hRule="atLeast"/>
        </w:trPr>
        <w:tc>
          <w:tcPr>
            <w:tcW w:w="771" w:type="pct"/>
            <w:vMerge w:val="continue"/>
            <w:tcBorders>
              <w:top w:val="nil"/>
              <w:left w:val="single" w:color="auto" w:sz="4" w:space="0"/>
              <w:bottom w:val="single" w:color="000000" w:sz="4" w:space="0"/>
              <w:right w:val="single" w:color="auto" w:sz="4" w:space="0"/>
            </w:tcBorders>
            <w:vAlign w:val="center"/>
          </w:tcPr>
          <w:p>
            <w:pPr>
              <w:pStyle w:val="39"/>
              <w:rPr>
                <w:rFonts w:ascii="Times New Roman" w:hAnsi="Times New Roman"/>
              </w:rPr>
            </w:pPr>
          </w:p>
        </w:tc>
        <w:tc>
          <w:tcPr>
            <w:tcW w:w="71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颗粒物</w:t>
            </w:r>
          </w:p>
        </w:tc>
        <w:tc>
          <w:tcPr>
            <w:tcW w:w="805"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0.407</w:t>
            </w:r>
          </w:p>
        </w:tc>
        <w:tc>
          <w:tcPr>
            <w:tcW w:w="8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17</w:t>
            </w:r>
          </w:p>
        </w:tc>
        <w:tc>
          <w:tcPr>
            <w:tcW w:w="71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450</w:t>
            </w:r>
          </w:p>
        </w:tc>
        <w:tc>
          <w:tcPr>
            <w:tcW w:w="674"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0.09</w:t>
            </w:r>
          </w:p>
        </w:tc>
        <w:tc>
          <w:tcPr>
            <w:tcW w:w="52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w:t>
            </w:r>
          </w:p>
        </w:tc>
      </w:tr>
      <w:tr>
        <w:tblPrEx>
          <w:tblCellMar>
            <w:top w:w="0" w:type="dxa"/>
            <w:left w:w="108" w:type="dxa"/>
            <w:bottom w:w="0" w:type="dxa"/>
            <w:right w:w="108" w:type="dxa"/>
          </w:tblCellMar>
        </w:tblPrEx>
        <w:trPr>
          <w:trHeight w:val="346" w:hRule="atLeast"/>
        </w:trPr>
        <w:tc>
          <w:tcPr>
            <w:tcW w:w="771" w:type="pct"/>
            <w:vMerge w:val="restart"/>
            <w:tcBorders>
              <w:top w:val="nil"/>
              <w:left w:val="single" w:color="auto" w:sz="4" w:space="0"/>
              <w:bottom w:val="single" w:color="000000"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宣探1井站无组织废气</w:t>
            </w:r>
          </w:p>
        </w:tc>
        <w:tc>
          <w:tcPr>
            <w:tcW w:w="71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NMHC</w:t>
            </w:r>
          </w:p>
        </w:tc>
        <w:tc>
          <w:tcPr>
            <w:tcW w:w="805"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1.538</w:t>
            </w:r>
          </w:p>
        </w:tc>
        <w:tc>
          <w:tcPr>
            <w:tcW w:w="8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143</w:t>
            </w:r>
          </w:p>
        </w:tc>
        <w:tc>
          <w:tcPr>
            <w:tcW w:w="71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2000</w:t>
            </w:r>
          </w:p>
        </w:tc>
        <w:tc>
          <w:tcPr>
            <w:tcW w:w="674"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0.08</w:t>
            </w:r>
          </w:p>
        </w:tc>
        <w:tc>
          <w:tcPr>
            <w:tcW w:w="52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w:t>
            </w:r>
          </w:p>
        </w:tc>
      </w:tr>
      <w:tr>
        <w:tblPrEx>
          <w:tblCellMar>
            <w:top w:w="0" w:type="dxa"/>
            <w:left w:w="108" w:type="dxa"/>
            <w:bottom w:w="0" w:type="dxa"/>
            <w:right w:w="108" w:type="dxa"/>
          </w:tblCellMar>
        </w:tblPrEx>
        <w:trPr>
          <w:trHeight w:val="346" w:hRule="atLeast"/>
        </w:trPr>
        <w:tc>
          <w:tcPr>
            <w:tcW w:w="771" w:type="pct"/>
            <w:vMerge w:val="continue"/>
            <w:tcBorders>
              <w:top w:val="nil"/>
              <w:left w:val="single" w:color="auto" w:sz="4" w:space="0"/>
              <w:bottom w:val="single" w:color="000000" w:sz="4" w:space="0"/>
              <w:right w:val="single" w:color="auto" w:sz="4" w:space="0"/>
            </w:tcBorders>
            <w:vAlign w:val="center"/>
          </w:tcPr>
          <w:p>
            <w:pPr>
              <w:pStyle w:val="39"/>
              <w:rPr>
                <w:rFonts w:ascii="Times New Roman" w:hAnsi="Times New Roman"/>
              </w:rPr>
            </w:pPr>
          </w:p>
        </w:tc>
        <w:tc>
          <w:tcPr>
            <w:tcW w:w="71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805"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0.205</w:t>
            </w:r>
          </w:p>
        </w:tc>
        <w:tc>
          <w:tcPr>
            <w:tcW w:w="8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143</w:t>
            </w:r>
          </w:p>
        </w:tc>
        <w:tc>
          <w:tcPr>
            <w:tcW w:w="71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10</w:t>
            </w:r>
          </w:p>
        </w:tc>
        <w:tc>
          <w:tcPr>
            <w:tcW w:w="674"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2.05</w:t>
            </w:r>
          </w:p>
        </w:tc>
        <w:tc>
          <w:tcPr>
            <w:tcW w:w="52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w:t>
            </w:r>
          </w:p>
        </w:tc>
      </w:tr>
      <w:tr>
        <w:tblPrEx>
          <w:tblCellMar>
            <w:top w:w="0" w:type="dxa"/>
            <w:left w:w="108" w:type="dxa"/>
            <w:bottom w:w="0" w:type="dxa"/>
            <w:right w:w="108" w:type="dxa"/>
          </w:tblCellMar>
        </w:tblPrEx>
        <w:trPr>
          <w:trHeight w:val="346" w:hRule="atLeast"/>
        </w:trPr>
        <w:tc>
          <w:tcPr>
            <w:tcW w:w="771" w:type="pct"/>
            <w:vMerge w:val="restart"/>
            <w:tcBorders>
              <w:top w:val="nil"/>
              <w:left w:val="single" w:color="auto" w:sz="4" w:space="0"/>
              <w:bottom w:val="single" w:color="000000"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宣兴1井站无组织废气</w:t>
            </w:r>
          </w:p>
        </w:tc>
        <w:tc>
          <w:tcPr>
            <w:tcW w:w="71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NMHC</w:t>
            </w:r>
          </w:p>
        </w:tc>
        <w:tc>
          <w:tcPr>
            <w:tcW w:w="805"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3.991</w:t>
            </w:r>
          </w:p>
        </w:tc>
        <w:tc>
          <w:tcPr>
            <w:tcW w:w="8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143</w:t>
            </w:r>
          </w:p>
        </w:tc>
        <w:tc>
          <w:tcPr>
            <w:tcW w:w="71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2000</w:t>
            </w:r>
          </w:p>
        </w:tc>
        <w:tc>
          <w:tcPr>
            <w:tcW w:w="674"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0.20</w:t>
            </w:r>
          </w:p>
        </w:tc>
        <w:tc>
          <w:tcPr>
            <w:tcW w:w="52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w:t>
            </w:r>
          </w:p>
        </w:tc>
      </w:tr>
      <w:tr>
        <w:tblPrEx>
          <w:tblCellMar>
            <w:top w:w="0" w:type="dxa"/>
            <w:left w:w="108" w:type="dxa"/>
            <w:bottom w:w="0" w:type="dxa"/>
            <w:right w:w="108" w:type="dxa"/>
          </w:tblCellMar>
        </w:tblPrEx>
        <w:trPr>
          <w:trHeight w:val="346" w:hRule="atLeast"/>
        </w:trPr>
        <w:tc>
          <w:tcPr>
            <w:tcW w:w="771" w:type="pct"/>
            <w:vMerge w:val="continue"/>
            <w:tcBorders>
              <w:top w:val="nil"/>
              <w:left w:val="single" w:color="auto" w:sz="4" w:space="0"/>
              <w:bottom w:val="single" w:color="000000" w:sz="4" w:space="0"/>
              <w:right w:val="single" w:color="auto" w:sz="4" w:space="0"/>
            </w:tcBorders>
            <w:vAlign w:val="center"/>
          </w:tcPr>
          <w:p>
            <w:pPr>
              <w:pStyle w:val="39"/>
              <w:rPr>
                <w:rFonts w:ascii="Times New Roman" w:hAnsi="Times New Roman"/>
              </w:rPr>
            </w:pPr>
          </w:p>
        </w:tc>
        <w:tc>
          <w:tcPr>
            <w:tcW w:w="71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805"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0.888</w:t>
            </w:r>
          </w:p>
        </w:tc>
        <w:tc>
          <w:tcPr>
            <w:tcW w:w="8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143</w:t>
            </w:r>
          </w:p>
        </w:tc>
        <w:tc>
          <w:tcPr>
            <w:tcW w:w="71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10</w:t>
            </w:r>
          </w:p>
        </w:tc>
        <w:tc>
          <w:tcPr>
            <w:tcW w:w="674"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8.88</w:t>
            </w:r>
          </w:p>
        </w:tc>
        <w:tc>
          <w:tcPr>
            <w:tcW w:w="523"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w:t>
            </w:r>
          </w:p>
        </w:tc>
      </w:tr>
    </w:tbl>
    <w:p>
      <w:pPr>
        <w:pStyle w:val="5"/>
        <w:rPr>
          <w:rFonts w:ascii="Times New Roman" w:hAnsi="Times New Roman"/>
        </w:rPr>
      </w:pPr>
      <w:r>
        <w:rPr>
          <w:rFonts w:ascii="Times New Roman" w:hAnsi="Times New Roman"/>
        </w:rPr>
        <w:t>评价范围</w:t>
      </w:r>
    </w:p>
    <w:p>
      <w:pPr>
        <w:ind w:firstLine="480"/>
        <w:rPr>
          <w:rFonts w:ascii="Times New Roman" w:hAnsi="Times New Roman"/>
        </w:rPr>
      </w:pPr>
      <w:r>
        <w:rPr>
          <w:rFonts w:ascii="Times New Roman" w:hAnsi="Times New Roman"/>
        </w:rPr>
        <w:t>大气环境评价范围为分别以宣探1井站和宣兴1井站为中心边长为5km的区域。具体范围见附图3和附图4。</w:t>
      </w:r>
    </w:p>
    <w:p>
      <w:pPr>
        <w:pStyle w:val="4"/>
        <w:rPr>
          <w:rFonts w:ascii="Times New Roman" w:hAnsi="Times New Roman" w:cs="Times New Roman"/>
        </w:rPr>
      </w:pPr>
      <w:r>
        <w:rPr>
          <w:rFonts w:ascii="Times New Roman" w:hAnsi="Times New Roman" w:cs="Times New Roman"/>
        </w:rPr>
        <w:t>地表水环境</w:t>
      </w:r>
    </w:p>
    <w:p>
      <w:pPr>
        <w:pStyle w:val="5"/>
        <w:rPr>
          <w:rFonts w:ascii="Times New Roman" w:hAnsi="Times New Roman"/>
        </w:rPr>
      </w:pPr>
      <w:r>
        <w:rPr>
          <w:rFonts w:ascii="Times New Roman" w:hAnsi="Times New Roman"/>
        </w:rPr>
        <w:t>评价等级</w:t>
      </w:r>
    </w:p>
    <w:p>
      <w:pPr>
        <w:ind w:firstLine="480"/>
        <w:rPr>
          <w:rFonts w:ascii="Times New Roman" w:hAnsi="Times New Roman"/>
        </w:rPr>
      </w:pPr>
      <w:r>
        <w:rPr>
          <w:rFonts w:ascii="Times New Roman" w:hAnsi="Times New Roman"/>
        </w:rPr>
        <w:t>施工期和运营期维抢修队人员产生的生活污水经改进型生态厕所处理后还田。运营期产生的气田水依托渡口河天然气净化厂气田水处理装置处理，满足相应的指标后通过黄龙5井、或蒲西4井或黄龙2井回注。</w:t>
      </w:r>
    </w:p>
    <w:p>
      <w:pPr>
        <w:ind w:firstLine="480"/>
        <w:rPr>
          <w:rFonts w:ascii="Times New Roman" w:hAnsi="Times New Roman"/>
        </w:rPr>
      </w:pPr>
      <w:r>
        <w:rPr>
          <w:rFonts w:ascii="Times New Roman" w:hAnsi="Times New Roman"/>
        </w:rPr>
        <w:t>根据《环境影响评价技术导则 地表水环境》（HJ2.3-2018），地表水评价等级为三级B。</w:t>
      </w:r>
    </w:p>
    <w:p>
      <w:pPr>
        <w:pStyle w:val="5"/>
        <w:rPr>
          <w:rFonts w:ascii="Times New Roman" w:hAnsi="Times New Roman"/>
        </w:rPr>
      </w:pPr>
      <w:r>
        <w:rPr>
          <w:rFonts w:ascii="Times New Roman" w:hAnsi="Times New Roman"/>
        </w:rPr>
        <w:t>评价范围</w:t>
      </w:r>
    </w:p>
    <w:p>
      <w:pPr>
        <w:ind w:firstLine="480"/>
        <w:rPr>
          <w:rFonts w:ascii="Times New Roman" w:hAnsi="Times New Roman"/>
        </w:rPr>
      </w:pPr>
      <w:r>
        <w:rPr>
          <w:rFonts w:ascii="Times New Roman" w:hAnsi="Times New Roman"/>
        </w:rPr>
        <w:t>本项目运营期无废水直接外排至当地地表水环境，项目重点对依托渡口河天然气净化厂污水处理设施可行性进行分析。</w:t>
      </w:r>
    </w:p>
    <w:p>
      <w:pPr>
        <w:pStyle w:val="4"/>
        <w:rPr>
          <w:rFonts w:ascii="Times New Roman" w:hAnsi="Times New Roman" w:cs="Times New Roman"/>
        </w:rPr>
      </w:pPr>
      <w:r>
        <w:rPr>
          <w:rFonts w:ascii="Times New Roman" w:hAnsi="Times New Roman" w:cs="Times New Roman"/>
        </w:rPr>
        <w:t>地下水环境</w:t>
      </w:r>
    </w:p>
    <w:p>
      <w:pPr>
        <w:pStyle w:val="5"/>
        <w:rPr>
          <w:rFonts w:ascii="Times New Roman" w:hAnsi="Times New Roman"/>
        </w:rPr>
      </w:pPr>
      <w:r>
        <w:rPr>
          <w:rFonts w:ascii="Times New Roman" w:hAnsi="Times New Roman"/>
        </w:rPr>
        <w:t>评价等级</w:t>
      </w:r>
    </w:p>
    <w:p>
      <w:pPr>
        <w:ind w:firstLine="480"/>
        <w:rPr>
          <w:rFonts w:ascii="Times New Roman" w:hAnsi="Times New Roman"/>
        </w:rPr>
      </w:pPr>
      <w:r>
        <w:rPr>
          <w:rFonts w:ascii="Times New Roman" w:hAnsi="Times New Roman"/>
        </w:rPr>
        <w:t>根据《环境影响评价技术导则 地下水环境》（HJ610-2016）和《环境影响评价技术导则 陆地石油天然气建设项目》（HJ349-2023），判断本项目地下水环境影响评价工作等级如下：</w:t>
      </w:r>
    </w:p>
    <w:p>
      <w:pPr>
        <w:ind w:firstLine="480"/>
        <w:rPr>
          <w:rFonts w:ascii="Times New Roman" w:hAnsi="Times New Roman"/>
        </w:rPr>
      </w:pPr>
      <w:r>
        <w:rPr>
          <w:rFonts w:ascii="Times New Roman" w:hAnsi="Times New Roman"/>
        </w:rPr>
        <w:t>（1）项目行业类别</w:t>
      </w:r>
    </w:p>
    <w:p>
      <w:pPr>
        <w:ind w:firstLine="480"/>
        <w:rPr>
          <w:rFonts w:ascii="Times New Roman" w:hAnsi="Times New Roman"/>
        </w:rPr>
      </w:pPr>
      <w:r>
        <w:rPr>
          <w:rFonts w:ascii="Times New Roman" w:hAnsi="Times New Roman"/>
        </w:rPr>
        <w:t>依据《环境影响评价技术导则 地下水环境》（HJ 610-2016）附录A中“地下水环境影响评价行业分类表”，本项目宣探1井站和宣兴1井站的行业类别为“F石油、天然气，第38项天然气、页岩气开采（含净化）”，地下水环境影响评价类别为Ⅱ类；集输管道的行业类别为“F石油、天然气，第41项石油、天然气、成品油管线（不含城市天然气管线）”，地下水环境影响评价类别为Ⅲ类。</w:t>
      </w:r>
    </w:p>
    <w:p>
      <w:pPr>
        <w:ind w:firstLine="480"/>
        <w:rPr>
          <w:rFonts w:ascii="Times New Roman" w:hAnsi="Times New Roman"/>
        </w:rPr>
      </w:pPr>
      <w:r>
        <w:rPr>
          <w:rFonts w:ascii="Times New Roman" w:hAnsi="Times New Roman"/>
        </w:rPr>
        <w:t>（2）环境敏感程度</w:t>
      </w:r>
    </w:p>
    <w:p>
      <w:pPr>
        <w:ind w:firstLine="480"/>
        <w:rPr>
          <w:rFonts w:ascii="Times New Roman" w:hAnsi="Times New Roman"/>
        </w:rPr>
      </w:pPr>
      <w:r>
        <w:rPr>
          <w:rFonts w:ascii="Times New Roman" w:hAnsi="Times New Roman"/>
        </w:rPr>
        <w:t>井站：宣兴1井站评价范围分布有分散式饮用水井及泉水点，地下水敏感程度为“较敏感”。宣探1井站评价范围无分散式饮用水井，地下水敏感程度为“不敏感”。</w:t>
      </w:r>
    </w:p>
    <w:p>
      <w:pPr>
        <w:ind w:firstLine="480"/>
        <w:rPr>
          <w:rFonts w:ascii="Times New Roman" w:hAnsi="Times New Roman"/>
        </w:rPr>
      </w:pPr>
      <w:r>
        <w:rPr>
          <w:rFonts w:ascii="Times New Roman" w:hAnsi="Times New Roman"/>
        </w:rPr>
        <w:t>集气管道：集气管道沿线和阀室、清管站周边区域存在分散式饮用水井，地下水敏感程度为“较敏感”。</w:t>
      </w:r>
    </w:p>
    <w:p>
      <w:pPr>
        <w:ind w:firstLine="480"/>
        <w:rPr>
          <w:rFonts w:ascii="Times New Roman" w:hAnsi="Times New Roman"/>
        </w:rPr>
      </w:pPr>
      <w:r>
        <w:rPr>
          <w:rFonts w:ascii="Times New Roman" w:hAnsi="Times New Roman"/>
        </w:rPr>
        <w:t>（3）评价等级</w:t>
      </w:r>
    </w:p>
    <w:p>
      <w:pPr>
        <w:ind w:firstLine="480"/>
        <w:rPr>
          <w:rFonts w:ascii="Times New Roman" w:hAnsi="Times New Roman"/>
        </w:rPr>
      </w:pPr>
      <w:r>
        <w:rPr>
          <w:rFonts w:ascii="Times New Roman" w:hAnsi="Times New Roman"/>
        </w:rPr>
        <w:t>依据上述建设项目行业分类和地下水环境敏感程度，建设项目地下水环境影响评价工作等级划分见</w:t>
      </w:r>
      <w:r>
        <w:rPr>
          <w:rFonts w:ascii="Times New Roman" w:hAnsi="Times New Roman"/>
        </w:rPr>
        <w:fldChar w:fldCharType="begin"/>
      </w:r>
      <w:r>
        <w:rPr>
          <w:rFonts w:ascii="Times New Roman" w:hAnsi="Times New Roman"/>
        </w:rPr>
        <w:instrText xml:space="preserve"> REF _Ref157086107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17</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宣兴1井站评价等级为二级，宣探1井站和管道沿线的评价等级均为三级。</w:t>
      </w:r>
    </w:p>
    <w:p>
      <w:pPr>
        <w:pStyle w:val="37"/>
        <w:rPr>
          <w:rFonts w:ascii="Times New Roman" w:hAnsi="Times New Roman" w:cs="Times New Roman"/>
        </w:rPr>
      </w:pPr>
      <w:bookmarkStart w:id="25" w:name="_Ref15708610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17</w:t>
      </w:r>
      <w:r>
        <w:rPr>
          <w:rFonts w:ascii="Times New Roman" w:hAnsi="Times New Roman" w:cs="Times New Roman"/>
        </w:rPr>
        <w:fldChar w:fldCharType="end"/>
      </w:r>
      <w:bookmarkEnd w:id="25"/>
      <w:r>
        <w:rPr>
          <w:rFonts w:ascii="Times New Roman" w:hAnsi="Times New Roman" w:cs="Times New Roman"/>
        </w:rPr>
        <w:t xml:space="preserve">  评价工作等级分级表 </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04"/>
        <w:gridCol w:w="1982"/>
        <w:gridCol w:w="1733"/>
        <w:gridCol w:w="19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04" w:type="pct"/>
            <w:tcBorders>
              <w:top w:val="single" w:color="auto" w:sz="4" w:space="0"/>
              <w:left w:val="single" w:color="auto" w:sz="4" w:space="0"/>
              <w:bottom w:val="single" w:color="auto" w:sz="4" w:space="0"/>
              <w:tl2br w:val="single" w:color="auto" w:sz="4" w:space="0"/>
            </w:tcBorders>
            <w:shd w:val="clear" w:color="auto" w:fill="FFFFFF" w:themeFill="background1"/>
            <w:vAlign w:val="center"/>
          </w:tcPr>
          <w:p>
            <w:pPr>
              <w:pStyle w:val="39"/>
              <w:rPr>
                <w:rFonts w:ascii="Times New Roman" w:hAnsi="Times New Roman"/>
              </w:rPr>
            </w:pPr>
            <w:r>
              <w:rPr>
                <w:rFonts w:ascii="Times New Roman" w:hAnsi="Times New Roman"/>
              </w:rPr>
              <w:t xml:space="preserve">           项目类别</w:t>
            </w:r>
          </w:p>
          <w:p>
            <w:pPr>
              <w:pStyle w:val="39"/>
              <w:rPr>
                <w:rFonts w:ascii="Times New Roman" w:hAnsi="Times New Roman"/>
                <w:shd w:val="pct10" w:color="auto" w:fill="FFFFFF"/>
              </w:rPr>
            </w:pPr>
            <w:r>
              <w:rPr>
                <w:rFonts w:ascii="Times New Roman" w:hAnsi="Times New Roman"/>
              </w:rPr>
              <w:t>环境敏感程度</w:t>
            </w:r>
          </w:p>
        </w:tc>
        <w:tc>
          <w:tcPr>
            <w:tcW w:w="1163" w:type="pct"/>
            <w:tcBorders>
              <w:top w:val="single" w:color="auto" w:sz="4" w:space="0"/>
              <w:bottom w:val="single" w:color="auto" w:sz="4" w:space="0"/>
            </w:tcBorders>
            <w:shd w:val="clear" w:color="auto" w:fill="FFFFFF" w:themeFill="background1"/>
            <w:vAlign w:val="center"/>
          </w:tcPr>
          <w:p>
            <w:pPr>
              <w:pStyle w:val="39"/>
              <w:rPr>
                <w:rFonts w:ascii="Times New Roman" w:hAnsi="Times New Roman"/>
              </w:rPr>
            </w:pPr>
            <w:r>
              <w:rPr>
                <w:rFonts w:ascii="Times New Roman" w:hAnsi="Times New Roman"/>
              </w:rPr>
              <w:t>I类项目</w:t>
            </w:r>
          </w:p>
        </w:tc>
        <w:tc>
          <w:tcPr>
            <w:tcW w:w="1017" w:type="pct"/>
            <w:tcBorders>
              <w:top w:val="single" w:color="auto" w:sz="4" w:space="0"/>
              <w:bottom w:val="single" w:color="auto" w:sz="4" w:space="0"/>
            </w:tcBorders>
            <w:shd w:val="clear" w:color="auto" w:fill="FFFFFF" w:themeFill="background1"/>
            <w:vAlign w:val="center"/>
          </w:tcPr>
          <w:p>
            <w:pPr>
              <w:pStyle w:val="39"/>
              <w:rPr>
                <w:rFonts w:ascii="Times New Roman" w:hAnsi="Times New Roman"/>
              </w:rPr>
            </w:pPr>
            <w:r>
              <w:rPr>
                <w:rFonts w:ascii="Times New Roman" w:hAnsi="Times New Roman"/>
              </w:rPr>
              <w:t>II类项目</w:t>
            </w:r>
          </w:p>
        </w:tc>
        <w:tc>
          <w:tcPr>
            <w:tcW w:w="1116" w:type="pct"/>
            <w:tcBorders>
              <w:top w:val="single" w:color="auto" w:sz="4" w:space="0"/>
              <w:bottom w:val="single" w:color="auto" w:sz="4" w:space="0"/>
              <w:right w:val="single" w:color="auto" w:sz="4" w:space="0"/>
            </w:tcBorders>
            <w:shd w:val="clear" w:color="auto" w:fill="FFFFFF" w:themeFill="background1"/>
            <w:vAlign w:val="center"/>
          </w:tcPr>
          <w:p>
            <w:pPr>
              <w:pStyle w:val="39"/>
              <w:rPr>
                <w:rFonts w:ascii="Times New Roman" w:hAnsi="Times New Roman"/>
              </w:rPr>
            </w:pPr>
            <w:r>
              <w:rPr>
                <w:rFonts w:ascii="Times New Roman" w:hAnsi="Times New Roman"/>
              </w:rPr>
              <w:t>III类项目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04" w:type="pct"/>
            <w:tcBorders>
              <w:top w:val="single" w:color="auto" w:sz="4" w:space="0"/>
              <w:left w:val="single" w:color="auto" w:sz="4" w:space="0"/>
              <w:bottom w:val="single" w:color="auto" w:sz="4" w:space="0"/>
            </w:tcBorders>
            <w:shd w:val="clear" w:color="auto" w:fill="auto"/>
            <w:vAlign w:val="center"/>
          </w:tcPr>
          <w:p>
            <w:pPr>
              <w:pStyle w:val="39"/>
              <w:rPr>
                <w:rFonts w:ascii="Times New Roman" w:hAnsi="Times New Roman"/>
              </w:rPr>
            </w:pPr>
            <w:r>
              <w:rPr>
                <w:rFonts w:ascii="Times New Roman" w:hAnsi="Times New Roman"/>
              </w:rPr>
              <w:t>敏感</w:t>
            </w:r>
          </w:p>
        </w:tc>
        <w:tc>
          <w:tcPr>
            <w:tcW w:w="1163" w:type="pct"/>
            <w:tcBorders>
              <w:top w:val="single" w:color="auto" w:sz="4" w:space="0"/>
              <w:bottom w:val="single" w:color="auto" w:sz="4" w:space="0"/>
            </w:tcBorders>
            <w:shd w:val="clear" w:color="auto" w:fill="auto"/>
            <w:vAlign w:val="center"/>
          </w:tcPr>
          <w:p>
            <w:pPr>
              <w:pStyle w:val="39"/>
              <w:rPr>
                <w:rFonts w:ascii="Times New Roman" w:hAnsi="Times New Roman"/>
              </w:rPr>
            </w:pPr>
            <w:r>
              <w:rPr>
                <w:rFonts w:ascii="Times New Roman" w:hAnsi="Times New Roman"/>
              </w:rPr>
              <w:t>一</w:t>
            </w:r>
          </w:p>
        </w:tc>
        <w:tc>
          <w:tcPr>
            <w:tcW w:w="1017" w:type="pct"/>
            <w:tcBorders>
              <w:top w:val="single" w:color="auto" w:sz="4" w:space="0"/>
              <w:bottom w:val="single" w:color="auto" w:sz="4" w:space="0"/>
            </w:tcBorders>
            <w:shd w:val="clear" w:color="auto" w:fill="auto"/>
            <w:vAlign w:val="center"/>
          </w:tcPr>
          <w:p>
            <w:pPr>
              <w:pStyle w:val="39"/>
              <w:rPr>
                <w:rFonts w:ascii="Times New Roman" w:hAnsi="Times New Roman"/>
              </w:rPr>
            </w:pPr>
            <w:r>
              <w:rPr>
                <w:rFonts w:ascii="Times New Roman" w:hAnsi="Times New Roman"/>
              </w:rPr>
              <w:t>一</w:t>
            </w:r>
          </w:p>
        </w:tc>
        <w:tc>
          <w:tcPr>
            <w:tcW w:w="1116" w:type="pct"/>
            <w:tcBorders>
              <w:top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04" w:type="pct"/>
            <w:tcBorders>
              <w:top w:val="single" w:color="auto" w:sz="4" w:space="0"/>
              <w:left w:val="single" w:color="auto" w:sz="4" w:space="0"/>
              <w:bottom w:val="single" w:color="auto" w:sz="4" w:space="0"/>
            </w:tcBorders>
            <w:shd w:val="clear" w:color="auto" w:fill="auto"/>
            <w:vAlign w:val="center"/>
          </w:tcPr>
          <w:p>
            <w:pPr>
              <w:pStyle w:val="39"/>
              <w:rPr>
                <w:rFonts w:ascii="Times New Roman" w:hAnsi="Times New Roman"/>
              </w:rPr>
            </w:pPr>
            <w:r>
              <w:rPr>
                <w:rFonts w:ascii="Times New Roman" w:hAnsi="Times New Roman"/>
              </w:rPr>
              <w:t>较敏感</w:t>
            </w:r>
          </w:p>
        </w:tc>
        <w:tc>
          <w:tcPr>
            <w:tcW w:w="1163" w:type="pct"/>
            <w:tcBorders>
              <w:top w:val="single" w:color="auto" w:sz="4" w:space="0"/>
              <w:bottom w:val="single" w:color="auto" w:sz="4" w:space="0"/>
            </w:tcBorders>
            <w:shd w:val="clear" w:color="auto" w:fill="auto"/>
            <w:vAlign w:val="center"/>
          </w:tcPr>
          <w:p>
            <w:pPr>
              <w:pStyle w:val="39"/>
              <w:rPr>
                <w:rFonts w:ascii="Times New Roman" w:hAnsi="Times New Roman"/>
              </w:rPr>
            </w:pPr>
            <w:r>
              <w:rPr>
                <w:rFonts w:ascii="Times New Roman" w:hAnsi="Times New Roman"/>
              </w:rPr>
              <w:t>一</w:t>
            </w:r>
          </w:p>
        </w:tc>
        <w:tc>
          <w:tcPr>
            <w:tcW w:w="1017" w:type="pct"/>
            <w:tcBorders>
              <w:top w:val="single" w:color="auto" w:sz="4" w:space="0"/>
              <w:bottom w:val="single" w:color="auto" w:sz="4" w:space="0"/>
            </w:tcBorders>
            <w:shd w:val="clear" w:color="auto" w:fill="D8D8D8" w:themeFill="background1" w:themeFillShade="D9"/>
            <w:vAlign w:val="center"/>
          </w:tcPr>
          <w:p>
            <w:pPr>
              <w:pStyle w:val="39"/>
              <w:rPr>
                <w:rFonts w:ascii="Times New Roman" w:hAnsi="Times New Roman"/>
              </w:rPr>
            </w:pPr>
            <w:r>
              <w:rPr>
                <w:rFonts w:ascii="Times New Roman" w:hAnsi="Times New Roman"/>
              </w:rPr>
              <w:t>二</w:t>
            </w:r>
          </w:p>
        </w:tc>
        <w:tc>
          <w:tcPr>
            <w:tcW w:w="1116" w:type="pct"/>
            <w:tcBorders>
              <w:top w:val="single" w:color="auto" w:sz="4" w:space="0"/>
              <w:bottom w:val="single" w:color="auto" w:sz="4" w:space="0"/>
              <w:right w:val="single" w:color="auto" w:sz="4" w:space="0"/>
            </w:tcBorders>
            <w:shd w:val="clear" w:color="auto" w:fill="D8D8D8" w:themeFill="background1" w:themeFillShade="D9"/>
            <w:vAlign w:val="center"/>
          </w:tcPr>
          <w:p>
            <w:pPr>
              <w:pStyle w:val="39"/>
              <w:rPr>
                <w:rFonts w:ascii="Times New Roman" w:hAnsi="Times New Roman"/>
              </w:rPr>
            </w:pPr>
            <w:r>
              <w:rPr>
                <w:rFonts w:ascii="Times New Roman" w:hAnsi="Times New Roman"/>
              </w:rPr>
              <w:t>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04" w:type="pct"/>
            <w:tcBorders>
              <w:top w:val="single" w:color="auto" w:sz="4" w:space="0"/>
              <w:left w:val="single" w:color="auto" w:sz="4" w:space="0"/>
              <w:bottom w:val="single" w:color="auto" w:sz="4" w:space="0"/>
            </w:tcBorders>
            <w:shd w:val="clear" w:color="auto" w:fill="auto"/>
            <w:vAlign w:val="center"/>
          </w:tcPr>
          <w:p>
            <w:pPr>
              <w:pStyle w:val="39"/>
              <w:rPr>
                <w:rFonts w:ascii="Times New Roman" w:hAnsi="Times New Roman"/>
              </w:rPr>
            </w:pPr>
            <w:r>
              <w:rPr>
                <w:rFonts w:ascii="Times New Roman" w:hAnsi="Times New Roman"/>
              </w:rPr>
              <w:t>不敏感</w:t>
            </w:r>
          </w:p>
        </w:tc>
        <w:tc>
          <w:tcPr>
            <w:tcW w:w="1163" w:type="pct"/>
            <w:tcBorders>
              <w:top w:val="single" w:color="auto" w:sz="4" w:space="0"/>
              <w:bottom w:val="single" w:color="auto" w:sz="4" w:space="0"/>
            </w:tcBorders>
            <w:shd w:val="clear" w:color="auto" w:fill="auto"/>
            <w:vAlign w:val="center"/>
          </w:tcPr>
          <w:p>
            <w:pPr>
              <w:pStyle w:val="39"/>
              <w:rPr>
                <w:rFonts w:ascii="Times New Roman" w:hAnsi="Times New Roman"/>
                <w:b/>
                <w:bCs/>
              </w:rPr>
            </w:pPr>
            <w:r>
              <w:rPr>
                <w:rFonts w:ascii="Times New Roman" w:hAnsi="Times New Roman"/>
                <w:b/>
                <w:bCs/>
              </w:rPr>
              <w:t>二</w:t>
            </w:r>
          </w:p>
        </w:tc>
        <w:tc>
          <w:tcPr>
            <w:tcW w:w="1017" w:type="pct"/>
            <w:tcBorders>
              <w:top w:val="single" w:color="auto" w:sz="4" w:space="0"/>
              <w:bottom w:val="single" w:color="auto" w:sz="4" w:space="0"/>
            </w:tcBorders>
            <w:shd w:val="clear" w:color="auto" w:fill="D8D8D8" w:themeFill="background1" w:themeFillShade="D9"/>
            <w:vAlign w:val="center"/>
          </w:tcPr>
          <w:p>
            <w:pPr>
              <w:pStyle w:val="39"/>
              <w:rPr>
                <w:rFonts w:ascii="Times New Roman" w:hAnsi="Times New Roman"/>
              </w:rPr>
            </w:pPr>
            <w:r>
              <w:rPr>
                <w:rFonts w:ascii="Times New Roman" w:hAnsi="Times New Roman"/>
              </w:rPr>
              <w:t>三</w:t>
            </w:r>
          </w:p>
        </w:tc>
        <w:tc>
          <w:tcPr>
            <w:tcW w:w="1116" w:type="pct"/>
            <w:tcBorders>
              <w:top w:val="single" w:color="auto" w:sz="4" w:space="0"/>
              <w:bottom w:val="single" w:color="auto" w:sz="4" w:space="0"/>
              <w:right w:val="single" w:color="auto" w:sz="4" w:space="0"/>
            </w:tcBorders>
            <w:shd w:val="clear" w:color="auto" w:fill="FFFFFF" w:themeFill="background1"/>
            <w:vAlign w:val="center"/>
          </w:tcPr>
          <w:p>
            <w:pPr>
              <w:pStyle w:val="39"/>
              <w:rPr>
                <w:rFonts w:ascii="Times New Roman" w:hAnsi="Times New Roman"/>
              </w:rPr>
            </w:pPr>
            <w:r>
              <w:rPr>
                <w:rFonts w:ascii="Times New Roman" w:hAnsi="Times New Roman"/>
              </w:rPr>
              <w:t>三</w:t>
            </w:r>
          </w:p>
        </w:tc>
      </w:tr>
    </w:tbl>
    <w:p>
      <w:pPr>
        <w:pStyle w:val="5"/>
        <w:rPr>
          <w:rFonts w:ascii="Times New Roman" w:hAnsi="Times New Roman"/>
        </w:rPr>
      </w:pPr>
      <w:r>
        <w:rPr>
          <w:rFonts w:ascii="Times New Roman" w:hAnsi="Times New Roman"/>
        </w:rPr>
        <w:t>评价范围</w:t>
      </w:r>
    </w:p>
    <w:p>
      <w:pPr>
        <w:ind w:firstLine="480"/>
        <w:rPr>
          <w:rFonts w:ascii="Times New Roman" w:hAnsi="Times New Roman"/>
        </w:rPr>
      </w:pPr>
      <w:r>
        <w:rPr>
          <w:rFonts w:ascii="Times New Roman" w:hAnsi="Times New Roman"/>
        </w:rPr>
        <w:t>本项目位于中浅丘地貌区，地下水类型为基岩构造裂隙水，地层倾角较小，地下水具有小流域特征，地下水分水岭即为山脊线，位于本项目区西侧的后河以及南侧的乱石滩河为区域地下水最低基准排泄面，水文地质单元相对独立封闭。因此，本项目地下水环境影响调查评价范围采用自定义法，井站及集气管线水文地质评价范围如下：</w:t>
      </w:r>
    </w:p>
    <w:p>
      <w:pPr>
        <w:ind w:firstLine="480"/>
        <w:rPr>
          <w:rFonts w:ascii="Times New Roman" w:hAnsi="Times New Roman"/>
        </w:rPr>
      </w:pPr>
      <w:r>
        <w:rPr>
          <w:rFonts w:ascii="Times New Roman" w:hAnsi="Times New Roman"/>
        </w:rPr>
        <w:t>宣兴1井站地下水评价范围如附图11所示，评价区南侧以丘陵山区高岗为界，东侧以乱石滩河支流为界为，北侧、西侧及西南侧以山脊线为边界，四周各边界合围成一个相对完整的水文地质单元，评价区范围面积约为4.02 km</w:t>
      </w:r>
      <w:r>
        <w:rPr>
          <w:rFonts w:ascii="Times New Roman" w:hAnsi="Times New Roman"/>
          <w:vertAlign w:val="superscript"/>
        </w:rPr>
        <w:t>2</w:t>
      </w:r>
      <w:r>
        <w:rPr>
          <w:rFonts w:ascii="Times New Roman" w:hAnsi="Times New Roman"/>
        </w:rPr>
        <w:t>。</w:t>
      </w:r>
    </w:p>
    <w:p>
      <w:pPr>
        <w:ind w:firstLine="480"/>
        <w:rPr>
          <w:rFonts w:ascii="Times New Roman" w:hAnsi="Times New Roman"/>
        </w:rPr>
      </w:pPr>
      <w:r>
        <w:rPr>
          <w:rFonts w:ascii="Times New Roman" w:hAnsi="Times New Roman"/>
        </w:rPr>
        <w:t>宣探1井站地下水评价范围如附图11所示，评价区南侧、东侧及西侧均已山区相对较高的山岗为界，北侧一乱石滩河为界，四周各边界合围成一个相对完整的水文地质单元，评价区范围面积约为1.53 km</w:t>
      </w:r>
      <w:r>
        <w:rPr>
          <w:rFonts w:ascii="Times New Roman" w:hAnsi="Times New Roman"/>
          <w:vertAlign w:val="superscript"/>
        </w:rPr>
        <w:t>2</w:t>
      </w:r>
      <w:r>
        <w:rPr>
          <w:rFonts w:ascii="Times New Roman" w:hAnsi="Times New Roman"/>
        </w:rPr>
        <w:t>。</w:t>
      </w:r>
    </w:p>
    <w:p>
      <w:pPr>
        <w:ind w:firstLine="480"/>
        <w:rPr>
          <w:rFonts w:ascii="Times New Roman" w:hAnsi="Times New Roman"/>
        </w:rPr>
      </w:pPr>
      <w:r>
        <w:rPr>
          <w:rFonts w:ascii="Times New Roman" w:hAnsi="Times New Roman"/>
        </w:rPr>
        <w:t>集气管道地下水环境影响评价范围为管道沿线两侧外延200m，见附图12。</w:t>
      </w:r>
    </w:p>
    <w:p>
      <w:pPr>
        <w:pStyle w:val="4"/>
        <w:rPr>
          <w:rFonts w:ascii="Times New Roman" w:hAnsi="Times New Roman" w:cs="Times New Roman"/>
        </w:rPr>
      </w:pPr>
      <w:r>
        <w:rPr>
          <w:rFonts w:ascii="Times New Roman" w:hAnsi="Times New Roman" w:cs="Times New Roman"/>
        </w:rPr>
        <w:t>声环境</w:t>
      </w:r>
    </w:p>
    <w:p>
      <w:pPr>
        <w:pStyle w:val="5"/>
        <w:rPr>
          <w:rFonts w:ascii="Times New Roman" w:hAnsi="Times New Roman"/>
        </w:rPr>
      </w:pPr>
      <w:r>
        <w:rPr>
          <w:rFonts w:ascii="Times New Roman" w:hAnsi="Times New Roman"/>
        </w:rPr>
        <w:t>评价等级</w:t>
      </w:r>
    </w:p>
    <w:p>
      <w:pPr>
        <w:ind w:firstLine="480"/>
        <w:rPr>
          <w:rFonts w:ascii="Times New Roman" w:hAnsi="Times New Roman"/>
        </w:rPr>
      </w:pPr>
      <w:r>
        <w:rPr>
          <w:rFonts w:ascii="Times New Roman" w:hAnsi="Times New Roman"/>
        </w:rPr>
        <w:t>本项目所在区域为2类声环境功能区，且项目建设前后评价范围内声环境保护目标噪声级增量未达5dB（A）以上，受影响人口数量没有显著增加。</w:t>
      </w:r>
    </w:p>
    <w:p>
      <w:pPr>
        <w:ind w:firstLine="480"/>
        <w:rPr>
          <w:rFonts w:ascii="Times New Roman" w:hAnsi="Times New Roman"/>
        </w:rPr>
      </w:pPr>
      <w:r>
        <w:rPr>
          <w:rFonts w:ascii="Times New Roman" w:hAnsi="Times New Roman"/>
        </w:rPr>
        <w:t>根据《环境影响评价技术导则 声环境》（HJ 2.4-2021）评价分级划分原则，确定本项目声环境影响评价等级为二级。</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18</w:t>
      </w:r>
      <w:r>
        <w:rPr>
          <w:rFonts w:ascii="Times New Roman" w:hAnsi="Times New Roman" w:cs="Times New Roman"/>
        </w:rPr>
        <w:fldChar w:fldCharType="end"/>
      </w:r>
      <w:r>
        <w:rPr>
          <w:rFonts w:ascii="Times New Roman" w:hAnsi="Times New Roman" w:cs="Times New Roman"/>
        </w:rPr>
        <w:t xml:space="preserve">  声环境评价等级判定依据</w:t>
      </w:r>
    </w:p>
    <w:tbl>
      <w:tblPr>
        <w:tblStyle w:val="28"/>
        <w:tblW w:w="500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6"/>
        <w:gridCol w:w="2261"/>
        <w:gridCol w:w="3259"/>
        <w:gridCol w:w="17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7" w:type="dxa"/>
            <w:vMerge w:val="restart"/>
            <w:vAlign w:val="center"/>
          </w:tcPr>
          <w:p>
            <w:pPr>
              <w:pStyle w:val="39"/>
              <w:rPr>
                <w:rFonts w:ascii="Times New Roman" w:hAnsi="Times New Roman"/>
              </w:rPr>
            </w:pPr>
            <w:r>
              <w:rPr>
                <w:rFonts w:ascii="Times New Roman" w:hAnsi="Times New Roman"/>
              </w:rPr>
              <w:t>评价等级</w:t>
            </w:r>
          </w:p>
        </w:tc>
        <w:tc>
          <w:tcPr>
            <w:tcW w:w="7296" w:type="dxa"/>
            <w:gridSpan w:val="3"/>
            <w:vAlign w:val="center"/>
          </w:tcPr>
          <w:p>
            <w:pPr>
              <w:pStyle w:val="39"/>
              <w:rPr>
                <w:rFonts w:ascii="Times New Roman" w:hAnsi="Times New Roman"/>
              </w:rPr>
            </w:pPr>
            <w:r>
              <w:rPr>
                <w:rFonts w:ascii="Times New Roman" w:hAnsi="Times New Roman"/>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0" w:type="auto"/>
            <w:vMerge w:val="continue"/>
            <w:vAlign w:val="center"/>
          </w:tcPr>
          <w:p>
            <w:pPr>
              <w:pStyle w:val="39"/>
              <w:rPr>
                <w:rFonts w:ascii="Times New Roman" w:hAnsi="Times New Roman"/>
              </w:rPr>
            </w:pPr>
          </w:p>
        </w:tc>
        <w:tc>
          <w:tcPr>
            <w:tcW w:w="2263" w:type="dxa"/>
            <w:vAlign w:val="center"/>
          </w:tcPr>
          <w:p>
            <w:pPr>
              <w:pStyle w:val="39"/>
              <w:rPr>
                <w:rFonts w:ascii="Times New Roman" w:hAnsi="Times New Roman"/>
              </w:rPr>
            </w:pPr>
            <w:r>
              <w:rPr>
                <w:rFonts w:ascii="Times New Roman" w:hAnsi="Times New Roman"/>
              </w:rPr>
              <w:t>声环境功能区划</w:t>
            </w:r>
          </w:p>
        </w:tc>
        <w:tc>
          <w:tcPr>
            <w:tcW w:w="3261" w:type="dxa"/>
            <w:vAlign w:val="center"/>
          </w:tcPr>
          <w:p>
            <w:pPr>
              <w:pStyle w:val="39"/>
              <w:rPr>
                <w:rFonts w:ascii="Times New Roman" w:hAnsi="Times New Roman"/>
              </w:rPr>
            </w:pPr>
            <w:r>
              <w:rPr>
                <w:rFonts w:ascii="Times New Roman" w:hAnsi="Times New Roman"/>
              </w:rPr>
              <w:t>评价范围内敏感目标噪声级增量</w:t>
            </w:r>
          </w:p>
        </w:tc>
        <w:tc>
          <w:tcPr>
            <w:tcW w:w="1772" w:type="dxa"/>
            <w:vAlign w:val="center"/>
          </w:tcPr>
          <w:p>
            <w:pPr>
              <w:pStyle w:val="39"/>
              <w:rPr>
                <w:rFonts w:ascii="Times New Roman" w:hAnsi="Times New Roman"/>
              </w:rPr>
            </w:pPr>
            <w:r>
              <w:rPr>
                <w:rFonts w:ascii="Times New Roman" w:hAnsi="Times New Roman"/>
              </w:rPr>
              <w:t>受影响人口数量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7" w:type="dxa"/>
            <w:vAlign w:val="center"/>
          </w:tcPr>
          <w:p>
            <w:pPr>
              <w:pStyle w:val="39"/>
              <w:rPr>
                <w:rFonts w:ascii="Times New Roman" w:hAnsi="Times New Roman"/>
              </w:rPr>
            </w:pPr>
            <w:r>
              <w:rPr>
                <w:rFonts w:ascii="Times New Roman" w:hAnsi="Times New Roman"/>
              </w:rPr>
              <w:t>一级</w:t>
            </w:r>
          </w:p>
        </w:tc>
        <w:tc>
          <w:tcPr>
            <w:tcW w:w="2263" w:type="dxa"/>
            <w:vAlign w:val="center"/>
          </w:tcPr>
          <w:p>
            <w:pPr>
              <w:pStyle w:val="39"/>
              <w:rPr>
                <w:rFonts w:ascii="Times New Roman" w:hAnsi="Times New Roman"/>
              </w:rPr>
            </w:pPr>
            <w:r>
              <w:rPr>
                <w:rFonts w:ascii="Times New Roman" w:hAnsi="Times New Roman"/>
              </w:rPr>
              <w:t>0类区或对噪声有特别限制要求的保护区</w:t>
            </w:r>
          </w:p>
        </w:tc>
        <w:tc>
          <w:tcPr>
            <w:tcW w:w="3261" w:type="dxa"/>
            <w:vAlign w:val="center"/>
          </w:tcPr>
          <w:p>
            <w:pPr>
              <w:pStyle w:val="39"/>
              <w:rPr>
                <w:rFonts w:ascii="Times New Roman" w:hAnsi="Times New Roman"/>
              </w:rPr>
            </w:pPr>
            <w:r>
              <w:rPr>
                <w:rFonts w:ascii="Times New Roman" w:hAnsi="Times New Roman"/>
              </w:rPr>
              <w:t>＞5dB(A)</w:t>
            </w:r>
          </w:p>
        </w:tc>
        <w:tc>
          <w:tcPr>
            <w:tcW w:w="1772" w:type="dxa"/>
            <w:vAlign w:val="center"/>
          </w:tcPr>
          <w:p>
            <w:pPr>
              <w:pStyle w:val="39"/>
              <w:rPr>
                <w:rFonts w:ascii="Times New Roman" w:hAnsi="Times New Roman"/>
              </w:rPr>
            </w:pPr>
            <w:r>
              <w:rPr>
                <w:rFonts w:ascii="Times New Roman" w:hAnsi="Times New Roman"/>
              </w:rPr>
              <w:t>显著增多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7" w:type="dxa"/>
            <w:vAlign w:val="center"/>
          </w:tcPr>
          <w:p>
            <w:pPr>
              <w:pStyle w:val="39"/>
              <w:rPr>
                <w:rFonts w:ascii="Times New Roman" w:hAnsi="Times New Roman"/>
              </w:rPr>
            </w:pPr>
            <w:r>
              <w:rPr>
                <w:rFonts w:ascii="Times New Roman" w:hAnsi="Times New Roman"/>
              </w:rPr>
              <w:t>二级</w:t>
            </w:r>
          </w:p>
        </w:tc>
        <w:tc>
          <w:tcPr>
            <w:tcW w:w="2263" w:type="dxa"/>
            <w:vAlign w:val="center"/>
          </w:tcPr>
          <w:p>
            <w:pPr>
              <w:pStyle w:val="39"/>
              <w:rPr>
                <w:rFonts w:ascii="Times New Roman" w:hAnsi="Times New Roman"/>
              </w:rPr>
            </w:pPr>
            <w:r>
              <w:rPr>
                <w:rFonts w:ascii="Times New Roman" w:hAnsi="Times New Roman"/>
              </w:rPr>
              <w:t>1类、2类区</w:t>
            </w:r>
          </w:p>
        </w:tc>
        <w:tc>
          <w:tcPr>
            <w:tcW w:w="3261" w:type="dxa"/>
            <w:vAlign w:val="center"/>
          </w:tcPr>
          <w:p>
            <w:pPr>
              <w:pStyle w:val="39"/>
              <w:rPr>
                <w:rFonts w:ascii="Times New Roman" w:hAnsi="Times New Roman"/>
              </w:rPr>
            </w:pPr>
            <w:r>
              <w:rPr>
                <w:rFonts w:ascii="Times New Roman" w:hAnsi="Times New Roman"/>
              </w:rPr>
              <w:t>≥3dB(A)、≤5dB(A)</w:t>
            </w:r>
          </w:p>
        </w:tc>
        <w:tc>
          <w:tcPr>
            <w:tcW w:w="1772" w:type="dxa"/>
            <w:vAlign w:val="center"/>
          </w:tcPr>
          <w:p>
            <w:pPr>
              <w:pStyle w:val="39"/>
              <w:rPr>
                <w:rFonts w:ascii="Times New Roman" w:hAnsi="Times New Roman"/>
              </w:rPr>
            </w:pPr>
            <w:r>
              <w:rPr>
                <w:rFonts w:ascii="Times New Roman" w:hAnsi="Times New Roman"/>
              </w:rPr>
              <w:t>增加较多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7" w:type="dxa"/>
            <w:shd w:val="clear" w:color="auto" w:fill="auto"/>
            <w:vAlign w:val="center"/>
          </w:tcPr>
          <w:p>
            <w:pPr>
              <w:pStyle w:val="39"/>
              <w:rPr>
                <w:rFonts w:ascii="Times New Roman" w:hAnsi="Times New Roman"/>
              </w:rPr>
            </w:pPr>
            <w:r>
              <w:rPr>
                <w:rFonts w:ascii="Times New Roman" w:hAnsi="Times New Roman"/>
              </w:rPr>
              <w:t>三级</w:t>
            </w:r>
          </w:p>
        </w:tc>
        <w:tc>
          <w:tcPr>
            <w:tcW w:w="2263" w:type="dxa"/>
            <w:shd w:val="clear" w:color="auto" w:fill="auto"/>
            <w:vAlign w:val="center"/>
          </w:tcPr>
          <w:p>
            <w:pPr>
              <w:pStyle w:val="39"/>
              <w:rPr>
                <w:rFonts w:ascii="Times New Roman" w:hAnsi="Times New Roman"/>
              </w:rPr>
            </w:pPr>
            <w:r>
              <w:rPr>
                <w:rFonts w:ascii="Times New Roman" w:hAnsi="Times New Roman"/>
              </w:rPr>
              <w:t>3类、4类区</w:t>
            </w:r>
          </w:p>
        </w:tc>
        <w:tc>
          <w:tcPr>
            <w:tcW w:w="3261" w:type="dxa"/>
            <w:shd w:val="clear" w:color="auto" w:fill="auto"/>
            <w:vAlign w:val="center"/>
          </w:tcPr>
          <w:p>
            <w:pPr>
              <w:pStyle w:val="39"/>
              <w:rPr>
                <w:rFonts w:ascii="Times New Roman" w:hAnsi="Times New Roman"/>
              </w:rPr>
            </w:pPr>
            <w:r>
              <w:rPr>
                <w:rFonts w:ascii="Times New Roman" w:hAnsi="Times New Roman"/>
              </w:rPr>
              <w:t>＜3dB(A)</w:t>
            </w:r>
          </w:p>
        </w:tc>
        <w:tc>
          <w:tcPr>
            <w:tcW w:w="1772" w:type="dxa"/>
            <w:shd w:val="clear" w:color="auto" w:fill="auto"/>
            <w:vAlign w:val="center"/>
          </w:tcPr>
          <w:p>
            <w:pPr>
              <w:pStyle w:val="39"/>
              <w:rPr>
                <w:rFonts w:ascii="Times New Roman" w:hAnsi="Times New Roman"/>
              </w:rPr>
            </w:pPr>
            <w:r>
              <w:rPr>
                <w:rFonts w:ascii="Times New Roman" w:hAnsi="Times New Roman"/>
              </w:rPr>
              <w:t>变化不大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43" w:type="dxa"/>
            <w:gridSpan w:val="4"/>
            <w:vAlign w:val="center"/>
          </w:tcPr>
          <w:p>
            <w:pPr>
              <w:pStyle w:val="39"/>
              <w:rPr>
                <w:rFonts w:ascii="Times New Roman" w:hAnsi="Times New Roman"/>
              </w:rPr>
            </w:pPr>
            <w:r>
              <w:rPr>
                <w:rFonts w:ascii="Times New Roman" w:hAnsi="Times New Roman"/>
              </w:rPr>
              <w:t>符合两个以上级别的，按较高级别的评价</w:t>
            </w:r>
          </w:p>
        </w:tc>
      </w:tr>
    </w:tbl>
    <w:p>
      <w:pPr>
        <w:pStyle w:val="5"/>
        <w:rPr>
          <w:rFonts w:ascii="Times New Roman" w:hAnsi="Times New Roman"/>
        </w:rPr>
      </w:pPr>
      <w:r>
        <w:rPr>
          <w:rFonts w:ascii="Times New Roman" w:hAnsi="Times New Roman"/>
        </w:rPr>
        <w:t>评价范围</w:t>
      </w:r>
    </w:p>
    <w:p>
      <w:pPr>
        <w:ind w:firstLine="480"/>
        <w:rPr>
          <w:rFonts w:ascii="Times New Roman" w:hAnsi="Times New Roman"/>
        </w:rPr>
      </w:pPr>
      <w:r>
        <w:rPr>
          <w:rFonts w:ascii="Times New Roman" w:hAnsi="Times New Roman"/>
        </w:rPr>
        <w:t>根据导则要求，结合项目周边居民点分布情况以及井场设备高噪声值、昼夜连续施工的工程特点，声环境影响评价区涵盖所有噪声影响区域，确定本项目评价范围为各井站、清管站边界外200m范围，以及集输管线两侧各200m的范围。详见附图9。</w:t>
      </w:r>
    </w:p>
    <w:p>
      <w:pPr>
        <w:pStyle w:val="4"/>
        <w:rPr>
          <w:rFonts w:ascii="Times New Roman" w:hAnsi="Times New Roman" w:cs="Times New Roman"/>
        </w:rPr>
      </w:pPr>
      <w:r>
        <w:rPr>
          <w:rFonts w:ascii="Times New Roman" w:hAnsi="Times New Roman" w:cs="Times New Roman"/>
        </w:rPr>
        <w:t>生态环境</w:t>
      </w:r>
    </w:p>
    <w:p>
      <w:pPr>
        <w:pStyle w:val="5"/>
        <w:rPr>
          <w:rFonts w:ascii="Times New Roman" w:hAnsi="Times New Roman"/>
        </w:rPr>
      </w:pPr>
      <w:r>
        <w:rPr>
          <w:rFonts w:ascii="Times New Roman" w:hAnsi="Times New Roman"/>
        </w:rPr>
        <w:t>评价等级</w:t>
      </w:r>
    </w:p>
    <w:p>
      <w:pPr>
        <w:ind w:firstLine="480"/>
        <w:rPr>
          <w:rFonts w:ascii="Times New Roman" w:hAnsi="Times New Roman"/>
        </w:rPr>
      </w:pPr>
      <w:r>
        <w:rPr>
          <w:rFonts w:ascii="Times New Roman" w:hAnsi="Times New Roman"/>
        </w:rPr>
        <w:t>本项目为地面集输工程，新建井站地面设施及集输管道工程，项目永久占地2.69hm</w:t>
      </w:r>
      <w:r>
        <w:rPr>
          <w:rFonts w:ascii="Times New Roman" w:hAnsi="Times New Roman"/>
          <w:vertAlign w:val="superscript"/>
        </w:rPr>
        <w:t>2</w:t>
      </w:r>
      <w:r>
        <w:rPr>
          <w:rFonts w:ascii="Times New Roman" w:hAnsi="Times New Roman"/>
        </w:rPr>
        <w:t>，临时占地32.81hm</w:t>
      </w:r>
      <w:r>
        <w:rPr>
          <w:rFonts w:ascii="Times New Roman" w:hAnsi="Times New Roman"/>
          <w:vertAlign w:val="superscript"/>
        </w:rPr>
        <w:t>2</w:t>
      </w:r>
      <w:r>
        <w:rPr>
          <w:rFonts w:ascii="Times New Roman" w:hAnsi="Times New Roman"/>
        </w:rPr>
        <w:t>。</w:t>
      </w:r>
    </w:p>
    <w:p>
      <w:pPr>
        <w:ind w:firstLine="480"/>
        <w:rPr>
          <w:rFonts w:ascii="Times New Roman" w:hAnsi="Times New Roman"/>
        </w:rPr>
      </w:pPr>
      <w:r>
        <w:rPr>
          <w:rFonts w:ascii="Times New Roman" w:hAnsi="Times New Roman"/>
        </w:rPr>
        <w:t>根据《环境影响评价技术导则 陆地石油天然气开发建设项目》（HJ349-2023）和《环境影响评价技术导则 生态影响》（HJ19-2022）中关于生态影响评价工作等级划分的原则，结合本项目占地面积及所在地环境特点，确定本项目生态影响评价等级。</w:t>
      </w:r>
    </w:p>
    <w:p>
      <w:pPr>
        <w:ind w:firstLine="480"/>
        <w:rPr>
          <w:rFonts w:ascii="Times New Roman" w:hAnsi="Times New Roman"/>
        </w:rPr>
      </w:pPr>
      <w:r>
        <w:rPr>
          <w:rFonts w:ascii="Times New Roman" w:hAnsi="Times New Roman"/>
        </w:rPr>
        <w:t>根据</w:t>
      </w:r>
      <w:r>
        <w:rPr>
          <w:rFonts w:ascii="Times New Roman" w:hAnsi="Times New Roman"/>
        </w:rPr>
        <w:fldChar w:fldCharType="begin"/>
      </w:r>
      <w:r>
        <w:rPr>
          <w:rFonts w:ascii="Times New Roman" w:hAnsi="Times New Roman"/>
        </w:rPr>
        <w:instrText xml:space="preserve"> REF _Ref151470617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19</w:t>
      </w:r>
      <w:r>
        <w:rPr>
          <w:rFonts w:ascii="Times New Roman" w:hAnsi="Times New Roman"/>
        </w:rPr>
        <w:fldChar w:fldCharType="end"/>
      </w:r>
      <w:r>
        <w:rPr>
          <w:rFonts w:ascii="Times New Roman" w:hAnsi="Times New Roman"/>
        </w:rPr>
        <w:t>生态评价等级判定及调整原则，本项目陆生生态评价等级为二级，水生生态评价等级为三级。</w:t>
      </w:r>
    </w:p>
    <w:p>
      <w:pPr>
        <w:pStyle w:val="37"/>
        <w:rPr>
          <w:rFonts w:ascii="Times New Roman" w:hAnsi="Times New Roman" w:cs="Times New Roman"/>
        </w:rPr>
      </w:pPr>
      <w:bookmarkStart w:id="26" w:name="_Ref15147061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19</w:t>
      </w:r>
      <w:r>
        <w:rPr>
          <w:rFonts w:ascii="Times New Roman" w:hAnsi="Times New Roman" w:cs="Times New Roman"/>
        </w:rPr>
        <w:fldChar w:fldCharType="end"/>
      </w:r>
      <w:bookmarkEnd w:id="26"/>
      <w:r>
        <w:rPr>
          <w:rFonts w:ascii="Times New Roman" w:hAnsi="Times New Roman" w:cs="Times New Roman"/>
        </w:rPr>
        <w:t xml:space="preserve">  生态评价判定等级原则</w:t>
      </w:r>
    </w:p>
    <w:tbl>
      <w:tblPr>
        <w:tblStyle w:val="28"/>
        <w:tblpPr w:leftFromText="180" w:rightFromText="180" w:vertAnchor="text" w:horzAnchor="margin" w:tblpXSpec="center" w:tblpY="268"/>
        <w:tblW w:w="520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33"/>
        <w:gridCol w:w="4111"/>
        <w:gridCol w:w="2082"/>
        <w:gridCol w:w="993"/>
        <w:gridCol w:w="1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4" w:hRule="atLeast"/>
        </w:trPr>
        <w:tc>
          <w:tcPr>
            <w:tcW w:w="2568" w:type="pct"/>
            <w:gridSpan w:val="2"/>
            <w:vMerge w:val="restart"/>
            <w:vAlign w:val="center"/>
          </w:tcPr>
          <w:p>
            <w:pPr>
              <w:pStyle w:val="39"/>
              <w:rPr>
                <w:rFonts w:ascii="Times New Roman" w:hAnsi="Times New Roman"/>
                <w:lang w:bidi="ar"/>
              </w:rPr>
            </w:pPr>
            <w:r>
              <w:rPr>
                <w:rFonts w:ascii="Times New Roman" w:hAnsi="Times New Roman"/>
                <w:lang w:bidi="ar"/>
              </w:rPr>
              <w:t>条目</w:t>
            </w:r>
          </w:p>
        </w:tc>
        <w:tc>
          <w:tcPr>
            <w:tcW w:w="1203" w:type="pct"/>
            <w:vMerge w:val="restart"/>
            <w:shd w:val="clear" w:color="auto" w:fill="auto"/>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本项目情况</w:t>
            </w:r>
          </w:p>
        </w:tc>
        <w:tc>
          <w:tcPr>
            <w:tcW w:w="1229" w:type="pct"/>
            <w:gridSpan w:val="2"/>
            <w:vAlign w:val="center"/>
          </w:tcPr>
          <w:p>
            <w:pPr>
              <w:pStyle w:val="39"/>
              <w:rPr>
                <w:rFonts w:ascii="Times New Roman" w:hAnsi="Times New Roman"/>
                <w:lang w:bidi="ar"/>
              </w:rPr>
            </w:pPr>
            <w:r>
              <w:rPr>
                <w:rFonts w:ascii="Times New Roman" w:hAnsi="Times New Roman"/>
                <w:lang w:bidi="ar"/>
              </w:rPr>
              <w:t>判定结果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4" w:hRule="atLeast"/>
        </w:trPr>
        <w:tc>
          <w:tcPr>
            <w:tcW w:w="2568" w:type="pct"/>
            <w:gridSpan w:val="2"/>
            <w:vMerge w:val="continue"/>
            <w:vAlign w:val="center"/>
          </w:tcPr>
          <w:p>
            <w:pPr>
              <w:pStyle w:val="39"/>
              <w:rPr>
                <w:rFonts w:ascii="Times New Roman" w:hAnsi="Times New Roman"/>
                <w:lang w:bidi="ar"/>
              </w:rPr>
            </w:pPr>
          </w:p>
        </w:tc>
        <w:tc>
          <w:tcPr>
            <w:tcW w:w="1203" w:type="pct"/>
            <w:vMerge w:val="continue"/>
            <w:shd w:val="clear" w:color="auto" w:fill="auto"/>
            <w:noWrap/>
            <w:tcMar>
              <w:top w:w="15" w:type="dxa"/>
              <w:left w:w="15" w:type="dxa"/>
              <w:right w:w="15" w:type="dxa"/>
            </w:tcMar>
            <w:vAlign w:val="center"/>
          </w:tcPr>
          <w:p>
            <w:pPr>
              <w:pStyle w:val="39"/>
              <w:rPr>
                <w:rFonts w:ascii="Times New Roman" w:hAnsi="Times New Roman"/>
                <w:lang w:bidi="ar"/>
              </w:rPr>
            </w:pPr>
          </w:p>
        </w:tc>
        <w:tc>
          <w:tcPr>
            <w:tcW w:w="574" w:type="pct"/>
            <w:vAlign w:val="center"/>
          </w:tcPr>
          <w:p>
            <w:pPr>
              <w:pStyle w:val="39"/>
              <w:rPr>
                <w:rFonts w:ascii="Times New Roman" w:hAnsi="Times New Roman"/>
                <w:lang w:bidi="ar"/>
              </w:rPr>
            </w:pPr>
            <w:r>
              <w:rPr>
                <w:rFonts w:ascii="Times New Roman" w:hAnsi="Times New Roman"/>
                <w:lang w:bidi="ar"/>
              </w:rPr>
              <w:t>陆生</w:t>
            </w:r>
          </w:p>
        </w:tc>
        <w:tc>
          <w:tcPr>
            <w:tcW w:w="655" w:type="pct"/>
            <w:vAlign w:val="center"/>
          </w:tcPr>
          <w:p>
            <w:pPr>
              <w:pStyle w:val="39"/>
              <w:rPr>
                <w:rFonts w:ascii="Times New Roman" w:hAnsi="Times New Roman"/>
                <w:lang w:bidi="ar"/>
              </w:rPr>
            </w:pPr>
            <w:r>
              <w:rPr>
                <w:rFonts w:ascii="Times New Roman" w:hAnsi="Times New Roman"/>
                <w:lang w:bidi="ar"/>
              </w:rPr>
              <w:t>水生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92" w:type="pct"/>
            <w:vMerge w:val="restart"/>
            <w:vAlign w:val="center"/>
          </w:tcPr>
          <w:p>
            <w:pPr>
              <w:pStyle w:val="39"/>
              <w:rPr>
                <w:rFonts w:ascii="Times New Roman" w:hAnsi="Times New Roman"/>
                <w:b/>
                <w:bCs/>
                <w:lang w:bidi="ar"/>
              </w:rPr>
            </w:pPr>
            <w:r>
              <w:rPr>
                <w:rFonts w:ascii="Times New Roman" w:hAnsi="Times New Roman"/>
                <w:b/>
                <w:bCs/>
                <w:lang w:bidi="ar"/>
              </w:rPr>
              <w:t>确定原则</w:t>
            </w:r>
          </w:p>
        </w:tc>
        <w:tc>
          <w:tcPr>
            <w:tcW w:w="2376" w:type="pct"/>
            <w:shd w:val="clear" w:color="auto" w:fill="auto"/>
            <w:noWrap/>
            <w:tcMar>
              <w:top w:w="15" w:type="dxa"/>
              <w:left w:w="15" w:type="dxa"/>
              <w:right w:w="15" w:type="dxa"/>
            </w:tcMar>
            <w:vAlign w:val="center"/>
          </w:tcPr>
          <w:p>
            <w:pPr>
              <w:pStyle w:val="39"/>
              <w:jc w:val="left"/>
              <w:rPr>
                <w:rFonts w:ascii="Times New Roman" w:hAnsi="Times New Roman"/>
                <w:lang w:bidi="ar"/>
              </w:rPr>
            </w:pPr>
            <w:r>
              <w:rPr>
                <w:rFonts w:ascii="Times New Roman" w:hAnsi="Times New Roman"/>
                <w:lang w:bidi="ar"/>
              </w:rPr>
              <w:t>a.涉及国家公园、自然保护区、世界自然遗产、重要生境时，评价等级为一级</w:t>
            </w:r>
          </w:p>
        </w:tc>
        <w:tc>
          <w:tcPr>
            <w:tcW w:w="1203" w:type="pct"/>
            <w:shd w:val="clear" w:color="auto" w:fill="auto"/>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不涉及</w:t>
            </w:r>
          </w:p>
        </w:tc>
        <w:tc>
          <w:tcPr>
            <w:tcW w:w="574" w:type="pct"/>
            <w:vAlign w:val="center"/>
          </w:tcPr>
          <w:p>
            <w:pPr>
              <w:pStyle w:val="39"/>
              <w:rPr>
                <w:rFonts w:ascii="Times New Roman" w:hAnsi="Times New Roman"/>
                <w:lang w:bidi="ar"/>
              </w:rPr>
            </w:pPr>
            <w:r>
              <w:rPr>
                <w:rFonts w:ascii="Times New Roman" w:hAnsi="Times New Roman"/>
                <w:lang w:bidi="ar"/>
              </w:rPr>
              <w:t>三级</w:t>
            </w:r>
          </w:p>
        </w:tc>
        <w:tc>
          <w:tcPr>
            <w:tcW w:w="655" w:type="pct"/>
            <w:vAlign w:val="center"/>
          </w:tcPr>
          <w:p>
            <w:pPr>
              <w:pStyle w:val="39"/>
              <w:rPr>
                <w:rFonts w:ascii="Times New Roman" w:hAnsi="Times New Roman"/>
                <w:lang w:bidi="ar"/>
              </w:rPr>
            </w:pPr>
            <w:r>
              <w:rPr>
                <w:rFonts w:ascii="Times New Roman" w:hAnsi="Times New Roman"/>
                <w:lang w:bidi="ar"/>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92" w:type="pct"/>
            <w:vMerge w:val="continue"/>
            <w:vAlign w:val="center"/>
          </w:tcPr>
          <w:p>
            <w:pPr>
              <w:pStyle w:val="39"/>
              <w:jc w:val="left"/>
              <w:rPr>
                <w:rFonts w:ascii="Times New Roman" w:hAnsi="Times New Roman"/>
                <w:lang w:bidi="ar"/>
              </w:rPr>
            </w:pPr>
          </w:p>
        </w:tc>
        <w:tc>
          <w:tcPr>
            <w:tcW w:w="2376" w:type="pct"/>
            <w:shd w:val="clear" w:color="auto" w:fill="auto"/>
            <w:noWrap/>
            <w:tcMar>
              <w:top w:w="15" w:type="dxa"/>
              <w:left w:w="15" w:type="dxa"/>
              <w:right w:w="15" w:type="dxa"/>
            </w:tcMar>
            <w:vAlign w:val="center"/>
          </w:tcPr>
          <w:p>
            <w:pPr>
              <w:pStyle w:val="39"/>
              <w:jc w:val="left"/>
              <w:rPr>
                <w:rFonts w:ascii="Times New Roman" w:hAnsi="Times New Roman"/>
                <w:lang w:bidi="ar"/>
              </w:rPr>
            </w:pPr>
            <w:r>
              <w:rPr>
                <w:rFonts w:ascii="Times New Roman" w:hAnsi="Times New Roman"/>
                <w:lang w:bidi="ar"/>
              </w:rPr>
              <w:t>b.涉及自然公园时，评价等级为二级</w:t>
            </w:r>
          </w:p>
        </w:tc>
        <w:tc>
          <w:tcPr>
            <w:tcW w:w="1203" w:type="pct"/>
            <w:shd w:val="clear" w:color="auto" w:fill="auto"/>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集输管道评价范围内有百里峡风景名胜区</w:t>
            </w:r>
          </w:p>
        </w:tc>
        <w:tc>
          <w:tcPr>
            <w:tcW w:w="574" w:type="pct"/>
            <w:vAlign w:val="center"/>
          </w:tcPr>
          <w:p>
            <w:pPr>
              <w:pStyle w:val="39"/>
              <w:rPr>
                <w:rFonts w:ascii="Times New Roman" w:hAnsi="Times New Roman"/>
                <w:lang w:bidi="ar"/>
              </w:rPr>
            </w:pPr>
            <w:r>
              <w:rPr>
                <w:rFonts w:ascii="Times New Roman" w:hAnsi="Times New Roman"/>
                <w:lang w:bidi="ar"/>
              </w:rPr>
              <w:t>二级</w:t>
            </w:r>
          </w:p>
        </w:tc>
        <w:tc>
          <w:tcPr>
            <w:tcW w:w="655" w:type="pct"/>
            <w:vAlign w:val="center"/>
          </w:tcPr>
          <w:p>
            <w:pPr>
              <w:pStyle w:val="39"/>
              <w:rPr>
                <w:rFonts w:ascii="Times New Roman" w:hAnsi="Times New Roman"/>
                <w:lang w:bidi="ar"/>
              </w:rPr>
            </w:pPr>
            <w:r>
              <w:rPr>
                <w:rFonts w:ascii="Times New Roman" w:hAnsi="Times New Roman"/>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92" w:type="pct"/>
            <w:vMerge w:val="continue"/>
            <w:vAlign w:val="center"/>
          </w:tcPr>
          <w:p>
            <w:pPr>
              <w:pStyle w:val="39"/>
              <w:jc w:val="left"/>
              <w:rPr>
                <w:rFonts w:ascii="Times New Roman" w:hAnsi="Times New Roman"/>
                <w:lang w:bidi="ar"/>
              </w:rPr>
            </w:pPr>
          </w:p>
        </w:tc>
        <w:tc>
          <w:tcPr>
            <w:tcW w:w="2376" w:type="pct"/>
            <w:shd w:val="clear" w:color="auto" w:fill="auto"/>
            <w:noWrap/>
            <w:tcMar>
              <w:top w:w="15" w:type="dxa"/>
              <w:left w:w="15" w:type="dxa"/>
              <w:right w:w="15" w:type="dxa"/>
            </w:tcMar>
            <w:vAlign w:val="center"/>
          </w:tcPr>
          <w:p>
            <w:pPr>
              <w:pStyle w:val="39"/>
              <w:jc w:val="left"/>
              <w:rPr>
                <w:rFonts w:ascii="Times New Roman" w:hAnsi="Times New Roman"/>
                <w:lang w:bidi="ar"/>
              </w:rPr>
            </w:pPr>
            <w:r>
              <w:rPr>
                <w:rFonts w:ascii="Times New Roman" w:hAnsi="Times New Roman"/>
                <w:lang w:bidi="ar"/>
              </w:rPr>
              <w:t>c.涉及生态保护红线时，评价等级不低于二级</w:t>
            </w:r>
          </w:p>
        </w:tc>
        <w:tc>
          <w:tcPr>
            <w:tcW w:w="1203" w:type="pct"/>
            <w:shd w:val="clear" w:color="auto" w:fill="auto"/>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不涉及</w:t>
            </w:r>
          </w:p>
        </w:tc>
        <w:tc>
          <w:tcPr>
            <w:tcW w:w="574" w:type="pct"/>
            <w:vAlign w:val="center"/>
          </w:tcPr>
          <w:p>
            <w:pPr>
              <w:pStyle w:val="39"/>
              <w:rPr>
                <w:rFonts w:ascii="Times New Roman" w:hAnsi="Times New Roman"/>
                <w:lang w:bidi="ar"/>
              </w:rPr>
            </w:pPr>
            <w:r>
              <w:rPr>
                <w:rFonts w:ascii="Times New Roman" w:hAnsi="Times New Roman"/>
                <w:lang w:bidi="ar"/>
              </w:rPr>
              <w:t>三级</w:t>
            </w:r>
          </w:p>
        </w:tc>
        <w:tc>
          <w:tcPr>
            <w:tcW w:w="655" w:type="pct"/>
            <w:vAlign w:val="center"/>
          </w:tcPr>
          <w:p>
            <w:pPr>
              <w:pStyle w:val="39"/>
              <w:rPr>
                <w:rFonts w:ascii="Times New Roman" w:hAnsi="Times New Roman"/>
                <w:lang w:bidi="ar"/>
              </w:rPr>
            </w:pPr>
            <w:r>
              <w:rPr>
                <w:rFonts w:ascii="Times New Roman" w:hAnsi="Times New Roman"/>
                <w:lang w:bidi="ar"/>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0" w:hRule="atLeast"/>
        </w:trPr>
        <w:tc>
          <w:tcPr>
            <w:tcW w:w="192" w:type="pct"/>
            <w:vMerge w:val="continue"/>
            <w:vAlign w:val="center"/>
          </w:tcPr>
          <w:p>
            <w:pPr>
              <w:pStyle w:val="39"/>
              <w:jc w:val="left"/>
              <w:rPr>
                <w:rFonts w:ascii="Times New Roman" w:hAnsi="Times New Roman"/>
                <w:lang w:bidi="ar"/>
              </w:rPr>
            </w:pPr>
          </w:p>
        </w:tc>
        <w:tc>
          <w:tcPr>
            <w:tcW w:w="2376" w:type="pct"/>
            <w:shd w:val="clear" w:color="auto" w:fill="auto"/>
            <w:tcMar>
              <w:top w:w="15" w:type="dxa"/>
              <w:left w:w="15" w:type="dxa"/>
              <w:right w:w="15" w:type="dxa"/>
            </w:tcMar>
            <w:vAlign w:val="center"/>
          </w:tcPr>
          <w:p>
            <w:pPr>
              <w:pStyle w:val="39"/>
              <w:jc w:val="left"/>
              <w:rPr>
                <w:rFonts w:ascii="Times New Roman" w:hAnsi="Times New Roman"/>
                <w:lang w:bidi="ar"/>
              </w:rPr>
            </w:pPr>
            <w:r>
              <w:rPr>
                <w:rFonts w:ascii="Times New Roman" w:hAnsi="Times New Roman"/>
                <w:lang w:bidi="ar"/>
              </w:rPr>
              <w:t>d.根据 HJ 2.3 判断属于水文要素影响型且地表水评价等级不低于二级的建设项目，生态影响评价等级不低于二级</w:t>
            </w:r>
          </w:p>
        </w:tc>
        <w:tc>
          <w:tcPr>
            <w:tcW w:w="1203" w:type="pct"/>
            <w:shd w:val="clear" w:color="auto" w:fill="auto"/>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本项目的地表水环境影响评价工作等级为三级B</w:t>
            </w:r>
          </w:p>
        </w:tc>
        <w:tc>
          <w:tcPr>
            <w:tcW w:w="574" w:type="pct"/>
            <w:vAlign w:val="center"/>
          </w:tcPr>
          <w:p>
            <w:pPr>
              <w:pStyle w:val="39"/>
              <w:rPr>
                <w:rFonts w:ascii="Times New Roman" w:hAnsi="Times New Roman"/>
                <w:lang w:bidi="ar"/>
              </w:rPr>
            </w:pPr>
            <w:r>
              <w:rPr>
                <w:rFonts w:ascii="Times New Roman" w:hAnsi="Times New Roman"/>
                <w:lang w:bidi="ar"/>
              </w:rPr>
              <w:t>/</w:t>
            </w:r>
          </w:p>
        </w:tc>
        <w:tc>
          <w:tcPr>
            <w:tcW w:w="655" w:type="pct"/>
            <w:vAlign w:val="center"/>
          </w:tcPr>
          <w:p>
            <w:pPr>
              <w:pStyle w:val="39"/>
              <w:rPr>
                <w:rFonts w:ascii="Times New Roman" w:hAnsi="Times New Roman"/>
                <w:lang w:bidi="ar"/>
              </w:rPr>
            </w:pPr>
            <w:r>
              <w:rPr>
                <w:rFonts w:ascii="Times New Roman" w:hAnsi="Times New Roman"/>
                <w:lang w:bidi="ar"/>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20" w:hRule="atLeast"/>
        </w:trPr>
        <w:tc>
          <w:tcPr>
            <w:tcW w:w="192" w:type="pct"/>
            <w:vMerge w:val="continue"/>
            <w:vAlign w:val="center"/>
          </w:tcPr>
          <w:p>
            <w:pPr>
              <w:pStyle w:val="39"/>
              <w:jc w:val="left"/>
              <w:rPr>
                <w:rFonts w:ascii="Times New Roman" w:hAnsi="Times New Roman"/>
                <w:lang w:bidi="ar"/>
              </w:rPr>
            </w:pPr>
          </w:p>
        </w:tc>
        <w:tc>
          <w:tcPr>
            <w:tcW w:w="2376" w:type="pct"/>
            <w:shd w:val="clear" w:color="auto" w:fill="auto"/>
            <w:tcMar>
              <w:top w:w="15" w:type="dxa"/>
              <w:left w:w="15" w:type="dxa"/>
              <w:right w:w="15" w:type="dxa"/>
            </w:tcMar>
            <w:vAlign w:val="center"/>
          </w:tcPr>
          <w:p>
            <w:pPr>
              <w:pStyle w:val="39"/>
              <w:jc w:val="left"/>
              <w:rPr>
                <w:rFonts w:ascii="Times New Roman" w:hAnsi="Times New Roman"/>
                <w:lang w:bidi="ar"/>
              </w:rPr>
            </w:pPr>
            <w:r>
              <w:rPr>
                <w:rFonts w:ascii="Times New Roman" w:hAnsi="Times New Roman"/>
                <w:lang w:bidi="ar"/>
              </w:rPr>
              <w:t>e.根据 HJ 610、HJ 964 判断地下水水位或土壤影响范围内分布有天然林、公益林、湿地等生态保护目标的建设项目，生态影响评价等级不低于二级</w:t>
            </w:r>
          </w:p>
        </w:tc>
        <w:tc>
          <w:tcPr>
            <w:tcW w:w="1203" w:type="pct"/>
            <w:shd w:val="clear" w:color="auto" w:fill="auto"/>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土壤影响范围内分布有天然林、公益林生态影响评价等级不低于二级</w:t>
            </w:r>
          </w:p>
        </w:tc>
        <w:tc>
          <w:tcPr>
            <w:tcW w:w="574" w:type="pct"/>
            <w:vAlign w:val="center"/>
          </w:tcPr>
          <w:p>
            <w:pPr>
              <w:pStyle w:val="39"/>
              <w:rPr>
                <w:rFonts w:ascii="Times New Roman" w:hAnsi="Times New Roman"/>
                <w:lang w:bidi="ar"/>
              </w:rPr>
            </w:pPr>
            <w:r>
              <w:rPr>
                <w:rFonts w:ascii="Times New Roman" w:hAnsi="Times New Roman"/>
                <w:lang w:bidi="ar"/>
              </w:rPr>
              <w:t>二级</w:t>
            </w:r>
          </w:p>
        </w:tc>
        <w:tc>
          <w:tcPr>
            <w:tcW w:w="655" w:type="pct"/>
            <w:vAlign w:val="center"/>
          </w:tcPr>
          <w:p>
            <w:pPr>
              <w:pStyle w:val="39"/>
              <w:rPr>
                <w:rFonts w:ascii="Times New Roman" w:hAnsi="Times New Roman"/>
                <w:lang w:bidi="ar"/>
              </w:rPr>
            </w:pPr>
            <w:r>
              <w:rPr>
                <w:rFonts w:ascii="Times New Roman" w:hAnsi="Times New Roman"/>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0" w:hRule="atLeast"/>
        </w:trPr>
        <w:tc>
          <w:tcPr>
            <w:tcW w:w="192" w:type="pct"/>
            <w:vMerge w:val="continue"/>
            <w:vAlign w:val="center"/>
          </w:tcPr>
          <w:p>
            <w:pPr>
              <w:pStyle w:val="39"/>
              <w:jc w:val="left"/>
              <w:rPr>
                <w:rFonts w:ascii="Times New Roman" w:hAnsi="Times New Roman"/>
                <w:lang w:bidi="ar"/>
              </w:rPr>
            </w:pPr>
          </w:p>
        </w:tc>
        <w:tc>
          <w:tcPr>
            <w:tcW w:w="2376" w:type="pct"/>
            <w:shd w:val="clear" w:color="auto" w:fill="auto"/>
            <w:tcMar>
              <w:top w:w="15" w:type="dxa"/>
              <w:left w:w="15" w:type="dxa"/>
              <w:right w:w="15" w:type="dxa"/>
            </w:tcMar>
            <w:vAlign w:val="center"/>
          </w:tcPr>
          <w:p>
            <w:pPr>
              <w:pStyle w:val="39"/>
              <w:jc w:val="left"/>
              <w:rPr>
                <w:rFonts w:ascii="Times New Roman" w:hAnsi="Times New Roman"/>
                <w:lang w:bidi="ar"/>
              </w:rPr>
            </w:pPr>
            <w:r>
              <w:rPr>
                <w:rFonts w:ascii="Times New Roman" w:hAnsi="Times New Roman"/>
                <w:lang w:bidi="ar"/>
              </w:rPr>
              <w:t>f.当工程占地规模大于 20 km</w:t>
            </w:r>
            <w:r>
              <w:rPr>
                <w:rFonts w:ascii="Times New Roman" w:hAnsi="Times New Roman"/>
                <w:vertAlign w:val="superscript"/>
                <w:lang w:bidi="ar"/>
              </w:rPr>
              <w:t xml:space="preserve">2 </w:t>
            </w:r>
            <w:r>
              <w:rPr>
                <w:rFonts w:ascii="Times New Roman" w:hAnsi="Times New Roman"/>
                <w:lang w:bidi="ar"/>
              </w:rPr>
              <w:t>时（包括永久和临时占用陆域和水域），评价等级不低于二级；改扩建项目的占地范围以新增占地（包括陆域和水域）确定</w:t>
            </w:r>
          </w:p>
        </w:tc>
        <w:tc>
          <w:tcPr>
            <w:tcW w:w="1203" w:type="pct"/>
            <w:shd w:val="clear" w:color="auto" w:fill="auto"/>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工程占地规模小于20 km</w:t>
            </w:r>
            <w:r>
              <w:rPr>
                <w:rFonts w:ascii="Times New Roman" w:hAnsi="Times New Roman"/>
                <w:vertAlign w:val="superscript"/>
                <w:lang w:bidi="ar"/>
              </w:rPr>
              <w:t>2</w:t>
            </w:r>
            <w:r>
              <w:rPr>
                <w:rFonts w:ascii="Times New Roman" w:hAnsi="Times New Roman"/>
                <w:lang w:bidi="ar"/>
              </w:rPr>
              <w:t xml:space="preserve"> </w:t>
            </w:r>
          </w:p>
        </w:tc>
        <w:tc>
          <w:tcPr>
            <w:tcW w:w="574" w:type="pct"/>
            <w:vAlign w:val="center"/>
          </w:tcPr>
          <w:p>
            <w:pPr>
              <w:pStyle w:val="39"/>
              <w:rPr>
                <w:rFonts w:ascii="Times New Roman" w:hAnsi="Times New Roman"/>
                <w:lang w:bidi="ar"/>
              </w:rPr>
            </w:pPr>
            <w:r>
              <w:rPr>
                <w:rFonts w:ascii="Times New Roman" w:hAnsi="Times New Roman"/>
                <w:lang w:bidi="ar"/>
              </w:rPr>
              <w:t>三级</w:t>
            </w:r>
          </w:p>
        </w:tc>
        <w:tc>
          <w:tcPr>
            <w:tcW w:w="655" w:type="pct"/>
            <w:vAlign w:val="center"/>
          </w:tcPr>
          <w:p>
            <w:pPr>
              <w:pStyle w:val="39"/>
              <w:rPr>
                <w:rFonts w:ascii="Times New Roman" w:hAnsi="Times New Roman"/>
                <w:lang w:bidi="ar"/>
              </w:rPr>
            </w:pPr>
            <w:r>
              <w:rPr>
                <w:rFonts w:ascii="Times New Roman" w:hAnsi="Times New Roman"/>
                <w:lang w:bidi="ar"/>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0" w:hRule="atLeast"/>
        </w:trPr>
        <w:tc>
          <w:tcPr>
            <w:tcW w:w="192" w:type="pct"/>
            <w:vMerge w:val="continue"/>
            <w:vAlign w:val="center"/>
          </w:tcPr>
          <w:p>
            <w:pPr>
              <w:pStyle w:val="39"/>
              <w:jc w:val="left"/>
              <w:rPr>
                <w:rFonts w:ascii="Times New Roman" w:hAnsi="Times New Roman"/>
                <w:lang w:bidi="ar"/>
              </w:rPr>
            </w:pPr>
          </w:p>
        </w:tc>
        <w:tc>
          <w:tcPr>
            <w:tcW w:w="2376" w:type="pct"/>
            <w:shd w:val="clear" w:color="auto" w:fill="auto"/>
            <w:noWrap/>
            <w:tcMar>
              <w:top w:w="15" w:type="dxa"/>
              <w:left w:w="15" w:type="dxa"/>
              <w:right w:w="15" w:type="dxa"/>
            </w:tcMar>
            <w:vAlign w:val="center"/>
          </w:tcPr>
          <w:p>
            <w:pPr>
              <w:pStyle w:val="39"/>
              <w:jc w:val="left"/>
              <w:rPr>
                <w:rFonts w:ascii="Times New Roman" w:hAnsi="Times New Roman"/>
                <w:lang w:bidi="ar"/>
              </w:rPr>
            </w:pPr>
            <w:r>
              <w:rPr>
                <w:rFonts w:ascii="Times New Roman" w:hAnsi="Times New Roman"/>
                <w:lang w:bidi="ar"/>
              </w:rPr>
              <w:t>g．除本条 a、b、c、d、e、f以外的情况，评价等级为三级</w:t>
            </w:r>
          </w:p>
        </w:tc>
        <w:tc>
          <w:tcPr>
            <w:tcW w:w="1203" w:type="pct"/>
            <w:shd w:val="clear" w:color="auto" w:fill="auto"/>
            <w:tcMar>
              <w:top w:w="15" w:type="dxa"/>
              <w:left w:w="15" w:type="dxa"/>
              <w:right w:w="15" w:type="dxa"/>
            </w:tcMar>
          </w:tcPr>
          <w:p>
            <w:pPr>
              <w:pStyle w:val="39"/>
              <w:rPr>
                <w:rFonts w:ascii="Times New Roman" w:hAnsi="Times New Roman"/>
                <w:lang w:bidi="ar"/>
              </w:rPr>
            </w:pPr>
            <w:r>
              <w:rPr>
                <w:rFonts w:ascii="Times New Roman" w:hAnsi="Times New Roman"/>
              </w:rPr>
              <w:t>土壤影响范围内分布有天然林、公益林，不涉及生态敏感区</w:t>
            </w:r>
          </w:p>
        </w:tc>
        <w:tc>
          <w:tcPr>
            <w:tcW w:w="574" w:type="pct"/>
            <w:vAlign w:val="center"/>
          </w:tcPr>
          <w:p>
            <w:pPr>
              <w:pStyle w:val="39"/>
              <w:rPr>
                <w:rFonts w:ascii="Times New Roman" w:hAnsi="Times New Roman"/>
                <w:lang w:bidi="ar"/>
              </w:rPr>
            </w:pPr>
            <w:r>
              <w:rPr>
                <w:rFonts w:ascii="Times New Roman" w:hAnsi="Times New Roman"/>
              </w:rPr>
              <w:t>二级</w:t>
            </w:r>
          </w:p>
        </w:tc>
        <w:tc>
          <w:tcPr>
            <w:tcW w:w="655" w:type="pct"/>
            <w:vAlign w:val="center"/>
          </w:tcPr>
          <w:p>
            <w:pPr>
              <w:pStyle w:val="39"/>
              <w:rPr>
                <w:rFonts w:ascii="Times New Roman" w:hAnsi="Times New Roman"/>
                <w:lang w:bidi="ar"/>
              </w:rPr>
            </w:pPr>
            <w:r>
              <w:rPr>
                <w:rFonts w:ascii="Times New Roman" w:hAnsi="Times New Roma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92" w:type="pct"/>
            <w:vMerge w:val="continue"/>
            <w:vAlign w:val="center"/>
          </w:tcPr>
          <w:p>
            <w:pPr>
              <w:pStyle w:val="39"/>
              <w:jc w:val="left"/>
              <w:rPr>
                <w:rFonts w:ascii="Times New Roman" w:hAnsi="Times New Roman"/>
                <w:lang w:bidi="ar"/>
              </w:rPr>
            </w:pPr>
          </w:p>
        </w:tc>
        <w:tc>
          <w:tcPr>
            <w:tcW w:w="2376" w:type="pct"/>
            <w:shd w:val="clear" w:color="auto" w:fill="auto"/>
            <w:noWrap/>
            <w:tcMar>
              <w:top w:w="15" w:type="dxa"/>
              <w:left w:w="15" w:type="dxa"/>
              <w:right w:w="15" w:type="dxa"/>
            </w:tcMar>
            <w:vAlign w:val="center"/>
          </w:tcPr>
          <w:p>
            <w:pPr>
              <w:pStyle w:val="39"/>
              <w:jc w:val="left"/>
              <w:rPr>
                <w:rFonts w:ascii="Times New Roman" w:hAnsi="Times New Roman"/>
                <w:lang w:bidi="ar"/>
              </w:rPr>
            </w:pPr>
            <w:r>
              <w:rPr>
                <w:rFonts w:ascii="Times New Roman" w:hAnsi="Times New Roman"/>
                <w:lang w:bidi="ar"/>
              </w:rPr>
              <w:t>h．当评价等级判定同时符合上述多种情况时，应采用其中最高的评价等级</w:t>
            </w:r>
          </w:p>
        </w:tc>
        <w:tc>
          <w:tcPr>
            <w:tcW w:w="1203" w:type="pct"/>
            <w:shd w:val="clear" w:color="auto" w:fill="auto"/>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陆生评价最高等级二级，水生评价最高等级三级</w:t>
            </w:r>
          </w:p>
        </w:tc>
        <w:tc>
          <w:tcPr>
            <w:tcW w:w="574" w:type="pct"/>
            <w:vAlign w:val="center"/>
          </w:tcPr>
          <w:p>
            <w:pPr>
              <w:pStyle w:val="39"/>
              <w:rPr>
                <w:rFonts w:ascii="Times New Roman" w:hAnsi="Times New Roman"/>
                <w:lang w:bidi="ar"/>
              </w:rPr>
            </w:pPr>
            <w:r>
              <w:rPr>
                <w:rFonts w:ascii="Times New Roman" w:hAnsi="Times New Roman"/>
                <w:lang w:bidi="ar"/>
              </w:rPr>
              <w:t>二级</w:t>
            </w:r>
          </w:p>
        </w:tc>
        <w:tc>
          <w:tcPr>
            <w:tcW w:w="655" w:type="pct"/>
            <w:vAlign w:val="center"/>
          </w:tcPr>
          <w:p>
            <w:pPr>
              <w:pStyle w:val="39"/>
              <w:rPr>
                <w:rFonts w:ascii="Times New Roman" w:hAnsi="Times New Roman"/>
                <w:lang w:bidi="ar"/>
              </w:rPr>
            </w:pPr>
            <w:r>
              <w:rPr>
                <w:rFonts w:ascii="Times New Roman" w:hAnsi="Times New Roman"/>
                <w:lang w:bidi="ar"/>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92" w:type="pct"/>
            <w:vMerge w:val="restart"/>
            <w:vAlign w:val="center"/>
          </w:tcPr>
          <w:p>
            <w:pPr>
              <w:pStyle w:val="39"/>
              <w:rPr>
                <w:rFonts w:ascii="Times New Roman" w:hAnsi="Times New Roman"/>
                <w:b/>
                <w:bCs/>
                <w:lang w:bidi="ar"/>
              </w:rPr>
            </w:pPr>
            <w:r>
              <w:rPr>
                <w:rFonts w:ascii="Times New Roman" w:hAnsi="Times New Roman"/>
                <w:b/>
                <w:bCs/>
                <w:lang w:bidi="ar"/>
              </w:rPr>
              <w:t>调整原则</w:t>
            </w:r>
          </w:p>
        </w:tc>
        <w:tc>
          <w:tcPr>
            <w:tcW w:w="2376" w:type="pct"/>
            <w:shd w:val="clear" w:color="auto" w:fill="auto"/>
            <w:noWrap/>
            <w:tcMar>
              <w:top w:w="15" w:type="dxa"/>
              <w:left w:w="15" w:type="dxa"/>
              <w:right w:w="15" w:type="dxa"/>
            </w:tcMar>
            <w:vAlign w:val="center"/>
          </w:tcPr>
          <w:p>
            <w:pPr>
              <w:pStyle w:val="39"/>
              <w:jc w:val="left"/>
              <w:rPr>
                <w:rFonts w:ascii="Times New Roman" w:hAnsi="Times New Roman"/>
                <w:lang w:bidi="ar"/>
              </w:rPr>
            </w:pPr>
            <w:r>
              <w:rPr>
                <w:rFonts w:ascii="Times New Roman" w:hAnsi="Times New Roman"/>
                <w:lang w:bidi="ar"/>
              </w:rPr>
              <w:t>建设项目涉及经论证对保护生物多样性具有重要意义的区域时，可适当上调评价等级</w:t>
            </w:r>
          </w:p>
        </w:tc>
        <w:tc>
          <w:tcPr>
            <w:tcW w:w="1203" w:type="pct"/>
            <w:shd w:val="clear" w:color="auto" w:fill="auto"/>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不涉及</w:t>
            </w:r>
          </w:p>
        </w:tc>
        <w:tc>
          <w:tcPr>
            <w:tcW w:w="574" w:type="pct"/>
            <w:vAlign w:val="center"/>
          </w:tcPr>
          <w:p>
            <w:pPr>
              <w:pStyle w:val="39"/>
              <w:rPr>
                <w:rFonts w:ascii="Times New Roman" w:hAnsi="Times New Roman"/>
                <w:lang w:bidi="ar"/>
              </w:rPr>
            </w:pPr>
            <w:r>
              <w:rPr>
                <w:rFonts w:ascii="Times New Roman" w:hAnsi="Times New Roman"/>
                <w:lang w:bidi="ar"/>
              </w:rPr>
              <w:t>不涉及</w:t>
            </w:r>
          </w:p>
        </w:tc>
        <w:tc>
          <w:tcPr>
            <w:tcW w:w="655" w:type="pct"/>
            <w:vAlign w:val="center"/>
          </w:tcPr>
          <w:p>
            <w:pPr>
              <w:pStyle w:val="39"/>
              <w:rPr>
                <w:rFonts w:ascii="Times New Roman" w:hAnsi="Times New Roman"/>
                <w:lang w:bidi="ar"/>
              </w:rPr>
            </w:pPr>
            <w:r>
              <w:rPr>
                <w:rFonts w:ascii="Times New Roman" w:hAnsi="Times New Roman"/>
                <w:lang w:bidi="ar"/>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92" w:type="pct"/>
            <w:vMerge w:val="continue"/>
            <w:vAlign w:val="center"/>
          </w:tcPr>
          <w:p>
            <w:pPr>
              <w:pStyle w:val="39"/>
              <w:jc w:val="left"/>
              <w:rPr>
                <w:rFonts w:ascii="Times New Roman" w:hAnsi="Times New Roman"/>
                <w:lang w:bidi="ar"/>
              </w:rPr>
            </w:pPr>
          </w:p>
        </w:tc>
        <w:tc>
          <w:tcPr>
            <w:tcW w:w="2376" w:type="pct"/>
            <w:shd w:val="clear" w:color="auto" w:fill="auto"/>
            <w:noWrap/>
            <w:tcMar>
              <w:top w:w="15" w:type="dxa"/>
              <w:left w:w="15" w:type="dxa"/>
              <w:right w:w="15" w:type="dxa"/>
            </w:tcMar>
            <w:vAlign w:val="center"/>
          </w:tcPr>
          <w:p>
            <w:pPr>
              <w:pStyle w:val="39"/>
              <w:jc w:val="left"/>
              <w:rPr>
                <w:rFonts w:ascii="Times New Roman" w:hAnsi="Times New Roman"/>
                <w:lang w:bidi="ar"/>
              </w:rPr>
            </w:pPr>
            <w:r>
              <w:rPr>
                <w:rFonts w:ascii="Times New Roman" w:hAnsi="Times New Roman"/>
                <w:lang w:bidi="ar"/>
              </w:rPr>
              <w:t>建设项目同时涉及陆生、水生生态影响时，可针对陆生生态、水生生态分别判定评价等级</w:t>
            </w:r>
          </w:p>
        </w:tc>
        <w:tc>
          <w:tcPr>
            <w:tcW w:w="1203" w:type="pct"/>
            <w:shd w:val="clear" w:color="auto" w:fill="auto"/>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涉及</w:t>
            </w:r>
          </w:p>
        </w:tc>
        <w:tc>
          <w:tcPr>
            <w:tcW w:w="574" w:type="pct"/>
            <w:vAlign w:val="center"/>
          </w:tcPr>
          <w:p>
            <w:pPr>
              <w:pStyle w:val="39"/>
              <w:rPr>
                <w:rFonts w:ascii="Times New Roman" w:hAnsi="Times New Roman"/>
                <w:lang w:bidi="ar"/>
              </w:rPr>
            </w:pPr>
            <w:r>
              <w:rPr>
                <w:rFonts w:ascii="Times New Roman" w:hAnsi="Times New Roman"/>
                <w:lang w:bidi="ar"/>
              </w:rPr>
              <w:t>分别判定</w:t>
            </w:r>
          </w:p>
        </w:tc>
        <w:tc>
          <w:tcPr>
            <w:tcW w:w="655" w:type="pct"/>
            <w:vAlign w:val="center"/>
          </w:tcPr>
          <w:p>
            <w:pPr>
              <w:pStyle w:val="39"/>
              <w:rPr>
                <w:rFonts w:ascii="Times New Roman" w:hAnsi="Times New Roman"/>
                <w:lang w:bidi="ar"/>
              </w:rPr>
            </w:pPr>
            <w:r>
              <w:rPr>
                <w:rFonts w:ascii="Times New Roman" w:hAnsi="Times New Roman"/>
                <w:lang w:bidi="ar"/>
              </w:rPr>
              <w:t>分别判定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92" w:type="pct"/>
            <w:vMerge w:val="continue"/>
            <w:vAlign w:val="center"/>
          </w:tcPr>
          <w:p>
            <w:pPr>
              <w:pStyle w:val="39"/>
              <w:jc w:val="left"/>
              <w:rPr>
                <w:rFonts w:ascii="Times New Roman" w:hAnsi="Times New Roman"/>
                <w:lang w:bidi="ar"/>
              </w:rPr>
            </w:pPr>
          </w:p>
        </w:tc>
        <w:tc>
          <w:tcPr>
            <w:tcW w:w="2376" w:type="pct"/>
            <w:shd w:val="clear" w:color="auto" w:fill="auto"/>
            <w:noWrap/>
            <w:tcMar>
              <w:top w:w="15" w:type="dxa"/>
              <w:left w:w="15" w:type="dxa"/>
              <w:right w:w="15" w:type="dxa"/>
            </w:tcMar>
            <w:vAlign w:val="center"/>
          </w:tcPr>
          <w:p>
            <w:pPr>
              <w:pStyle w:val="39"/>
              <w:jc w:val="left"/>
              <w:rPr>
                <w:rFonts w:ascii="Times New Roman" w:hAnsi="Times New Roman"/>
                <w:lang w:bidi="ar"/>
              </w:rPr>
            </w:pPr>
            <w:r>
              <w:rPr>
                <w:rFonts w:ascii="Times New Roman" w:hAnsi="Times New Roman"/>
                <w:lang w:bidi="ar"/>
              </w:rPr>
              <w:t>在矿山开采可能导致矿区土地利用类型明显改变，或拦河闸坝建设可能明显改变水文情势等情况下，评价等级应上调一级</w:t>
            </w:r>
          </w:p>
        </w:tc>
        <w:tc>
          <w:tcPr>
            <w:tcW w:w="1203" w:type="pct"/>
            <w:shd w:val="clear" w:color="auto" w:fill="auto"/>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本项目为陆地天然气开采项目，不会导致土地利用类型明显改变，不会明显改变水文情势等情况</w:t>
            </w:r>
          </w:p>
        </w:tc>
        <w:tc>
          <w:tcPr>
            <w:tcW w:w="574" w:type="pct"/>
            <w:vAlign w:val="center"/>
          </w:tcPr>
          <w:p>
            <w:pPr>
              <w:pStyle w:val="39"/>
              <w:rPr>
                <w:rFonts w:ascii="Times New Roman" w:hAnsi="Times New Roman"/>
                <w:lang w:bidi="ar"/>
              </w:rPr>
            </w:pPr>
            <w:r>
              <w:rPr>
                <w:rFonts w:ascii="Times New Roman" w:hAnsi="Times New Roman"/>
                <w:lang w:bidi="ar"/>
              </w:rPr>
              <w:t>不上调</w:t>
            </w:r>
          </w:p>
        </w:tc>
        <w:tc>
          <w:tcPr>
            <w:tcW w:w="655" w:type="pct"/>
            <w:vAlign w:val="center"/>
          </w:tcPr>
          <w:p>
            <w:pPr>
              <w:pStyle w:val="39"/>
              <w:rPr>
                <w:rFonts w:ascii="Times New Roman" w:hAnsi="Times New Roman"/>
                <w:lang w:bidi="ar"/>
              </w:rPr>
            </w:pPr>
            <w:r>
              <w:rPr>
                <w:rFonts w:ascii="Times New Roman" w:hAnsi="Times New Roman"/>
                <w:lang w:bidi="ar"/>
              </w:rPr>
              <w:t>不上调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92" w:type="pct"/>
            <w:vMerge w:val="continue"/>
            <w:vAlign w:val="center"/>
          </w:tcPr>
          <w:p>
            <w:pPr>
              <w:pStyle w:val="39"/>
              <w:jc w:val="left"/>
              <w:rPr>
                <w:rFonts w:ascii="Times New Roman" w:hAnsi="Times New Roman"/>
                <w:lang w:bidi="ar"/>
              </w:rPr>
            </w:pPr>
          </w:p>
        </w:tc>
        <w:tc>
          <w:tcPr>
            <w:tcW w:w="2376" w:type="pct"/>
            <w:shd w:val="clear" w:color="auto" w:fill="auto"/>
            <w:noWrap/>
            <w:tcMar>
              <w:top w:w="15" w:type="dxa"/>
              <w:left w:w="15" w:type="dxa"/>
              <w:right w:w="15" w:type="dxa"/>
            </w:tcMar>
            <w:vAlign w:val="center"/>
          </w:tcPr>
          <w:p>
            <w:pPr>
              <w:pStyle w:val="39"/>
              <w:jc w:val="left"/>
              <w:rPr>
                <w:rFonts w:ascii="Times New Roman" w:hAnsi="Times New Roman"/>
                <w:lang w:bidi="ar"/>
              </w:rPr>
            </w:pPr>
            <w:r>
              <w:rPr>
                <w:rFonts w:ascii="Times New Roman" w:hAnsi="Times New Roman"/>
                <w:lang w:bidi="ar"/>
              </w:rPr>
              <w:t>线性工程可分段确定评价等级。线性工程地下穿越或地表跨越生态敏感区，在生态敏感区范围内无永久、临时占地时，评价等级可下调一级</w:t>
            </w:r>
          </w:p>
        </w:tc>
        <w:tc>
          <w:tcPr>
            <w:tcW w:w="1203" w:type="pct"/>
            <w:shd w:val="clear" w:color="auto" w:fill="auto"/>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本项目集输管道距离百里峡风景名胜区最近距离约230m，且在其内无永久、临时占地</w:t>
            </w:r>
          </w:p>
        </w:tc>
        <w:tc>
          <w:tcPr>
            <w:tcW w:w="574" w:type="pct"/>
            <w:vAlign w:val="center"/>
          </w:tcPr>
          <w:p>
            <w:pPr>
              <w:pStyle w:val="39"/>
              <w:rPr>
                <w:rFonts w:ascii="Times New Roman" w:hAnsi="Times New Roman"/>
                <w:lang w:bidi="ar"/>
              </w:rPr>
            </w:pPr>
            <w:r>
              <w:rPr>
                <w:rFonts w:ascii="Times New Roman" w:hAnsi="Times New Roman"/>
                <w:lang w:bidi="ar"/>
              </w:rPr>
              <w:t>不涉及</w:t>
            </w:r>
          </w:p>
        </w:tc>
        <w:tc>
          <w:tcPr>
            <w:tcW w:w="655" w:type="pct"/>
            <w:vAlign w:val="center"/>
          </w:tcPr>
          <w:p>
            <w:pPr>
              <w:pStyle w:val="39"/>
              <w:rPr>
                <w:rFonts w:ascii="Times New Roman" w:hAnsi="Times New Roman"/>
                <w:lang w:bidi="ar"/>
              </w:rPr>
            </w:pPr>
            <w:r>
              <w:rPr>
                <w:rFonts w:ascii="Times New Roman" w:hAnsi="Times New Roman"/>
                <w:lang w:bidi="ar"/>
              </w:rPr>
              <w:t>不涉及</w:t>
            </w:r>
          </w:p>
        </w:tc>
      </w:tr>
    </w:tbl>
    <w:p>
      <w:pPr>
        <w:pStyle w:val="37"/>
        <w:rPr>
          <w:rFonts w:ascii="Times New Roman" w:hAnsi="Times New Roman" w:cs="Times New Roman"/>
        </w:rPr>
      </w:pPr>
    </w:p>
    <w:p>
      <w:pPr>
        <w:pStyle w:val="5"/>
        <w:rPr>
          <w:rFonts w:ascii="Times New Roman" w:hAnsi="Times New Roman"/>
        </w:rPr>
      </w:pPr>
      <w:r>
        <w:rPr>
          <w:rFonts w:ascii="Times New Roman" w:hAnsi="Times New Roman"/>
        </w:rPr>
        <w:t>评价范围</w:t>
      </w:r>
    </w:p>
    <w:p>
      <w:pPr>
        <w:ind w:firstLine="480"/>
        <w:rPr>
          <w:rFonts w:ascii="Times New Roman" w:hAnsi="Times New Roman"/>
        </w:rPr>
      </w:pPr>
      <w:r>
        <w:rPr>
          <w:rFonts w:ascii="Times New Roman" w:hAnsi="Times New Roman"/>
        </w:rPr>
        <w:t>（1）陆生生态评价范围</w:t>
      </w:r>
    </w:p>
    <w:p>
      <w:pPr>
        <w:ind w:firstLine="480"/>
        <w:rPr>
          <w:rFonts w:ascii="Times New Roman" w:hAnsi="Times New Roman"/>
        </w:rPr>
      </w:pPr>
      <w:r>
        <w:rPr>
          <w:rFonts w:ascii="Times New Roman" w:hAnsi="Times New Roman"/>
        </w:rPr>
        <w:t>根据《环境影响评价技术导则 陆地石油天然气开发建设项目》（HJ349-2023）和《环境影响评价技术导则 生态影响》（HJ19-2022），本项目陆生生态影响评价范围为：井站、清管站、阀室、放空区周边50m的范围，进站道路、集输管道中心线两侧各300m的区域，评价范围面积为929.10hm</w:t>
      </w:r>
      <w:r>
        <w:rPr>
          <w:rFonts w:ascii="Times New Roman" w:hAnsi="Times New Roman"/>
          <w:vertAlign w:val="superscript"/>
        </w:rPr>
        <w:t>2</w:t>
      </w:r>
      <w:r>
        <w:rPr>
          <w:rFonts w:ascii="Times New Roman" w:hAnsi="Times New Roman"/>
        </w:rPr>
        <w:t>。评价范围见附图9。</w:t>
      </w:r>
    </w:p>
    <w:p>
      <w:pPr>
        <w:ind w:firstLine="480"/>
        <w:rPr>
          <w:rFonts w:ascii="Times New Roman" w:hAnsi="Times New Roman"/>
        </w:rPr>
      </w:pPr>
      <w:r>
        <w:rPr>
          <w:rFonts w:ascii="Times New Roman" w:hAnsi="Times New Roman"/>
        </w:rPr>
        <w:t>（2）水生生态评价范围</w:t>
      </w:r>
    </w:p>
    <w:p>
      <w:pPr>
        <w:ind w:firstLine="480"/>
        <w:rPr>
          <w:rFonts w:ascii="Times New Roman" w:hAnsi="Times New Roman"/>
        </w:rPr>
      </w:pPr>
      <w:r>
        <w:rPr>
          <w:rFonts w:ascii="Times New Roman" w:hAnsi="Times New Roman"/>
        </w:rPr>
        <w:t>根据《环境影响评价技术导则 生态影响》（HJ19-2022），本项目水生生态影响评价范围为：本项目集气支线穿越清溪河上游500m至清溪河汇入后河段。</w:t>
      </w:r>
    </w:p>
    <w:p>
      <w:pPr>
        <w:pStyle w:val="4"/>
        <w:rPr>
          <w:rFonts w:ascii="Times New Roman" w:hAnsi="Times New Roman" w:cs="Times New Roman"/>
        </w:rPr>
      </w:pPr>
      <w:r>
        <w:rPr>
          <w:rFonts w:ascii="Times New Roman" w:hAnsi="Times New Roman" w:cs="Times New Roman"/>
        </w:rPr>
        <w:t>土壤环境</w:t>
      </w:r>
    </w:p>
    <w:p>
      <w:pPr>
        <w:pStyle w:val="5"/>
        <w:rPr>
          <w:rFonts w:ascii="Times New Roman" w:hAnsi="Times New Roman"/>
        </w:rPr>
      </w:pPr>
      <w:r>
        <w:rPr>
          <w:rFonts w:ascii="Times New Roman" w:hAnsi="Times New Roman"/>
        </w:rPr>
        <w:t>评价等级</w:t>
      </w:r>
    </w:p>
    <w:p>
      <w:pPr>
        <w:ind w:firstLine="480"/>
        <w:rPr>
          <w:rFonts w:ascii="Times New Roman" w:hAnsi="Times New Roman"/>
        </w:rPr>
      </w:pPr>
      <w:r>
        <w:rPr>
          <w:rFonts w:ascii="Times New Roman" w:hAnsi="Times New Roman"/>
        </w:rPr>
        <w:t>本项目所在区域土壤以人为土和初育土为主，具体见</w:t>
      </w:r>
      <w:r>
        <w:rPr>
          <w:rFonts w:ascii="Times New Roman" w:hAnsi="Times New Roman"/>
        </w:rPr>
        <w:fldChar w:fldCharType="begin"/>
      </w:r>
      <w:r>
        <w:rPr>
          <w:rFonts w:ascii="Times New Roman" w:hAnsi="Times New Roman"/>
        </w:rPr>
        <w:instrText xml:space="preserve"> REF _Ref156919274 \h  \* MERGEFORMAT </w:instrText>
      </w:r>
      <w:r>
        <w:rPr>
          <w:rFonts w:ascii="Times New Roman" w:hAnsi="Times New Roman"/>
        </w:rPr>
        <w:fldChar w:fldCharType="separate"/>
      </w:r>
      <w:r>
        <w:rPr>
          <w:rFonts w:ascii="Times New Roman" w:hAnsi="Times New Roman"/>
        </w:rPr>
        <w:t>图 5</w:t>
      </w:r>
      <w:r>
        <w:rPr>
          <w:rFonts w:ascii="Times New Roman" w:hAnsi="Times New Roman"/>
        </w:rPr>
        <w:noBreakHyphen/>
      </w:r>
      <w:r>
        <w:rPr>
          <w:rFonts w:ascii="Times New Roman" w:hAnsi="Times New Roman"/>
        </w:rPr>
        <w:t>4</w:t>
      </w:r>
      <w:r>
        <w:rPr>
          <w:rFonts w:ascii="Times New Roman" w:hAnsi="Times New Roman"/>
        </w:rPr>
        <w:fldChar w:fldCharType="end"/>
      </w:r>
      <w:r>
        <w:rPr>
          <w:rFonts w:ascii="Times New Roman" w:hAnsi="Times New Roman"/>
        </w:rPr>
        <w:t>，根据《环境影响评价技术导则 土壤环境（试行）》（HJ964-2018）和《环境影响评价技术导则 陆地石油天然开发建设项目》（HJ349-2023）非土壤盐化、酸化和碱化地区，按照土壤污染影响型开展评价工作。</w:t>
      </w:r>
    </w:p>
    <w:p>
      <w:pPr>
        <w:ind w:firstLine="480"/>
        <w:rPr>
          <w:rFonts w:ascii="Times New Roman" w:hAnsi="Times New Roman"/>
        </w:rPr>
      </w:pPr>
      <w:r>
        <w:rPr>
          <w:rFonts w:ascii="Times New Roman" w:hAnsi="Times New Roman"/>
        </w:rPr>
        <w:t>（1）项目类别</w:t>
      </w:r>
    </w:p>
    <w:p>
      <w:pPr>
        <w:ind w:firstLine="480"/>
        <w:rPr>
          <w:rFonts w:ascii="Times New Roman" w:hAnsi="Times New Roman"/>
        </w:rPr>
      </w:pPr>
      <w:r>
        <w:rPr>
          <w:rFonts w:ascii="Times New Roman" w:hAnsi="Times New Roman"/>
        </w:rPr>
        <w:t>本项目主要建设内容包括井站、阀室、清管站、集输管线等。根据《环境影响评价技术导则 陆地石油天然气开发建设项目》（HJ349-2023）和《环境影响评价技术导则 土壤环境（试行）》（HJ964-2018），本项目两座井站的土壤环境影响评价项目类别为Ⅱ类；集输管道的项目类别为Ⅳ类，考虑到集输管道输送的原料气中含有气田水，因此本评价按照Ⅱ类项目考虑。即本项目两座井站和集输管道均按照Ⅱ类建设项目开展土壤环境影响评价。</w:t>
      </w:r>
    </w:p>
    <w:p>
      <w:pPr>
        <w:ind w:firstLine="480"/>
        <w:rPr>
          <w:rFonts w:ascii="Times New Roman" w:hAnsi="Times New Roman"/>
        </w:rPr>
      </w:pPr>
      <w:r>
        <w:rPr>
          <w:rFonts w:ascii="Times New Roman" w:hAnsi="Times New Roman"/>
        </w:rPr>
        <w:t>（2）占地规模</w:t>
      </w:r>
    </w:p>
    <w:p>
      <w:pPr>
        <w:ind w:firstLine="480"/>
        <w:rPr>
          <w:rFonts w:ascii="Times New Roman" w:hAnsi="Times New Roman"/>
        </w:rPr>
      </w:pPr>
      <w:r>
        <w:rPr>
          <w:rFonts w:ascii="Times New Roman" w:hAnsi="Times New Roman"/>
        </w:rPr>
        <w:t>井站等工程永久占地面积为2.69hm</w:t>
      </w:r>
      <w:r>
        <w:rPr>
          <w:rFonts w:ascii="Times New Roman" w:hAnsi="Times New Roman"/>
          <w:vertAlign w:val="superscript"/>
        </w:rPr>
        <w:t>2</w:t>
      </w:r>
      <w:r>
        <w:rPr>
          <w:rFonts w:ascii="Times New Roman" w:hAnsi="Times New Roman"/>
        </w:rPr>
        <w:t>，占地规模为中型；集输工程无永久占地，占地规模按照小型考虑。</w:t>
      </w:r>
    </w:p>
    <w:p>
      <w:pPr>
        <w:ind w:firstLine="480"/>
        <w:rPr>
          <w:rFonts w:ascii="Times New Roman" w:hAnsi="Times New Roman"/>
        </w:rPr>
      </w:pPr>
      <w:r>
        <w:rPr>
          <w:rFonts w:ascii="Times New Roman" w:hAnsi="Times New Roman"/>
        </w:rPr>
        <w:t>（3）土壤环境敏感程度</w:t>
      </w:r>
    </w:p>
    <w:p>
      <w:pPr>
        <w:ind w:firstLine="480"/>
        <w:rPr>
          <w:rFonts w:ascii="Times New Roman" w:hAnsi="Times New Roman"/>
        </w:rPr>
      </w:pPr>
      <w:r>
        <w:rPr>
          <w:rFonts w:ascii="Times New Roman" w:hAnsi="Times New Roman"/>
        </w:rPr>
        <w:t>本项目达州市宣汉县境内，根据现场调查，清管站、阀室周边主要为林地，宣兴1井、宣探1井井站及周边为农田，集输管道周边有农田和居民区等土壤环境敏感目标存在。因此土壤敏感程度为敏感。</w:t>
      </w:r>
    </w:p>
    <w:p>
      <w:pPr>
        <w:ind w:firstLine="480"/>
        <w:rPr>
          <w:rFonts w:ascii="Times New Roman" w:hAnsi="Times New Roman"/>
        </w:rPr>
      </w:pPr>
      <w:r>
        <w:rPr>
          <w:rFonts w:ascii="Times New Roman" w:hAnsi="Times New Roman"/>
        </w:rPr>
        <w:t>依据《环境影响评价技术导则 土壤环境（试行）》（HJ964-2018）中“表4污染影响型评价工作等级划分表”，本项目两井站和集输管道土壤环境影响评价等级均为二级，具体见</w:t>
      </w:r>
      <w:r>
        <w:rPr>
          <w:rFonts w:ascii="Times New Roman" w:hAnsi="Times New Roman"/>
        </w:rPr>
        <w:fldChar w:fldCharType="begin"/>
      </w:r>
      <w:r>
        <w:rPr>
          <w:rFonts w:ascii="Times New Roman" w:hAnsi="Times New Roman"/>
        </w:rPr>
        <w:instrText xml:space="preserve"> REF _Ref155344576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20</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27" w:name="_Ref15534457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20</w:t>
      </w:r>
      <w:r>
        <w:rPr>
          <w:rFonts w:ascii="Times New Roman" w:hAnsi="Times New Roman" w:cs="Times New Roman"/>
        </w:rPr>
        <w:fldChar w:fldCharType="end"/>
      </w:r>
      <w:bookmarkEnd w:id="27"/>
      <w:r>
        <w:rPr>
          <w:rFonts w:ascii="Times New Roman" w:hAnsi="Times New Roman" w:cs="Times New Roman"/>
        </w:rPr>
        <w:t xml:space="preserve">  本项目土壤评价工作等级划分表</w:t>
      </w:r>
    </w:p>
    <w:tbl>
      <w:tblPr>
        <w:tblStyle w:val="28"/>
        <w:tblW w:w="511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4"/>
        <w:gridCol w:w="708"/>
        <w:gridCol w:w="708"/>
        <w:gridCol w:w="708"/>
        <w:gridCol w:w="709"/>
        <w:gridCol w:w="838"/>
        <w:gridCol w:w="712"/>
        <w:gridCol w:w="11"/>
        <w:gridCol w:w="757"/>
        <w:gridCol w:w="709"/>
        <w:gridCol w:w="710"/>
        <w:gridCol w:w="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2087" w:type="dxa"/>
            <w:vMerge w:val="restart"/>
            <w:shd w:val="clear" w:color="auto" w:fill="auto"/>
          </w:tcPr>
          <w:p>
            <w:pPr>
              <w:pStyle w:val="39"/>
              <w:rPr>
                <w:rFonts w:ascii="Times New Roman" w:hAnsi="Times New Roman"/>
                <w:lang w:val="zh-CN"/>
              </w:rPr>
            </w:pPr>
            <w:r>
              <w:rPr>
                <w:rFonts w:ascii="Times New Roman" w:hAnsi="Times New Roman"/>
              </w:rPr>
              <mc:AlternateContent>
                <mc:Choice Requires="wps">
                  <w:drawing>
                    <wp:anchor distT="0" distB="0" distL="114300" distR="114300" simplePos="0" relativeHeight="251659264" behindDoc="0" locked="0" layoutInCell="1" allowOverlap="1">
                      <wp:simplePos x="0" y="0"/>
                      <wp:positionH relativeFrom="column">
                        <wp:posOffset>400050</wp:posOffset>
                      </wp:positionH>
                      <wp:positionV relativeFrom="paragraph">
                        <wp:posOffset>-6985</wp:posOffset>
                      </wp:positionV>
                      <wp:extent cx="914400" cy="532765"/>
                      <wp:effectExtent l="0" t="0" r="19050" b="19685"/>
                      <wp:wrapNone/>
                      <wp:docPr id="6" name="直接连接符 6"/>
                      <wp:cNvGraphicFramePr/>
                      <a:graphic xmlns:a="http://schemas.openxmlformats.org/drawingml/2006/main">
                        <a:graphicData uri="http://schemas.microsoft.com/office/word/2010/wordprocessingShape">
                          <wps:wsp>
                            <wps:cNvCnPr/>
                            <wps:spPr>
                              <a:xfrm>
                                <a:off x="0" y="0"/>
                                <a:ext cx="914400" cy="53276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id="_x0000_s1026" o:spid="_x0000_s1026" o:spt="20" style="position:absolute;left:0pt;margin-left:31.5pt;margin-top:-0.55pt;height:41.95pt;width:72pt;z-index:251659264;mso-width-relative:page;mso-height-relative:page;" filled="f" stroked="t" coordsize="21600,21600" o:gfxdata="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OWaBkjWAAAACAEAAA8AAAAAAAAAAQAgAAAAIgAAAGRycy9kb3ducmV2LnhtbFBL&#10;AQIUABQAAAAIAIdO4kB648bZ+AEAANcDAAAOAAAAAAAAAAEAIAAAACUBAABkcnMvZTJvRG9jLnht&#10;bFBLBQYAAAAABgAGAFkBAACPBQAAAAA=&#10;">
                      <v:fill on="f" focussize="0,0"/>
                      <v:stroke weight="0.5pt" color="#000000" miterlimit="8" joinstyle="miter"/>
                      <v:imagedata o:title=""/>
                      <o:lock v:ext="edit" aspectratio="f"/>
                    </v:line>
                  </w:pict>
                </mc:Fallback>
              </mc:AlternateContent>
            </w:r>
            <w:r>
              <w:rPr>
                <w:rFonts w:ascii="Times New Roman" w:hAnsi="Times New Roman"/>
                <w:lang w:val="zh-CN"/>
              </w:rPr>
              <w:t xml:space="preserve">         占地规模</w:t>
            </w:r>
          </w:p>
          <w:p>
            <w:pPr>
              <w:pStyle w:val="39"/>
              <w:rPr>
                <w:rFonts w:ascii="Times New Roman" w:hAnsi="Times New Roman"/>
                <w:lang w:val="zh-CN"/>
              </w:rPr>
            </w:pPr>
            <w:r>
              <w:rPr>
                <w:rFonts w:ascii="Times New Roman" w:hAnsi="Times New Roman"/>
              </w:rPr>
              <mc:AlternateContent>
                <mc:Choice Requires="wps">
                  <w:drawing>
                    <wp:anchor distT="0" distB="0" distL="114300" distR="114300" simplePos="0" relativeHeight="251660288" behindDoc="0" locked="0" layoutInCell="1" allowOverlap="1">
                      <wp:simplePos x="0" y="0"/>
                      <wp:positionH relativeFrom="column">
                        <wp:posOffset>-57150</wp:posOffset>
                      </wp:positionH>
                      <wp:positionV relativeFrom="paragraph">
                        <wp:posOffset>106045</wp:posOffset>
                      </wp:positionV>
                      <wp:extent cx="1371600" cy="247015"/>
                      <wp:effectExtent l="0" t="0" r="19050" b="19685"/>
                      <wp:wrapNone/>
                      <wp:docPr id="2" name="直接连接符 2"/>
                      <wp:cNvGraphicFramePr/>
                      <a:graphic xmlns:a="http://schemas.openxmlformats.org/drawingml/2006/main">
                        <a:graphicData uri="http://schemas.microsoft.com/office/word/2010/wordprocessingShape">
                          <wps:wsp>
                            <wps:cNvCnPr/>
                            <wps:spPr>
                              <a:xfrm>
                                <a:off x="0" y="0"/>
                                <a:ext cx="1371600" cy="24701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id="_x0000_s1026" o:spid="_x0000_s1026" o:spt="20" style="position:absolute;left:0pt;margin-left:-4.5pt;margin-top:8.35pt;height:19.45pt;width:108pt;z-index:251660288;mso-width-relative:page;mso-height-relative:page;" filled="f" stroked="t" coordsize="21600,21600" o:gfxdata="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FFW3o1gAAAAgBAAAPAAAAAAAAAAEAIAAAACIAAABkcnMvZG93bnJldi54bWxQ&#10;SwECFAAUAAAACACHTuJAgD3FFfkBAADYAwAADgAAAAAAAAABACAAAAAlAQAAZHJzL2Uyb0RvYy54&#10;bWxQSwUGAAAAAAYABgBZAQAAkAUAAAAA&#10;">
                      <v:fill on="f" focussize="0,0"/>
                      <v:stroke weight="0.5pt" color="#000000" miterlimit="8" joinstyle="miter"/>
                      <v:imagedata o:title=""/>
                      <o:lock v:ext="edit" aspectratio="f"/>
                    </v:line>
                  </w:pict>
                </mc:Fallback>
              </mc:AlternateContent>
            </w:r>
            <w:r>
              <w:rPr>
                <w:rFonts w:ascii="Times New Roman" w:hAnsi="Times New Roman"/>
                <w:lang w:val="zh-CN"/>
              </w:rPr>
              <w:t>评价工作等级</w:t>
            </w:r>
          </w:p>
          <w:p>
            <w:pPr>
              <w:pStyle w:val="39"/>
              <w:rPr>
                <w:rFonts w:ascii="Times New Roman" w:hAnsi="Times New Roman"/>
                <w:lang w:val="zh-CN"/>
              </w:rPr>
            </w:pPr>
            <w:r>
              <w:rPr>
                <w:rFonts w:ascii="Times New Roman" w:hAnsi="Times New Roman"/>
                <w:lang w:val="zh-CN"/>
              </w:rPr>
              <w:t>敏感程度</w:t>
            </w:r>
          </w:p>
        </w:tc>
        <w:tc>
          <w:tcPr>
            <w:tcW w:w="2067" w:type="dxa"/>
            <w:gridSpan w:val="3"/>
            <w:shd w:val="clear" w:color="auto" w:fill="auto"/>
            <w:vAlign w:val="center"/>
          </w:tcPr>
          <w:p>
            <w:pPr>
              <w:pStyle w:val="39"/>
              <w:rPr>
                <w:rFonts w:ascii="Times New Roman" w:hAnsi="Times New Roman"/>
                <w:lang w:val="zh-CN"/>
              </w:rPr>
            </w:pPr>
            <w:r>
              <w:rPr>
                <w:rFonts w:ascii="Times New Roman" w:hAnsi="Times New Roman"/>
                <w:lang w:val="zh-CN"/>
              </w:rPr>
              <w:t>Ⅰ类</w:t>
            </w:r>
          </w:p>
        </w:tc>
        <w:tc>
          <w:tcPr>
            <w:tcW w:w="2210" w:type="dxa"/>
            <w:gridSpan w:val="4"/>
            <w:shd w:val="clear" w:color="auto" w:fill="auto"/>
            <w:vAlign w:val="center"/>
          </w:tcPr>
          <w:p>
            <w:pPr>
              <w:pStyle w:val="39"/>
              <w:rPr>
                <w:rFonts w:ascii="Times New Roman" w:hAnsi="Times New Roman"/>
                <w:b/>
                <w:bCs/>
                <w:lang w:val="zh-CN"/>
              </w:rPr>
            </w:pPr>
            <w:r>
              <w:rPr>
                <w:rFonts w:ascii="Times New Roman" w:hAnsi="Times New Roman"/>
                <w:b/>
                <w:bCs/>
                <w:lang w:val="zh-CN"/>
              </w:rPr>
              <w:t>Ⅱ类</w:t>
            </w:r>
          </w:p>
        </w:tc>
        <w:tc>
          <w:tcPr>
            <w:tcW w:w="2129" w:type="dxa"/>
            <w:gridSpan w:val="4"/>
            <w:shd w:val="clear" w:color="auto" w:fill="auto"/>
            <w:vAlign w:val="center"/>
          </w:tcPr>
          <w:p>
            <w:pPr>
              <w:pStyle w:val="39"/>
              <w:rPr>
                <w:rFonts w:ascii="Times New Roman" w:hAnsi="Times New Roman"/>
                <w:lang w:val="zh-CN"/>
              </w:rPr>
            </w:pPr>
            <w:r>
              <w:rPr>
                <w:rFonts w:ascii="Times New Roman" w:hAnsi="Times New Roman"/>
                <w:lang w:val="zh-CN"/>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1" w:type="dxa"/>
          <w:trHeight w:val="275" w:hRule="atLeast"/>
          <w:jc w:val="center"/>
        </w:trPr>
        <w:tc>
          <w:tcPr>
            <w:tcW w:w="2087" w:type="dxa"/>
            <w:vMerge w:val="continue"/>
            <w:shd w:val="clear" w:color="auto" w:fill="auto"/>
          </w:tcPr>
          <w:p>
            <w:pPr>
              <w:pStyle w:val="39"/>
              <w:rPr>
                <w:rFonts w:ascii="Times New Roman" w:hAnsi="Times New Roman"/>
                <w:lang w:val="zh-CN"/>
              </w:rPr>
            </w:pPr>
          </w:p>
        </w:tc>
        <w:tc>
          <w:tcPr>
            <w:tcW w:w="689" w:type="dxa"/>
            <w:shd w:val="clear" w:color="auto" w:fill="auto"/>
            <w:vAlign w:val="center"/>
          </w:tcPr>
          <w:p>
            <w:pPr>
              <w:pStyle w:val="39"/>
              <w:rPr>
                <w:rFonts w:ascii="Times New Roman" w:hAnsi="Times New Roman"/>
                <w:lang w:val="zh-CN"/>
              </w:rPr>
            </w:pPr>
            <w:r>
              <w:rPr>
                <w:rFonts w:ascii="Times New Roman" w:hAnsi="Times New Roman"/>
                <w:lang w:val="zh-CN"/>
              </w:rPr>
              <w:t>大</w:t>
            </w:r>
          </w:p>
        </w:tc>
        <w:tc>
          <w:tcPr>
            <w:tcW w:w="689" w:type="dxa"/>
            <w:shd w:val="clear" w:color="auto" w:fill="auto"/>
            <w:vAlign w:val="center"/>
          </w:tcPr>
          <w:p>
            <w:pPr>
              <w:pStyle w:val="39"/>
              <w:rPr>
                <w:rFonts w:ascii="Times New Roman" w:hAnsi="Times New Roman"/>
                <w:lang w:val="zh-CN"/>
              </w:rPr>
            </w:pPr>
            <w:r>
              <w:rPr>
                <w:rFonts w:ascii="Times New Roman" w:hAnsi="Times New Roman"/>
                <w:lang w:val="zh-CN"/>
              </w:rPr>
              <w:t>中</w:t>
            </w:r>
          </w:p>
        </w:tc>
        <w:tc>
          <w:tcPr>
            <w:tcW w:w="689" w:type="dxa"/>
            <w:shd w:val="clear" w:color="auto" w:fill="auto"/>
            <w:vAlign w:val="center"/>
          </w:tcPr>
          <w:p>
            <w:pPr>
              <w:pStyle w:val="39"/>
              <w:rPr>
                <w:rFonts w:ascii="Times New Roman" w:hAnsi="Times New Roman"/>
                <w:lang w:val="zh-CN"/>
              </w:rPr>
            </w:pPr>
            <w:r>
              <w:rPr>
                <w:rFonts w:ascii="Times New Roman" w:hAnsi="Times New Roman"/>
                <w:lang w:val="zh-CN"/>
              </w:rPr>
              <w:t>小</w:t>
            </w:r>
          </w:p>
        </w:tc>
        <w:tc>
          <w:tcPr>
            <w:tcW w:w="690" w:type="dxa"/>
            <w:shd w:val="clear" w:color="auto" w:fill="auto"/>
            <w:vAlign w:val="center"/>
          </w:tcPr>
          <w:p>
            <w:pPr>
              <w:pStyle w:val="39"/>
              <w:rPr>
                <w:rFonts w:ascii="Times New Roman" w:hAnsi="Times New Roman"/>
                <w:lang w:val="zh-CN"/>
              </w:rPr>
            </w:pPr>
            <w:r>
              <w:rPr>
                <w:rFonts w:ascii="Times New Roman" w:hAnsi="Times New Roman"/>
                <w:lang w:val="zh-CN"/>
              </w:rPr>
              <w:t>大</w:t>
            </w:r>
          </w:p>
        </w:tc>
        <w:tc>
          <w:tcPr>
            <w:tcW w:w="816" w:type="dxa"/>
            <w:shd w:val="clear" w:color="auto" w:fill="auto"/>
            <w:vAlign w:val="center"/>
          </w:tcPr>
          <w:p>
            <w:pPr>
              <w:pStyle w:val="39"/>
              <w:rPr>
                <w:rFonts w:ascii="Times New Roman" w:hAnsi="Times New Roman"/>
                <w:lang w:val="zh-CN"/>
              </w:rPr>
            </w:pPr>
            <w:r>
              <w:rPr>
                <w:rFonts w:ascii="Times New Roman" w:hAnsi="Times New Roman"/>
                <w:lang w:val="zh-CN"/>
              </w:rPr>
              <w:t>中</w:t>
            </w:r>
          </w:p>
        </w:tc>
        <w:tc>
          <w:tcPr>
            <w:tcW w:w="693" w:type="dxa"/>
            <w:shd w:val="clear" w:color="auto" w:fill="auto"/>
            <w:vAlign w:val="center"/>
          </w:tcPr>
          <w:p>
            <w:pPr>
              <w:pStyle w:val="39"/>
              <w:rPr>
                <w:rFonts w:ascii="Times New Roman" w:hAnsi="Times New Roman"/>
                <w:b/>
                <w:bCs/>
                <w:lang w:val="zh-CN"/>
              </w:rPr>
            </w:pPr>
            <w:r>
              <w:rPr>
                <w:rFonts w:ascii="Times New Roman" w:hAnsi="Times New Roman"/>
                <w:b/>
                <w:bCs/>
                <w:lang w:val="zh-CN"/>
              </w:rPr>
              <w:t>小</w:t>
            </w:r>
          </w:p>
        </w:tc>
        <w:tc>
          <w:tcPr>
            <w:tcW w:w="748" w:type="dxa"/>
            <w:gridSpan w:val="2"/>
            <w:shd w:val="clear" w:color="auto" w:fill="auto"/>
            <w:vAlign w:val="center"/>
          </w:tcPr>
          <w:p>
            <w:pPr>
              <w:pStyle w:val="39"/>
              <w:rPr>
                <w:rFonts w:ascii="Times New Roman" w:hAnsi="Times New Roman"/>
                <w:lang w:val="zh-CN"/>
              </w:rPr>
            </w:pPr>
            <w:r>
              <w:rPr>
                <w:rFonts w:ascii="Times New Roman" w:hAnsi="Times New Roman"/>
                <w:lang w:val="zh-CN"/>
              </w:rPr>
              <w:t>大</w:t>
            </w:r>
          </w:p>
        </w:tc>
        <w:tc>
          <w:tcPr>
            <w:tcW w:w="690" w:type="dxa"/>
            <w:shd w:val="clear" w:color="auto" w:fill="auto"/>
            <w:vAlign w:val="center"/>
          </w:tcPr>
          <w:p>
            <w:pPr>
              <w:pStyle w:val="39"/>
              <w:rPr>
                <w:rFonts w:ascii="Times New Roman" w:hAnsi="Times New Roman"/>
                <w:lang w:val="zh-CN"/>
              </w:rPr>
            </w:pPr>
            <w:r>
              <w:rPr>
                <w:rFonts w:ascii="Times New Roman" w:hAnsi="Times New Roman"/>
                <w:lang w:val="zh-CN"/>
              </w:rPr>
              <w:t>中</w:t>
            </w:r>
          </w:p>
        </w:tc>
        <w:tc>
          <w:tcPr>
            <w:tcW w:w="691" w:type="dxa"/>
            <w:shd w:val="clear" w:color="auto" w:fill="auto"/>
            <w:vAlign w:val="center"/>
          </w:tcPr>
          <w:p>
            <w:pPr>
              <w:pStyle w:val="39"/>
              <w:rPr>
                <w:rFonts w:ascii="Times New Roman" w:hAnsi="Times New Roman"/>
                <w:lang w:val="zh-CN"/>
              </w:rPr>
            </w:pPr>
            <w:r>
              <w:rPr>
                <w:rFonts w:ascii="Times New Roman" w:hAnsi="Times New Roman"/>
                <w:lang w:val="zh-CN"/>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1" w:type="dxa"/>
          <w:trHeight w:val="20" w:hRule="atLeast"/>
          <w:jc w:val="center"/>
        </w:trPr>
        <w:tc>
          <w:tcPr>
            <w:tcW w:w="2087" w:type="dxa"/>
            <w:shd w:val="clear" w:color="auto" w:fill="auto"/>
          </w:tcPr>
          <w:p>
            <w:pPr>
              <w:pStyle w:val="39"/>
              <w:rPr>
                <w:rFonts w:ascii="Times New Roman" w:hAnsi="Times New Roman"/>
                <w:lang w:val="zh-CN"/>
              </w:rPr>
            </w:pPr>
            <w:r>
              <w:rPr>
                <w:rFonts w:ascii="Times New Roman" w:hAnsi="Times New Roman"/>
                <w:lang w:val="zh-CN"/>
              </w:rPr>
              <w:t>敏感</w:t>
            </w:r>
          </w:p>
        </w:tc>
        <w:tc>
          <w:tcPr>
            <w:tcW w:w="689" w:type="dxa"/>
            <w:shd w:val="clear" w:color="auto" w:fill="auto"/>
          </w:tcPr>
          <w:p>
            <w:pPr>
              <w:pStyle w:val="39"/>
              <w:rPr>
                <w:rFonts w:ascii="Times New Roman" w:hAnsi="Times New Roman"/>
                <w:lang w:val="zh-CN"/>
              </w:rPr>
            </w:pPr>
            <w:r>
              <w:rPr>
                <w:rFonts w:ascii="Times New Roman" w:hAnsi="Times New Roman"/>
                <w:lang w:val="zh-CN"/>
              </w:rPr>
              <w:t>一级</w:t>
            </w:r>
          </w:p>
        </w:tc>
        <w:tc>
          <w:tcPr>
            <w:tcW w:w="689" w:type="dxa"/>
            <w:shd w:val="clear" w:color="auto" w:fill="auto"/>
          </w:tcPr>
          <w:p>
            <w:pPr>
              <w:pStyle w:val="39"/>
              <w:rPr>
                <w:rFonts w:ascii="Times New Roman" w:hAnsi="Times New Roman"/>
                <w:lang w:val="zh-CN"/>
              </w:rPr>
            </w:pPr>
            <w:r>
              <w:rPr>
                <w:rFonts w:ascii="Times New Roman" w:hAnsi="Times New Roman"/>
                <w:lang w:val="zh-CN"/>
              </w:rPr>
              <w:t>一级</w:t>
            </w:r>
          </w:p>
        </w:tc>
        <w:tc>
          <w:tcPr>
            <w:tcW w:w="689" w:type="dxa"/>
            <w:shd w:val="clear" w:color="auto" w:fill="auto"/>
          </w:tcPr>
          <w:p>
            <w:pPr>
              <w:pStyle w:val="39"/>
              <w:rPr>
                <w:rFonts w:ascii="Times New Roman" w:hAnsi="Times New Roman"/>
                <w:lang w:val="zh-CN"/>
              </w:rPr>
            </w:pPr>
            <w:r>
              <w:rPr>
                <w:rFonts w:ascii="Times New Roman" w:hAnsi="Times New Roman"/>
                <w:lang w:val="zh-CN"/>
              </w:rPr>
              <w:t>一级</w:t>
            </w:r>
          </w:p>
        </w:tc>
        <w:tc>
          <w:tcPr>
            <w:tcW w:w="690" w:type="dxa"/>
            <w:shd w:val="clear" w:color="auto" w:fill="auto"/>
          </w:tcPr>
          <w:p>
            <w:pPr>
              <w:pStyle w:val="39"/>
              <w:rPr>
                <w:rFonts w:ascii="Times New Roman" w:hAnsi="Times New Roman"/>
                <w:lang w:val="zh-CN"/>
              </w:rPr>
            </w:pPr>
            <w:r>
              <w:rPr>
                <w:rFonts w:ascii="Times New Roman" w:hAnsi="Times New Roman"/>
                <w:lang w:val="zh-CN"/>
              </w:rPr>
              <w:t>二级</w:t>
            </w:r>
          </w:p>
        </w:tc>
        <w:tc>
          <w:tcPr>
            <w:tcW w:w="816" w:type="dxa"/>
            <w:shd w:val="clear" w:color="auto" w:fill="auto"/>
          </w:tcPr>
          <w:p>
            <w:pPr>
              <w:pStyle w:val="39"/>
              <w:rPr>
                <w:rFonts w:ascii="Times New Roman" w:hAnsi="Times New Roman"/>
                <w:b/>
                <w:bCs/>
                <w:lang w:val="zh-CN"/>
              </w:rPr>
            </w:pPr>
            <w:r>
              <w:rPr>
                <w:rFonts w:ascii="Times New Roman" w:hAnsi="Times New Roman"/>
                <w:b/>
                <w:bCs/>
                <w:lang w:val="zh-CN"/>
              </w:rPr>
              <w:t>二级</w:t>
            </w:r>
          </w:p>
        </w:tc>
        <w:tc>
          <w:tcPr>
            <w:tcW w:w="693" w:type="dxa"/>
            <w:shd w:val="clear" w:color="auto" w:fill="auto"/>
          </w:tcPr>
          <w:p>
            <w:pPr>
              <w:pStyle w:val="39"/>
              <w:rPr>
                <w:rFonts w:ascii="Times New Roman" w:hAnsi="Times New Roman"/>
                <w:b/>
                <w:lang w:val="zh-CN"/>
              </w:rPr>
            </w:pPr>
            <w:r>
              <w:rPr>
                <w:rFonts w:ascii="Times New Roman" w:hAnsi="Times New Roman"/>
                <w:b/>
                <w:lang w:val="zh-CN"/>
              </w:rPr>
              <w:t>二级</w:t>
            </w:r>
          </w:p>
        </w:tc>
        <w:tc>
          <w:tcPr>
            <w:tcW w:w="748" w:type="dxa"/>
            <w:gridSpan w:val="2"/>
            <w:shd w:val="clear" w:color="auto" w:fill="auto"/>
          </w:tcPr>
          <w:p>
            <w:pPr>
              <w:pStyle w:val="39"/>
              <w:rPr>
                <w:rFonts w:ascii="Times New Roman" w:hAnsi="Times New Roman"/>
                <w:lang w:val="zh-CN"/>
              </w:rPr>
            </w:pPr>
            <w:r>
              <w:rPr>
                <w:rFonts w:ascii="Times New Roman" w:hAnsi="Times New Roman"/>
                <w:lang w:val="zh-CN"/>
              </w:rPr>
              <w:t>三级</w:t>
            </w:r>
          </w:p>
        </w:tc>
        <w:tc>
          <w:tcPr>
            <w:tcW w:w="690" w:type="dxa"/>
            <w:shd w:val="clear" w:color="auto" w:fill="auto"/>
          </w:tcPr>
          <w:p>
            <w:pPr>
              <w:pStyle w:val="39"/>
              <w:rPr>
                <w:rFonts w:ascii="Times New Roman" w:hAnsi="Times New Roman"/>
                <w:lang w:val="zh-CN"/>
              </w:rPr>
            </w:pPr>
            <w:r>
              <w:rPr>
                <w:rFonts w:ascii="Times New Roman" w:hAnsi="Times New Roman"/>
                <w:lang w:val="zh-CN"/>
              </w:rPr>
              <w:t>三级</w:t>
            </w:r>
          </w:p>
        </w:tc>
        <w:tc>
          <w:tcPr>
            <w:tcW w:w="691" w:type="dxa"/>
            <w:shd w:val="clear" w:color="auto" w:fill="auto"/>
          </w:tcPr>
          <w:p>
            <w:pPr>
              <w:pStyle w:val="39"/>
              <w:rPr>
                <w:rFonts w:ascii="Times New Roman" w:hAnsi="Times New Roman"/>
                <w:lang w:val="zh-CN"/>
              </w:rPr>
            </w:pPr>
            <w:r>
              <w:rPr>
                <w:rFonts w:ascii="Times New Roman" w:hAnsi="Times New Roman"/>
                <w:lang w:val="zh-C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1" w:type="dxa"/>
          <w:trHeight w:val="20" w:hRule="atLeast"/>
          <w:jc w:val="center"/>
        </w:trPr>
        <w:tc>
          <w:tcPr>
            <w:tcW w:w="2087" w:type="dxa"/>
            <w:shd w:val="clear" w:color="auto" w:fill="auto"/>
          </w:tcPr>
          <w:p>
            <w:pPr>
              <w:pStyle w:val="39"/>
              <w:rPr>
                <w:rFonts w:ascii="Times New Roman" w:hAnsi="Times New Roman"/>
                <w:lang w:val="zh-CN"/>
              </w:rPr>
            </w:pPr>
            <w:r>
              <w:rPr>
                <w:rFonts w:ascii="Times New Roman" w:hAnsi="Times New Roman"/>
                <w:lang w:val="zh-CN"/>
              </w:rPr>
              <w:t>较敏感</w:t>
            </w:r>
          </w:p>
        </w:tc>
        <w:tc>
          <w:tcPr>
            <w:tcW w:w="689" w:type="dxa"/>
            <w:shd w:val="clear" w:color="auto" w:fill="auto"/>
          </w:tcPr>
          <w:p>
            <w:pPr>
              <w:pStyle w:val="39"/>
              <w:rPr>
                <w:rFonts w:ascii="Times New Roman" w:hAnsi="Times New Roman"/>
                <w:lang w:val="zh-CN"/>
              </w:rPr>
            </w:pPr>
            <w:r>
              <w:rPr>
                <w:rFonts w:ascii="Times New Roman" w:hAnsi="Times New Roman"/>
                <w:lang w:val="zh-CN"/>
              </w:rPr>
              <w:t>一级</w:t>
            </w:r>
          </w:p>
        </w:tc>
        <w:tc>
          <w:tcPr>
            <w:tcW w:w="689" w:type="dxa"/>
            <w:shd w:val="clear" w:color="auto" w:fill="auto"/>
          </w:tcPr>
          <w:p>
            <w:pPr>
              <w:pStyle w:val="39"/>
              <w:rPr>
                <w:rFonts w:ascii="Times New Roman" w:hAnsi="Times New Roman"/>
                <w:lang w:val="zh-CN"/>
              </w:rPr>
            </w:pPr>
            <w:r>
              <w:rPr>
                <w:rFonts w:ascii="Times New Roman" w:hAnsi="Times New Roman"/>
                <w:lang w:val="zh-CN"/>
              </w:rPr>
              <w:t>一级</w:t>
            </w:r>
          </w:p>
        </w:tc>
        <w:tc>
          <w:tcPr>
            <w:tcW w:w="689" w:type="dxa"/>
            <w:shd w:val="clear" w:color="auto" w:fill="auto"/>
          </w:tcPr>
          <w:p>
            <w:pPr>
              <w:pStyle w:val="39"/>
              <w:rPr>
                <w:rFonts w:ascii="Times New Roman" w:hAnsi="Times New Roman"/>
                <w:lang w:val="zh-CN"/>
              </w:rPr>
            </w:pPr>
            <w:r>
              <w:rPr>
                <w:rFonts w:ascii="Times New Roman" w:hAnsi="Times New Roman"/>
                <w:lang w:val="zh-CN"/>
              </w:rPr>
              <w:t>二级</w:t>
            </w:r>
          </w:p>
        </w:tc>
        <w:tc>
          <w:tcPr>
            <w:tcW w:w="690" w:type="dxa"/>
            <w:shd w:val="clear" w:color="auto" w:fill="auto"/>
          </w:tcPr>
          <w:p>
            <w:pPr>
              <w:pStyle w:val="39"/>
              <w:rPr>
                <w:rFonts w:ascii="Times New Roman" w:hAnsi="Times New Roman"/>
                <w:lang w:val="zh-CN"/>
              </w:rPr>
            </w:pPr>
            <w:r>
              <w:rPr>
                <w:rFonts w:ascii="Times New Roman" w:hAnsi="Times New Roman"/>
                <w:lang w:val="zh-CN"/>
              </w:rPr>
              <w:t>二级</w:t>
            </w:r>
          </w:p>
        </w:tc>
        <w:tc>
          <w:tcPr>
            <w:tcW w:w="816" w:type="dxa"/>
            <w:shd w:val="clear" w:color="auto" w:fill="auto"/>
          </w:tcPr>
          <w:p>
            <w:pPr>
              <w:pStyle w:val="39"/>
              <w:rPr>
                <w:rFonts w:ascii="Times New Roman" w:hAnsi="Times New Roman"/>
                <w:lang w:val="zh-CN"/>
              </w:rPr>
            </w:pPr>
            <w:r>
              <w:rPr>
                <w:rFonts w:ascii="Times New Roman" w:hAnsi="Times New Roman"/>
                <w:lang w:val="zh-CN"/>
              </w:rPr>
              <w:t>二级</w:t>
            </w:r>
          </w:p>
        </w:tc>
        <w:tc>
          <w:tcPr>
            <w:tcW w:w="693" w:type="dxa"/>
            <w:shd w:val="clear" w:color="auto" w:fill="auto"/>
          </w:tcPr>
          <w:p>
            <w:pPr>
              <w:pStyle w:val="39"/>
              <w:rPr>
                <w:rFonts w:ascii="Times New Roman" w:hAnsi="Times New Roman"/>
                <w:lang w:val="zh-CN"/>
              </w:rPr>
            </w:pPr>
            <w:r>
              <w:rPr>
                <w:rFonts w:ascii="Times New Roman" w:hAnsi="Times New Roman"/>
                <w:lang w:val="zh-CN"/>
              </w:rPr>
              <w:t>三级</w:t>
            </w:r>
          </w:p>
        </w:tc>
        <w:tc>
          <w:tcPr>
            <w:tcW w:w="748" w:type="dxa"/>
            <w:gridSpan w:val="2"/>
            <w:shd w:val="clear" w:color="auto" w:fill="auto"/>
          </w:tcPr>
          <w:p>
            <w:pPr>
              <w:pStyle w:val="39"/>
              <w:rPr>
                <w:rFonts w:ascii="Times New Roman" w:hAnsi="Times New Roman"/>
                <w:lang w:val="zh-CN"/>
              </w:rPr>
            </w:pPr>
            <w:r>
              <w:rPr>
                <w:rFonts w:ascii="Times New Roman" w:hAnsi="Times New Roman"/>
                <w:lang w:val="zh-CN"/>
              </w:rPr>
              <w:t>三级</w:t>
            </w:r>
          </w:p>
        </w:tc>
        <w:tc>
          <w:tcPr>
            <w:tcW w:w="690" w:type="dxa"/>
            <w:shd w:val="clear" w:color="auto" w:fill="auto"/>
          </w:tcPr>
          <w:p>
            <w:pPr>
              <w:pStyle w:val="39"/>
              <w:rPr>
                <w:rFonts w:ascii="Times New Roman" w:hAnsi="Times New Roman"/>
                <w:lang w:val="zh-CN"/>
              </w:rPr>
            </w:pPr>
            <w:r>
              <w:rPr>
                <w:rFonts w:ascii="Times New Roman" w:hAnsi="Times New Roman"/>
                <w:lang w:val="zh-CN"/>
              </w:rPr>
              <w:t>三级</w:t>
            </w:r>
          </w:p>
        </w:tc>
        <w:tc>
          <w:tcPr>
            <w:tcW w:w="691" w:type="dxa"/>
            <w:shd w:val="clear" w:color="auto" w:fill="auto"/>
          </w:tcPr>
          <w:p>
            <w:pPr>
              <w:pStyle w:val="39"/>
              <w:rPr>
                <w:rFonts w:ascii="Times New Roman" w:hAnsi="Times New Roman"/>
                <w:lang w:val="zh-CN"/>
              </w:rPr>
            </w:pPr>
            <w:r>
              <w:rPr>
                <w:rFonts w:ascii="Times New Roman" w:hAnsi="Times New Roman"/>
                <w:lang w:val="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1" w:type="dxa"/>
          <w:trHeight w:val="20" w:hRule="atLeast"/>
          <w:jc w:val="center"/>
        </w:trPr>
        <w:tc>
          <w:tcPr>
            <w:tcW w:w="2087" w:type="dxa"/>
            <w:shd w:val="clear" w:color="auto" w:fill="auto"/>
          </w:tcPr>
          <w:p>
            <w:pPr>
              <w:pStyle w:val="39"/>
              <w:rPr>
                <w:rFonts w:ascii="Times New Roman" w:hAnsi="Times New Roman"/>
                <w:bCs/>
                <w:lang w:val="zh-CN"/>
              </w:rPr>
            </w:pPr>
            <w:r>
              <w:rPr>
                <w:rFonts w:ascii="Times New Roman" w:hAnsi="Times New Roman"/>
                <w:bCs/>
                <w:lang w:val="zh-CN"/>
              </w:rPr>
              <w:t>不敏感</w:t>
            </w:r>
          </w:p>
        </w:tc>
        <w:tc>
          <w:tcPr>
            <w:tcW w:w="689" w:type="dxa"/>
            <w:shd w:val="clear" w:color="auto" w:fill="auto"/>
          </w:tcPr>
          <w:p>
            <w:pPr>
              <w:pStyle w:val="39"/>
              <w:rPr>
                <w:rFonts w:ascii="Times New Roman" w:hAnsi="Times New Roman"/>
                <w:lang w:val="zh-CN"/>
              </w:rPr>
            </w:pPr>
            <w:r>
              <w:rPr>
                <w:rFonts w:ascii="Times New Roman" w:hAnsi="Times New Roman"/>
                <w:lang w:val="zh-CN"/>
              </w:rPr>
              <w:t>一级</w:t>
            </w:r>
          </w:p>
        </w:tc>
        <w:tc>
          <w:tcPr>
            <w:tcW w:w="689" w:type="dxa"/>
            <w:shd w:val="clear" w:color="auto" w:fill="auto"/>
          </w:tcPr>
          <w:p>
            <w:pPr>
              <w:pStyle w:val="39"/>
              <w:rPr>
                <w:rFonts w:ascii="Times New Roman" w:hAnsi="Times New Roman"/>
                <w:lang w:val="zh-CN"/>
              </w:rPr>
            </w:pPr>
            <w:r>
              <w:rPr>
                <w:rFonts w:ascii="Times New Roman" w:hAnsi="Times New Roman"/>
                <w:lang w:val="zh-CN"/>
              </w:rPr>
              <w:t>二级</w:t>
            </w:r>
          </w:p>
        </w:tc>
        <w:tc>
          <w:tcPr>
            <w:tcW w:w="689" w:type="dxa"/>
            <w:shd w:val="clear" w:color="auto" w:fill="auto"/>
          </w:tcPr>
          <w:p>
            <w:pPr>
              <w:pStyle w:val="39"/>
              <w:rPr>
                <w:rFonts w:ascii="Times New Roman" w:hAnsi="Times New Roman"/>
                <w:lang w:val="zh-CN"/>
              </w:rPr>
            </w:pPr>
            <w:r>
              <w:rPr>
                <w:rFonts w:ascii="Times New Roman" w:hAnsi="Times New Roman"/>
                <w:lang w:val="zh-CN"/>
              </w:rPr>
              <w:t>二级</w:t>
            </w:r>
          </w:p>
        </w:tc>
        <w:tc>
          <w:tcPr>
            <w:tcW w:w="690" w:type="dxa"/>
            <w:shd w:val="clear" w:color="auto" w:fill="auto"/>
          </w:tcPr>
          <w:p>
            <w:pPr>
              <w:pStyle w:val="39"/>
              <w:rPr>
                <w:rFonts w:ascii="Times New Roman" w:hAnsi="Times New Roman"/>
                <w:lang w:val="zh-CN"/>
              </w:rPr>
            </w:pPr>
            <w:r>
              <w:rPr>
                <w:rFonts w:ascii="Times New Roman" w:hAnsi="Times New Roman"/>
                <w:lang w:val="zh-CN"/>
              </w:rPr>
              <w:t>二级</w:t>
            </w:r>
          </w:p>
        </w:tc>
        <w:tc>
          <w:tcPr>
            <w:tcW w:w="816" w:type="dxa"/>
            <w:shd w:val="clear" w:color="auto" w:fill="auto"/>
          </w:tcPr>
          <w:p>
            <w:pPr>
              <w:pStyle w:val="39"/>
              <w:rPr>
                <w:rFonts w:ascii="Times New Roman" w:hAnsi="Times New Roman"/>
                <w:lang w:val="zh-CN"/>
              </w:rPr>
            </w:pPr>
            <w:r>
              <w:rPr>
                <w:rFonts w:ascii="Times New Roman" w:hAnsi="Times New Roman"/>
                <w:lang w:val="zh-CN"/>
              </w:rPr>
              <w:t>三级</w:t>
            </w:r>
          </w:p>
        </w:tc>
        <w:tc>
          <w:tcPr>
            <w:tcW w:w="693" w:type="dxa"/>
            <w:shd w:val="clear" w:color="auto" w:fill="auto"/>
          </w:tcPr>
          <w:p>
            <w:pPr>
              <w:pStyle w:val="39"/>
              <w:rPr>
                <w:rFonts w:ascii="Times New Roman" w:hAnsi="Times New Roman"/>
                <w:lang w:val="zh-CN"/>
              </w:rPr>
            </w:pPr>
            <w:r>
              <w:rPr>
                <w:rFonts w:ascii="Times New Roman" w:hAnsi="Times New Roman"/>
                <w:lang w:val="zh-CN"/>
              </w:rPr>
              <w:t>三级</w:t>
            </w:r>
          </w:p>
        </w:tc>
        <w:tc>
          <w:tcPr>
            <w:tcW w:w="748" w:type="dxa"/>
            <w:gridSpan w:val="2"/>
            <w:shd w:val="clear" w:color="auto" w:fill="auto"/>
          </w:tcPr>
          <w:p>
            <w:pPr>
              <w:pStyle w:val="39"/>
              <w:rPr>
                <w:rFonts w:ascii="Times New Roman" w:hAnsi="Times New Roman"/>
                <w:lang w:val="zh-CN"/>
              </w:rPr>
            </w:pPr>
            <w:r>
              <w:rPr>
                <w:rFonts w:ascii="Times New Roman" w:hAnsi="Times New Roman"/>
                <w:lang w:val="zh-CN"/>
              </w:rPr>
              <w:t>三级</w:t>
            </w:r>
          </w:p>
        </w:tc>
        <w:tc>
          <w:tcPr>
            <w:tcW w:w="690" w:type="dxa"/>
            <w:shd w:val="clear" w:color="auto" w:fill="auto"/>
          </w:tcPr>
          <w:p>
            <w:pPr>
              <w:pStyle w:val="39"/>
              <w:rPr>
                <w:rFonts w:ascii="Times New Roman" w:hAnsi="Times New Roman"/>
                <w:lang w:val="zh-CN"/>
              </w:rPr>
            </w:pPr>
            <w:r>
              <w:rPr>
                <w:rFonts w:ascii="Times New Roman" w:hAnsi="Times New Roman"/>
                <w:lang w:val="zh-CN"/>
              </w:rPr>
              <w:t>-</w:t>
            </w:r>
          </w:p>
        </w:tc>
        <w:tc>
          <w:tcPr>
            <w:tcW w:w="691" w:type="dxa"/>
            <w:shd w:val="clear" w:color="auto" w:fill="auto"/>
          </w:tcPr>
          <w:p>
            <w:pPr>
              <w:pStyle w:val="39"/>
              <w:rPr>
                <w:rFonts w:ascii="Times New Roman" w:hAnsi="Times New Roman"/>
                <w:lang w:val="zh-CN"/>
              </w:rPr>
            </w:pPr>
            <w:r>
              <w:rPr>
                <w:rFonts w:ascii="Times New Roman" w:hAnsi="Times New Roman"/>
                <w:lang w:val="zh-CN"/>
              </w:rPr>
              <w:t>-</w:t>
            </w:r>
          </w:p>
        </w:tc>
      </w:tr>
    </w:tbl>
    <w:p>
      <w:pPr>
        <w:pStyle w:val="5"/>
        <w:rPr>
          <w:rFonts w:ascii="Times New Roman" w:hAnsi="Times New Roman"/>
        </w:rPr>
      </w:pPr>
      <w:r>
        <w:rPr>
          <w:rFonts w:ascii="Times New Roman" w:hAnsi="Times New Roman"/>
        </w:rPr>
        <w:t>评价范围</w:t>
      </w:r>
    </w:p>
    <w:p>
      <w:pPr>
        <w:ind w:firstLine="480"/>
        <w:rPr>
          <w:rFonts w:ascii="Times New Roman" w:hAnsi="Times New Roman"/>
        </w:rPr>
      </w:pPr>
      <w:r>
        <w:rPr>
          <w:rFonts w:ascii="Times New Roman" w:hAnsi="Times New Roman"/>
        </w:rPr>
        <w:t>本项目评价等级为二级，根据《环境影响评价技术导则 土壤环境（试行）》（HJ964-2018），调查评价范围为站场及周边200m、集输管道两侧各200m的区域。本项目土壤环境评价范围见附图9。</w:t>
      </w:r>
    </w:p>
    <w:p>
      <w:pPr>
        <w:pStyle w:val="4"/>
        <w:rPr>
          <w:rFonts w:ascii="Times New Roman" w:hAnsi="Times New Roman" w:cs="Times New Roman"/>
        </w:rPr>
      </w:pPr>
      <w:r>
        <w:rPr>
          <w:rFonts w:ascii="Times New Roman" w:hAnsi="Times New Roman" w:cs="Times New Roman"/>
        </w:rPr>
        <w:t>环境风险</w:t>
      </w:r>
    </w:p>
    <w:p>
      <w:pPr>
        <w:pStyle w:val="5"/>
        <w:rPr>
          <w:rFonts w:ascii="Times New Roman" w:hAnsi="Times New Roman"/>
        </w:rPr>
      </w:pPr>
      <w:r>
        <w:rPr>
          <w:rFonts w:ascii="Times New Roman" w:hAnsi="Times New Roman"/>
        </w:rPr>
        <w:t>评价等级</w:t>
      </w:r>
    </w:p>
    <w:p>
      <w:pPr>
        <w:ind w:firstLine="480"/>
        <w:rPr>
          <w:rFonts w:ascii="Times New Roman" w:hAnsi="Times New Roman"/>
        </w:rPr>
      </w:pPr>
      <w:r>
        <w:rPr>
          <w:rFonts w:ascii="Times New Roman" w:hAnsi="Times New Roman"/>
        </w:rPr>
        <w:t>本项目涉及的危险物质主要为甲烷、硫化氢、气田水等，共分6个工艺单元，因本项目工艺单元比较分散，分别对其进行评价等级的判定。宣探1井站、宣兴1井站、宣兴1井-宣探阀室、宣探阀室-宣探清管站、宣探清管站-304集气站、宣探1井-宣兴1井的Q值分别为0.59、0.65、1.56、4.16、0.38、0.83。其行业和生产工艺均为M3。因此， Q值大于1的工艺单元的物质及工艺系统危险性均为P4。</w:t>
      </w:r>
    </w:p>
    <w:p>
      <w:pPr>
        <w:ind w:firstLine="480"/>
        <w:rPr>
          <w:rFonts w:ascii="Times New Roman" w:hAnsi="Times New Roman"/>
        </w:rPr>
      </w:pPr>
      <w:r>
        <w:rPr>
          <w:rFonts w:ascii="Times New Roman" w:hAnsi="Times New Roman"/>
        </w:rPr>
        <w:t>根据环境风险敏感目标的调查，各工艺单元的环境敏感程度见</w:t>
      </w:r>
      <w:r>
        <w:rPr>
          <w:rFonts w:ascii="Times New Roman" w:hAnsi="Times New Roman"/>
        </w:rPr>
        <w:fldChar w:fldCharType="begin"/>
      </w:r>
      <w:r>
        <w:rPr>
          <w:rFonts w:ascii="Times New Roman" w:hAnsi="Times New Roman"/>
        </w:rPr>
        <w:instrText xml:space="preserve"> REF _Ref156987769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21</w:t>
      </w:r>
      <w:r>
        <w:rPr>
          <w:rFonts w:ascii="Times New Roman" w:hAnsi="Times New Roman"/>
        </w:rPr>
        <w:fldChar w:fldCharType="end"/>
      </w:r>
      <w:r>
        <w:rPr>
          <w:rFonts w:ascii="Times New Roman" w:hAnsi="Times New Roman"/>
        </w:rPr>
        <w:t>，</w:t>
      </w:r>
      <w:bookmarkStart w:id="28" w:name="_Ref155699187"/>
      <w:r>
        <w:rPr>
          <w:rFonts w:ascii="Times New Roman" w:hAnsi="Times New Roman"/>
        </w:rPr>
        <w:t>根据《建设项目环境风险评价技术导则》（HJ169-2018），通过P和E的分级结果，确定本项目各环境要素环境风险潜势见</w:t>
      </w:r>
      <w:r>
        <w:rPr>
          <w:rFonts w:ascii="Times New Roman" w:hAnsi="Times New Roman"/>
        </w:rPr>
        <w:fldChar w:fldCharType="begin"/>
      </w:r>
      <w:r>
        <w:rPr>
          <w:rFonts w:ascii="Times New Roman" w:hAnsi="Times New Roman"/>
        </w:rPr>
        <w:instrText xml:space="preserve"> REF _Ref156987769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21</w:t>
      </w:r>
      <w:r>
        <w:rPr>
          <w:rFonts w:ascii="Times New Roman" w:hAnsi="Times New Roman"/>
        </w:rPr>
        <w:fldChar w:fldCharType="end"/>
      </w:r>
      <w:r>
        <w:rPr>
          <w:rFonts w:ascii="Times New Roman" w:hAnsi="Times New Roman"/>
        </w:rPr>
        <w:t>。依据导则评价工作等级划分表，确定本项目环境风险评价等级见</w:t>
      </w:r>
      <w:r>
        <w:rPr>
          <w:rFonts w:ascii="Times New Roman" w:hAnsi="Times New Roman"/>
        </w:rPr>
        <w:fldChar w:fldCharType="begin"/>
      </w:r>
      <w:r>
        <w:rPr>
          <w:rFonts w:ascii="Times New Roman" w:hAnsi="Times New Roman"/>
        </w:rPr>
        <w:instrText xml:space="preserve"> REF _Ref155700841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22</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考虑到本项目为高含硫气田试采工程，井站管线和集输管线均为输送高含硫原料气的管线，因此在进行大气环境风险评价时，各危险单元均考虑采用模型预测的方法进行影响评价。</w:t>
      </w:r>
    </w:p>
    <w:p>
      <w:pPr>
        <w:ind w:firstLine="480"/>
        <w:rPr>
          <w:rFonts w:ascii="Times New Roman" w:hAnsi="Times New Roman"/>
        </w:rPr>
      </w:pPr>
    </w:p>
    <w:p>
      <w:pPr>
        <w:ind w:firstLine="480"/>
        <w:rPr>
          <w:rFonts w:ascii="Times New Roman" w:hAnsi="Times New Roman"/>
        </w:rPr>
      </w:pPr>
    </w:p>
    <w:p>
      <w:pPr>
        <w:pStyle w:val="37"/>
        <w:rPr>
          <w:rFonts w:ascii="Times New Roman" w:hAnsi="Times New Roman" w:cs="Times New Roman"/>
        </w:rPr>
        <w:sectPr>
          <w:pgSz w:w="11906" w:h="16838"/>
          <w:pgMar w:top="1440" w:right="1800" w:bottom="1440" w:left="1800" w:header="851" w:footer="992" w:gutter="0"/>
          <w:cols w:space="425" w:num="1"/>
          <w:docGrid w:type="lines" w:linePitch="312" w:charSpace="0"/>
        </w:sectPr>
      </w:pPr>
    </w:p>
    <w:p>
      <w:pPr>
        <w:pStyle w:val="37"/>
        <w:rPr>
          <w:rFonts w:ascii="Times New Roman" w:hAnsi="Times New Roman" w:cs="Times New Roman"/>
        </w:rPr>
      </w:pPr>
      <w:bookmarkStart w:id="29" w:name="_Ref15698776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21</w:t>
      </w:r>
      <w:r>
        <w:rPr>
          <w:rFonts w:ascii="Times New Roman" w:hAnsi="Times New Roman" w:cs="Times New Roman"/>
        </w:rPr>
        <w:fldChar w:fldCharType="end"/>
      </w:r>
      <w:bookmarkEnd w:id="28"/>
      <w:bookmarkEnd w:id="29"/>
      <w:r>
        <w:rPr>
          <w:rFonts w:ascii="Times New Roman" w:hAnsi="Times New Roman" w:cs="Times New Roman"/>
        </w:rPr>
        <w:t xml:space="preserve">  本项目各工艺单元的环境风险潜势</w:t>
      </w:r>
    </w:p>
    <w:tbl>
      <w:tblPr>
        <w:tblStyle w:val="28"/>
        <w:tblW w:w="138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7"/>
        <w:gridCol w:w="1691"/>
        <w:gridCol w:w="1692"/>
        <w:gridCol w:w="1436"/>
        <w:gridCol w:w="1843"/>
        <w:gridCol w:w="1559"/>
        <w:gridCol w:w="1701"/>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547" w:type="dxa"/>
            <w:vMerge w:val="restart"/>
            <w:vAlign w:val="center"/>
          </w:tcPr>
          <w:p>
            <w:pPr>
              <w:pStyle w:val="39"/>
              <w:rPr>
                <w:rFonts w:ascii="Times New Roman" w:hAnsi="Times New Roman"/>
              </w:rPr>
            </w:pPr>
            <w:r>
              <w:rPr>
                <w:rFonts w:ascii="Times New Roman" w:hAnsi="Times New Roman"/>
              </w:rPr>
              <w:t>工艺单元</w:t>
            </w:r>
          </w:p>
        </w:tc>
        <w:tc>
          <w:tcPr>
            <w:tcW w:w="1691" w:type="dxa"/>
            <w:vMerge w:val="restart"/>
            <w:vAlign w:val="center"/>
          </w:tcPr>
          <w:p>
            <w:pPr>
              <w:pStyle w:val="39"/>
              <w:rPr>
                <w:rFonts w:ascii="Times New Roman" w:hAnsi="Times New Roman"/>
              </w:rPr>
            </w:pPr>
            <w:r>
              <w:rPr>
                <w:rFonts w:ascii="Times New Roman" w:hAnsi="Times New Roman"/>
              </w:rPr>
              <w:t>物质及工艺系统危险性P</w:t>
            </w:r>
          </w:p>
        </w:tc>
        <w:tc>
          <w:tcPr>
            <w:tcW w:w="3128" w:type="dxa"/>
            <w:gridSpan w:val="2"/>
            <w:vAlign w:val="center"/>
          </w:tcPr>
          <w:p>
            <w:pPr>
              <w:pStyle w:val="39"/>
              <w:rPr>
                <w:rFonts w:ascii="Times New Roman" w:hAnsi="Times New Roman"/>
              </w:rPr>
            </w:pPr>
            <w:r>
              <w:rPr>
                <w:rFonts w:ascii="Times New Roman" w:hAnsi="Times New Roman"/>
              </w:rPr>
              <w:t>大气环境</w:t>
            </w:r>
          </w:p>
        </w:tc>
        <w:tc>
          <w:tcPr>
            <w:tcW w:w="3402" w:type="dxa"/>
            <w:gridSpan w:val="2"/>
            <w:vAlign w:val="center"/>
          </w:tcPr>
          <w:p>
            <w:pPr>
              <w:pStyle w:val="39"/>
              <w:rPr>
                <w:rFonts w:ascii="Times New Roman" w:hAnsi="Times New Roman"/>
              </w:rPr>
            </w:pPr>
            <w:r>
              <w:rPr>
                <w:rFonts w:ascii="Times New Roman" w:hAnsi="Times New Roman"/>
              </w:rPr>
              <w:t>地表水环境</w:t>
            </w:r>
          </w:p>
        </w:tc>
        <w:tc>
          <w:tcPr>
            <w:tcW w:w="3119" w:type="dxa"/>
            <w:gridSpan w:val="2"/>
            <w:vAlign w:val="center"/>
          </w:tcPr>
          <w:p>
            <w:pPr>
              <w:pStyle w:val="39"/>
              <w:rPr>
                <w:rFonts w:ascii="Times New Roman" w:hAnsi="Times New Roman"/>
              </w:rPr>
            </w:pPr>
            <w:r>
              <w:rPr>
                <w:rFonts w:ascii="Times New Roman" w:hAnsi="Times New Roman"/>
              </w:rPr>
              <w:t>地下水环境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547" w:type="dxa"/>
            <w:vMerge w:val="continue"/>
            <w:vAlign w:val="center"/>
          </w:tcPr>
          <w:p>
            <w:pPr>
              <w:pStyle w:val="39"/>
              <w:rPr>
                <w:rFonts w:ascii="Times New Roman" w:hAnsi="Times New Roman"/>
              </w:rPr>
            </w:pPr>
          </w:p>
        </w:tc>
        <w:tc>
          <w:tcPr>
            <w:tcW w:w="1691" w:type="dxa"/>
            <w:vMerge w:val="continue"/>
            <w:vAlign w:val="center"/>
          </w:tcPr>
          <w:p>
            <w:pPr>
              <w:pStyle w:val="39"/>
              <w:rPr>
                <w:rFonts w:ascii="Times New Roman" w:hAnsi="Times New Roman"/>
              </w:rPr>
            </w:pPr>
          </w:p>
        </w:tc>
        <w:tc>
          <w:tcPr>
            <w:tcW w:w="1692" w:type="dxa"/>
            <w:vAlign w:val="center"/>
          </w:tcPr>
          <w:p>
            <w:pPr>
              <w:pStyle w:val="39"/>
              <w:rPr>
                <w:rFonts w:ascii="Times New Roman" w:hAnsi="Times New Roman"/>
              </w:rPr>
            </w:pPr>
            <w:r>
              <w:rPr>
                <w:rFonts w:ascii="Times New Roman" w:hAnsi="Times New Roman"/>
              </w:rPr>
              <w:t>环境敏感程度E</w:t>
            </w:r>
          </w:p>
        </w:tc>
        <w:tc>
          <w:tcPr>
            <w:tcW w:w="1436" w:type="dxa"/>
            <w:vAlign w:val="center"/>
          </w:tcPr>
          <w:p>
            <w:pPr>
              <w:pStyle w:val="39"/>
              <w:rPr>
                <w:rFonts w:ascii="Times New Roman" w:hAnsi="Times New Roman"/>
              </w:rPr>
            </w:pPr>
            <w:r>
              <w:rPr>
                <w:rFonts w:ascii="Times New Roman" w:hAnsi="Times New Roman"/>
              </w:rPr>
              <w:t>风险潜势</w:t>
            </w:r>
          </w:p>
        </w:tc>
        <w:tc>
          <w:tcPr>
            <w:tcW w:w="1843" w:type="dxa"/>
            <w:vAlign w:val="center"/>
          </w:tcPr>
          <w:p>
            <w:pPr>
              <w:pStyle w:val="39"/>
              <w:rPr>
                <w:rFonts w:ascii="Times New Roman" w:hAnsi="Times New Roman"/>
              </w:rPr>
            </w:pPr>
            <w:r>
              <w:rPr>
                <w:rFonts w:ascii="Times New Roman" w:hAnsi="Times New Roman"/>
              </w:rPr>
              <w:t>环境敏感程度E</w:t>
            </w:r>
          </w:p>
        </w:tc>
        <w:tc>
          <w:tcPr>
            <w:tcW w:w="1559" w:type="dxa"/>
            <w:vAlign w:val="center"/>
          </w:tcPr>
          <w:p>
            <w:pPr>
              <w:pStyle w:val="39"/>
              <w:rPr>
                <w:rFonts w:ascii="Times New Roman" w:hAnsi="Times New Roman"/>
              </w:rPr>
            </w:pPr>
            <w:r>
              <w:rPr>
                <w:rFonts w:ascii="Times New Roman" w:hAnsi="Times New Roman"/>
              </w:rPr>
              <w:t>风险潜势</w:t>
            </w:r>
          </w:p>
        </w:tc>
        <w:tc>
          <w:tcPr>
            <w:tcW w:w="1701" w:type="dxa"/>
            <w:vAlign w:val="center"/>
          </w:tcPr>
          <w:p>
            <w:pPr>
              <w:pStyle w:val="39"/>
              <w:rPr>
                <w:rFonts w:ascii="Times New Roman" w:hAnsi="Times New Roman"/>
              </w:rPr>
            </w:pPr>
            <w:r>
              <w:rPr>
                <w:rFonts w:ascii="Times New Roman" w:hAnsi="Times New Roman"/>
              </w:rPr>
              <w:t>环境敏感程度E</w:t>
            </w:r>
          </w:p>
        </w:tc>
        <w:tc>
          <w:tcPr>
            <w:tcW w:w="1418" w:type="dxa"/>
            <w:vAlign w:val="center"/>
          </w:tcPr>
          <w:p>
            <w:pPr>
              <w:pStyle w:val="39"/>
              <w:rPr>
                <w:rFonts w:ascii="Times New Roman" w:hAnsi="Times New Roman"/>
              </w:rPr>
            </w:pPr>
            <w:r>
              <w:rPr>
                <w:rFonts w:ascii="Times New Roman" w:hAnsi="Times New Roman"/>
              </w:rPr>
              <w:t>风险潜势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2547" w:type="dxa"/>
            <w:vAlign w:val="center"/>
          </w:tcPr>
          <w:p>
            <w:pPr>
              <w:pStyle w:val="39"/>
              <w:rPr>
                <w:rFonts w:ascii="Times New Roman" w:hAnsi="Times New Roman"/>
              </w:rPr>
            </w:pPr>
            <w:r>
              <w:rPr>
                <w:rFonts w:ascii="Times New Roman" w:hAnsi="Times New Roman"/>
              </w:rPr>
              <w:t>宣探1井站</w:t>
            </w:r>
          </w:p>
        </w:tc>
        <w:tc>
          <w:tcPr>
            <w:tcW w:w="1691" w:type="dxa"/>
            <w:vAlign w:val="center"/>
          </w:tcPr>
          <w:p>
            <w:pPr>
              <w:pStyle w:val="39"/>
              <w:rPr>
                <w:rFonts w:ascii="Times New Roman" w:hAnsi="Times New Roman"/>
              </w:rPr>
            </w:pPr>
            <w:r>
              <w:rPr>
                <w:rFonts w:ascii="Times New Roman" w:hAnsi="Times New Roman"/>
              </w:rPr>
              <w:t>/</w:t>
            </w:r>
          </w:p>
        </w:tc>
        <w:tc>
          <w:tcPr>
            <w:tcW w:w="1692" w:type="dxa"/>
            <w:vAlign w:val="center"/>
          </w:tcPr>
          <w:p>
            <w:pPr>
              <w:pStyle w:val="39"/>
              <w:rPr>
                <w:rFonts w:ascii="Times New Roman" w:hAnsi="Times New Roman"/>
              </w:rPr>
            </w:pPr>
            <w:r>
              <w:rPr>
                <w:rFonts w:ascii="Times New Roman" w:hAnsi="Times New Roman"/>
              </w:rPr>
              <w:t>E2</w:t>
            </w:r>
          </w:p>
        </w:tc>
        <w:tc>
          <w:tcPr>
            <w:tcW w:w="1436" w:type="dxa"/>
            <w:vAlign w:val="center"/>
          </w:tcPr>
          <w:p>
            <w:pPr>
              <w:pStyle w:val="39"/>
              <w:rPr>
                <w:rFonts w:ascii="Times New Roman" w:hAnsi="Times New Roman"/>
              </w:rPr>
            </w:pPr>
            <w:r>
              <w:rPr>
                <w:rFonts w:ascii="Times New Roman" w:hAnsi="Times New Roman"/>
              </w:rPr>
              <w:t>/</w:t>
            </w:r>
          </w:p>
        </w:tc>
        <w:tc>
          <w:tcPr>
            <w:tcW w:w="1843" w:type="dxa"/>
            <w:vAlign w:val="center"/>
          </w:tcPr>
          <w:p>
            <w:pPr>
              <w:pStyle w:val="39"/>
              <w:rPr>
                <w:rFonts w:ascii="Times New Roman" w:hAnsi="Times New Roman"/>
              </w:rPr>
            </w:pPr>
            <w:r>
              <w:rPr>
                <w:rFonts w:ascii="Times New Roman" w:hAnsi="Times New Roman"/>
              </w:rPr>
              <w:t>E1</w:t>
            </w:r>
          </w:p>
        </w:tc>
        <w:tc>
          <w:tcPr>
            <w:tcW w:w="1559" w:type="dxa"/>
            <w:vAlign w:val="center"/>
          </w:tcPr>
          <w:p>
            <w:pPr>
              <w:pStyle w:val="39"/>
              <w:rPr>
                <w:rFonts w:ascii="Times New Roman" w:hAnsi="Times New Roman"/>
              </w:rPr>
            </w:pPr>
            <w:r>
              <w:rPr>
                <w:rFonts w:ascii="Times New Roman" w:hAnsi="Times New Roman"/>
              </w:rPr>
              <w:t>/</w:t>
            </w:r>
          </w:p>
        </w:tc>
        <w:tc>
          <w:tcPr>
            <w:tcW w:w="1701" w:type="dxa"/>
            <w:vAlign w:val="center"/>
          </w:tcPr>
          <w:p>
            <w:pPr>
              <w:pStyle w:val="39"/>
              <w:rPr>
                <w:rFonts w:ascii="Times New Roman" w:hAnsi="Times New Roman"/>
              </w:rPr>
            </w:pPr>
            <w:r>
              <w:rPr>
                <w:rFonts w:ascii="Times New Roman" w:hAnsi="Times New Roman"/>
              </w:rPr>
              <w:t>E3</w:t>
            </w:r>
          </w:p>
        </w:tc>
        <w:tc>
          <w:tcPr>
            <w:tcW w:w="1418"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2547" w:type="dxa"/>
            <w:vAlign w:val="center"/>
          </w:tcPr>
          <w:p>
            <w:pPr>
              <w:pStyle w:val="39"/>
              <w:rPr>
                <w:rFonts w:ascii="Times New Roman" w:hAnsi="Times New Roman"/>
              </w:rPr>
            </w:pPr>
            <w:r>
              <w:rPr>
                <w:rFonts w:ascii="Times New Roman" w:hAnsi="Times New Roman"/>
              </w:rPr>
              <w:t>宣兴1井站</w:t>
            </w:r>
          </w:p>
        </w:tc>
        <w:tc>
          <w:tcPr>
            <w:tcW w:w="1691" w:type="dxa"/>
            <w:vAlign w:val="center"/>
          </w:tcPr>
          <w:p>
            <w:pPr>
              <w:pStyle w:val="39"/>
              <w:rPr>
                <w:rFonts w:ascii="Times New Roman" w:hAnsi="Times New Roman"/>
              </w:rPr>
            </w:pPr>
            <w:r>
              <w:rPr>
                <w:rFonts w:ascii="Times New Roman" w:hAnsi="Times New Roman"/>
              </w:rPr>
              <w:t>/</w:t>
            </w:r>
          </w:p>
        </w:tc>
        <w:tc>
          <w:tcPr>
            <w:tcW w:w="1692" w:type="dxa"/>
            <w:vAlign w:val="center"/>
          </w:tcPr>
          <w:p>
            <w:pPr>
              <w:pStyle w:val="39"/>
              <w:rPr>
                <w:rFonts w:ascii="Times New Roman" w:hAnsi="Times New Roman"/>
              </w:rPr>
            </w:pPr>
            <w:r>
              <w:rPr>
                <w:rFonts w:ascii="Times New Roman" w:hAnsi="Times New Roman"/>
              </w:rPr>
              <w:t>E2</w:t>
            </w:r>
          </w:p>
        </w:tc>
        <w:tc>
          <w:tcPr>
            <w:tcW w:w="1436" w:type="dxa"/>
            <w:vAlign w:val="center"/>
          </w:tcPr>
          <w:p>
            <w:pPr>
              <w:pStyle w:val="39"/>
              <w:rPr>
                <w:rFonts w:ascii="Times New Roman" w:hAnsi="Times New Roman"/>
              </w:rPr>
            </w:pPr>
            <w:r>
              <w:rPr>
                <w:rFonts w:ascii="Times New Roman" w:hAnsi="Times New Roman"/>
              </w:rPr>
              <w:t>/</w:t>
            </w:r>
          </w:p>
        </w:tc>
        <w:tc>
          <w:tcPr>
            <w:tcW w:w="1843" w:type="dxa"/>
            <w:vAlign w:val="center"/>
          </w:tcPr>
          <w:p>
            <w:pPr>
              <w:pStyle w:val="39"/>
              <w:rPr>
                <w:rFonts w:ascii="Times New Roman" w:hAnsi="Times New Roman"/>
              </w:rPr>
            </w:pPr>
            <w:r>
              <w:rPr>
                <w:rFonts w:ascii="Times New Roman" w:hAnsi="Times New Roman"/>
              </w:rPr>
              <w:t>/</w:t>
            </w:r>
          </w:p>
        </w:tc>
        <w:tc>
          <w:tcPr>
            <w:tcW w:w="1559" w:type="dxa"/>
            <w:vAlign w:val="center"/>
          </w:tcPr>
          <w:p>
            <w:pPr>
              <w:pStyle w:val="39"/>
              <w:rPr>
                <w:rFonts w:ascii="Times New Roman" w:hAnsi="Times New Roman"/>
              </w:rPr>
            </w:pPr>
            <w:r>
              <w:rPr>
                <w:rFonts w:ascii="Times New Roman" w:hAnsi="Times New Roman"/>
              </w:rPr>
              <w:t>/</w:t>
            </w:r>
          </w:p>
        </w:tc>
        <w:tc>
          <w:tcPr>
            <w:tcW w:w="1701" w:type="dxa"/>
            <w:vAlign w:val="center"/>
          </w:tcPr>
          <w:p>
            <w:pPr>
              <w:pStyle w:val="39"/>
              <w:rPr>
                <w:rFonts w:ascii="Times New Roman" w:hAnsi="Times New Roman"/>
              </w:rPr>
            </w:pPr>
            <w:r>
              <w:rPr>
                <w:rFonts w:ascii="Times New Roman" w:hAnsi="Times New Roman"/>
              </w:rPr>
              <w:t>E2</w:t>
            </w:r>
          </w:p>
        </w:tc>
        <w:tc>
          <w:tcPr>
            <w:tcW w:w="1418"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547" w:type="dxa"/>
            <w:vAlign w:val="center"/>
          </w:tcPr>
          <w:p>
            <w:pPr>
              <w:pStyle w:val="39"/>
              <w:rPr>
                <w:rFonts w:ascii="Times New Roman" w:hAnsi="Times New Roman"/>
              </w:rPr>
            </w:pPr>
            <w:r>
              <w:rPr>
                <w:rFonts w:ascii="Times New Roman" w:hAnsi="Times New Roman"/>
              </w:rPr>
              <w:t>宣兴1井-宣探阀室</w:t>
            </w:r>
          </w:p>
        </w:tc>
        <w:tc>
          <w:tcPr>
            <w:tcW w:w="1691" w:type="dxa"/>
            <w:vAlign w:val="center"/>
          </w:tcPr>
          <w:p>
            <w:pPr>
              <w:pStyle w:val="39"/>
              <w:rPr>
                <w:rFonts w:ascii="Times New Roman" w:hAnsi="Times New Roman"/>
              </w:rPr>
            </w:pPr>
            <w:r>
              <w:rPr>
                <w:rFonts w:ascii="Times New Roman" w:hAnsi="Times New Roman"/>
              </w:rPr>
              <w:t>P4</w:t>
            </w:r>
          </w:p>
        </w:tc>
        <w:tc>
          <w:tcPr>
            <w:tcW w:w="1692" w:type="dxa"/>
            <w:vAlign w:val="center"/>
          </w:tcPr>
          <w:p>
            <w:pPr>
              <w:pStyle w:val="39"/>
              <w:rPr>
                <w:rFonts w:ascii="Times New Roman" w:hAnsi="Times New Roman"/>
              </w:rPr>
            </w:pPr>
            <w:r>
              <w:rPr>
                <w:rFonts w:ascii="Times New Roman" w:hAnsi="Times New Roman"/>
              </w:rPr>
              <w:t>E3</w:t>
            </w:r>
          </w:p>
        </w:tc>
        <w:tc>
          <w:tcPr>
            <w:tcW w:w="1436" w:type="dxa"/>
            <w:vAlign w:val="center"/>
          </w:tcPr>
          <w:p>
            <w:pPr>
              <w:pStyle w:val="39"/>
              <w:rPr>
                <w:rFonts w:ascii="Times New Roman" w:hAnsi="Times New Roman"/>
              </w:rPr>
            </w:pPr>
            <w:r>
              <w:rPr>
                <w:rFonts w:ascii="Times New Roman" w:hAnsi="Times New Roman"/>
              </w:rPr>
              <w:t>Ⅰ</w:t>
            </w:r>
          </w:p>
        </w:tc>
        <w:tc>
          <w:tcPr>
            <w:tcW w:w="1843" w:type="dxa"/>
            <w:vAlign w:val="center"/>
          </w:tcPr>
          <w:p>
            <w:pPr>
              <w:pStyle w:val="39"/>
              <w:rPr>
                <w:rFonts w:ascii="Times New Roman" w:hAnsi="Times New Roman"/>
              </w:rPr>
            </w:pPr>
            <w:r>
              <w:rPr>
                <w:rFonts w:ascii="Times New Roman" w:hAnsi="Times New Roman"/>
              </w:rPr>
              <w:t>/</w:t>
            </w:r>
          </w:p>
        </w:tc>
        <w:tc>
          <w:tcPr>
            <w:tcW w:w="1559" w:type="dxa"/>
            <w:vAlign w:val="center"/>
          </w:tcPr>
          <w:p>
            <w:pPr>
              <w:pStyle w:val="39"/>
              <w:rPr>
                <w:rFonts w:ascii="Times New Roman" w:hAnsi="Times New Roman"/>
              </w:rPr>
            </w:pPr>
            <w:r>
              <w:rPr>
                <w:rFonts w:ascii="Times New Roman" w:hAnsi="Times New Roman"/>
              </w:rPr>
              <w:t>Ⅰ</w:t>
            </w:r>
          </w:p>
        </w:tc>
        <w:tc>
          <w:tcPr>
            <w:tcW w:w="1701" w:type="dxa"/>
            <w:vAlign w:val="center"/>
          </w:tcPr>
          <w:p>
            <w:pPr>
              <w:pStyle w:val="39"/>
              <w:rPr>
                <w:rFonts w:ascii="Times New Roman" w:hAnsi="Times New Roman"/>
              </w:rPr>
            </w:pPr>
            <w:r>
              <w:rPr>
                <w:rFonts w:ascii="Times New Roman" w:hAnsi="Times New Roman"/>
              </w:rPr>
              <w:t>E2</w:t>
            </w:r>
          </w:p>
        </w:tc>
        <w:tc>
          <w:tcPr>
            <w:tcW w:w="1418" w:type="dxa"/>
            <w:vAlign w:val="center"/>
          </w:tcPr>
          <w:p>
            <w:pPr>
              <w:pStyle w:val="39"/>
              <w:rPr>
                <w:rFonts w:ascii="Times New Roman" w:hAnsi="Times New Roman"/>
              </w:rPr>
            </w:pPr>
            <w:r>
              <w:rPr>
                <w:rFonts w:ascii="Times New Roman" w:hAnsi="Times New Roman"/>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547" w:type="dxa"/>
            <w:vAlign w:val="center"/>
          </w:tcPr>
          <w:p>
            <w:pPr>
              <w:pStyle w:val="39"/>
              <w:rPr>
                <w:rFonts w:ascii="Times New Roman" w:hAnsi="Times New Roman"/>
              </w:rPr>
            </w:pPr>
            <w:r>
              <w:rPr>
                <w:rFonts w:ascii="Times New Roman" w:hAnsi="Times New Roman"/>
              </w:rPr>
              <w:t>宣探阀室-宣探清管站</w:t>
            </w:r>
          </w:p>
        </w:tc>
        <w:tc>
          <w:tcPr>
            <w:tcW w:w="1691" w:type="dxa"/>
            <w:vAlign w:val="center"/>
          </w:tcPr>
          <w:p>
            <w:pPr>
              <w:pStyle w:val="39"/>
              <w:rPr>
                <w:rFonts w:ascii="Times New Roman" w:hAnsi="Times New Roman"/>
              </w:rPr>
            </w:pPr>
            <w:r>
              <w:rPr>
                <w:rFonts w:ascii="Times New Roman" w:hAnsi="Times New Roman"/>
              </w:rPr>
              <w:t>P4</w:t>
            </w:r>
          </w:p>
        </w:tc>
        <w:tc>
          <w:tcPr>
            <w:tcW w:w="1692" w:type="dxa"/>
            <w:vAlign w:val="center"/>
          </w:tcPr>
          <w:p>
            <w:pPr>
              <w:pStyle w:val="39"/>
              <w:rPr>
                <w:rFonts w:ascii="Times New Roman" w:hAnsi="Times New Roman"/>
              </w:rPr>
            </w:pPr>
            <w:r>
              <w:rPr>
                <w:rFonts w:ascii="Times New Roman" w:hAnsi="Times New Roman"/>
              </w:rPr>
              <w:t>E2</w:t>
            </w:r>
          </w:p>
        </w:tc>
        <w:tc>
          <w:tcPr>
            <w:tcW w:w="1436" w:type="dxa"/>
            <w:vAlign w:val="center"/>
          </w:tcPr>
          <w:p>
            <w:pPr>
              <w:pStyle w:val="39"/>
              <w:rPr>
                <w:rFonts w:ascii="Times New Roman" w:hAnsi="Times New Roman"/>
              </w:rPr>
            </w:pPr>
            <w:r>
              <w:rPr>
                <w:rFonts w:ascii="Times New Roman" w:hAnsi="Times New Roman"/>
              </w:rPr>
              <w:t>Ⅱ</w:t>
            </w:r>
          </w:p>
        </w:tc>
        <w:tc>
          <w:tcPr>
            <w:tcW w:w="1843" w:type="dxa"/>
            <w:vAlign w:val="center"/>
          </w:tcPr>
          <w:p>
            <w:pPr>
              <w:pStyle w:val="39"/>
              <w:rPr>
                <w:rFonts w:ascii="Times New Roman" w:hAnsi="Times New Roman"/>
              </w:rPr>
            </w:pPr>
            <w:r>
              <w:rPr>
                <w:rFonts w:ascii="Times New Roman" w:hAnsi="Times New Roman"/>
              </w:rPr>
              <w:t>/</w:t>
            </w:r>
          </w:p>
        </w:tc>
        <w:tc>
          <w:tcPr>
            <w:tcW w:w="1559" w:type="dxa"/>
            <w:vAlign w:val="center"/>
          </w:tcPr>
          <w:p>
            <w:pPr>
              <w:pStyle w:val="39"/>
              <w:rPr>
                <w:rFonts w:ascii="Times New Roman" w:hAnsi="Times New Roman"/>
              </w:rPr>
            </w:pPr>
            <w:r>
              <w:rPr>
                <w:rFonts w:ascii="Times New Roman" w:hAnsi="Times New Roman"/>
              </w:rPr>
              <w:t>Ⅰ</w:t>
            </w:r>
          </w:p>
        </w:tc>
        <w:tc>
          <w:tcPr>
            <w:tcW w:w="1701" w:type="dxa"/>
            <w:vAlign w:val="center"/>
          </w:tcPr>
          <w:p>
            <w:pPr>
              <w:pStyle w:val="39"/>
              <w:rPr>
                <w:rFonts w:ascii="Times New Roman" w:hAnsi="Times New Roman"/>
              </w:rPr>
            </w:pPr>
            <w:r>
              <w:rPr>
                <w:rFonts w:ascii="Times New Roman" w:hAnsi="Times New Roman"/>
              </w:rPr>
              <w:t>E2</w:t>
            </w:r>
          </w:p>
        </w:tc>
        <w:tc>
          <w:tcPr>
            <w:tcW w:w="1418" w:type="dxa"/>
            <w:vAlign w:val="center"/>
          </w:tcPr>
          <w:p>
            <w:pPr>
              <w:pStyle w:val="39"/>
              <w:rPr>
                <w:rFonts w:ascii="Times New Roman" w:hAnsi="Times New Roman"/>
              </w:rPr>
            </w:pPr>
            <w:r>
              <w:rPr>
                <w:rFonts w:ascii="Times New Roman" w:hAnsi="Times New Roman"/>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547" w:type="dxa"/>
            <w:vAlign w:val="center"/>
          </w:tcPr>
          <w:p>
            <w:pPr>
              <w:pStyle w:val="39"/>
              <w:rPr>
                <w:rFonts w:ascii="Times New Roman" w:hAnsi="Times New Roman"/>
              </w:rPr>
            </w:pPr>
            <w:r>
              <w:rPr>
                <w:rFonts w:ascii="Times New Roman" w:hAnsi="Times New Roman"/>
              </w:rPr>
              <w:t>宣探清管站-304集气站</w:t>
            </w:r>
          </w:p>
        </w:tc>
        <w:tc>
          <w:tcPr>
            <w:tcW w:w="1691" w:type="dxa"/>
            <w:vAlign w:val="center"/>
          </w:tcPr>
          <w:p>
            <w:pPr>
              <w:pStyle w:val="39"/>
              <w:rPr>
                <w:rFonts w:ascii="Times New Roman" w:hAnsi="Times New Roman"/>
              </w:rPr>
            </w:pPr>
            <w:r>
              <w:rPr>
                <w:rFonts w:ascii="Times New Roman" w:hAnsi="Times New Roman"/>
              </w:rPr>
              <w:t>/</w:t>
            </w:r>
          </w:p>
        </w:tc>
        <w:tc>
          <w:tcPr>
            <w:tcW w:w="1692" w:type="dxa"/>
            <w:vAlign w:val="center"/>
          </w:tcPr>
          <w:p>
            <w:pPr>
              <w:pStyle w:val="39"/>
              <w:rPr>
                <w:rFonts w:ascii="Times New Roman" w:hAnsi="Times New Roman"/>
              </w:rPr>
            </w:pPr>
            <w:r>
              <w:rPr>
                <w:rFonts w:ascii="Times New Roman" w:hAnsi="Times New Roman"/>
              </w:rPr>
              <w:t>E3</w:t>
            </w:r>
          </w:p>
        </w:tc>
        <w:tc>
          <w:tcPr>
            <w:tcW w:w="1436" w:type="dxa"/>
            <w:vAlign w:val="center"/>
          </w:tcPr>
          <w:p>
            <w:pPr>
              <w:pStyle w:val="39"/>
              <w:rPr>
                <w:rFonts w:ascii="Times New Roman" w:hAnsi="Times New Roman"/>
              </w:rPr>
            </w:pPr>
            <w:r>
              <w:rPr>
                <w:rFonts w:ascii="Times New Roman" w:hAnsi="Times New Roman"/>
              </w:rPr>
              <w:t>/</w:t>
            </w:r>
          </w:p>
        </w:tc>
        <w:tc>
          <w:tcPr>
            <w:tcW w:w="1843" w:type="dxa"/>
            <w:vAlign w:val="center"/>
          </w:tcPr>
          <w:p>
            <w:pPr>
              <w:pStyle w:val="39"/>
              <w:rPr>
                <w:rFonts w:ascii="Times New Roman" w:hAnsi="Times New Roman"/>
              </w:rPr>
            </w:pPr>
            <w:r>
              <w:rPr>
                <w:rFonts w:ascii="Times New Roman" w:hAnsi="Times New Roman"/>
              </w:rPr>
              <w:t>/</w:t>
            </w:r>
          </w:p>
        </w:tc>
        <w:tc>
          <w:tcPr>
            <w:tcW w:w="1559" w:type="dxa"/>
            <w:vAlign w:val="center"/>
          </w:tcPr>
          <w:p>
            <w:pPr>
              <w:pStyle w:val="39"/>
              <w:rPr>
                <w:rFonts w:ascii="Times New Roman" w:hAnsi="Times New Roman"/>
              </w:rPr>
            </w:pPr>
            <w:r>
              <w:rPr>
                <w:rFonts w:ascii="Times New Roman" w:hAnsi="Times New Roman"/>
              </w:rPr>
              <w:t>/</w:t>
            </w:r>
          </w:p>
        </w:tc>
        <w:tc>
          <w:tcPr>
            <w:tcW w:w="1701" w:type="dxa"/>
            <w:vAlign w:val="center"/>
          </w:tcPr>
          <w:p>
            <w:pPr>
              <w:pStyle w:val="39"/>
              <w:rPr>
                <w:rFonts w:ascii="Times New Roman" w:hAnsi="Times New Roman"/>
              </w:rPr>
            </w:pPr>
            <w:r>
              <w:rPr>
                <w:rFonts w:ascii="Times New Roman" w:hAnsi="Times New Roman"/>
              </w:rPr>
              <w:t>E2</w:t>
            </w:r>
          </w:p>
        </w:tc>
        <w:tc>
          <w:tcPr>
            <w:tcW w:w="1418"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547" w:type="dxa"/>
            <w:vAlign w:val="center"/>
          </w:tcPr>
          <w:p>
            <w:pPr>
              <w:pStyle w:val="39"/>
              <w:rPr>
                <w:rFonts w:ascii="Times New Roman" w:hAnsi="Times New Roman"/>
              </w:rPr>
            </w:pPr>
            <w:r>
              <w:rPr>
                <w:rFonts w:ascii="Times New Roman" w:hAnsi="Times New Roman"/>
              </w:rPr>
              <w:t>宣探1井-宣兴1井</w:t>
            </w:r>
          </w:p>
        </w:tc>
        <w:tc>
          <w:tcPr>
            <w:tcW w:w="1691" w:type="dxa"/>
            <w:vAlign w:val="center"/>
          </w:tcPr>
          <w:p>
            <w:pPr>
              <w:pStyle w:val="39"/>
              <w:rPr>
                <w:rFonts w:ascii="Times New Roman" w:hAnsi="Times New Roman"/>
              </w:rPr>
            </w:pPr>
            <w:r>
              <w:rPr>
                <w:rFonts w:ascii="Times New Roman" w:hAnsi="Times New Roman"/>
              </w:rPr>
              <w:t>/</w:t>
            </w:r>
          </w:p>
        </w:tc>
        <w:tc>
          <w:tcPr>
            <w:tcW w:w="1692" w:type="dxa"/>
            <w:vAlign w:val="center"/>
          </w:tcPr>
          <w:p>
            <w:pPr>
              <w:pStyle w:val="39"/>
              <w:rPr>
                <w:rFonts w:ascii="Times New Roman" w:hAnsi="Times New Roman"/>
              </w:rPr>
            </w:pPr>
            <w:r>
              <w:rPr>
                <w:rFonts w:ascii="Times New Roman" w:hAnsi="Times New Roman"/>
              </w:rPr>
              <w:t>E3</w:t>
            </w:r>
          </w:p>
        </w:tc>
        <w:tc>
          <w:tcPr>
            <w:tcW w:w="1436" w:type="dxa"/>
            <w:vAlign w:val="center"/>
          </w:tcPr>
          <w:p>
            <w:pPr>
              <w:pStyle w:val="39"/>
              <w:rPr>
                <w:rFonts w:ascii="Times New Roman" w:hAnsi="Times New Roman"/>
              </w:rPr>
            </w:pPr>
            <w:r>
              <w:rPr>
                <w:rFonts w:ascii="Times New Roman" w:hAnsi="Times New Roman"/>
              </w:rPr>
              <w:t>/</w:t>
            </w:r>
          </w:p>
        </w:tc>
        <w:tc>
          <w:tcPr>
            <w:tcW w:w="1843" w:type="dxa"/>
            <w:vAlign w:val="center"/>
          </w:tcPr>
          <w:p>
            <w:pPr>
              <w:pStyle w:val="39"/>
              <w:rPr>
                <w:rFonts w:ascii="Times New Roman" w:hAnsi="Times New Roman"/>
              </w:rPr>
            </w:pPr>
            <w:r>
              <w:rPr>
                <w:rFonts w:ascii="Times New Roman" w:hAnsi="Times New Roman"/>
              </w:rPr>
              <w:t>E1</w:t>
            </w:r>
          </w:p>
        </w:tc>
        <w:tc>
          <w:tcPr>
            <w:tcW w:w="1559" w:type="dxa"/>
            <w:vAlign w:val="center"/>
          </w:tcPr>
          <w:p>
            <w:pPr>
              <w:pStyle w:val="39"/>
              <w:rPr>
                <w:rFonts w:ascii="Times New Roman" w:hAnsi="Times New Roman"/>
              </w:rPr>
            </w:pPr>
            <w:r>
              <w:rPr>
                <w:rFonts w:ascii="Times New Roman" w:hAnsi="Times New Roman"/>
              </w:rPr>
              <w:t>/</w:t>
            </w:r>
          </w:p>
        </w:tc>
        <w:tc>
          <w:tcPr>
            <w:tcW w:w="1701" w:type="dxa"/>
            <w:vAlign w:val="center"/>
          </w:tcPr>
          <w:p>
            <w:pPr>
              <w:pStyle w:val="39"/>
              <w:rPr>
                <w:rFonts w:ascii="Times New Roman" w:hAnsi="Times New Roman"/>
              </w:rPr>
            </w:pPr>
            <w:r>
              <w:rPr>
                <w:rFonts w:ascii="Times New Roman" w:hAnsi="Times New Roman"/>
              </w:rPr>
              <w:t>E2</w:t>
            </w:r>
          </w:p>
        </w:tc>
        <w:tc>
          <w:tcPr>
            <w:tcW w:w="1418" w:type="dxa"/>
            <w:vAlign w:val="center"/>
          </w:tcPr>
          <w:p>
            <w:pPr>
              <w:pStyle w:val="39"/>
              <w:rPr>
                <w:rFonts w:ascii="Times New Roman" w:hAnsi="Times New Roman"/>
              </w:rPr>
            </w:pPr>
            <w:r>
              <w:rPr>
                <w:rFonts w:ascii="Times New Roman" w:hAnsi="Times New Roman"/>
              </w:rPr>
              <w:t>/</w:t>
            </w:r>
          </w:p>
        </w:tc>
      </w:tr>
    </w:tbl>
    <w:p>
      <w:pPr>
        <w:pStyle w:val="37"/>
        <w:rPr>
          <w:rFonts w:ascii="Times New Roman" w:hAnsi="Times New Roman" w:cs="Times New Roman"/>
        </w:rPr>
      </w:pPr>
      <w:bookmarkStart w:id="30" w:name="_Ref15570084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22</w:t>
      </w:r>
      <w:r>
        <w:rPr>
          <w:rFonts w:ascii="Times New Roman" w:hAnsi="Times New Roman" w:cs="Times New Roman"/>
        </w:rPr>
        <w:fldChar w:fldCharType="end"/>
      </w:r>
      <w:bookmarkEnd w:id="30"/>
      <w:r>
        <w:rPr>
          <w:rFonts w:ascii="Times New Roman" w:hAnsi="Times New Roman" w:cs="Times New Roman"/>
        </w:rPr>
        <w:t xml:space="preserve">  本项目各工艺单元环境风险评价等级</w:t>
      </w:r>
    </w:p>
    <w:tbl>
      <w:tblPr>
        <w:tblStyle w:val="28"/>
        <w:tblW w:w="126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1"/>
        <w:gridCol w:w="1416"/>
        <w:gridCol w:w="2010"/>
        <w:gridCol w:w="1134"/>
        <w:gridCol w:w="1985"/>
        <w:gridCol w:w="1984"/>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381" w:type="dxa"/>
            <w:vMerge w:val="restart"/>
            <w:vAlign w:val="center"/>
          </w:tcPr>
          <w:p>
            <w:pPr>
              <w:pStyle w:val="39"/>
              <w:adjustRightInd w:val="0"/>
              <w:snapToGrid w:val="0"/>
              <w:rPr>
                <w:rFonts w:ascii="Times New Roman" w:hAnsi="Times New Roman"/>
              </w:rPr>
            </w:pPr>
            <w:bookmarkStart w:id="31" w:name="_Hlk161064289"/>
            <w:r>
              <w:rPr>
                <w:rFonts w:ascii="Times New Roman" w:hAnsi="Times New Roman"/>
              </w:rPr>
              <w:t>工艺单元</w:t>
            </w:r>
          </w:p>
        </w:tc>
        <w:tc>
          <w:tcPr>
            <w:tcW w:w="3426" w:type="dxa"/>
            <w:gridSpan w:val="2"/>
            <w:vAlign w:val="center"/>
          </w:tcPr>
          <w:p>
            <w:pPr>
              <w:pStyle w:val="39"/>
              <w:adjustRightInd w:val="0"/>
              <w:snapToGrid w:val="0"/>
              <w:rPr>
                <w:rFonts w:ascii="Times New Roman" w:hAnsi="Times New Roman"/>
              </w:rPr>
            </w:pPr>
            <w:r>
              <w:rPr>
                <w:rFonts w:ascii="Times New Roman" w:hAnsi="Times New Roman"/>
              </w:rPr>
              <w:t>大气环境</w:t>
            </w:r>
          </w:p>
        </w:tc>
        <w:tc>
          <w:tcPr>
            <w:tcW w:w="3119" w:type="dxa"/>
            <w:gridSpan w:val="2"/>
            <w:vAlign w:val="center"/>
          </w:tcPr>
          <w:p>
            <w:pPr>
              <w:pStyle w:val="39"/>
              <w:adjustRightInd w:val="0"/>
              <w:snapToGrid w:val="0"/>
              <w:rPr>
                <w:rFonts w:ascii="Times New Roman" w:hAnsi="Times New Roman"/>
              </w:rPr>
            </w:pPr>
            <w:r>
              <w:rPr>
                <w:rFonts w:ascii="Times New Roman" w:hAnsi="Times New Roman"/>
              </w:rPr>
              <w:t>地表水环境</w:t>
            </w:r>
          </w:p>
        </w:tc>
        <w:tc>
          <w:tcPr>
            <w:tcW w:w="3685" w:type="dxa"/>
            <w:gridSpan w:val="2"/>
            <w:vAlign w:val="center"/>
          </w:tcPr>
          <w:p>
            <w:pPr>
              <w:pStyle w:val="39"/>
              <w:adjustRightInd w:val="0"/>
              <w:snapToGrid w:val="0"/>
              <w:rPr>
                <w:rFonts w:ascii="Times New Roman" w:hAnsi="Times New Roman"/>
              </w:rPr>
            </w:pPr>
            <w:r>
              <w:rPr>
                <w:rFonts w:ascii="Times New Roman" w:hAnsi="Times New Roman"/>
              </w:rPr>
              <w:t>地下水环境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381" w:type="dxa"/>
            <w:vMerge w:val="continue"/>
            <w:vAlign w:val="center"/>
          </w:tcPr>
          <w:p>
            <w:pPr>
              <w:pStyle w:val="39"/>
              <w:adjustRightInd w:val="0"/>
              <w:snapToGrid w:val="0"/>
              <w:rPr>
                <w:rFonts w:ascii="Times New Roman" w:hAnsi="Times New Roman"/>
              </w:rPr>
            </w:pPr>
          </w:p>
        </w:tc>
        <w:tc>
          <w:tcPr>
            <w:tcW w:w="1416" w:type="dxa"/>
            <w:vAlign w:val="center"/>
          </w:tcPr>
          <w:p>
            <w:pPr>
              <w:pStyle w:val="39"/>
              <w:adjustRightInd w:val="0"/>
              <w:snapToGrid w:val="0"/>
              <w:rPr>
                <w:rFonts w:ascii="Times New Roman" w:hAnsi="Times New Roman"/>
              </w:rPr>
            </w:pPr>
            <w:r>
              <w:rPr>
                <w:rFonts w:ascii="Times New Roman" w:hAnsi="Times New Roman"/>
              </w:rPr>
              <w:t>风险潜势</w:t>
            </w:r>
          </w:p>
        </w:tc>
        <w:tc>
          <w:tcPr>
            <w:tcW w:w="2010" w:type="dxa"/>
            <w:vAlign w:val="center"/>
          </w:tcPr>
          <w:p>
            <w:pPr>
              <w:pStyle w:val="39"/>
              <w:adjustRightInd w:val="0"/>
              <w:snapToGrid w:val="0"/>
              <w:rPr>
                <w:rFonts w:ascii="Times New Roman" w:hAnsi="Times New Roman"/>
              </w:rPr>
            </w:pPr>
            <w:r>
              <w:rPr>
                <w:rFonts w:ascii="Times New Roman" w:hAnsi="Times New Roman"/>
              </w:rPr>
              <w:t>评价等级</w:t>
            </w:r>
          </w:p>
        </w:tc>
        <w:tc>
          <w:tcPr>
            <w:tcW w:w="1134" w:type="dxa"/>
            <w:vAlign w:val="center"/>
          </w:tcPr>
          <w:p>
            <w:pPr>
              <w:pStyle w:val="39"/>
              <w:adjustRightInd w:val="0"/>
              <w:snapToGrid w:val="0"/>
              <w:rPr>
                <w:rFonts w:ascii="Times New Roman" w:hAnsi="Times New Roman"/>
              </w:rPr>
            </w:pPr>
            <w:r>
              <w:rPr>
                <w:rFonts w:ascii="Times New Roman" w:hAnsi="Times New Roman"/>
              </w:rPr>
              <w:t>风险潜势</w:t>
            </w:r>
          </w:p>
        </w:tc>
        <w:tc>
          <w:tcPr>
            <w:tcW w:w="1985" w:type="dxa"/>
            <w:vAlign w:val="center"/>
          </w:tcPr>
          <w:p>
            <w:pPr>
              <w:pStyle w:val="39"/>
              <w:adjustRightInd w:val="0"/>
              <w:snapToGrid w:val="0"/>
              <w:rPr>
                <w:rFonts w:ascii="Times New Roman" w:hAnsi="Times New Roman"/>
              </w:rPr>
            </w:pPr>
            <w:r>
              <w:rPr>
                <w:rFonts w:ascii="Times New Roman" w:hAnsi="Times New Roman"/>
              </w:rPr>
              <w:t>评价等级</w:t>
            </w:r>
          </w:p>
        </w:tc>
        <w:tc>
          <w:tcPr>
            <w:tcW w:w="1984" w:type="dxa"/>
            <w:vAlign w:val="center"/>
          </w:tcPr>
          <w:p>
            <w:pPr>
              <w:pStyle w:val="39"/>
              <w:adjustRightInd w:val="0"/>
              <w:snapToGrid w:val="0"/>
              <w:rPr>
                <w:rFonts w:ascii="Times New Roman" w:hAnsi="Times New Roman"/>
              </w:rPr>
            </w:pPr>
            <w:r>
              <w:rPr>
                <w:rFonts w:ascii="Times New Roman" w:hAnsi="Times New Roman"/>
              </w:rPr>
              <w:t>风险潜势</w:t>
            </w:r>
          </w:p>
        </w:tc>
        <w:tc>
          <w:tcPr>
            <w:tcW w:w="1701" w:type="dxa"/>
            <w:vAlign w:val="center"/>
          </w:tcPr>
          <w:p>
            <w:pPr>
              <w:pStyle w:val="39"/>
              <w:adjustRightInd w:val="0"/>
              <w:snapToGrid w:val="0"/>
              <w:rPr>
                <w:rFonts w:ascii="Times New Roman" w:hAnsi="Times New Roman"/>
              </w:rPr>
            </w:pPr>
            <w:r>
              <w:rPr>
                <w:rFonts w:ascii="Times New Roman" w:hAnsi="Times New Roman"/>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381" w:type="dxa"/>
            <w:vAlign w:val="center"/>
          </w:tcPr>
          <w:p>
            <w:pPr>
              <w:pStyle w:val="39"/>
              <w:adjustRightInd w:val="0"/>
              <w:snapToGrid w:val="0"/>
              <w:rPr>
                <w:rFonts w:ascii="Times New Roman" w:hAnsi="Times New Roman"/>
              </w:rPr>
            </w:pPr>
            <w:r>
              <w:rPr>
                <w:rFonts w:ascii="Times New Roman" w:hAnsi="Times New Roman"/>
                <w:lang w:val="zh-CN"/>
              </w:rPr>
              <w:t>宣探1井站</w:t>
            </w:r>
          </w:p>
        </w:tc>
        <w:tc>
          <w:tcPr>
            <w:tcW w:w="1416"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2010" w:type="dxa"/>
            <w:vAlign w:val="center"/>
          </w:tcPr>
          <w:p>
            <w:pPr>
              <w:pStyle w:val="39"/>
              <w:adjustRightInd w:val="0"/>
              <w:snapToGrid w:val="0"/>
              <w:rPr>
                <w:rFonts w:ascii="Times New Roman" w:hAnsi="Times New Roman"/>
              </w:rPr>
            </w:pPr>
            <w:r>
              <w:rPr>
                <w:rFonts w:ascii="Times New Roman" w:hAnsi="Times New Roman"/>
              </w:rPr>
              <w:t>简单分析</w:t>
            </w:r>
          </w:p>
        </w:tc>
        <w:tc>
          <w:tcPr>
            <w:tcW w:w="1134"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985" w:type="dxa"/>
            <w:vAlign w:val="center"/>
          </w:tcPr>
          <w:p>
            <w:pPr>
              <w:pStyle w:val="39"/>
              <w:adjustRightInd w:val="0"/>
              <w:snapToGrid w:val="0"/>
              <w:rPr>
                <w:rFonts w:ascii="Times New Roman" w:hAnsi="Times New Roman"/>
              </w:rPr>
            </w:pPr>
            <w:r>
              <w:rPr>
                <w:rFonts w:ascii="Times New Roman" w:hAnsi="Times New Roman"/>
              </w:rPr>
              <w:t>简单分析</w:t>
            </w:r>
          </w:p>
        </w:tc>
        <w:tc>
          <w:tcPr>
            <w:tcW w:w="1984"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701" w:type="dxa"/>
            <w:vAlign w:val="center"/>
          </w:tcPr>
          <w:p>
            <w:pPr>
              <w:pStyle w:val="39"/>
              <w:adjustRightInd w:val="0"/>
              <w:snapToGrid w:val="0"/>
              <w:rPr>
                <w:rFonts w:ascii="Times New Roman" w:hAnsi="Times New Roman"/>
              </w:rPr>
            </w:pPr>
            <w:r>
              <w:rPr>
                <w:rFonts w:ascii="Times New Roman" w:hAnsi="Times New Roman"/>
              </w:rPr>
              <w:t>简单分析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381" w:type="dxa"/>
            <w:vAlign w:val="center"/>
          </w:tcPr>
          <w:p>
            <w:pPr>
              <w:pStyle w:val="39"/>
              <w:adjustRightInd w:val="0"/>
              <w:snapToGrid w:val="0"/>
              <w:rPr>
                <w:rFonts w:ascii="Times New Roman" w:hAnsi="Times New Roman"/>
              </w:rPr>
            </w:pPr>
            <w:r>
              <w:rPr>
                <w:rFonts w:ascii="Times New Roman" w:hAnsi="Times New Roman"/>
                <w:lang w:val="zh-CN"/>
              </w:rPr>
              <w:t>宣兴1井站</w:t>
            </w:r>
          </w:p>
        </w:tc>
        <w:tc>
          <w:tcPr>
            <w:tcW w:w="1416"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2010" w:type="dxa"/>
            <w:vAlign w:val="center"/>
          </w:tcPr>
          <w:p>
            <w:pPr>
              <w:pStyle w:val="39"/>
              <w:adjustRightInd w:val="0"/>
              <w:snapToGrid w:val="0"/>
              <w:rPr>
                <w:rFonts w:ascii="Times New Roman" w:hAnsi="Times New Roman"/>
              </w:rPr>
            </w:pPr>
            <w:r>
              <w:rPr>
                <w:rFonts w:ascii="Times New Roman" w:hAnsi="Times New Roman"/>
              </w:rPr>
              <w:t>简单分析</w:t>
            </w:r>
          </w:p>
        </w:tc>
        <w:tc>
          <w:tcPr>
            <w:tcW w:w="1134"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985" w:type="dxa"/>
            <w:vAlign w:val="center"/>
          </w:tcPr>
          <w:p>
            <w:pPr>
              <w:pStyle w:val="39"/>
              <w:adjustRightInd w:val="0"/>
              <w:snapToGrid w:val="0"/>
              <w:rPr>
                <w:rFonts w:ascii="Times New Roman" w:hAnsi="Times New Roman"/>
              </w:rPr>
            </w:pPr>
            <w:r>
              <w:rPr>
                <w:rFonts w:ascii="Times New Roman" w:hAnsi="Times New Roman"/>
              </w:rPr>
              <w:t>简单分析</w:t>
            </w:r>
          </w:p>
        </w:tc>
        <w:tc>
          <w:tcPr>
            <w:tcW w:w="1984"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701" w:type="dxa"/>
            <w:vAlign w:val="center"/>
          </w:tcPr>
          <w:p>
            <w:pPr>
              <w:pStyle w:val="39"/>
              <w:adjustRightInd w:val="0"/>
              <w:snapToGrid w:val="0"/>
              <w:rPr>
                <w:rFonts w:ascii="Times New Roman" w:hAnsi="Times New Roman"/>
              </w:rPr>
            </w:pPr>
            <w:r>
              <w:rPr>
                <w:rFonts w:ascii="Times New Roman" w:hAnsi="Times New Roman"/>
              </w:rPr>
              <w:t>简单分析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381" w:type="dxa"/>
            <w:vAlign w:val="center"/>
          </w:tcPr>
          <w:p>
            <w:pPr>
              <w:pStyle w:val="39"/>
              <w:adjustRightInd w:val="0"/>
              <w:snapToGrid w:val="0"/>
              <w:rPr>
                <w:rFonts w:ascii="Times New Roman" w:hAnsi="Times New Roman"/>
              </w:rPr>
            </w:pPr>
            <w:r>
              <w:rPr>
                <w:rFonts w:ascii="Times New Roman" w:hAnsi="Times New Roman"/>
              </w:rPr>
              <w:t>宣兴1井-宣探阀室</w:t>
            </w:r>
          </w:p>
        </w:tc>
        <w:tc>
          <w:tcPr>
            <w:tcW w:w="1416" w:type="dxa"/>
            <w:vAlign w:val="center"/>
          </w:tcPr>
          <w:p>
            <w:pPr>
              <w:pStyle w:val="39"/>
              <w:adjustRightInd w:val="0"/>
              <w:snapToGrid w:val="0"/>
              <w:rPr>
                <w:rFonts w:ascii="Times New Roman" w:hAnsi="Times New Roman"/>
              </w:rPr>
            </w:pPr>
            <w:r>
              <w:rPr>
                <w:rFonts w:ascii="Times New Roman" w:hAnsi="Times New Roman"/>
              </w:rPr>
              <w:t>Ⅰ</w:t>
            </w:r>
          </w:p>
        </w:tc>
        <w:tc>
          <w:tcPr>
            <w:tcW w:w="2010" w:type="dxa"/>
            <w:vAlign w:val="center"/>
          </w:tcPr>
          <w:p>
            <w:pPr>
              <w:pStyle w:val="39"/>
              <w:adjustRightInd w:val="0"/>
              <w:snapToGrid w:val="0"/>
              <w:rPr>
                <w:rFonts w:ascii="Times New Roman" w:hAnsi="Times New Roman"/>
              </w:rPr>
            </w:pPr>
            <w:r>
              <w:rPr>
                <w:rFonts w:ascii="Times New Roman" w:hAnsi="Times New Roman"/>
              </w:rPr>
              <w:t>简单分析</w:t>
            </w:r>
          </w:p>
        </w:tc>
        <w:tc>
          <w:tcPr>
            <w:tcW w:w="1134" w:type="dxa"/>
            <w:vAlign w:val="center"/>
          </w:tcPr>
          <w:p>
            <w:pPr>
              <w:pStyle w:val="39"/>
              <w:adjustRightInd w:val="0"/>
              <w:snapToGrid w:val="0"/>
              <w:rPr>
                <w:rFonts w:ascii="Times New Roman" w:hAnsi="Times New Roman"/>
              </w:rPr>
            </w:pPr>
            <w:r>
              <w:rPr>
                <w:rFonts w:ascii="Times New Roman" w:hAnsi="Times New Roman"/>
              </w:rPr>
              <w:t>Ⅰ</w:t>
            </w:r>
          </w:p>
        </w:tc>
        <w:tc>
          <w:tcPr>
            <w:tcW w:w="1985" w:type="dxa"/>
            <w:vAlign w:val="center"/>
          </w:tcPr>
          <w:p>
            <w:pPr>
              <w:pStyle w:val="39"/>
              <w:adjustRightInd w:val="0"/>
              <w:snapToGrid w:val="0"/>
              <w:rPr>
                <w:rFonts w:ascii="Times New Roman" w:hAnsi="Times New Roman"/>
              </w:rPr>
            </w:pPr>
            <w:r>
              <w:rPr>
                <w:rFonts w:ascii="Times New Roman" w:hAnsi="Times New Roman"/>
              </w:rPr>
              <w:t>简单分析</w:t>
            </w:r>
          </w:p>
        </w:tc>
        <w:tc>
          <w:tcPr>
            <w:tcW w:w="1984" w:type="dxa"/>
            <w:vAlign w:val="center"/>
          </w:tcPr>
          <w:p>
            <w:pPr>
              <w:pStyle w:val="39"/>
              <w:adjustRightInd w:val="0"/>
              <w:snapToGrid w:val="0"/>
              <w:rPr>
                <w:rFonts w:ascii="Times New Roman" w:hAnsi="Times New Roman"/>
              </w:rPr>
            </w:pPr>
            <w:r>
              <w:rPr>
                <w:rFonts w:ascii="Times New Roman" w:hAnsi="Times New Roman"/>
              </w:rPr>
              <w:t>Ⅱ</w:t>
            </w:r>
          </w:p>
        </w:tc>
        <w:tc>
          <w:tcPr>
            <w:tcW w:w="1701" w:type="dxa"/>
            <w:vAlign w:val="center"/>
          </w:tcPr>
          <w:p>
            <w:pPr>
              <w:pStyle w:val="39"/>
              <w:adjustRightInd w:val="0"/>
              <w:snapToGrid w:val="0"/>
              <w:rPr>
                <w:rFonts w:ascii="Times New Roman" w:hAnsi="Times New Roman"/>
              </w:rPr>
            </w:pPr>
            <w:r>
              <w:rPr>
                <w:rFonts w:ascii="Times New Roman" w:hAnsi="Times New Roma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381" w:type="dxa"/>
            <w:vAlign w:val="center"/>
          </w:tcPr>
          <w:p>
            <w:pPr>
              <w:pStyle w:val="39"/>
              <w:adjustRightInd w:val="0"/>
              <w:snapToGrid w:val="0"/>
              <w:rPr>
                <w:rFonts w:ascii="Times New Roman" w:hAnsi="Times New Roman"/>
              </w:rPr>
            </w:pPr>
            <w:r>
              <w:rPr>
                <w:rFonts w:ascii="Times New Roman" w:hAnsi="Times New Roman"/>
              </w:rPr>
              <w:t>宣探阀室-宣探清管</w:t>
            </w:r>
          </w:p>
        </w:tc>
        <w:tc>
          <w:tcPr>
            <w:tcW w:w="1416" w:type="dxa"/>
            <w:vAlign w:val="center"/>
          </w:tcPr>
          <w:p>
            <w:pPr>
              <w:pStyle w:val="39"/>
              <w:adjustRightInd w:val="0"/>
              <w:snapToGrid w:val="0"/>
              <w:rPr>
                <w:rFonts w:ascii="Times New Roman" w:hAnsi="Times New Roman"/>
              </w:rPr>
            </w:pPr>
            <w:r>
              <w:rPr>
                <w:rFonts w:ascii="Times New Roman" w:hAnsi="Times New Roman"/>
              </w:rPr>
              <w:t>Ⅱ</w:t>
            </w:r>
          </w:p>
        </w:tc>
        <w:tc>
          <w:tcPr>
            <w:tcW w:w="2010" w:type="dxa"/>
            <w:vAlign w:val="center"/>
          </w:tcPr>
          <w:p>
            <w:pPr>
              <w:pStyle w:val="39"/>
              <w:adjustRightInd w:val="0"/>
              <w:snapToGrid w:val="0"/>
              <w:rPr>
                <w:rFonts w:ascii="Times New Roman" w:hAnsi="Times New Roman"/>
              </w:rPr>
            </w:pPr>
            <w:r>
              <w:rPr>
                <w:rFonts w:ascii="Times New Roman" w:hAnsi="Times New Roman"/>
              </w:rPr>
              <w:t>三级</w:t>
            </w:r>
          </w:p>
        </w:tc>
        <w:tc>
          <w:tcPr>
            <w:tcW w:w="1134" w:type="dxa"/>
            <w:vAlign w:val="center"/>
          </w:tcPr>
          <w:p>
            <w:pPr>
              <w:pStyle w:val="39"/>
              <w:adjustRightInd w:val="0"/>
              <w:snapToGrid w:val="0"/>
              <w:rPr>
                <w:rFonts w:ascii="Times New Roman" w:hAnsi="Times New Roman"/>
              </w:rPr>
            </w:pPr>
            <w:r>
              <w:rPr>
                <w:rFonts w:ascii="Times New Roman" w:hAnsi="Times New Roman"/>
              </w:rPr>
              <w:t>Ⅰ</w:t>
            </w:r>
          </w:p>
        </w:tc>
        <w:tc>
          <w:tcPr>
            <w:tcW w:w="1985" w:type="dxa"/>
            <w:vAlign w:val="center"/>
          </w:tcPr>
          <w:p>
            <w:pPr>
              <w:pStyle w:val="39"/>
              <w:adjustRightInd w:val="0"/>
              <w:snapToGrid w:val="0"/>
              <w:rPr>
                <w:rFonts w:ascii="Times New Roman" w:hAnsi="Times New Roman"/>
              </w:rPr>
            </w:pPr>
            <w:r>
              <w:rPr>
                <w:rFonts w:ascii="Times New Roman" w:hAnsi="Times New Roman"/>
              </w:rPr>
              <w:t>简单分析</w:t>
            </w:r>
          </w:p>
        </w:tc>
        <w:tc>
          <w:tcPr>
            <w:tcW w:w="1984" w:type="dxa"/>
            <w:vAlign w:val="center"/>
          </w:tcPr>
          <w:p>
            <w:pPr>
              <w:pStyle w:val="39"/>
              <w:adjustRightInd w:val="0"/>
              <w:snapToGrid w:val="0"/>
              <w:rPr>
                <w:rFonts w:ascii="Times New Roman" w:hAnsi="Times New Roman"/>
              </w:rPr>
            </w:pPr>
            <w:r>
              <w:rPr>
                <w:rFonts w:ascii="Times New Roman" w:hAnsi="Times New Roman"/>
              </w:rPr>
              <w:t>Ⅱ</w:t>
            </w:r>
          </w:p>
        </w:tc>
        <w:tc>
          <w:tcPr>
            <w:tcW w:w="1701" w:type="dxa"/>
            <w:vAlign w:val="center"/>
          </w:tcPr>
          <w:p>
            <w:pPr>
              <w:pStyle w:val="39"/>
              <w:adjustRightInd w:val="0"/>
              <w:snapToGrid w:val="0"/>
              <w:rPr>
                <w:rFonts w:ascii="Times New Roman" w:hAnsi="Times New Roman"/>
              </w:rPr>
            </w:pPr>
            <w:r>
              <w:rPr>
                <w:rFonts w:ascii="Times New Roman" w:hAnsi="Times New Roma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381" w:type="dxa"/>
            <w:vAlign w:val="center"/>
          </w:tcPr>
          <w:p>
            <w:pPr>
              <w:pStyle w:val="39"/>
              <w:adjustRightInd w:val="0"/>
              <w:snapToGrid w:val="0"/>
              <w:rPr>
                <w:rFonts w:ascii="Times New Roman" w:hAnsi="Times New Roman"/>
              </w:rPr>
            </w:pPr>
            <w:r>
              <w:rPr>
                <w:rFonts w:ascii="Times New Roman" w:hAnsi="Times New Roman"/>
              </w:rPr>
              <w:t>宣探清管站-304集气站</w:t>
            </w:r>
          </w:p>
        </w:tc>
        <w:tc>
          <w:tcPr>
            <w:tcW w:w="1416"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2010" w:type="dxa"/>
            <w:vAlign w:val="center"/>
          </w:tcPr>
          <w:p>
            <w:pPr>
              <w:pStyle w:val="39"/>
              <w:adjustRightInd w:val="0"/>
              <w:snapToGrid w:val="0"/>
              <w:rPr>
                <w:rFonts w:ascii="Times New Roman" w:hAnsi="Times New Roman"/>
              </w:rPr>
            </w:pPr>
            <w:r>
              <w:rPr>
                <w:rFonts w:ascii="Times New Roman" w:hAnsi="Times New Roman"/>
              </w:rPr>
              <w:t>简单分析</w:t>
            </w:r>
          </w:p>
        </w:tc>
        <w:tc>
          <w:tcPr>
            <w:tcW w:w="1134"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985" w:type="dxa"/>
            <w:vAlign w:val="center"/>
          </w:tcPr>
          <w:p>
            <w:pPr>
              <w:pStyle w:val="39"/>
              <w:adjustRightInd w:val="0"/>
              <w:snapToGrid w:val="0"/>
              <w:rPr>
                <w:rFonts w:ascii="Times New Roman" w:hAnsi="Times New Roman"/>
              </w:rPr>
            </w:pPr>
            <w:r>
              <w:rPr>
                <w:rFonts w:ascii="Times New Roman" w:hAnsi="Times New Roman"/>
              </w:rPr>
              <w:t>简单分析</w:t>
            </w:r>
          </w:p>
        </w:tc>
        <w:tc>
          <w:tcPr>
            <w:tcW w:w="1984"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701" w:type="dxa"/>
            <w:vAlign w:val="center"/>
          </w:tcPr>
          <w:p>
            <w:pPr>
              <w:pStyle w:val="39"/>
              <w:adjustRightInd w:val="0"/>
              <w:snapToGrid w:val="0"/>
              <w:rPr>
                <w:rFonts w:ascii="Times New Roman" w:hAnsi="Times New Roman"/>
              </w:rPr>
            </w:pPr>
            <w:r>
              <w:rPr>
                <w:rFonts w:ascii="Times New Roman" w:hAnsi="Times New Roman"/>
              </w:rPr>
              <w:t>简单分析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381" w:type="dxa"/>
            <w:vAlign w:val="center"/>
          </w:tcPr>
          <w:p>
            <w:pPr>
              <w:pStyle w:val="39"/>
              <w:adjustRightInd w:val="0"/>
              <w:snapToGrid w:val="0"/>
              <w:rPr>
                <w:rFonts w:ascii="Times New Roman" w:hAnsi="Times New Roman"/>
              </w:rPr>
            </w:pPr>
            <w:r>
              <w:rPr>
                <w:rFonts w:ascii="Times New Roman" w:hAnsi="Times New Roman"/>
              </w:rPr>
              <w:t>宣探1井-宣兴1井</w:t>
            </w:r>
          </w:p>
        </w:tc>
        <w:tc>
          <w:tcPr>
            <w:tcW w:w="1416"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2010" w:type="dxa"/>
            <w:vAlign w:val="center"/>
          </w:tcPr>
          <w:p>
            <w:pPr>
              <w:pStyle w:val="39"/>
              <w:adjustRightInd w:val="0"/>
              <w:snapToGrid w:val="0"/>
              <w:rPr>
                <w:rFonts w:ascii="Times New Roman" w:hAnsi="Times New Roman"/>
              </w:rPr>
            </w:pPr>
            <w:r>
              <w:rPr>
                <w:rFonts w:ascii="Times New Roman" w:hAnsi="Times New Roman"/>
              </w:rPr>
              <w:t>简单分析</w:t>
            </w:r>
          </w:p>
        </w:tc>
        <w:tc>
          <w:tcPr>
            <w:tcW w:w="1134"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985" w:type="dxa"/>
            <w:vAlign w:val="center"/>
          </w:tcPr>
          <w:p>
            <w:pPr>
              <w:pStyle w:val="39"/>
              <w:adjustRightInd w:val="0"/>
              <w:snapToGrid w:val="0"/>
              <w:rPr>
                <w:rFonts w:ascii="Times New Roman" w:hAnsi="Times New Roman"/>
              </w:rPr>
            </w:pPr>
            <w:r>
              <w:rPr>
                <w:rFonts w:ascii="Times New Roman" w:hAnsi="Times New Roman"/>
              </w:rPr>
              <w:t>简单分析</w:t>
            </w:r>
          </w:p>
        </w:tc>
        <w:tc>
          <w:tcPr>
            <w:tcW w:w="1984"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701" w:type="dxa"/>
            <w:vAlign w:val="center"/>
          </w:tcPr>
          <w:p>
            <w:pPr>
              <w:pStyle w:val="39"/>
              <w:adjustRightInd w:val="0"/>
              <w:snapToGrid w:val="0"/>
              <w:rPr>
                <w:rFonts w:ascii="Times New Roman" w:hAnsi="Times New Roman"/>
              </w:rPr>
            </w:pPr>
            <w:r>
              <w:rPr>
                <w:rFonts w:ascii="Times New Roman" w:hAnsi="Times New Roman"/>
              </w:rPr>
              <w:t>简单分析</w:t>
            </w:r>
          </w:p>
        </w:tc>
      </w:tr>
      <w:bookmarkEnd w:id="31"/>
    </w:tbl>
    <w:p>
      <w:pPr>
        <w:ind w:firstLine="480"/>
        <w:rPr>
          <w:rFonts w:ascii="Times New Roman" w:hAnsi="Times New Roman"/>
        </w:rPr>
        <w:sectPr>
          <w:pgSz w:w="16838" w:h="11906" w:orient="landscape"/>
          <w:pgMar w:top="1797" w:right="1440" w:bottom="1797" w:left="1440" w:header="851" w:footer="992" w:gutter="0"/>
          <w:cols w:space="425" w:num="1"/>
          <w:docGrid w:type="linesAndChars" w:linePitch="312" w:charSpace="0"/>
        </w:sectPr>
      </w:pPr>
    </w:p>
    <w:p>
      <w:pPr>
        <w:pStyle w:val="5"/>
        <w:rPr>
          <w:rFonts w:ascii="Times New Roman" w:hAnsi="Times New Roman"/>
        </w:rPr>
      </w:pPr>
      <w:r>
        <w:rPr>
          <w:rFonts w:ascii="Times New Roman" w:hAnsi="Times New Roman"/>
        </w:rPr>
        <w:t>评价范围</w:t>
      </w:r>
    </w:p>
    <w:p>
      <w:pPr>
        <w:ind w:firstLine="480"/>
        <w:rPr>
          <w:rFonts w:ascii="Times New Roman" w:hAnsi="Times New Roman"/>
        </w:rPr>
      </w:pPr>
      <w:r>
        <w:rPr>
          <w:rFonts w:ascii="Times New Roman" w:hAnsi="Times New Roman"/>
        </w:rPr>
        <w:t>各危险单元各要素环境风险评价范围见</w:t>
      </w:r>
      <w:r>
        <w:rPr>
          <w:rFonts w:ascii="Times New Roman" w:hAnsi="Times New Roman"/>
        </w:rPr>
        <w:fldChar w:fldCharType="begin"/>
      </w:r>
      <w:r>
        <w:rPr>
          <w:rFonts w:ascii="Times New Roman" w:hAnsi="Times New Roman"/>
        </w:rPr>
        <w:instrText xml:space="preserve"> REF _Ref155701557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23</w:t>
      </w:r>
      <w:r>
        <w:rPr>
          <w:rFonts w:ascii="Times New Roman" w:hAnsi="Times New Roman"/>
        </w:rPr>
        <w:fldChar w:fldCharType="end"/>
      </w:r>
      <w:r>
        <w:rPr>
          <w:rFonts w:ascii="Times New Roman" w:hAnsi="Times New Roman"/>
        </w:rPr>
        <w:t>和附图3～附图8。</w:t>
      </w:r>
    </w:p>
    <w:p>
      <w:pPr>
        <w:pStyle w:val="37"/>
        <w:rPr>
          <w:rFonts w:ascii="Times New Roman" w:hAnsi="Times New Roman" w:cs="Times New Roman"/>
        </w:rPr>
      </w:pPr>
      <w:bookmarkStart w:id="32" w:name="_Ref15570155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23</w:t>
      </w:r>
      <w:r>
        <w:rPr>
          <w:rFonts w:ascii="Times New Roman" w:hAnsi="Times New Roman" w:cs="Times New Roman"/>
        </w:rPr>
        <w:fldChar w:fldCharType="end"/>
      </w:r>
      <w:bookmarkEnd w:id="32"/>
      <w:r>
        <w:rPr>
          <w:rFonts w:ascii="Times New Roman" w:hAnsi="Times New Roman" w:cs="Times New Roman"/>
        </w:rPr>
        <w:t xml:space="preserve">  本项目环境风险评价范围</w:t>
      </w:r>
    </w:p>
    <w:tbl>
      <w:tblPr>
        <w:tblStyle w:val="28"/>
        <w:tblW w:w="88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9"/>
        <w:gridCol w:w="2445"/>
        <w:gridCol w:w="2093"/>
        <w:gridCol w:w="1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49" w:type="dxa"/>
            <w:vAlign w:val="center"/>
          </w:tcPr>
          <w:p>
            <w:pPr>
              <w:pStyle w:val="39"/>
              <w:rPr>
                <w:rFonts w:ascii="Times New Roman" w:hAnsi="Times New Roman"/>
              </w:rPr>
            </w:pPr>
            <w:r>
              <w:rPr>
                <w:rFonts w:ascii="Times New Roman" w:hAnsi="Times New Roman"/>
              </w:rPr>
              <w:t>危险单元</w:t>
            </w:r>
          </w:p>
        </w:tc>
        <w:tc>
          <w:tcPr>
            <w:tcW w:w="2445" w:type="dxa"/>
            <w:vAlign w:val="center"/>
          </w:tcPr>
          <w:p>
            <w:pPr>
              <w:pStyle w:val="39"/>
              <w:rPr>
                <w:rFonts w:ascii="Times New Roman" w:hAnsi="Times New Roman"/>
              </w:rPr>
            </w:pPr>
            <w:r>
              <w:rPr>
                <w:rFonts w:ascii="Times New Roman" w:hAnsi="Times New Roman"/>
              </w:rPr>
              <w:t>大气环境风险</w:t>
            </w:r>
          </w:p>
          <w:p>
            <w:pPr>
              <w:pStyle w:val="39"/>
              <w:rPr>
                <w:rFonts w:ascii="Times New Roman" w:hAnsi="Times New Roman"/>
              </w:rPr>
            </w:pPr>
            <w:r>
              <w:rPr>
                <w:rFonts w:ascii="Times New Roman" w:hAnsi="Times New Roman"/>
              </w:rPr>
              <w:t>评价范围</w:t>
            </w:r>
          </w:p>
        </w:tc>
        <w:tc>
          <w:tcPr>
            <w:tcW w:w="2093" w:type="dxa"/>
            <w:vAlign w:val="center"/>
          </w:tcPr>
          <w:p>
            <w:pPr>
              <w:pStyle w:val="39"/>
              <w:rPr>
                <w:rFonts w:ascii="Times New Roman" w:hAnsi="Times New Roman"/>
              </w:rPr>
            </w:pPr>
            <w:r>
              <w:rPr>
                <w:rFonts w:ascii="Times New Roman" w:hAnsi="Times New Roman"/>
              </w:rPr>
              <w:t>地表水环境风险评价范围</w:t>
            </w:r>
          </w:p>
        </w:tc>
        <w:tc>
          <w:tcPr>
            <w:tcW w:w="1784" w:type="dxa"/>
            <w:vAlign w:val="center"/>
          </w:tcPr>
          <w:p>
            <w:pPr>
              <w:pStyle w:val="39"/>
              <w:rPr>
                <w:rFonts w:ascii="Times New Roman" w:hAnsi="Times New Roman"/>
              </w:rPr>
            </w:pPr>
            <w:r>
              <w:rPr>
                <w:rFonts w:ascii="Times New Roman" w:hAnsi="Times New Roman"/>
              </w:rPr>
              <w:t>地下水环境风险</w:t>
            </w:r>
          </w:p>
          <w:p>
            <w:pPr>
              <w:pStyle w:val="39"/>
              <w:rPr>
                <w:rFonts w:ascii="Times New Roman" w:hAnsi="Times New Roman"/>
              </w:rPr>
            </w:pPr>
            <w:r>
              <w:rPr>
                <w:rFonts w:ascii="Times New Roman" w:hAnsi="Times New Roman"/>
              </w:rPr>
              <w:t>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49" w:type="dxa"/>
            <w:vAlign w:val="center"/>
          </w:tcPr>
          <w:p>
            <w:pPr>
              <w:pStyle w:val="39"/>
              <w:rPr>
                <w:rFonts w:ascii="Times New Roman" w:hAnsi="Times New Roman"/>
              </w:rPr>
            </w:pPr>
            <w:r>
              <w:rPr>
                <w:rFonts w:ascii="Times New Roman" w:hAnsi="Times New Roman"/>
                <w:lang w:val="zh-CN"/>
              </w:rPr>
              <w:t>宣探1井站</w:t>
            </w:r>
          </w:p>
        </w:tc>
        <w:tc>
          <w:tcPr>
            <w:tcW w:w="2445" w:type="dxa"/>
            <w:vAlign w:val="center"/>
          </w:tcPr>
          <w:p>
            <w:pPr>
              <w:pStyle w:val="39"/>
              <w:rPr>
                <w:rFonts w:ascii="Times New Roman" w:hAnsi="Times New Roman"/>
              </w:rPr>
            </w:pPr>
            <w:r>
              <w:rPr>
                <w:rFonts w:ascii="Times New Roman" w:hAnsi="Times New Roman"/>
              </w:rPr>
              <w:t>边界外延3km</w:t>
            </w:r>
          </w:p>
        </w:tc>
        <w:tc>
          <w:tcPr>
            <w:tcW w:w="2093" w:type="dxa"/>
            <w:vAlign w:val="center"/>
          </w:tcPr>
          <w:p>
            <w:pPr>
              <w:pStyle w:val="39"/>
              <w:rPr>
                <w:rFonts w:ascii="Times New Roman" w:hAnsi="Times New Roman"/>
              </w:rPr>
            </w:pPr>
            <w:r>
              <w:rPr>
                <w:rFonts w:ascii="Times New Roman" w:hAnsi="Times New Roman"/>
              </w:rPr>
              <w:t>/</w:t>
            </w:r>
          </w:p>
        </w:tc>
        <w:tc>
          <w:tcPr>
            <w:tcW w:w="1784"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49" w:type="dxa"/>
            <w:vAlign w:val="center"/>
          </w:tcPr>
          <w:p>
            <w:pPr>
              <w:pStyle w:val="39"/>
              <w:rPr>
                <w:rFonts w:ascii="Times New Roman" w:hAnsi="Times New Roman"/>
              </w:rPr>
            </w:pPr>
            <w:r>
              <w:rPr>
                <w:rFonts w:ascii="Times New Roman" w:hAnsi="Times New Roman"/>
                <w:lang w:val="zh-CN"/>
              </w:rPr>
              <w:t>宣兴1井站</w:t>
            </w:r>
          </w:p>
        </w:tc>
        <w:tc>
          <w:tcPr>
            <w:tcW w:w="2445" w:type="dxa"/>
            <w:vAlign w:val="center"/>
          </w:tcPr>
          <w:p>
            <w:pPr>
              <w:pStyle w:val="39"/>
              <w:rPr>
                <w:rFonts w:ascii="Times New Roman" w:hAnsi="Times New Roman"/>
              </w:rPr>
            </w:pPr>
            <w:r>
              <w:rPr>
                <w:rFonts w:ascii="Times New Roman" w:hAnsi="Times New Roman"/>
              </w:rPr>
              <w:t>边界外延3km</w:t>
            </w:r>
          </w:p>
        </w:tc>
        <w:tc>
          <w:tcPr>
            <w:tcW w:w="2093" w:type="dxa"/>
            <w:vAlign w:val="center"/>
          </w:tcPr>
          <w:p>
            <w:pPr>
              <w:pStyle w:val="39"/>
              <w:rPr>
                <w:rFonts w:ascii="Times New Roman" w:hAnsi="Times New Roman"/>
              </w:rPr>
            </w:pPr>
            <w:r>
              <w:rPr>
                <w:rFonts w:ascii="Times New Roman" w:hAnsi="Times New Roman"/>
              </w:rPr>
              <w:t>/</w:t>
            </w:r>
          </w:p>
        </w:tc>
        <w:tc>
          <w:tcPr>
            <w:tcW w:w="1784"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49" w:type="dxa"/>
            <w:vAlign w:val="center"/>
          </w:tcPr>
          <w:p>
            <w:pPr>
              <w:pStyle w:val="39"/>
              <w:rPr>
                <w:rFonts w:ascii="Times New Roman" w:hAnsi="Times New Roman"/>
              </w:rPr>
            </w:pPr>
            <w:r>
              <w:rPr>
                <w:rFonts w:ascii="Times New Roman" w:hAnsi="Times New Roman"/>
              </w:rPr>
              <w:t>宣兴1井-宣探阀室</w:t>
            </w:r>
          </w:p>
        </w:tc>
        <w:tc>
          <w:tcPr>
            <w:tcW w:w="2445" w:type="dxa"/>
            <w:vAlign w:val="center"/>
          </w:tcPr>
          <w:p>
            <w:pPr>
              <w:pStyle w:val="39"/>
              <w:rPr>
                <w:rFonts w:ascii="Times New Roman" w:hAnsi="Times New Roman"/>
              </w:rPr>
            </w:pPr>
            <w:r>
              <w:rPr>
                <w:rFonts w:ascii="Times New Roman" w:hAnsi="Times New Roman"/>
              </w:rPr>
              <w:t>管道两侧840m（根据预测结果取值）</w:t>
            </w:r>
          </w:p>
        </w:tc>
        <w:tc>
          <w:tcPr>
            <w:tcW w:w="2093" w:type="dxa"/>
            <w:vAlign w:val="center"/>
          </w:tcPr>
          <w:p>
            <w:pPr>
              <w:pStyle w:val="39"/>
              <w:rPr>
                <w:rFonts w:ascii="Times New Roman" w:hAnsi="Times New Roman"/>
              </w:rPr>
            </w:pPr>
            <w:r>
              <w:rPr>
                <w:rFonts w:ascii="Times New Roman" w:hAnsi="Times New Roman"/>
              </w:rPr>
              <w:t>/</w:t>
            </w:r>
          </w:p>
        </w:tc>
        <w:tc>
          <w:tcPr>
            <w:tcW w:w="1784" w:type="dxa"/>
            <w:vAlign w:val="center"/>
          </w:tcPr>
          <w:p>
            <w:pPr>
              <w:pStyle w:val="39"/>
              <w:rPr>
                <w:rFonts w:ascii="Times New Roman" w:hAnsi="Times New Roman"/>
              </w:rPr>
            </w:pPr>
            <w:r>
              <w:rPr>
                <w:rFonts w:ascii="Times New Roman" w:hAnsi="Times New Roman"/>
              </w:rPr>
              <w:t>管道两侧200m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49" w:type="dxa"/>
            <w:vAlign w:val="center"/>
          </w:tcPr>
          <w:p>
            <w:pPr>
              <w:pStyle w:val="39"/>
              <w:rPr>
                <w:rFonts w:ascii="Times New Roman" w:hAnsi="Times New Roman"/>
              </w:rPr>
            </w:pPr>
            <w:r>
              <w:rPr>
                <w:rFonts w:ascii="Times New Roman" w:hAnsi="Times New Roman"/>
              </w:rPr>
              <w:t>宣探阀室-宣探清管站</w:t>
            </w:r>
          </w:p>
        </w:tc>
        <w:tc>
          <w:tcPr>
            <w:tcW w:w="2445" w:type="dxa"/>
            <w:vAlign w:val="center"/>
          </w:tcPr>
          <w:p>
            <w:pPr>
              <w:pStyle w:val="39"/>
              <w:rPr>
                <w:rFonts w:ascii="Times New Roman" w:hAnsi="Times New Roman"/>
              </w:rPr>
            </w:pPr>
            <w:r>
              <w:rPr>
                <w:rFonts w:ascii="Times New Roman" w:hAnsi="Times New Roman"/>
              </w:rPr>
              <w:t>管道两侧1470m（根据预测结果取值）</w:t>
            </w:r>
          </w:p>
        </w:tc>
        <w:tc>
          <w:tcPr>
            <w:tcW w:w="2093" w:type="dxa"/>
            <w:vAlign w:val="center"/>
          </w:tcPr>
          <w:p>
            <w:pPr>
              <w:pStyle w:val="39"/>
              <w:rPr>
                <w:rFonts w:ascii="Times New Roman" w:hAnsi="Times New Roman"/>
              </w:rPr>
            </w:pPr>
            <w:r>
              <w:rPr>
                <w:rFonts w:ascii="Times New Roman" w:hAnsi="Times New Roman"/>
              </w:rPr>
              <w:t>/</w:t>
            </w:r>
          </w:p>
        </w:tc>
        <w:tc>
          <w:tcPr>
            <w:tcW w:w="1784" w:type="dxa"/>
            <w:vAlign w:val="center"/>
          </w:tcPr>
          <w:p>
            <w:pPr>
              <w:pStyle w:val="39"/>
              <w:rPr>
                <w:rFonts w:ascii="Times New Roman" w:hAnsi="Times New Roman"/>
              </w:rPr>
            </w:pPr>
            <w:r>
              <w:rPr>
                <w:rFonts w:ascii="Times New Roman" w:hAnsi="Times New Roman"/>
              </w:rPr>
              <w:t>管道两侧200m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49" w:type="dxa"/>
            <w:vAlign w:val="center"/>
          </w:tcPr>
          <w:p>
            <w:pPr>
              <w:pStyle w:val="39"/>
              <w:rPr>
                <w:rFonts w:ascii="Times New Roman" w:hAnsi="Times New Roman"/>
              </w:rPr>
            </w:pPr>
            <w:r>
              <w:rPr>
                <w:rFonts w:ascii="Times New Roman" w:hAnsi="Times New Roman"/>
              </w:rPr>
              <w:t>宣探清管站-304集气站</w:t>
            </w:r>
          </w:p>
        </w:tc>
        <w:tc>
          <w:tcPr>
            <w:tcW w:w="2445" w:type="dxa"/>
            <w:vAlign w:val="center"/>
          </w:tcPr>
          <w:p>
            <w:pPr>
              <w:pStyle w:val="39"/>
              <w:rPr>
                <w:rFonts w:ascii="Times New Roman" w:hAnsi="Times New Roman"/>
              </w:rPr>
            </w:pPr>
            <w:r>
              <w:rPr>
                <w:rFonts w:ascii="Times New Roman" w:hAnsi="Times New Roman"/>
              </w:rPr>
              <w:t>管道两侧200m</w:t>
            </w:r>
          </w:p>
        </w:tc>
        <w:tc>
          <w:tcPr>
            <w:tcW w:w="2093" w:type="dxa"/>
            <w:vAlign w:val="center"/>
          </w:tcPr>
          <w:p>
            <w:pPr>
              <w:pStyle w:val="39"/>
              <w:rPr>
                <w:rFonts w:ascii="Times New Roman" w:hAnsi="Times New Roman"/>
              </w:rPr>
            </w:pPr>
            <w:r>
              <w:rPr>
                <w:rFonts w:ascii="Times New Roman" w:hAnsi="Times New Roman"/>
              </w:rPr>
              <w:t>/</w:t>
            </w:r>
          </w:p>
        </w:tc>
        <w:tc>
          <w:tcPr>
            <w:tcW w:w="1784"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49" w:type="dxa"/>
            <w:vAlign w:val="center"/>
          </w:tcPr>
          <w:p>
            <w:pPr>
              <w:pStyle w:val="39"/>
              <w:rPr>
                <w:rFonts w:ascii="Times New Roman" w:hAnsi="Times New Roman"/>
              </w:rPr>
            </w:pPr>
            <w:r>
              <w:rPr>
                <w:rFonts w:ascii="Times New Roman" w:hAnsi="Times New Roman"/>
              </w:rPr>
              <w:t>宣探1井-宣兴1井</w:t>
            </w:r>
          </w:p>
        </w:tc>
        <w:tc>
          <w:tcPr>
            <w:tcW w:w="2445" w:type="dxa"/>
            <w:vAlign w:val="center"/>
          </w:tcPr>
          <w:p>
            <w:pPr>
              <w:pStyle w:val="39"/>
              <w:rPr>
                <w:rFonts w:ascii="Times New Roman" w:hAnsi="Times New Roman"/>
              </w:rPr>
            </w:pPr>
            <w:r>
              <w:rPr>
                <w:rFonts w:ascii="Times New Roman" w:hAnsi="Times New Roman"/>
              </w:rPr>
              <w:t>管道两侧200m</w:t>
            </w:r>
          </w:p>
        </w:tc>
        <w:tc>
          <w:tcPr>
            <w:tcW w:w="2093" w:type="dxa"/>
            <w:vAlign w:val="center"/>
          </w:tcPr>
          <w:p>
            <w:pPr>
              <w:pStyle w:val="39"/>
              <w:rPr>
                <w:rFonts w:ascii="Times New Roman" w:hAnsi="Times New Roman"/>
              </w:rPr>
            </w:pPr>
            <w:r>
              <w:rPr>
                <w:rFonts w:ascii="Times New Roman" w:hAnsi="Times New Roman"/>
              </w:rPr>
              <w:t>/</w:t>
            </w:r>
          </w:p>
        </w:tc>
        <w:tc>
          <w:tcPr>
            <w:tcW w:w="1784" w:type="dxa"/>
            <w:vAlign w:val="center"/>
          </w:tcPr>
          <w:p>
            <w:pPr>
              <w:pStyle w:val="39"/>
              <w:rPr>
                <w:rFonts w:ascii="Times New Roman" w:hAnsi="Times New Roman"/>
              </w:rPr>
            </w:pPr>
            <w:r>
              <w:rPr>
                <w:rFonts w:ascii="Times New Roman" w:hAnsi="Times New Roman"/>
              </w:rPr>
              <w:t>/</w:t>
            </w:r>
          </w:p>
        </w:tc>
      </w:tr>
    </w:tbl>
    <w:p>
      <w:pPr>
        <w:pStyle w:val="3"/>
        <w:rPr>
          <w:rFonts w:ascii="Times New Roman" w:hAnsi="Times New Roman" w:cs="Times New Roman"/>
        </w:rPr>
      </w:pPr>
      <w:bookmarkStart w:id="33" w:name="_Toc162339388"/>
      <w:r>
        <w:rPr>
          <w:rFonts w:ascii="Times New Roman" w:hAnsi="Times New Roman" w:cs="Times New Roman"/>
        </w:rPr>
        <w:t>污染控制目标和环境保护目标</w:t>
      </w:r>
      <w:bookmarkEnd w:id="33"/>
    </w:p>
    <w:p>
      <w:pPr>
        <w:pStyle w:val="4"/>
        <w:rPr>
          <w:rFonts w:ascii="Times New Roman" w:hAnsi="Times New Roman" w:cs="Times New Roman"/>
        </w:rPr>
      </w:pPr>
      <w:r>
        <w:rPr>
          <w:rFonts w:ascii="Times New Roman" w:hAnsi="Times New Roman" w:cs="Times New Roman"/>
        </w:rPr>
        <w:t>污染控制目标</w:t>
      </w:r>
    </w:p>
    <w:p>
      <w:pPr>
        <w:ind w:firstLine="480"/>
        <w:rPr>
          <w:rFonts w:ascii="Times New Roman" w:hAnsi="Times New Roman"/>
        </w:rPr>
      </w:pPr>
      <w:r>
        <w:rPr>
          <w:rFonts w:ascii="Times New Roman" w:hAnsi="Times New Roman"/>
        </w:rPr>
        <w:t>（1）控制各井场的各种污染物排放量，做到达标排放，使各井场运营后周围的环境质量不影响现有的环境功能。</w:t>
      </w:r>
    </w:p>
    <w:p>
      <w:pPr>
        <w:ind w:firstLine="480"/>
        <w:rPr>
          <w:rFonts w:ascii="Times New Roman" w:hAnsi="Times New Roman"/>
        </w:rPr>
      </w:pPr>
      <w:r>
        <w:rPr>
          <w:rFonts w:ascii="Times New Roman" w:hAnsi="Times New Roman"/>
        </w:rPr>
        <w:t>（2）控制沿线河流穿越施工对地表水体的影响，控制和减轻施工活动对管道沿线及站场周围居民的影响。</w:t>
      </w:r>
    </w:p>
    <w:p>
      <w:pPr>
        <w:pStyle w:val="4"/>
        <w:rPr>
          <w:rFonts w:ascii="Times New Roman" w:hAnsi="Times New Roman" w:cs="Times New Roman"/>
        </w:rPr>
      </w:pPr>
      <w:r>
        <w:rPr>
          <w:rFonts w:ascii="Times New Roman" w:hAnsi="Times New Roman" w:cs="Times New Roman"/>
        </w:rPr>
        <w:t>环境保护目标</w:t>
      </w:r>
    </w:p>
    <w:p>
      <w:pPr>
        <w:ind w:firstLine="482"/>
        <w:rPr>
          <w:rFonts w:ascii="Times New Roman" w:hAnsi="Times New Roman"/>
          <w:b/>
          <w:bCs/>
        </w:rPr>
      </w:pPr>
      <w:r>
        <w:rPr>
          <w:rFonts w:ascii="Times New Roman" w:hAnsi="Times New Roman"/>
          <w:b/>
          <w:bCs/>
        </w:rPr>
        <w:t>（1）环境空气保护目标</w:t>
      </w:r>
    </w:p>
    <w:p>
      <w:pPr>
        <w:ind w:firstLine="480"/>
        <w:rPr>
          <w:rFonts w:ascii="Times New Roman" w:hAnsi="Times New Roman"/>
        </w:rPr>
      </w:pPr>
      <w:r>
        <w:rPr>
          <w:rFonts w:ascii="Times New Roman" w:hAnsi="Times New Roman"/>
        </w:rPr>
        <w:t>环境保护目标为本项目两座井站厂址中心2.5km范围内的居民、学校等人群较集中区域。宣探1井场周边的环境空气保护目标见</w:t>
      </w:r>
      <w:r>
        <w:rPr>
          <w:rFonts w:ascii="Times New Roman" w:hAnsi="Times New Roman"/>
        </w:rPr>
        <w:fldChar w:fldCharType="begin"/>
      </w:r>
      <w:r>
        <w:rPr>
          <w:rFonts w:ascii="Times New Roman" w:hAnsi="Times New Roman"/>
        </w:rPr>
        <w:instrText xml:space="preserve"> REF _Ref155686533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26</w:t>
      </w:r>
      <w:r>
        <w:rPr>
          <w:rFonts w:ascii="Times New Roman" w:hAnsi="Times New Roman"/>
        </w:rPr>
        <w:fldChar w:fldCharType="end"/>
      </w:r>
      <w:r>
        <w:rPr>
          <w:rFonts w:ascii="Times New Roman" w:hAnsi="Times New Roman"/>
        </w:rPr>
        <w:t>和附图3，宣兴1井场周边的环境空气保护目标见</w:t>
      </w:r>
      <w:r>
        <w:rPr>
          <w:rFonts w:ascii="Times New Roman" w:hAnsi="Times New Roman"/>
        </w:rPr>
        <w:fldChar w:fldCharType="begin"/>
      </w:r>
      <w:r>
        <w:rPr>
          <w:rFonts w:ascii="Times New Roman" w:hAnsi="Times New Roman"/>
        </w:rPr>
        <w:instrText xml:space="preserve"> REF _Ref155686533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26</w:t>
      </w:r>
      <w:r>
        <w:rPr>
          <w:rFonts w:ascii="Times New Roman" w:hAnsi="Times New Roman"/>
        </w:rPr>
        <w:fldChar w:fldCharType="end"/>
      </w:r>
      <w:r>
        <w:rPr>
          <w:rFonts w:ascii="Times New Roman" w:hAnsi="Times New Roman"/>
        </w:rPr>
        <w:t>和附图4。</w:t>
      </w:r>
    </w:p>
    <w:p>
      <w:pPr>
        <w:ind w:firstLine="482"/>
        <w:rPr>
          <w:rFonts w:ascii="Times New Roman" w:hAnsi="Times New Roman"/>
          <w:b/>
          <w:bCs/>
        </w:rPr>
      </w:pPr>
      <w:r>
        <w:rPr>
          <w:rFonts w:ascii="Times New Roman" w:hAnsi="Times New Roman"/>
          <w:b/>
          <w:bCs/>
        </w:rPr>
        <w:t>（2）地表水环境保护目标</w:t>
      </w:r>
    </w:p>
    <w:p>
      <w:pPr>
        <w:ind w:firstLine="480"/>
        <w:rPr>
          <w:rFonts w:ascii="Times New Roman" w:hAnsi="Times New Roman"/>
        </w:rPr>
      </w:pPr>
      <w:r>
        <w:rPr>
          <w:rFonts w:ascii="Times New Roman" w:hAnsi="Times New Roman"/>
        </w:rPr>
        <w:t>本项目集输管线穿越清溪河下游约1.5km为清溪镇乱石滩河吴家湾集中式饮用水水源保护区，因此本项目地表水环境保护目标清溪镇乱石滩河吴家湾集中式饮用水水源保护区。与本项目的位置关系见附图14。</w:t>
      </w:r>
    </w:p>
    <w:p>
      <w:pPr>
        <w:ind w:firstLine="482"/>
        <w:rPr>
          <w:rFonts w:ascii="Times New Roman" w:hAnsi="Times New Roman"/>
          <w:b/>
          <w:bCs/>
        </w:rPr>
      </w:pPr>
      <w:r>
        <w:rPr>
          <w:rFonts w:ascii="Times New Roman" w:hAnsi="Times New Roman"/>
          <w:b/>
          <w:bCs/>
        </w:rPr>
        <w:t>（3）声环境保护目标</w:t>
      </w:r>
    </w:p>
    <w:p>
      <w:pPr>
        <w:ind w:firstLine="480"/>
        <w:rPr>
          <w:rFonts w:ascii="Times New Roman" w:hAnsi="Times New Roman"/>
        </w:rPr>
      </w:pPr>
      <w:r>
        <w:rPr>
          <w:rFonts w:ascii="Times New Roman" w:hAnsi="Times New Roman"/>
        </w:rPr>
        <w:t>两座井场及清管站周边200m范围内均无声环境敏感区，因此本项目的声环境保护目标主要为集输管道两侧各200m范围内的居民。具体声环境保护目标情况见</w:t>
      </w:r>
      <w:r>
        <w:rPr>
          <w:rFonts w:ascii="Times New Roman" w:hAnsi="Times New Roman"/>
        </w:rPr>
        <w:fldChar w:fldCharType="begin"/>
      </w:r>
      <w:r>
        <w:rPr>
          <w:rFonts w:ascii="Times New Roman" w:hAnsi="Times New Roman"/>
        </w:rPr>
        <w:instrText xml:space="preserve"> REF _Ref155686533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26</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_Ref155686627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28</w:t>
      </w:r>
      <w:r>
        <w:rPr>
          <w:rFonts w:ascii="Times New Roman" w:hAnsi="Times New Roman"/>
        </w:rPr>
        <w:fldChar w:fldCharType="end"/>
      </w:r>
      <w:r>
        <w:rPr>
          <w:rFonts w:ascii="Times New Roman" w:hAnsi="Times New Roman"/>
        </w:rPr>
        <w:t>。</w:t>
      </w:r>
    </w:p>
    <w:p>
      <w:pPr>
        <w:ind w:firstLine="482"/>
        <w:rPr>
          <w:rFonts w:ascii="Times New Roman" w:hAnsi="Times New Roman"/>
          <w:b/>
          <w:bCs/>
        </w:rPr>
      </w:pPr>
      <w:r>
        <w:rPr>
          <w:rFonts w:ascii="Times New Roman" w:hAnsi="Times New Roman"/>
          <w:b/>
          <w:bCs/>
        </w:rPr>
        <w:t>（4）土壤环境敏感目标</w:t>
      </w:r>
    </w:p>
    <w:p>
      <w:pPr>
        <w:ind w:firstLine="480"/>
        <w:rPr>
          <w:rFonts w:ascii="Times New Roman" w:hAnsi="Times New Roman"/>
        </w:rPr>
      </w:pPr>
      <w:r>
        <w:rPr>
          <w:rFonts w:ascii="Times New Roman" w:hAnsi="Times New Roman"/>
        </w:rPr>
        <w:t>根据现场调查，本项目站场周边及管道两侧分布有农田和民房，因此本项目土壤环境敏感目标主要为站场周边200m和管道沿线两侧各200m范围内的农田和居民区。</w:t>
      </w:r>
    </w:p>
    <w:p>
      <w:pPr>
        <w:ind w:firstLine="482"/>
        <w:rPr>
          <w:rFonts w:ascii="Times New Roman" w:hAnsi="Times New Roman"/>
          <w:b/>
          <w:bCs/>
        </w:rPr>
      </w:pPr>
      <w:r>
        <w:rPr>
          <w:rFonts w:ascii="Times New Roman" w:hAnsi="Times New Roman"/>
          <w:b/>
          <w:bCs/>
        </w:rPr>
        <w:t>（5）地下水环境保护目标</w:t>
      </w:r>
    </w:p>
    <w:p>
      <w:pPr>
        <w:ind w:firstLine="480"/>
        <w:rPr>
          <w:rFonts w:ascii="Times New Roman" w:hAnsi="Times New Roman"/>
          <w:kern w:val="0"/>
        </w:rPr>
      </w:pPr>
      <w:r>
        <w:rPr>
          <w:rFonts w:ascii="Times New Roman" w:hAnsi="Times New Roman"/>
          <w:kern w:val="0"/>
        </w:rPr>
        <w:t>经调查，本项目地下水评价范围内无乡镇地下水集中式饮用水源分布，大部分居民均由农村饮水工程供水，少部分居民因为居住地势较高或不在农村饮水工程供水范围内，其以自备水井作为饮用水源，因此，本项目地下水环境保护目标为评价范围内的分散式饮用水源。</w:t>
      </w:r>
    </w:p>
    <w:p>
      <w:pPr>
        <w:ind w:firstLine="480"/>
        <w:rPr>
          <w:rFonts w:ascii="Times New Roman" w:hAnsi="Times New Roman"/>
        </w:rPr>
      </w:pPr>
      <w:r>
        <w:rPr>
          <w:rFonts w:ascii="Times New Roman" w:hAnsi="Times New Roman"/>
          <w:kern w:val="0"/>
        </w:rPr>
        <w:t>根据实地踏勘，项目周边分布有分散式水井9口，共服务居民约10户，与项目管道、井站的距离在10m~480m之间，以上居民水井深度均较浅，井深1m左右，水位埋深0.2m~0.6m。具体的地下水环境保护目标见</w:t>
      </w:r>
      <w:r>
        <w:rPr>
          <w:rFonts w:ascii="Times New Roman" w:hAnsi="Times New Roman"/>
          <w:kern w:val="0"/>
        </w:rPr>
        <w:fldChar w:fldCharType="begin"/>
      </w:r>
      <w:r>
        <w:rPr>
          <w:rFonts w:ascii="Times New Roman" w:hAnsi="Times New Roman"/>
          <w:kern w:val="0"/>
        </w:rPr>
        <w:instrText xml:space="preserve"> REF _Ref157175757 \h  \* MERGEFORMAT </w:instrText>
      </w:r>
      <w:r>
        <w:rPr>
          <w:rFonts w:ascii="Times New Roman" w:hAnsi="Times New Roman"/>
          <w:kern w:val="0"/>
        </w:rPr>
        <w:fldChar w:fldCharType="separate"/>
      </w:r>
      <w:r>
        <w:rPr>
          <w:rFonts w:ascii="Times New Roman" w:hAnsi="Times New Roman"/>
        </w:rPr>
        <w:t>表 1</w:t>
      </w:r>
      <w:r>
        <w:rPr>
          <w:rFonts w:ascii="Times New Roman" w:hAnsi="Times New Roman"/>
        </w:rPr>
        <w:noBreakHyphen/>
      </w:r>
      <w:r>
        <w:rPr>
          <w:rFonts w:ascii="Times New Roman" w:hAnsi="Times New Roman"/>
        </w:rPr>
        <w:t>24</w:t>
      </w:r>
      <w:r>
        <w:rPr>
          <w:rFonts w:ascii="Times New Roman" w:hAnsi="Times New Roman"/>
          <w:kern w:val="0"/>
        </w:rPr>
        <w:fldChar w:fldCharType="end"/>
      </w:r>
      <w:r>
        <w:rPr>
          <w:rFonts w:ascii="Times New Roman" w:hAnsi="Times New Roman"/>
          <w:kern w:val="0"/>
        </w:rPr>
        <w:t>。具体分布情况见附图13。</w:t>
      </w:r>
    </w:p>
    <w:p>
      <w:pPr>
        <w:pStyle w:val="37"/>
        <w:rPr>
          <w:rFonts w:ascii="Times New Roman" w:hAnsi="Times New Roman" w:cs="Times New Roman"/>
        </w:rPr>
      </w:pPr>
      <w:bookmarkStart w:id="34" w:name="_Ref15717575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24</w:t>
      </w:r>
      <w:r>
        <w:rPr>
          <w:rFonts w:ascii="Times New Roman" w:hAnsi="Times New Roman" w:cs="Times New Roman"/>
        </w:rPr>
        <w:fldChar w:fldCharType="end"/>
      </w:r>
      <w:bookmarkEnd w:id="34"/>
      <w:r>
        <w:rPr>
          <w:rFonts w:ascii="Times New Roman" w:hAnsi="Times New Roman" w:cs="Times New Roman"/>
        </w:rPr>
        <w:t xml:space="preserve">  地下水环境保护目标一览表</w:t>
      </w:r>
    </w:p>
    <w:tbl>
      <w:tblPr>
        <w:tblStyle w:val="28"/>
        <w:tblW w:w="84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5"/>
        <w:gridCol w:w="2484"/>
        <w:gridCol w:w="1185"/>
        <w:gridCol w:w="1185"/>
        <w:gridCol w:w="1185"/>
        <w:gridCol w:w="1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39"/>
              <w:rPr>
                <w:rFonts w:ascii="Times New Roman" w:hAnsi="Times New Roman"/>
              </w:rPr>
            </w:pPr>
            <w:r>
              <w:rPr>
                <w:rFonts w:ascii="Times New Roman" w:hAnsi="Times New Roman"/>
              </w:rPr>
              <w:t>编号</w:t>
            </w:r>
          </w:p>
        </w:tc>
        <w:tc>
          <w:tcPr>
            <w:tcW w:w="2484" w:type="dxa"/>
            <w:vAlign w:val="center"/>
          </w:tcPr>
          <w:p>
            <w:pPr>
              <w:pStyle w:val="39"/>
              <w:rPr>
                <w:rFonts w:ascii="Times New Roman" w:hAnsi="Times New Roman"/>
              </w:rPr>
            </w:pPr>
            <w:r>
              <w:rPr>
                <w:rFonts w:ascii="Times New Roman" w:hAnsi="Times New Roman"/>
              </w:rPr>
              <w:t>与项目上下游及距离（m）</w:t>
            </w:r>
          </w:p>
        </w:tc>
        <w:tc>
          <w:tcPr>
            <w:tcW w:w="1185" w:type="dxa"/>
            <w:vAlign w:val="center"/>
          </w:tcPr>
          <w:p>
            <w:pPr>
              <w:pStyle w:val="39"/>
              <w:rPr>
                <w:rFonts w:ascii="Times New Roman" w:hAnsi="Times New Roman"/>
              </w:rPr>
            </w:pPr>
            <w:r>
              <w:rPr>
                <w:rFonts w:ascii="Times New Roman" w:hAnsi="Times New Roman"/>
              </w:rPr>
              <w:t>井深（m）</w:t>
            </w:r>
          </w:p>
        </w:tc>
        <w:tc>
          <w:tcPr>
            <w:tcW w:w="1185" w:type="dxa"/>
            <w:vAlign w:val="center"/>
          </w:tcPr>
          <w:p>
            <w:pPr>
              <w:pStyle w:val="39"/>
              <w:rPr>
                <w:rFonts w:ascii="Times New Roman" w:hAnsi="Times New Roman"/>
              </w:rPr>
            </w:pPr>
            <w:r>
              <w:rPr>
                <w:rFonts w:ascii="Times New Roman" w:hAnsi="Times New Roman"/>
              </w:rPr>
              <w:t>供水规模（户）</w:t>
            </w:r>
          </w:p>
        </w:tc>
        <w:tc>
          <w:tcPr>
            <w:tcW w:w="1185" w:type="dxa"/>
            <w:vAlign w:val="center"/>
          </w:tcPr>
          <w:p>
            <w:pPr>
              <w:pStyle w:val="39"/>
              <w:rPr>
                <w:rFonts w:ascii="Times New Roman" w:hAnsi="Times New Roman"/>
              </w:rPr>
            </w:pPr>
            <w:r>
              <w:rPr>
                <w:rFonts w:ascii="Times New Roman" w:hAnsi="Times New Roman"/>
              </w:rPr>
              <w:t>日开采量（m</w:t>
            </w:r>
            <w:r>
              <w:rPr>
                <w:rFonts w:ascii="Times New Roman" w:hAnsi="Times New Roman"/>
                <w:vertAlign w:val="superscript"/>
              </w:rPr>
              <w:t>3</w:t>
            </w:r>
            <w:r>
              <w:rPr>
                <w:rFonts w:ascii="Times New Roman" w:hAnsi="Times New Roman"/>
              </w:rPr>
              <w:t>/d）</w:t>
            </w:r>
          </w:p>
        </w:tc>
        <w:tc>
          <w:tcPr>
            <w:tcW w:w="1185" w:type="dxa"/>
            <w:vAlign w:val="center"/>
          </w:tcPr>
          <w:p>
            <w:pPr>
              <w:pStyle w:val="39"/>
              <w:rPr>
                <w:rFonts w:ascii="Times New Roman" w:hAnsi="Times New Roman"/>
              </w:rPr>
            </w:pPr>
            <w:r>
              <w:rPr>
                <w:rFonts w:ascii="Times New Roman" w:hAnsi="Times New Roman"/>
              </w:rPr>
              <w:t>地下水</w:t>
            </w:r>
          </w:p>
          <w:p>
            <w:pPr>
              <w:pStyle w:val="39"/>
              <w:rPr>
                <w:rFonts w:ascii="Times New Roman" w:hAnsi="Times New Roman"/>
              </w:rPr>
            </w:pPr>
            <w:r>
              <w:rPr>
                <w:rFonts w:ascii="Times New Roman" w:hAnsi="Times New Roman"/>
              </w:rPr>
              <w:t>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39"/>
              <w:rPr>
                <w:rFonts w:ascii="Times New Roman" w:hAnsi="Times New Roman"/>
              </w:rPr>
            </w:pPr>
            <w:r>
              <w:rPr>
                <w:rFonts w:ascii="Times New Roman" w:hAnsi="Times New Roman"/>
              </w:rPr>
              <w:t>S1</w:t>
            </w:r>
          </w:p>
        </w:tc>
        <w:tc>
          <w:tcPr>
            <w:tcW w:w="2484" w:type="dxa"/>
            <w:vAlign w:val="center"/>
          </w:tcPr>
          <w:p>
            <w:pPr>
              <w:pStyle w:val="39"/>
              <w:rPr>
                <w:rFonts w:ascii="Times New Roman" w:hAnsi="Times New Roman"/>
              </w:rPr>
            </w:pPr>
            <w:r>
              <w:rPr>
                <w:rFonts w:ascii="Times New Roman" w:hAnsi="Times New Roman"/>
              </w:rPr>
              <w:t>管道下游140m</w:t>
            </w:r>
          </w:p>
        </w:tc>
        <w:tc>
          <w:tcPr>
            <w:tcW w:w="1185" w:type="dxa"/>
            <w:vAlign w:val="center"/>
          </w:tcPr>
          <w:p>
            <w:pPr>
              <w:pStyle w:val="39"/>
              <w:rPr>
                <w:rFonts w:ascii="Times New Roman" w:hAnsi="Times New Roman"/>
              </w:rPr>
            </w:pPr>
            <w:r>
              <w:rPr>
                <w:rFonts w:ascii="Times New Roman" w:hAnsi="Times New Roman"/>
              </w:rPr>
              <w:t>/</w:t>
            </w:r>
          </w:p>
        </w:tc>
        <w:tc>
          <w:tcPr>
            <w:tcW w:w="1185" w:type="dxa"/>
            <w:vAlign w:val="center"/>
          </w:tcPr>
          <w:p>
            <w:pPr>
              <w:pStyle w:val="39"/>
              <w:rPr>
                <w:rFonts w:ascii="Times New Roman" w:hAnsi="Times New Roman"/>
              </w:rPr>
            </w:pPr>
            <w:r>
              <w:rPr>
                <w:rFonts w:ascii="Times New Roman" w:hAnsi="Times New Roman"/>
              </w:rPr>
              <w:t>4</w:t>
            </w:r>
          </w:p>
        </w:tc>
        <w:tc>
          <w:tcPr>
            <w:tcW w:w="1185" w:type="dxa"/>
            <w:vAlign w:val="center"/>
          </w:tcPr>
          <w:p>
            <w:pPr>
              <w:pStyle w:val="39"/>
              <w:rPr>
                <w:rFonts w:ascii="Times New Roman" w:hAnsi="Times New Roman"/>
              </w:rPr>
            </w:pPr>
            <w:r>
              <w:rPr>
                <w:rFonts w:ascii="Times New Roman" w:hAnsi="Times New Roman"/>
              </w:rPr>
              <w:t>1.08</w:t>
            </w:r>
          </w:p>
        </w:tc>
        <w:tc>
          <w:tcPr>
            <w:tcW w:w="1185" w:type="dxa"/>
            <w:vMerge w:val="restart"/>
            <w:vAlign w:val="center"/>
          </w:tcPr>
          <w:p>
            <w:pPr>
              <w:pStyle w:val="39"/>
              <w:rPr>
                <w:rFonts w:ascii="Times New Roman" w:hAnsi="Times New Roman"/>
              </w:rPr>
            </w:pPr>
            <w:r>
              <w:rPr>
                <w:rFonts w:ascii="Times New Roman" w:hAnsi="Times New Roman"/>
              </w:rPr>
              <w:t>构造裂隙水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39"/>
              <w:rPr>
                <w:rFonts w:ascii="Times New Roman" w:hAnsi="Times New Roman"/>
              </w:rPr>
            </w:pPr>
            <w:r>
              <w:rPr>
                <w:rFonts w:ascii="Times New Roman" w:hAnsi="Times New Roman"/>
              </w:rPr>
              <w:t>S2</w:t>
            </w:r>
          </w:p>
        </w:tc>
        <w:tc>
          <w:tcPr>
            <w:tcW w:w="2484" w:type="dxa"/>
            <w:vAlign w:val="center"/>
          </w:tcPr>
          <w:p>
            <w:pPr>
              <w:pStyle w:val="39"/>
              <w:rPr>
                <w:rFonts w:ascii="Times New Roman" w:hAnsi="Times New Roman"/>
              </w:rPr>
            </w:pPr>
            <w:r>
              <w:rPr>
                <w:rFonts w:ascii="Times New Roman" w:hAnsi="Times New Roman"/>
              </w:rPr>
              <w:t>管道下游70m</w:t>
            </w:r>
          </w:p>
        </w:tc>
        <w:tc>
          <w:tcPr>
            <w:tcW w:w="1185" w:type="dxa"/>
            <w:vAlign w:val="center"/>
          </w:tcPr>
          <w:p>
            <w:pPr>
              <w:pStyle w:val="39"/>
              <w:rPr>
                <w:rFonts w:ascii="Times New Roman" w:hAnsi="Times New Roman"/>
              </w:rPr>
            </w:pPr>
            <w:r>
              <w:rPr>
                <w:rFonts w:ascii="Times New Roman" w:hAnsi="Times New Roman"/>
              </w:rPr>
              <w:t>1</w:t>
            </w:r>
          </w:p>
        </w:tc>
        <w:tc>
          <w:tcPr>
            <w:tcW w:w="1185" w:type="dxa"/>
            <w:vAlign w:val="center"/>
          </w:tcPr>
          <w:p>
            <w:pPr>
              <w:pStyle w:val="39"/>
              <w:rPr>
                <w:rFonts w:ascii="Times New Roman" w:hAnsi="Times New Roman"/>
              </w:rPr>
            </w:pPr>
            <w:r>
              <w:rPr>
                <w:rFonts w:ascii="Times New Roman" w:hAnsi="Times New Roman"/>
              </w:rPr>
              <w:t>1</w:t>
            </w:r>
          </w:p>
        </w:tc>
        <w:tc>
          <w:tcPr>
            <w:tcW w:w="1185" w:type="dxa"/>
            <w:vAlign w:val="center"/>
          </w:tcPr>
          <w:p>
            <w:pPr>
              <w:pStyle w:val="39"/>
              <w:rPr>
                <w:rFonts w:ascii="Times New Roman" w:hAnsi="Times New Roman"/>
              </w:rPr>
            </w:pPr>
            <w:r>
              <w:rPr>
                <w:rFonts w:ascii="Times New Roman" w:hAnsi="Times New Roman"/>
              </w:rPr>
              <w:t>0.27</w:t>
            </w:r>
          </w:p>
        </w:tc>
        <w:tc>
          <w:tcPr>
            <w:tcW w:w="1185"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39"/>
              <w:rPr>
                <w:rFonts w:ascii="Times New Roman" w:hAnsi="Times New Roman"/>
              </w:rPr>
            </w:pPr>
            <w:r>
              <w:rPr>
                <w:rFonts w:ascii="Times New Roman" w:hAnsi="Times New Roman"/>
              </w:rPr>
              <w:t>S3</w:t>
            </w:r>
          </w:p>
        </w:tc>
        <w:tc>
          <w:tcPr>
            <w:tcW w:w="2484" w:type="dxa"/>
            <w:vAlign w:val="center"/>
          </w:tcPr>
          <w:p>
            <w:pPr>
              <w:pStyle w:val="39"/>
              <w:rPr>
                <w:rFonts w:ascii="Times New Roman" w:hAnsi="Times New Roman"/>
              </w:rPr>
            </w:pPr>
            <w:r>
              <w:rPr>
                <w:rFonts w:ascii="Times New Roman" w:hAnsi="Times New Roman"/>
              </w:rPr>
              <w:t>宣兴1井上游220m</w:t>
            </w:r>
          </w:p>
        </w:tc>
        <w:tc>
          <w:tcPr>
            <w:tcW w:w="1185" w:type="dxa"/>
            <w:vAlign w:val="center"/>
          </w:tcPr>
          <w:p>
            <w:pPr>
              <w:pStyle w:val="39"/>
              <w:rPr>
                <w:rFonts w:ascii="Times New Roman" w:hAnsi="Times New Roman"/>
              </w:rPr>
            </w:pPr>
            <w:r>
              <w:rPr>
                <w:rFonts w:ascii="Times New Roman" w:hAnsi="Times New Roman"/>
              </w:rPr>
              <w:t>1</w:t>
            </w:r>
          </w:p>
        </w:tc>
        <w:tc>
          <w:tcPr>
            <w:tcW w:w="1185" w:type="dxa"/>
            <w:vAlign w:val="center"/>
          </w:tcPr>
          <w:p>
            <w:pPr>
              <w:pStyle w:val="39"/>
              <w:rPr>
                <w:rFonts w:ascii="Times New Roman" w:hAnsi="Times New Roman"/>
              </w:rPr>
            </w:pPr>
            <w:r>
              <w:rPr>
                <w:rFonts w:ascii="Times New Roman" w:hAnsi="Times New Roman"/>
              </w:rPr>
              <w:t>1</w:t>
            </w:r>
          </w:p>
        </w:tc>
        <w:tc>
          <w:tcPr>
            <w:tcW w:w="1185" w:type="dxa"/>
            <w:vAlign w:val="center"/>
          </w:tcPr>
          <w:p>
            <w:pPr>
              <w:pStyle w:val="39"/>
              <w:rPr>
                <w:rFonts w:ascii="Times New Roman" w:hAnsi="Times New Roman"/>
              </w:rPr>
            </w:pPr>
            <w:r>
              <w:rPr>
                <w:rFonts w:ascii="Times New Roman" w:hAnsi="Times New Roman"/>
              </w:rPr>
              <w:t>0.27</w:t>
            </w:r>
          </w:p>
        </w:tc>
        <w:tc>
          <w:tcPr>
            <w:tcW w:w="1185"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39"/>
              <w:rPr>
                <w:rFonts w:ascii="Times New Roman" w:hAnsi="Times New Roman"/>
              </w:rPr>
            </w:pPr>
            <w:r>
              <w:rPr>
                <w:rFonts w:ascii="Times New Roman" w:hAnsi="Times New Roman"/>
              </w:rPr>
              <w:t>S4</w:t>
            </w:r>
          </w:p>
        </w:tc>
        <w:tc>
          <w:tcPr>
            <w:tcW w:w="2484" w:type="dxa"/>
            <w:vAlign w:val="center"/>
          </w:tcPr>
          <w:p>
            <w:pPr>
              <w:pStyle w:val="39"/>
              <w:rPr>
                <w:rFonts w:ascii="Times New Roman" w:hAnsi="Times New Roman"/>
              </w:rPr>
            </w:pPr>
            <w:r>
              <w:rPr>
                <w:rFonts w:ascii="Times New Roman" w:hAnsi="Times New Roman"/>
              </w:rPr>
              <w:t>管道下游10m</w:t>
            </w:r>
          </w:p>
        </w:tc>
        <w:tc>
          <w:tcPr>
            <w:tcW w:w="1185" w:type="dxa"/>
            <w:vAlign w:val="center"/>
          </w:tcPr>
          <w:p>
            <w:pPr>
              <w:pStyle w:val="39"/>
              <w:rPr>
                <w:rFonts w:ascii="Times New Roman" w:hAnsi="Times New Roman"/>
              </w:rPr>
            </w:pPr>
            <w:r>
              <w:rPr>
                <w:rFonts w:ascii="Times New Roman" w:hAnsi="Times New Roman"/>
              </w:rPr>
              <w:t>1</w:t>
            </w:r>
          </w:p>
        </w:tc>
        <w:tc>
          <w:tcPr>
            <w:tcW w:w="1185" w:type="dxa"/>
            <w:vAlign w:val="center"/>
          </w:tcPr>
          <w:p>
            <w:pPr>
              <w:pStyle w:val="39"/>
              <w:rPr>
                <w:rFonts w:ascii="Times New Roman" w:hAnsi="Times New Roman"/>
              </w:rPr>
            </w:pPr>
            <w:r>
              <w:rPr>
                <w:rFonts w:ascii="Times New Roman" w:hAnsi="Times New Roman"/>
              </w:rPr>
              <w:t>1</w:t>
            </w:r>
          </w:p>
        </w:tc>
        <w:tc>
          <w:tcPr>
            <w:tcW w:w="1185" w:type="dxa"/>
            <w:vAlign w:val="center"/>
          </w:tcPr>
          <w:p>
            <w:pPr>
              <w:pStyle w:val="39"/>
              <w:rPr>
                <w:rFonts w:ascii="Times New Roman" w:hAnsi="Times New Roman"/>
              </w:rPr>
            </w:pPr>
            <w:r>
              <w:rPr>
                <w:rFonts w:ascii="Times New Roman" w:hAnsi="Times New Roman"/>
              </w:rPr>
              <w:t>0.27</w:t>
            </w:r>
          </w:p>
        </w:tc>
        <w:tc>
          <w:tcPr>
            <w:tcW w:w="1185"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39"/>
              <w:rPr>
                <w:rFonts w:ascii="Times New Roman" w:hAnsi="Times New Roman"/>
              </w:rPr>
            </w:pPr>
            <w:r>
              <w:rPr>
                <w:rFonts w:ascii="Times New Roman" w:hAnsi="Times New Roman"/>
              </w:rPr>
              <w:t>S5</w:t>
            </w:r>
          </w:p>
        </w:tc>
        <w:tc>
          <w:tcPr>
            <w:tcW w:w="2484" w:type="dxa"/>
            <w:vAlign w:val="center"/>
          </w:tcPr>
          <w:p>
            <w:pPr>
              <w:pStyle w:val="39"/>
              <w:rPr>
                <w:rFonts w:ascii="Times New Roman" w:hAnsi="Times New Roman"/>
              </w:rPr>
            </w:pPr>
            <w:r>
              <w:rPr>
                <w:rFonts w:ascii="Times New Roman" w:hAnsi="Times New Roman"/>
              </w:rPr>
              <w:t>宣兴1井上游170m</w:t>
            </w:r>
          </w:p>
        </w:tc>
        <w:tc>
          <w:tcPr>
            <w:tcW w:w="1185" w:type="dxa"/>
            <w:vAlign w:val="center"/>
          </w:tcPr>
          <w:p>
            <w:pPr>
              <w:pStyle w:val="39"/>
              <w:rPr>
                <w:rFonts w:ascii="Times New Roman" w:hAnsi="Times New Roman"/>
              </w:rPr>
            </w:pPr>
            <w:r>
              <w:rPr>
                <w:rFonts w:ascii="Times New Roman" w:hAnsi="Times New Roman"/>
              </w:rPr>
              <w:t>1</w:t>
            </w:r>
          </w:p>
        </w:tc>
        <w:tc>
          <w:tcPr>
            <w:tcW w:w="1185" w:type="dxa"/>
            <w:vAlign w:val="center"/>
          </w:tcPr>
          <w:p>
            <w:pPr>
              <w:pStyle w:val="39"/>
              <w:rPr>
                <w:rFonts w:ascii="Times New Roman" w:hAnsi="Times New Roman"/>
              </w:rPr>
            </w:pPr>
            <w:r>
              <w:rPr>
                <w:rFonts w:ascii="Times New Roman" w:hAnsi="Times New Roman"/>
              </w:rPr>
              <w:t>1</w:t>
            </w:r>
          </w:p>
        </w:tc>
        <w:tc>
          <w:tcPr>
            <w:tcW w:w="1185" w:type="dxa"/>
            <w:vAlign w:val="center"/>
          </w:tcPr>
          <w:p>
            <w:pPr>
              <w:pStyle w:val="39"/>
              <w:rPr>
                <w:rFonts w:ascii="Times New Roman" w:hAnsi="Times New Roman"/>
              </w:rPr>
            </w:pPr>
            <w:r>
              <w:rPr>
                <w:rFonts w:ascii="Times New Roman" w:hAnsi="Times New Roman"/>
              </w:rPr>
              <w:t>0.27</w:t>
            </w:r>
          </w:p>
        </w:tc>
        <w:tc>
          <w:tcPr>
            <w:tcW w:w="1185"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39"/>
              <w:rPr>
                <w:rFonts w:ascii="Times New Roman" w:hAnsi="Times New Roman"/>
              </w:rPr>
            </w:pPr>
            <w:r>
              <w:rPr>
                <w:rFonts w:ascii="Times New Roman" w:hAnsi="Times New Roman"/>
              </w:rPr>
              <w:t>S6</w:t>
            </w:r>
          </w:p>
        </w:tc>
        <w:tc>
          <w:tcPr>
            <w:tcW w:w="2484" w:type="dxa"/>
            <w:vAlign w:val="center"/>
          </w:tcPr>
          <w:p>
            <w:pPr>
              <w:pStyle w:val="39"/>
              <w:rPr>
                <w:rFonts w:ascii="Times New Roman" w:hAnsi="Times New Roman"/>
              </w:rPr>
            </w:pPr>
            <w:r>
              <w:rPr>
                <w:rFonts w:ascii="Times New Roman" w:hAnsi="Times New Roman"/>
              </w:rPr>
              <w:t>宣兴1井侧向400m</w:t>
            </w:r>
          </w:p>
        </w:tc>
        <w:tc>
          <w:tcPr>
            <w:tcW w:w="1185" w:type="dxa"/>
            <w:vAlign w:val="center"/>
          </w:tcPr>
          <w:p>
            <w:pPr>
              <w:pStyle w:val="39"/>
              <w:rPr>
                <w:rFonts w:ascii="Times New Roman" w:hAnsi="Times New Roman"/>
              </w:rPr>
            </w:pPr>
            <w:r>
              <w:rPr>
                <w:rFonts w:ascii="Times New Roman" w:hAnsi="Times New Roman"/>
              </w:rPr>
              <w:t>1</w:t>
            </w:r>
          </w:p>
        </w:tc>
        <w:tc>
          <w:tcPr>
            <w:tcW w:w="1185" w:type="dxa"/>
            <w:vAlign w:val="center"/>
          </w:tcPr>
          <w:p>
            <w:pPr>
              <w:pStyle w:val="39"/>
              <w:rPr>
                <w:rFonts w:ascii="Times New Roman" w:hAnsi="Times New Roman"/>
              </w:rPr>
            </w:pPr>
            <w:r>
              <w:rPr>
                <w:rFonts w:ascii="Times New Roman" w:hAnsi="Times New Roman"/>
              </w:rPr>
              <w:t>备用</w:t>
            </w:r>
          </w:p>
        </w:tc>
        <w:tc>
          <w:tcPr>
            <w:tcW w:w="1185" w:type="dxa"/>
            <w:vAlign w:val="center"/>
          </w:tcPr>
          <w:p>
            <w:pPr>
              <w:pStyle w:val="39"/>
              <w:rPr>
                <w:rFonts w:ascii="Times New Roman" w:hAnsi="Times New Roman"/>
              </w:rPr>
            </w:pPr>
            <w:r>
              <w:rPr>
                <w:rFonts w:ascii="Times New Roman" w:hAnsi="Times New Roman"/>
              </w:rPr>
              <w:t>/</w:t>
            </w:r>
          </w:p>
        </w:tc>
        <w:tc>
          <w:tcPr>
            <w:tcW w:w="1185"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39"/>
              <w:rPr>
                <w:rFonts w:ascii="Times New Roman" w:hAnsi="Times New Roman"/>
              </w:rPr>
            </w:pPr>
            <w:r>
              <w:rPr>
                <w:rFonts w:ascii="Times New Roman" w:hAnsi="Times New Roman"/>
              </w:rPr>
              <w:t>S7</w:t>
            </w:r>
          </w:p>
        </w:tc>
        <w:tc>
          <w:tcPr>
            <w:tcW w:w="2484" w:type="dxa"/>
            <w:vAlign w:val="center"/>
          </w:tcPr>
          <w:p>
            <w:pPr>
              <w:pStyle w:val="39"/>
              <w:rPr>
                <w:rFonts w:ascii="Times New Roman" w:hAnsi="Times New Roman"/>
              </w:rPr>
            </w:pPr>
            <w:r>
              <w:rPr>
                <w:rFonts w:ascii="Times New Roman" w:hAnsi="Times New Roman"/>
              </w:rPr>
              <w:t>宣兴1井侧向390m</w:t>
            </w:r>
          </w:p>
        </w:tc>
        <w:tc>
          <w:tcPr>
            <w:tcW w:w="1185" w:type="dxa"/>
            <w:vAlign w:val="center"/>
          </w:tcPr>
          <w:p>
            <w:pPr>
              <w:pStyle w:val="39"/>
              <w:rPr>
                <w:rFonts w:ascii="Times New Roman" w:hAnsi="Times New Roman"/>
              </w:rPr>
            </w:pPr>
            <w:r>
              <w:rPr>
                <w:rFonts w:ascii="Times New Roman" w:hAnsi="Times New Roman"/>
              </w:rPr>
              <w:t>1</w:t>
            </w:r>
          </w:p>
        </w:tc>
        <w:tc>
          <w:tcPr>
            <w:tcW w:w="1185" w:type="dxa"/>
            <w:vAlign w:val="center"/>
          </w:tcPr>
          <w:p>
            <w:pPr>
              <w:pStyle w:val="39"/>
              <w:rPr>
                <w:rFonts w:ascii="Times New Roman" w:hAnsi="Times New Roman"/>
              </w:rPr>
            </w:pPr>
            <w:r>
              <w:rPr>
                <w:rFonts w:ascii="Times New Roman" w:hAnsi="Times New Roman"/>
              </w:rPr>
              <w:t>备用</w:t>
            </w:r>
          </w:p>
        </w:tc>
        <w:tc>
          <w:tcPr>
            <w:tcW w:w="1185" w:type="dxa"/>
            <w:vAlign w:val="center"/>
          </w:tcPr>
          <w:p>
            <w:pPr>
              <w:pStyle w:val="39"/>
              <w:rPr>
                <w:rFonts w:ascii="Times New Roman" w:hAnsi="Times New Roman"/>
              </w:rPr>
            </w:pPr>
            <w:r>
              <w:rPr>
                <w:rFonts w:ascii="Times New Roman" w:hAnsi="Times New Roman"/>
              </w:rPr>
              <w:t>/</w:t>
            </w:r>
          </w:p>
        </w:tc>
        <w:tc>
          <w:tcPr>
            <w:tcW w:w="1185"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39"/>
              <w:rPr>
                <w:rFonts w:ascii="Times New Roman" w:hAnsi="Times New Roman"/>
              </w:rPr>
            </w:pPr>
            <w:r>
              <w:rPr>
                <w:rFonts w:ascii="Times New Roman" w:hAnsi="Times New Roman"/>
              </w:rPr>
              <w:t>S8</w:t>
            </w:r>
          </w:p>
        </w:tc>
        <w:tc>
          <w:tcPr>
            <w:tcW w:w="2484" w:type="dxa"/>
            <w:vAlign w:val="center"/>
          </w:tcPr>
          <w:p>
            <w:pPr>
              <w:pStyle w:val="39"/>
              <w:rPr>
                <w:rFonts w:ascii="Times New Roman" w:hAnsi="Times New Roman"/>
              </w:rPr>
            </w:pPr>
            <w:r>
              <w:rPr>
                <w:rFonts w:ascii="Times New Roman" w:hAnsi="Times New Roman"/>
              </w:rPr>
              <w:t>宣兴1井下游480m</w:t>
            </w:r>
          </w:p>
        </w:tc>
        <w:tc>
          <w:tcPr>
            <w:tcW w:w="1185" w:type="dxa"/>
            <w:vAlign w:val="center"/>
          </w:tcPr>
          <w:p>
            <w:pPr>
              <w:pStyle w:val="39"/>
              <w:rPr>
                <w:rFonts w:ascii="Times New Roman" w:hAnsi="Times New Roman"/>
              </w:rPr>
            </w:pPr>
            <w:r>
              <w:rPr>
                <w:rFonts w:ascii="Times New Roman" w:hAnsi="Times New Roman"/>
              </w:rPr>
              <w:t>1</w:t>
            </w:r>
          </w:p>
        </w:tc>
        <w:tc>
          <w:tcPr>
            <w:tcW w:w="1185" w:type="dxa"/>
            <w:vAlign w:val="center"/>
          </w:tcPr>
          <w:p>
            <w:pPr>
              <w:pStyle w:val="39"/>
              <w:rPr>
                <w:rFonts w:ascii="Times New Roman" w:hAnsi="Times New Roman"/>
              </w:rPr>
            </w:pPr>
            <w:r>
              <w:rPr>
                <w:rFonts w:ascii="Times New Roman" w:hAnsi="Times New Roman"/>
              </w:rPr>
              <w:t>备用</w:t>
            </w:r>
          </w:p>
        </w:tc>
        <w:tc>
          <w:tcPr>
            <w:tcW w:w="1185" w:type="dxa"/>
            <w:vAlign w:val="center"/>
          </w:tcPr>
          <w:p>
            <w:pPr>
              <w:pStyle w:val="39"/>
              <w:rPr>
                <w:rFonts w:ascii="Times New Roman" w:hAnsi="Times New Roman"/>
              </w:rPr>
            </w:pPr>
            <w:r>
              <w:rPr>
                <w:rFonts w:ascii="Times New Roman" w:hAnsi="Times New Roman"/>
              </w:rPr>
              <w:t>/</w:t>
            </w:r>
          </w:p>
        </w:tc>
        <w:tc>
          <w:tcPr>
            <w:tcW w:w="1185"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39"/>
              <w:rPr>
                <w:rFonts w:ascii="Times New Roman" w:hAnsi="Times New Roman"/>
              </w:rPr>
            </w:pPr>
            <w:r>
              <w:rPr>
                <w:rFonts w:ascii="Times New Roman" w:hAnsi="Times New Roman"/>
              </w:rPr>
              <w:t>S9</w:t>
            </w:r>
          </w:p>
        </w:tc>
        <w:tc>
          <w:tcPr>
            <w:tcW w:w="2484" w:type="dxa"/>
            <w:vAlign w:val="center"/>
          </w:tcPr>
          <w:p>
            <w:pPr>
              <w:pStyle w:val="39"/>
              <w:rPr>
                <w:rFonts w:ascii="Times New Roman" w:hAnsi="Times New Roman"/>
              </w:rPr>
            </w:pPr>
            <w:r>
              <w:rPr>
                <w:rFonts w:ascii="Times New Roman" w:hAnsi="Times New Roman"/>
              </w:rPr>
              <w:t>管道下游70m</w:t>
            </w:r>
          </w:p>
        </w:tc>
        <w:tc>
          <w:tcPr>
            <w:tcW w:w="1185" w:type="dxa"/>
            <w:vAlign w:val="center"/>
          </w:tcPr>
          <w:p>
            <w:pPr>
              <w:pStyle w:val="39"/>
              <w:rPr>
                <w:rFonts w:ascii="Times New Roman" w:hAnsi="Times New Roman"/>
              </w:rPr>
            </w:pPr>
            <w:r>
              <w:rPr>
                <w:rFonts w:ascii="Times New Roman" w:hAnsi="Times New Roman"/>
              </w:rPr>
              <w:t>1</w:t>
            </w:r>
          </w:p>
        </w:tc>
        <w:tc>
          <w:tcPr>
            <w:tcW w:w="1185" w:type="dxa"/>
            <w:vAlign w:val="center"/>
          </w:tcPr>
          <w:p>
            <w:pPr>
              <w:pStyle w:val="39"/>
              <w:rPr>
                <w:rFonts w:ascii="Times New Roman" w:hAnsi="Times New Roman"/>
              </w:rPr>
            </w:pPr>
            <w:r>
              <w:rPr>
                <w:rFonts w:ascii="Times New Roman" w:hAnsi="Times New Roman"/>
              </w:rPr>
              <w:t>2</w:t>
            </w:r>
          </w:p>
        </w:tc>
        <w:tc>
          <w:tcPr>
            <w:tcW w:w="1185" w:type="dxa"/>
            <w:vAlign w:val="center"/>
          </w:tcPr>
          <w:p>
            <w:pPr>
              <w:pStyle w:val="39"/>
              <w:rPr>
                <w:rFonts w:ascii="Times New Roman" w:hAnsi="Times New Roman"/>
              </w:rPr>
            </w:pPr>
            <w:r>
              <w:rPr>
                <w:rFonts w:ascii="Times New Roman" w:hAnsi="Times New Roman"/>
              </w:rPr>
              <w:t>0.54</w:t>
            </w:r>
          </w:p>
        </w:tc>
        <w:tc>
          <w:tcPr>
            <w:tcW w:w="1185" w:type="dxa"/>
            <w:vMerge w:val="continue"/>
            <w:vAlign w:val="center"/>
          </w:tcPr>
          <w:p>
            <w:pPr>
              <w:pStyle w:val="39"/>
              <w:rPr>
                <w:rFonts w:ascii="Times New Roman" w:hAnsi="Times New Roman"/>
              </w:rPr>
            </w:pPr>
          </w:p>
        </w:tc>
      </w:tr>
    </w:tbl>
    <w:p>
      <w:pPr>
        <w:ind w:firstLine="480"/>
        <w:rPr>
          <w:rFonts w:ascii="Times New Roman" w:hAnsi="Times New Roman"/>
        </w:rPr>
      </w:pPr>
    </w:p>
    <w:p>
      <w:pPr>
        <w:ind w:firstLine="480"/>
        <w:rPr>
          <w:rFonts w:ascii="Times New Roman" w:hAnsi="Times New Roman"/>
        </w:rPr>
      </w:pPr>
      <w:r>
        <w:rPr>
          <w:rFonts w:ascii="Times New Roman" w:hAnsi="Times New Roman"/>
        </w:rPr>
        <w:t>（6）生态环境保护目标</w:t>
      </w:r>
    </w:p>
    <w:p>
      <w:pPr>
        <w:ind w:firstLine="480"/>
        <w:rPr>
          <w:rFonts w:ascii="Times New Roman" w:hAnsi="Times New Roman"/>
        </w:rPr>
      </w:pPr>
      <w:r>
        <w:rPr>
          <w:rFonts w:ascii="Times New Roman" w:hAnsi="Times New Roman"/>
        </w:rPr>
        <w:t>本项目生态保护目标包括公益林、百里峡风景名胜区等。详见</w:t>
      </w:r>
      <w:r>
        <w:rPr>
          <w:rFonts w:ascii="Times New Roman" w:hAnsi="Times New Roman"/>
        </w:rPr>
        <w:fldChar w:fldCharType="begin"/>
      </w:r>
      <w:r>
        <w:rPr>
          <w:rFonts w:ascii="Times New Roman" w:hAnsi="Times New Roman"/>
        </w:rPr>
        <w:instrText xml:space="preserve"> REF _Ref161998367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25</w:t>
      </w:r>
      <w:r>
        <w:rPr>
          <w:rFonts w:ascii="Times New Roman" w:hAnsi="Times New Roman"/>
        </w:rPr>
        <w:fldChar w:fldCharType="end"/>
      </w:r>
      <w:r>
        <w:rPr>
          <w:rFonts w:ascii="Times New Roman" w:hAnsi="Times New Roman"/>
        </w:rPr>
        <w:t>本项目生态环境保护目标分布图见附图10。</w:t>
      </w:r>
    </w:p>
    <w:p>
      <w:pPr>
        <w:pStyle w:val="37"/>
        <w:rPr>
          <w:rFonts w:ascii="Times New Roman" w:hAnsi="Times New Roman" w:cs="Times New Roman"/>
        </w:rPr>
      </w:pPr>
      <w:bookmarkStart w:id="35" w:name="_Ref16199836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25</w:t>
      </w:r>
      <w:r>
        <w:rPr>
          <w:rFonts w:ascii="Times New Roman" w:hAnsi="Times New Roman" w:cs="Times New Roman"/>
        </w:rPr>
        <w:fldChar w:fldCharType="end"/>
      </w:r>
      <w:bookmarkEnd w:id="35"/>
      <w:r>
        <w:rPr>
          <w:rFonts w:ascii="Times New Roman" w:hAnsi="Times New Roman" w:cs="Times New Roman"/>
        </w:rPr>
        <w:t xml:space="preserve">  生态环境保护目标一览表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39"/>
              <w:rPr>
                <w:rFonts w:ascii="Times New Roman" w:hAnsi="Times New Roman"/>
              </w:rPr>
            </w:pPr>
            <w:r>
              <w:rPr>
                <w:rFonts w:ascii="Times New Roman" w:hAnsi="Times New Roman"/>
              </w:rPr>
              <w:t>生态保护目标</w:t>
            </w:r>
          </w:p>
        </w:tc>
        <w:tc>
          <w:tcPr>
            <w:tcW w:w="2841" w:type="dxa"/>
            <w:vAlign w:val="center"/>
          </w:tcPr>
          <w:p>
            <w:pPr>
              <w:pStyle w:val="39"/>
              <w:rPr>
                <w:rFonts w:ascii="Times New Roman" w:hAnsi="Times New Roman"/>
              </w:rPr>
            </w:pPr>
            <w:r>
              <w:rPr>
                <w:rFonts w:ascii="Times New Roman" w:hAnsi="Times New Roman"/>
              </w:rPr>
              <w:t>与本项目的位置关系</w:t>
            </w:r>
          </w:p>
        </w:tc>
        <w:tc>
          <w:tcPr>
            <w:tcW w:w="2841" w:type="dxa"/>
            <w:vAlign w:val="center"/>
          </w:tcPr>
          <w:p>
            <w:pPr>
              <w:pStyle w:val="39"/>
              <w:rPr>
                <w:rFonts w:ascii="Times New Roman" w:hAnsi="Times New Roman"/>
              </w:rPr>
            </w:pPr>
            <w:r>
              <w:rPr>
                <w:rFonts w:ascii="Times New Roman" w:hAnsi="Times New Roman"/>
              </w:rPr>
              <w:t>保护内容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39"/>
              <w:rPr>
                <w:rFonts w:ascii="Times New Roman" w:hAnsi="Times New Roman"/>
              </w:rPr>
            </w:pPr>
            <w:r>
              <w:rPr>
                <w:rFonts w:ascii="Times New Roman" w:hAnsi="Times New Roman"/>
              </w:rPr>
              <w:t>百里峡风景名胜区（江口湖片区）</w:t>
            </w:r>
          </w:p>
        </w:tc>
        <w:tc>
          <w:tcPr>
            <w:tcW w:w="2841" w:type="dxa"/>
            <w:vAlign w:val="center"/>
          </w:tcPr>
          <w:p>
            <w:pPr>
              <w:pStyle w:val="39"/>
              <w:rPr>
                <w:rFonts w:ascii="Times New Roman" w:hAnsi="Times New Roman"/>
              </w:rPr>
            </w:pPr>
            <w:r>
              <w:rPr>
                <w:rFonts w:ascii="Times New Roman" w:hAnsi="Times New Roman"/>
              </w:rPr>
              <w:t>位于本项目西侧，距离本项目的最近距离为230m（联络线），距离宣探1井站的最近距离约为1350m。</w:t>
            </w:r>
          </w:p>
        </w:tc>
        <w:tc>
          <w:tcPr>
            <w:tcW w:w="2841" w:type="dxa"/>
            <w:vAlign w:val="center"/>
          </w:tcPr>
          <w:p>
            <w:pPr>
              <w:pStyle w:val="39"/>
              <w:rPr>
                <w:rFonts w:ascii="Times New Roman" w:hAnsi="Times New Roman"/>
              </w:rPr>
            </w:pPr>
            <w:r>
              <w:rPr>
                <w:rFonts w:ascii="Times New Roman" w:hAnsi="Times New Roman"/>
              </w:rPr>
              <w:t>自然和人文景观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39"/>
              <w:rPr>
                <w:rFonts w:ascii="Times New Roman" w:hAnsi="Times New Roman"/>
              </w:rPr>
            </w:pPr>
            <w:r>
              <w:rPr>
                <w:rFonts w:ascii="Times New Roman" w:hAnsi="Times New Roman"/>
              </w:rPr>
              <w:t>公益林</w:t>
            </w:r>
          </w:p>
        </w:tc>
        <w:tc>
          <w:tcPr>
            <w:tcW w:w="2841" w:type="dxa"/>
            <w:vAlign w:val="center"/>
          </w:tcPr>
          <w:p>
            <w:pPr>
              <w:pStyle w:val="39"/>
              <w:rPr>
                <w:rFonts w:ascii="Times New Roman" w:hAnsi="Times New Roman"/>
              </w:rPr>
            </w:pPr>
            <w:r>
              <w:rPr>
                <w:rFonts w:ascii="Times New Roman" w:hAnsi="Times New Roman"/>
              </w:rPr>
              <w:t>本项目集输管道累积穿越长度约为3.43km，评价范围内面积约为195.38hm</w:t>
            </w:r>
            <w:r>
              <w:rPr>
                <w:rFonts w:ascii="Times New Roman" w:hAnsi="Times New Roman"/>
                <w:vertAlign w:val="superscript"/>
              </w:rPr>
              <w:t>2</w:t>
            </w:r>
          </w:p>
        </w:tc>
        <w:tc>
          <w:tcPr>
            <w:tcW w:w="2841" w:type="dxa"/>
            <w:vAlign w:val="center"/>
          </w:tcPr>
          <w:p>
            <w:pPr>
              <w:pStyle w:val="39"/>
              <w:rPr>
                <w:rFonts w:ascii="Times New Roman" w:hAnsi="Times New Roman"/>
              </w:rPr>
            </w:pPr>
            <w:r>
              <w:rPr>
                <w:rFonts w:ascii="Times New Roman" w:hAnsi="Times New Roman"/>
              </w:rPr>
              <w:t>马尾松、柏木、栓皮栎等森林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39"/>
              <w:rPr>
                <w:rFonts w:ascii="Times New Roman" w:hAnsi="Times New Roman"/>
              </w:rPr>
            </w:pPr>
            <w:r>
              <w:rPr>
                <w:rFonts w:ascii="Times New Roman" w:hAnsi="Times New Roman"/>
              </w:rPr>
              <w:t>天然林</w:t>
            </w:r>
          </w:p>
        </w:tc>
        <w:tc>
          <w:tcPr>
            <w:tcW w:w="2841" w:type="dxa"/>
            <w:vAlign w:val="center"/>
          </w:tcPr>
          <w:p>
            <w:pPr>
              <w:pStyle w:val="39"/>
              <w:rPr>
                <w:rFonts w:ascii="Times New Roman" w:hAnsi="Times New Roman"/>
              </w:rPr>
            </w:pPr>
            <w:r>
              <w:rPr>
                <w:rFonts w:ascii="Times New Roman" w:hAnsi="Times New Roman"/>
              </w:rPr>
              <w:t>本项目集输管道累积穿越长度约为1.87km，评价范围内面积约为120.51hm</w:t>
            </w:r>
            <w:r>
              <w:rPr>
                <w:rFonts w:ascii="Times New Roman" w:hAnsi="Times New Roman"/>
                <w:vertAlign w:val="superscript"/>
              </w:rPr>
              <w:t>2</w:t>
            </w:r>
          </w:p>
        </w:tc>
        <w:tc>
          <w:tcPr>
            <w:tcW w:w="2841" w:type="dxa"/>
            <w:vAlign w:val="center"/>
          </w:tcPr>
          <w:p>
            <w:pPr>
              <w:pStyle w:val="39"/>
              <w:rPr>
                <w:rFonts w:ascii="Times New Roman" w:hAnsi="Times New Roman"/>
              </w:rPr>
            </w:pPr>
            <w:r>
              <w:rPr>
                <w:rFonts w:ascii="Times New Roman" w:hAnsi="Times New Roman"/>
              </w:rPr>
              <w:t>马尾松、柏木、栓皮栎等森林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39"/>
              <w:rPr>
                <w:rFonts w:ascii="Times New Roman" w:hAnsi="Times New Roman"/>
              </w:rPr>
            </w:pPr>
            <w:r>
              <w:rPr>
                <w:rFonts w:ascii="Times New Roman" w:hAnsi="Times New Roman"/>
              </w:rPr>
              <w:t>古树</w:t>
            </w:r>
          </w:p>
        </w:tc>
        <w:tc>
          <w:tcPr>
            <w:tcW w:w="2841" w:type="dxa"/>
            <w:vAlign w:val="center"/>
          </w:tcPr>
          <w:p>
            <w:pPr>
              <w:pStyle w:val="39"/>
              <w:rPr>
                <w:rFonts w:ascii="Times New Roman" w:hAnsi="Times New Roman"/>
              </w:rPr>
            </w:pPr>
            <w:r>
              <w:rPr>
                <w:rFonts w:ascii="Times New Roman" w:hAnsi="Times New Roman"/>
              </w:rPr>
              <w:t>管道东侧133m或125m</w:t>
            </w:r>
          </w:p>
        </w:tc>
        <w:tc>
          <w:tcPr>
            <w:tcW w:w="2841" w:type="dxa"/>
            <w:vAlign w:val="center"/>
          </w:tcPr>
          <w:p>
            <w:pPr>
              <w:pStyle w:val="39"/>
              <w:rPr>
                <w:rFonts w:ascii="Times New Roman" w:hAnsi="Times New Roman"/>
              </w:rPr>
            </w:pPr>
            <w:r>
              <w:rPr>
                <w:rFonts w:ascii="Times New Roman" w:hAnsi="Times New Roman"/>
              </w:rPr>
              <w:t>古树柏木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39"/>
              <w:rPr>
                <w:rFonts w:ascii="Times New Roman" w:hAnsi="Times New Roman"/>
              </w:rPr>
            </w:pPr>
            <w:r>
              <w:rPr>
                <w:rFonts w:ascii="Times New Roman" w:hAnsi="Times New Roman"/>
              </w:rPr>
              <w:t>重要物种</w:t>
            </w:r>
          </w:p>
        </w:tc>
        <w:tc>
          <w:tcPr>
            <w:tcW w:w="2841" w:type="dxa"/>
            <w:vAlign w:val="center"/>
          </w:tcPr>
          <w:p>
            <w:pPr>
              <w:pStyle w:val="39"/>
              <w:rPr>
                <w:rFonts w:ascii="Times New Roman" w:hAnsi="Times New Roman"/>
              </w:rPr>
            </w:pPr>
            <w:r>
              <w:rPr>
                <w:rFonts w:ascii="Times New Roman" w:hAnsi="Times New Roman"/>
              </w:rPr>
              <w:t>评价范围内发现保护鸟类</w:t>
            </w:r>
          </w:p>
        </w:tc>
        <w:tc>
          <w:tcPr>
            <w:tcW w:w="2841" w:type="dxa"/>
            <w:vAlign w:val="center"/>
          </w:tcPr>
          <w:p>
            <w:pPr>
              <w:pStyle w:val="39"/>
              <w:rPr>
                <w:rFonts w:ascii="Times New Roman" w:hAnsi="Times New Roman"/>
              </w:rPr>
            </w:pPr>
            <w:r>
              <w:rPr>
                <w:rFonts w:ascii="Times New Roman" w:hAnsi="Times New Roman"/>
              </w:rPr>
              <w:t>国家Ⅱ级重点保护野生动物斑头鸺鹞、雀鹰；四川省级保护鸟类小鷴鷴、鹰鹃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39"/>
              <w:rPr>
                <w:rFonts w:ascii="Times New Roman" w:hAnsi="Times New Roman"/>
              </w:rPr>
            </w:pPr>
            <w:r>
              <w:rPr>
                <w:rFonts w:ascii="Times New Roman" w:hAnsi="Times New Roman"/>
              </w:rPr>
              <w:t>水生生态</w:t>
            </w:r>
          </w:p>
        </w:tc>
        <w:tc>
          <w:tcPr>
            <w:tcW w:w="2841" w:type="dxa"/>
            <w:vAlign w:val="center"/>
          </w:tcPr>
          <w:p>
            <w:pPr>
              <w:pStyle w:val="39"/>
              <w:rPr>
                <w:rFonts w:ascii="Times New Roman" w:hAnsi="Times New Roman"/>
              </w:rPr>
            </w:pPr>
            <w:r>
              <w:rPr>
                <w:rFonts w:ascii="Times New Roman" w:hAnsi="Times New Roman"/>
              </w:rPr>
              <w:t>穿越清溪河</w:t>
            </w:r>
          </w:p>
        </w:tc>
        <w:tc>
          <w:tcPr>
            <w:tcW w:w="2841" w:type="dxa"/>
            <w:vAlign w:val="center"/>
          </w:tcPr>
          <w:p>
            <w:pPr>
              <w:pStyle w:val="39"/>
              <w:rPr>
                <w:rFonts w:ascii="Times New Roman" w:hAnsi="Times New Roman"/>
              </w:rPr>
            </w:pPr>
            <w:r>
              <w:rPr>
                <w:rFonts w:ascii="Times New Roman" w:hAnsi="Times New Roman"/>
              </w:rPr>
              <w:t>工程河段受影响的</w:t>
            </w:r>
          </w:p>
          <w:p>
            <w:pPr>
              <w:pStyle w:val="39"/>
              <w:rPr>
                <w:rFonts w:ascii="Times New Roman" w:hAnsi="Times New Roman"/>
              </w:rPr>
            </w:pPr>
            <w:r>
              <w:rPr>
                <w:rFonts w:ascii="Times New Roman" w:hAnsi="Times New Roman"/>
              </w:rPr>
              <w:t>水生生物及鱼类</w:t>
            </w:r>
          </w:p>
        </w:tc>
      </w:tr>
    </w:tbl>
    <w:p>
      <w:pPr>
        <w:ind w:firstLine="480"/>
        <w:rPr>
          <w:rFonts w:ascii="Times New Roman" w:hAnsi="Times New Roman"/>
        </w:rPr>
      </w:pPr>
    </w:p>
    <w:p>
      <w:pPr>
        <w:ind w:firstLine="482"/>
        <w:rPr>
          <w:rFonts w:ascii="Times New Roman" w:hAnsi="Times New Roman"/>
          <w:b/>
          <w:bCs/>
        </w:rPr>
      </w:pPr>
      <w:r>
        <w:rPr>
          <w:rFonts w:ascii="Times New Roman" w:hAnsi="Times New Roman"/>
          <w:b/>
          <w:bCs/>
        </w:rPr>
        <w:t>（7）环境风险保护目标</w:t>
      </w:r>
    </w:p>
    <w:p>
      <w:pPr>
        <w:ind w:firstLine="480"/>
        <w:rPr>
          <w:rFonts w:ascii="Times New Roman" w:hAnsi="Times New Roman"/>
        </w:rPr>
      </w:pPr>
      <w:r>
        <w:rPr>
          <w:rFonts w:ascii="Times New Roman" w:hAnsi="Times New Roman"/>
        </w:rPr>
        <w:t>1）大气环境</w:t>
      </w:r>
    </w:p>
    <w:p>
      <w:pPr>
        <w:ind w:firstLine="480"/>
        <w:rPr>
          <w:rFonts w:ascii="Times New Roman" w:hAnsi="Times New Roman"/>
        </w:rPr>
      </w:pPr>
      <w:r>
        <w:rPr>
          <w:rFonts w:ascii="Times New Roman" w:hAnsi="Times New Roman"/>
        </w:rPr>
        <w:t>大气环境风险保护目标为管道两侧毒性终点浓度2包络线范围以及两座井场周边3km范围内的居民、学校等人群较集中的区域。</w:t>
      </w:r>
    </w:p>
    <w:p>
      <w:pPr>
        <w:ind w:firstLine="480"/>
        <w:rPr>
          <w:rFonts w:ascii="Times New Roman" w:hAnsi="Times New Roman"/>
        </w:rPr>
      </w:pPr>
      <w:r>
        <w:rPr>
          <w:rFonts w:ascii="Times New Roman" w:hAnsi="Times New Roman"/>
        </w:rPr>
        <w:t>宣探井站周边的大气风险保护目标见</w:t>
      </w:r>
      <w:r>
        <w:rPr>
          <w:rFonts w:ascii="Times New Roman" w:hAnsi="Times New Roman"/>
        </w:rPr>
        <w:fldChar w:fldCharType="begin"/>
      </w:r>
      <w:r>
        <w:rPr>
          <w:rFonts w:ascii="Times New Roman" w:hAnsi="Times New Roman"/>
        </w:rPr>
        <w:instrText xml:space="preserve"> REF _Ref155686533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26</w:t>
      </w:r>
      <w:r>
        <w:rPr>
          <w:rFonts w:ascii="Times New Roman" w:hAnsi="Times New Roman"/>
        </w:rPr>
        <w:fldChar w:fldCharType="end"/>
      </w:r>
      <w:r>
        <w:rPr>
          <w:rFonts w:ascii="Times New Roman" w:hAnsi="Times New Roman"/>
        </w:rPr>
        <w:t>，宣兴井场周边的环境空气保护目标见</w:t>
      </w:r>
      <w:r>
        <w:rPr>
          <w:rFonts w:ascii="Times New Roman" w:hAnsi="Times New Roman"/>
        </w:rPr>
        <w:fldChar w:fldCharType="begin"/>
      </w:r>
      <w:r>
        <w:rPr>
          <w:rFonts w:ascii="Times New Roman" w:hAnsi="Times New Roman"/>
        </w:rPr>
        <w:instrText xml:space="preserve"> REF _Ref155792148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27</w:t>
      </w:r>
      <w:r>
        <w:rPr>
          <w:rFonts w:ascii="Times New Roman" w:hAnsi="Times New Roman"/>
        </w:rPr>
        <w:fldChar w:fldCharType="end"/>
      </w:r>
      <w:r>
        <w:rPr>
          <w:rFonts w:ascii="Times New Roman" w:hAnsi="Times New Roman"/>
        </w:rPr>
        <w:t>，管道两侧范围内的大气风险保护目标见</w:t>
      </w:r>
      <w:r>
        <w:rPr>
          <w:rFonts w:ascii="Times New Roman" w:hAnsi="Times New Roman"/>
        </w:rPr>
        <w:fldChar w:fldCharType="begin"/>
      </w:r>
      <w:r>
        <w:rPr>
          <w:rFonts w:ascii="Times New Roman" w:hAnsi="Times New Roman"/>
        </w:rPr>
        <w:instrText xml:space="preserve"> REF _Ref155686627 \h  \* MERGEFORMAT </w:instrText>
      </w:r>
      <w:r>
        <w:rPr>
          <w:rFonts w:ascii="Times New Roman" w:hAnsi="Times New Roman"/>
        </w:rPr>
        <w:fldChar w:fldCharType="separate"/>
      </w:r>
      <w:r>
        <w:rPr>
          <w:rFonts w:ascii="Times New Roman" w:hAnsi="Times New Roman"/>
        </w:rPr>
        <w:t>表 1</w:t>
      </w:r>
      <w:r>
        <w:rPr>
          <w:rFonts w:ascii="Times New Roman" w:hAnsi="Times New Roman"/>
        </w:rPr>
        <w:noBreakHyphen/>
      </w:r>
      <w:r>
        <w:rPr>
          <w:rFonts w:ascii="Times New Roman" w:hAnsi="Times New Roman"/>
        </w:rPr>
        <w:t>28</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两座井站周边的大气环境风险保护目标分别见附图3和附图4。管线周边的大气环境风险保护目标分别见附图5至附图8。</w:t>
      </w:r>
    </w:p>
    <w:p>
      <w:pPr>
        <w:ind w:firstLine="480"/>
        <w:rPr>
          <w:rFonts w:ascii="Times New Roman" w:hAnsi="Times New Roman"/>
        </w:rPr>
      </w:pPr>
      <w:r>
        <w:rPr>
          <w:rFonts w:ascii="Times New Roman" w:hAnsi="Times New Roman"/>
        </w:rPr>
        <w:t>2）地表水环境</w:t>
      </w:r>
    </w:p>
    <w:p>
      <w:pPr>
        <w:ind w:firstLine="480"/>
        <w:rPr>
          <w:rFonts w:ascii="Times New Roman" w:hAnsi="Times New Roman"/>
        </w:rPr>
      </w:pPr>
      <w:r>
        <w:rPr>
          <w:rFonts w:ascii="Times New Roman" w:hAnsi="Times New Roman"/>
        </w:rPr>
        <w:t>同地表水环境保护目标。</w:t>
      </w:r>
    </w:p>
    <w:p>
      <w:pPr>
        <w:ind w:firstLine="480"/>
        <w:rPr>
          <w:rFonts w:ascii="Times New Roman" w:hAnsi="Times New Roman"/>
        </w:rPr>
      </w:pPr>
      <w:r>
        <w:rPr>
          <w:rFonts w:ascii="Times New Roman" w:hAnsi="Times New Roman"/>
        </w:rPr>
        <w:t>3）地下水环境</w:t>
      </w:r>
    </w:p>
    <w:p>
      <w:pPr>
        <w:ind w:firstLine="480"/>
        <w:rPr>
          <w:rFonts w:ascii="Times New Roman" w:hAnsi="Times New Roman"/>
        </w:rPr>
      </w:pPr>
      <w:r>
        <w:rPr>
          <w:rFonts w:ascii="Times New Roman" w:hAnsi="Times New Roman"/>
        </w:rPr>
        <w:t>同地下水环境保护目标。</w:t>
      </w:r>
    </w:p>
    <w:p>
      <w:pPr>
        <w:pStyle w:val="37"/>
        <w:rPr>
          <w:rFonts w:ascii="Times New Roman" w:hAnsi="Times New Roman" w:cs="Times New Roman"/>
        </w:rPr>
      </w:pPr>
      <w:bookmarkStart w:id="36" w:name="_Ref15568653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26</w:t>
      </w:r>
      <w:r>
        <w:rPr>
          <w:rFonts w:ascii="Times New Roman" w:hAnsi="Times New Roman" w:cs="Times New Roman"/>
        </w:rPr>
        <w:fldChar w:fldCharType="end"/>
      </w:r>
      <w:bookmarkEnd w:id="36"/>
      <w:r>
        <w:rPr>
          <w:rFonts w:ascii="Times New Roman" w:hAnsi="Times New Roman" w:cs="Times New Roman"/>
        </w:rPr>
        <w:t xml:space="preserve">  宣探1井站周边大气、环境风险（大气）环境保护目标一表</w:t>
      </w:r>
    </w:p>
    <w:tbl>
      <w:tblPr>
        <w:tblStyle w:val="28"/>
        <w:tblW w:w="1020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62"/>
        <w:gridCol w:w="1246"/>
        <w:gridCol w:w="1335"/>
        <w:gridCol w:w="1388"/>
        <w:gridCol w:w="1274"/>
        <w:gridCol w:w="708"/>
        <w:gridCol w:w="1137"/>
        <w:gridCol w:w="1134"/>
        <w:gridCol w:w="14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Merge w:val="restart"/>
            <w:vAlign w:val="center"/>
          </w:tcPr>
          <w:p>
            <w:pPr>
              <w:pStyle w:val="39"/>
              <w:rPr>
                <w:rFonts w:ascii="Times New Roman" w:hAnsi="Times New Roman"/>
                <w:lang w:val="zh-CN" w:eastAsia="en-US"/>
              </w:rPr>
            </w:pPr>
            <w:r>
              <w:rPr>
                <w:rFonts w:ascii="Times New Roman" w:hAnsi="Times New Roman"/>
                <w:lang w:val="zh-CN" w:eastAsia="en-US"/>
              </w:rPr>
              <w:t>编号</w:t>
            </w:r>
          </w:p>
        </w:tc>
        <w:tc>
          <w:tcPr>
            <w:tcW w:w="2581" w:type="dxa"/>
            <w:gridSpan w:val="2"/>
            <w:vMerge w:val="restart"/>
            <w:vAlign w:val="center"/>
          </w:tcPr>
          <w:p>
            <w:pPr>
              <w:pStyle w:val="39"/>
              <w:rPr>
                <w:rFonts w:ascii="Times New Roman" w:hAnsi="Times New Roman"/>
                <w:lang w:val="zh-CN"/>
              </w:rPr>
            </w:pPr>
            <w:r>
              <w:rPr>
                <w:rFonts w:ascii="Times New Roman" w:hAnsi="Times New Roman"/>
                <w:lang w:val="zh-CN" w:eastAsia="en-US"/>
              </w:rPr>
              <w:t>敏感目标名称</w:t>
            </w:r>
          </w:p>
        </w:tc>
        <w:tc>
          <w:tcPr>
            <w:tcW w:w="1388" w:type="dxa"/>
            <w:vMerge w:val="restart"/>
            <w:vAlign w:val="center"/>
          </w:tcPr>
          <w:p>
            <w:pPr>
              <w:pStyle w:val="39"/>
              <w:rPr>
                <w:rFonts w:ascii="Times New Roman" w:hAnsi="Times New Roman"/>
                <w:lang w:val="zh-CN"/>
              </w:rPr>
            </w:pPr>
            <w:r>
              <w:rPr>
                <w:rFonts w:ascii="Times New Roman" w:hAnsi="Times New Roman"/>
                <w:lang w:val="zh-CN"/>
              </w:rPr>
              <w:t>相对于宣探井站的方位</w:t>
            </w:r>
          </w:p>
        </w:tc>
        <w:tc>
          <w:tcPr>
            <w:tcW w:w="1274" w:type="dxa"/>
            <w:vMerge w:val="restart"/>
            <w:vAlign w:val="center"/>
          </w:tcPr>
          <w:p>
            <w:pPr>
              <w:pStyle w:val="39"/>
              <w:rPr>
                <w:rFonts w:ascii="Times New Roman" w:hAnsi="Times New Roman"/>
                <w:lang w:val="zh-CN" w:eastAsia="en-US"/>
              </w:rPr>
            </w:pPr>
            <w:r>
              <w:rPr>
                <w:rFonts w:ascii="Times New Roman" w:hAnsi="Times New Roman"/>
                <w:lang w:val="zh-CN" w:eastAsia="en-US"/>
              </w:rPr>
              <w:t>距离/m</w:t>
            </w:r>
          </w:p>
          <w:p>
            <w:pPr>
              <w:pStyle w:val="39"/>
              <w:rPr>
                <w:rFonts w:ascii="Times New Roman" w:hAnsi="Times New Roman"/>
                <w:lang w:val="zh-CN" w:eastAsia="en-US"/>
              </w:rPr>
            </w:pPr>
            <w:r>
              <w:rPr>
                <w:rFonts w:ascii="Times New Roman" w:hAnsi="Times New Roman"/>
                <w:lang w:val="zh-CN" w:eastAsia="en-US"/>
              </w:rPr>
              <w:t>(</w:t>
            </w:r>
            <w:r>
              <w:rPr>
                <w:rFonts w:ascii="Times New Roman" w:hAnsi="Times New Roman"/>
                <w:lang w:val="zh-CN"/>
              </w:rPr>
              <w:t>最近房屋</w:t>
            </w:r>
            <w:r>
              <w:rPr>
                <w:rFonts w:ascii="Times New Roman" w:hAnsi="Times New Roman"/>
                <w:lang w:val="zh-CN" w:eastAsia="en-US"/>
              </w:rPr>
              <w:t>)</w:t>
            </w:r>
          </w:p>
        </w:tc>
        <w:tc>
          <w:tcPr>
            <w:tcW w:w="708" w:type="dxa"/>
            <w:vMerge w:val="restart"/>
            <w:vAlign w:val="center"/>
          </w:tcPr>
          <w:p>
            <w:pPr>
              <w:pStyle w:val="39"/>
              <w:rPr>
                <w:rFonts w:ascii="Times New Roman" w:hAnsi="Times New Roman"/>
                <w:lang w:val="zh-CN" w:eastAsia="en-US"/>
              </w:rPr>
            </w:pPr>
            <w:r>
              <w:rPr>
                <w:rFonts w:ascii="Times New Roman" w:hAnsi="Times New Roman"/>
                <w:lang w:val="zh-CN" w:eastAsia="en-US"/>
              </w:rPr>
              <w:t>属性</w:t>
            </w:r>
          </w:p>
        </w:tc>
        <w:tc>
          <w:tcPr>
            <w:tcW w:w="2271" w:type="dxa"/>
            <w:gridSpan w:val="2"/>
            <w:vAlign w:val="center"/>
          </w:tcPr>
          <w:p>
            <w:pPr>
              <w:pStyle w:val="39"/>
              <w:rPr>
                <w:rFonts w:ascii="Times New Roman" w:hAnsi="Times New Roman"/>
                <w:lang w:val="zh-CN" w:eastAsia="en-US"/>
              </w:rPr>
            </w:pPr>
            <w:r>
              <w:rPr>
                <w:rFonts w:ascii="Times New Roman" w:hAnsi="Times New Roman"/>
                <w:lang w:val="zh-CN" w:eastAsia="en-US"/>
              </w:rPr>
              <w:t>3km范围内</w:t>
            </w:r>
          </w:p>
        </w:tc>
        <w:tc>
          <w:tcPr>
            <w:tcW w:w="1417" w:type="dxa"/>
            <w:vMerge w:val="restart"/>
            <w:vAlign w:val="center"/>
          </w:tcPr>
          <w:p>
            <w:pPr>
              <w:pStyle w:val="39"/>
              <w:rPr>
                <w:rFonts w:ascii="Times New Roman" w:hAnsi="Times New Roman"/>
                <w:lang w:val="zh-CN" w:eastAsia="en-US"/>
              </w:rPr>
            </w:pPr>
            <w:r>
              <w:rPr>
                <w:rFonts w:ascii="Times New Roman" w:hAnsi="Times New Roman"/>
                <w:lang w:val="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Merge w:val="continue"/>
            <w:vAlign w:val="center"/>
          </w:tcPr>
          <w:p>
            <w:pPr>
              <w:pStyle w:val="39"/>
              <w:rPr>
                <w:rFonts w:ascii="Times New Roman" w:hAnsi="Times New Roman"/>
                <w:lang w:val="zh-CN" w:eastAsia="en-US"/>
              </w:rPr>
            </w:pPr>
          </w:p>
        </w:tc>
        <w:tc>
          <w:tcPr>
            <w:tcW w:w="2581" w:type="dxa"/>
            <w:gridSpan w:val="2"/>
            <w:vMerge w:val="continue"/>
            <w:vAlign w:val="center"/>
          </w:tcPr>
          <w:p>
            <w:pPr>
              <w:pStyle w:val="39"/>
              <w:rPr>
                <w:rFonts w:ascii="Times New Roman" w:hAnsi="Times New Roman"/>
                <w:lang w:val="zh-CN" w:eastAsia="en-US"/>
              </w:rPr>
            </w:pPr>
          </w:p>
        </w:tc>
        <w:tc>
          <w:tcPr>
            <w:tcW w:w="1388" w:type="dxa"/>
            <w:vMerge w:val="continue"/>
            <w:vAlign w:val="center"/>
          </w:tcPr>
          <w:p>
            <w:pPr>
              <w:pStyle w:val="39"/>
              <w:rPr>
                <w:rFonts w:ascii="Times New Roman" w:hAnsi="Times New Roman"/>
                <w:lang w:val="zh-CN" w:eastAsia="en-US"/>
              </w:rPr>
            </w:pPr>
          </w:p>
        </w:tc>
        <w:tc>
          <w:tcPr>
            <w:tcW w:w="1274" w:type="dxa"/>
            <w:vMerge w:val="continue"/>
            <w:vAlign w:val="center"/>
          </w:tcPr>
          <w:p>
            <w:pPr>
              <w:pStyle w:val="39"/>
              <w:rPr>
                <w:rFonts w:ascii="Times New Roman" w:hAnsi="Times New Roman"/>
                <w:lang w:val="zh-CN" w:eastAsia="en-US"/>
              </w:rPr>
            </w:pPr>
          </w:p>
        </w:tc>
        <w:tc>
          <w:tcPr>
            <w:tcW w:w="708" w:type="dxa"/>
            <w:vMerge w:val="continue"/>
            <w:vAlign w:val="center"/>
          </w:tcPr>
          <w:p>
            <w:pPr>
              <w:pStyle w:val="39"/>
              <w:rPr>
                <w:rFonts w:ascii="Times New Roman" w:hAnsi="Times New Roman"/>
                <w:lang w:val="zh-CN" w:eastAsia="en-US"/>
              </w:rPr>
            </w:pPr>
          </w:p>
        </w:tc>
        <w:tc>
          <w:tcPr>
            <w:tcW w:w="1137" w:type="dxa"/>
            <w:vAlign w:val="center"/>
          </w:tcPr>
          <w:p>
            <w:pPr>
              <w:pStyle w:val="39"/>
              <w:rPr>
                <w:rFonts w:ascii="Times New Roman" w:hAnsi="Times New Roman"/>
                <w:lang w:val="zh-CN" w:eastAsia="en-US"/>
              </w:rPr>
            </w:pPr>
            <w:r>
              <w:rPr>
                <w:rFonts w:ascii="Times New Roman" w:hAnsi="Times New Roman"/>
                <w:lang w:val="zh-CN" w:eastAsia="en-US"/>
              </w:rPr>
              <w:t>人口数</w:t>
            </w:r>
          </w:p>
        </w:tc>
        <w:tc>
          <w:tcPr>
            <w:tcW w:w="1134" w:type="dxa"/>
            <w:vAlign w:val="center"/>
          </w:tcPr>
          <w:p>
            <w:pPr>
              <w:pStyle w:val="39"/>
              <w:rPr>
                <w:rFonts w:ascii="Times New Roman" w:hAnsi="Times New Roman"/>
                <w:lang w:val="zh-CN" w:eastAsia="en-US"/>
              </w:rPr>
            </w:pPr>
            <w:r>
              <w:rPr>
                <w:rFonts w:ascii="Times New Roman" w:hAnsi="Times New Roman"/>
                <w:lang w:val="zh-CN" w:eastAsia="en-US"/>
              </w:rPr>
              <w:t>户数</w:t>
            </w:r>
          </w:p>
        </w:tc>
        <w:tc>
          <w:tcPr>
            <w:tcW w:w="1417" w:type="dxa"/>
            <w:vMerge w:val="continue"/>
          </w:tcPr>
          <w:p>
            <w:pPr>
              <w:pStyle w:val="39"/>
              <w:rPr>
                <w:rFonts w:ascii="Times New Roman" w:hAnsi="Times New Roman"/>
                <w:lang w:val="zh-CN"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lang w:val="zh-CN"/>
              </w:rPr>
            </w:pPr>
            <w:r>
              <w:rPr>
                <w:rFonts w:ascii="Times New Roman" w:hAnsi="Times New Roman"/>
                <w:lang w:val="zh-CN"/>
              </w:rPr>
              <w:t>1</w:t>
            </w:r>
          </w:p>
        </w:tc>
        <w:tc>
          <w:tcPr>
            <w:tcW w:w="1246" w:type="dxa"/>
            <w:vAlign w:val="center"/>
          </w:tcPr>
          <w:p>
            <w:pPr>
              <w:pStyle w:val="39"/>
              <w:rPr>
                <w:rFonts w:ascii="Times New Roman" w:hAnsi="Times New Roman"/>
                <w:lang w:val="zh-CN" w:eastAsia="en-US"/>
              </w:rPr>
            </w:pPr>
            <w:r>
              <w:rPr>
                <w:rFonts w:ascii="Times New Roman" w:hAnsi="Times New Roman"/>
                <w:lang w:val="zh-CN"/>
              </w:rPr>
              <w:t>老君乡</w:t>
            </w:r>
          </w:p>
        </w:tc>
        <w:tc>
          <w:tcPr>
            <w:tcW w:w="1335" w:type="dxa"/>
            <w:vAlign w:val="center"/>
          </w:tcPr>
          <w:p>
            <w:pPr>
              <w:pStyle w:val="39"/>
              <w:rPr>
                <w:rFonts w:ascii="Times New Roman" w:hAnsi="Times New Roman"/>
                <w:lang w:val="zh-CN"/>
              </w:rPr>
            </w:pPr>
            <w:r>
              <w:rPr>
                <w:rFonts w:ascii="Times New Roman" w:hAnsi="Times New Roman"/>
              </w:rPr>
              <w:t>古楼村</w:t>
            </w:r>
          </w:p>
        </w:tc>
        <w:tc>
          <w:tcPr>
            <w:tcW w:w="1388" w:type="dxa"/>
            <w:vAlign w:val="bottom"/>
          </w:tcPr>
          <w:p>
            <w:pPr>
              <w:pStyle w:val="39"/>
              <w:rPr>
                <w:rFonts w:ascii="Times New Roman" w:hAnsi="Times New Roman"/>
                <w:lang w:val="zh-CN"/>
              </w:rPr>
            </w:pPr>
            <w:r>
              <w:rPr>
                <w:rFonts w:ascii="Times New Roman" w:hAnsi="Times New Roman" w:eastAsia="等线"/>
              </w:rPr>
              <w:t>N\NW</w:t>
            </w:r>
          </w:p>
        </w:tc>
        <w:tc>
          <w:tcPr>
            <w:tcW w:w="1274" w:type="dxa"/>
            <w:vAlign w:val="bottom"/>
          </w:tcPr>
          <w:p>
            <w:pPr>
              <w:pStyle w:val="39"/>
              <w:rPr>
                <w:rFonts w:ascii="Times New Roman" w:hAnsi="Times New Roman"/>
                <w:lang w:val="zh-CN" w:eastAsia="en-US"/>
              </w:rPr>
            </w:pPr>
            <w:r>
              <w:rPr>
                <w:rFonts w:ascii="Times New Roman" w:hAnsi="Times New Roman" w:eastAsia="等线"/>
              </w:rPr>
              <w:t>2815</w:t>
            </w:r>
          </w:p>
        </w:tc>
        <w:tc>
          <w:tcPr>
            <w:tcW w:w="708" w:type="dxa"/>
            <w:vAlign w:val="center"/>
          </w:tcPr>
          <w:p>
            <w:pPr>
              <w:pStyle w:val="39"/>
              <w:rPr>
                <w:rFonts w:ascii="Times New Roman" w:hAnsi="Times New Roman"/>
                <w:lang w:val="zh-CN" w:eastAsia="en-US"/>
              </w:rPr>
            </w:pPr>
            <w:r>
              <w:rPr>
                <w:rFonts w:ascii="Times New Roman" w:hAnsi="Times New Roman"/>
                <w:lang w:val="zh-CN" w:eastAsia="en-US"/>
              </w:rPr>
              <w:t>民房</w:t>
            </w:r>
          </w:p>
        </w:tc>
        <w:tc>
          <w:tcPr>
            <w:tcW w:w="1137" w:type="dxa"/>
            <w:vAlign w:val="bottom"/>
          </w:tcPr>
          <w:p>
            <w:pPr>
              <w:pStyle w:val="39"/>
              <w:rPr>
                <w:rFonts w:ascii="Times New Roman" w:hAnsi="Times New Roman"/>
                <w:lang w:val="zh-CN" w:eastAsia="en-US"/>
              </w:rPr>
            </w:pPr>
            <w:r>
              <w:rPr>
                <w:rFonts w:ascii="Times New Roman" w:hAnsi="Times New Roman" w:eastAsia="等线"/>
              </w:rPr>
              <w:t>1836</w:t>
            </w:r>
          </w:p>
        </w:tc>
        <w:tc>
          <w:tcPr>
            <w:tcW w:w="1134" w:type="dxa"/>
            <w:vAlign w:val="bottom"/>
          </w:tcPr>
          <w:p>
            <w:pPr>
              <w:pStyle w:val="39"/>
              <w:rPr>
                <w:rFonts w:ascii="Times New Roman" w:hAnsi="Times New Roman"/>
                <w:lang w:val="zh-CN" w:eastAsia="en-US"/>
              </w:rPr>
            </w:pPr>
            <w:r>
              <w:rPr>
                <w:rFonts w:ascii="Times New Roman" w:hAnsi="Times New Roman" w:eastAsia="等线"/>
              </w:rPr>
              <w:t>533</w:t>
            </w:r>
          </w:p>
        </w:tc>
        <w:tc>
          <w:tcPr>
            <w:tcW w:w="1417" w:type="dxa"/>
          </w:tcPr>
          <w:p>
            <w:pPr>
              <w:pStyle w:val="39"/>
              <w:rPr>
                <w:rFonts w:ascii="Times New Roman" w:hAnsi="Times New Roman" w:eastAsia="等线"/>
              </w:rPr>
            </w:pPr>
            <w:r>
              <w:rPr>
                <w:rFonts w:ascii="Times New Roman" w:hAnsi="Times New Roman" w:eastAsia="等线"/>
              </w:rPr>
              <w:t>大气、风险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lang w:val="zh-CN"/>
              </w:rPr>
            </w:pPr>
            <w:r>
              <w:rPr>
                <w:rFonts w:ascii="Times New Roman" w:hAnsi="Times New Roman"/>
                <w:lang w:val="zh-CN"/>
              </w:rPr>
              <w:t>2</w:t>
            </w:r>
          </w:p>
        </w:tc>
        <w:tc>
          <w:tcPr>
            <w:tcW w:w="1246" w:type="dxa"/>
            <w:vMerge w:val="restart"/>
            <w:vAlign w:val="center"/>
          </w:tcPr>
          <w:p>
            <w:pPr>
              <w:pStyle w:val="39"/>
              <w:rPr>
                <w:rFonts w:ascii="Times New Roman" w:hAnsi="Times New Roman"/>
                <w:lang w:val="zh-CN" w:eastAsia="en-US"/>
              </w:rPr>
            </w:pPr>
            <w:r>
              <w:rPr>
                <w:rFonts w:ascii="Times New Roman" w:hAnsi="Times New Roman"/>
                <w:lang w:val="zh-CN"/>
              </w:rPr>
              <w:t>清溪镇</w:t>
            </w:r>
          </w:p>
        </w:tc>
        <w:tc>
          <w:tcPr>
            <w:tcW w:w="1335" w:type="dxa"/>
            <w:vAlign w:val="center"/>
          </w:tcPr>
          <w:p>
            <w:pPr>
              <w:pStyle w:val="39"/>
              <w:rPr>
                <w:rFonts w:ascii="Times New Roman" w:hAnsi="Times New Roman"/>
                <w:lang w:val="zh-CN"/>
              </w:rPr>
            </w:pPr>
            <w:r>
              <w:rPr>
                <w:rFonts w:ascii="Times New Roman" w:hAnsi="Times New Roman"/>
              </w:rPr>
              <w:t>宏文村</w:t>
            </w:r>
          </w:p>
        </w:tc>
        <w:tc>
          <w:tcPr>
            <w:tcW w:w="1388" w:type="dxa"/>
            <w:vAlign w:val="bottom"/>
          </w:tcPr>
          <w:p>
            <w:pPr>
              <w:pStyle w:val="39"/>
              <w:rPr>
                <w:rFonts w:ascii="Times New Roman" w:hAnsi="Times New Roman"/>
                <w:lang w:val="zh-CN"/>
              </w:rPr>
            </w:pPr>
            <w:r>
              <w:rPr>
                <w:rFonts w:ascii="Times New Roman" w:hAnsi="Times New Roman" w:eastAsia="等线"/>
              </w:rPr>
              <w:t>W\NW</w:t>
            </w:r>
          </w:p>
        </w:tc>
        <w:tc>
          <w:tcPr>
            <w:tcW w:w="1274" w:type="dxa"/>
            <w:vAlign w:val="bottom"/>
          </w:tcPr>
          <w:p>
            <w:pPr>
              <w:pStyle w:val="39"/>
              <w:rPr>
                <w:rFonts w:ascii="Times New Roman" w:hAnsi="Times New Roman"/>
                <w:lang w:val="zh-CN" w:eastAsia="en-US"/>
              </w:rPr>
            </w:pPr>
            <w:r>
              <w:rPr>
                <w:rFonts w:ascii="Times New Roman" w:hAnsi="Times New Roman" w:eastAsia="等线"/>
              </w:rPr>
              <w:t>393</w:t>
            </w:r>
          </w:p>
        </w:tc>
        <w:tc>
          <w:tcPr>
            <w:tcW w:w="708" w:type="dxa"/>
            <w:vAlign w:val="center"/>
          </w:tcPr>
          <w:p>
            <w:pPr>
              <w:pStyle w:val="39"/>
              <w:rPr>
                <w:rFonts w:ascii="Times New Roman" w:hAnsi="Times New Roman"/>
                <w:lang w:val="zh-CN" w:eastAsia="en-US"/>
              </w:rPr>
            </w:pPr>
            <w:r>
              <w:rPr>
                <w:rFonts w:ascii="Times New Roman" w:hAnsi="Times New Roman"/>
                <w:lang w:val="zh-CN" w:eastAsia="en-US"/>
              </w:rPr>
              <w:t>民房</w:t>
            </w:r>
          </w:p>
        </w:tc>
        <w:tc>
          <w:tcPr>
            <w:tcW w:w="1137" w:type="dxa"/>
            <w:vAlign w:val="center"/>
          </w:tcPr>
          <w:p>
            <w:pPr>
              <w:pStyle w:val="39"/>
              <w:rPr>
                <w:rFonts w:ascii="Times New Roman" w:hAnsi="Times New Roman"/>
                <w:lang w:val="zh-CN" w:eastAsia="en-US"/>
              </w:rPr>
            </w:pPr>
            <w:r>
              <w:rPr>
                <w:rFonts w:ascii="Times New Roman" w:hAnsi="Times New Roman" w:eastAsia="等线"/>
              </w:rPr>
              <w:t>3659</w:t>
            </w:r>
          </w:p>
        </w:tc>
        <w:tc>
          <w:tcPr>
            <w:tcW w:w="1134" w:type="dxa"/>
            <w:vAlign w:val="center"/>
          </w:tcPr>
          <w:p>
            <w:pPr>
              <w:pStyle w:val="39"/>
              <w:rPr>
                <w:rFonts w:ascii="Times New Roman" w:hAnsi="Times New Roman"/>
                <w:lang w:val="zh-CN" w:eastAsia="en-US"/>
              </w:rPr>
            </w:pPr>
            <w:r>
              <w:rPr>
                <w:rFonts w:ascii="Times New Roman" w:hAnsi="Times New Roman" w:eastAsia="等线"/>
              </w:rPr>
              <w:t>860</w:t>
            </w:r>
          </w:p>
        </w:tc>
        <w:tc>
          <w:tcPr>
            <w:tcW w:w="1417" w:type="dxa"/>
          </w:tcPr>
          <w:p>
            <w:pPr>
              <w:pStyle w:val="39"/>
              <w:rPr>
                <w:rFonts w:ascii="Times New Roman" w:hAnsi="Times New Roman" w:eastAsia="等线"/>
              </w:rPr>
            </w:pPr>
            <w:r>
              <w:rPr>
                <w:rFonts w:ascii="Times New Roman" w:hAnsi="Times New Roman" w:eastAsia="等线"/>
              </w:rPr>
              <w:t>大气、风险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lang w:val="zh-CN"/>
              </w:rPr>
            </w:pPr>
            <w:r>
              <w:rPr>
                <w:rFonts w:ascii="Times New Roman" w:hAnsi="Times New Roman"/>
                <w:lang w:val="zh-CN"/>
              </w:rPr>
              <w:t>3</w:t>
            </w:r>
          </w:p>
        </w:tc>
        <w:tc>
          <w:tcPr>
            <w:tcW w:w="1246" w:type="dxa"/>
            <w:vMerge w:val="continue"/>
            <w:vAlign w:val="center"/>
          </w:tcPr>
          <w:p>
            <w:pPr>
              <w:pStyle w:val="39"/>
              <w:rPr>
                <w:rFonts w:ascii="Times New Roman" w:hAnsi="Times New Roman"/>
                <w:lang w:val="zh-CN" w:eastAsia="en-US"/>
              </w:rPr>
            </w:pPr>
          </w:p>
        </w:tc>
        <w:tc>
          <w:tcPr>
            <w:tcW w:w="1335" w:type="dxa"/>
            <w:vAlign w:val="center"/>
          </w:tcPr>
          <w:p>
            <w:pPr>
              <w:pStyle w:val="39"/>
              <w:rPr>
                <w:rFonts w:ascii="Times New Roman" w:hAnsi="Times New Roman"/>
                <w:lang w:val="zh-CN"/>
              </w:rPr>
            </w:pPr>
            <w:r>
              <w:rPr>
                <w:rFonts w:ascii="Times New Roman" w:hAnsi="Times New Roman"/>
              </w:rPr>
              <w:t>五道口村</w:t>
            </w:r>
          </w:p>
        </w:tc>
        <w:tc>
          <w:tcPr>
            <w:tcW w:w="1388" w:type="dxa"/>
            <w:vAlign w:val="bottom"/>
          </w:tcPr>
          <w:p>
            <w:pPr>
              <w:pStyle w:val="39"/>
              <w:rPr>
                <w:rFonts w:ascii="Times New Roman" w:hAnsi="Times New Roman"/>
                <w:lang w:val="zh-CN"/>
              </w:rPr>
            </w:pPr>
            <w:r>
              <w:rPr>
                <w:rFonts w:ascii="Times New Roman" w:hAnsi="Times New Roman" w:eastAsia="等线"/>
              </w:rPr>
              <w:t>N\NE</w:t>
            </w:r>
          </w:p>
        </w:tc>
        <w:tc>
          <w:tcPr>
            <w:tcW w:w="1274" w:type="dxa"/>
            <w:vAlign w:val="bottom"/>
          </w:tcPr>
          <w:p>
            <w:pPr>
              <w:pStyle w:val="39"/>
              <w:rPr>
                <w:rFonts w:ascii="Times New Roman" w:hAnsi="Times New Roman"/>
                <w:lang w:val="zh-CN" w:eastAsia="en-US"/>
              </w:rPr>
            </w:pPr>
            <w:r>
              <w:rPr>
                <w:rFonts w:ascii="Times New Roman" w:hAnsi="Times New Roman" w:eastAsia="等线"/>
              </w:rPr>
              <w:t>517</w:t>
            </w:r>
          </w:p>
        </w:tc>
        <w:tc>
          <w:tcPr>
            <w:tcW w:w="708" w:type="dxa"/>
            <w:vAlign w:val="center"/>
          </w:tcPr>
          <w:p>
            <w:pPr>
              <w:pStyle w:val="39"/>
              <w:rPr>
                <w:rFonts w:ascii="Times New Roman" w:hAnsi="Times New Roman"/>
                <w:lang w:val="zh-CN" w:eastAsia="en-US"/>
              </w:rPr>
            </w:pPr>
            <w:r>
              <w:rPr>
                <w:rFonts w:ascii="Times New Roman" w:hAnsi="Times New Roman"/>
                <w:lang w:val="zh-CN" w:eastAsia="en-US"/>
              </w:rPr>
              <w:t>民房</w:t>
            </w:r>
          </w:p>
        </w:tc>
        <w:tc>
          <w:tcPr>
            <w:tcW w:w="1137" w:type="dxa"/>
            <w:vAlign w:val="bottom"/>
          </w:tcPr>
          <w:p>
            <w:pPr>
              <w:pStyle w:val="39"/>
              <w:rPr>
                <w:rFonts w:ascii="Times New Roman" w:hAnsi="Times New Roman"/>
                <w:lang w:val="zh-CN" w:eastAsia="en-US"/>
              </w:rPr>
            </w:pPr>
            <w:r>
              <w:rPr>
                <w:rFonts w:ascii="Times New Roman" w:hAnsi="Times New Roman" w:eastAsia="等线"/>
              </w:rPr>
              <w:t>2352</w:t>
            </w:r>
          </w:p>
        </w:tc>
        <w:tc>
          <w:tcPr>
            <w:tcW w:w="1134" w:type="dxa"/>
            <w:vAlign w:val="bottom"/>
          </w:tcPr>
          <w:p>
            <w:pPr>
              <w:pStyle w:val="39"/>
              <w:rPr>
                <w:rFonts w:ascii="Times New Roman" w:hAnsi="Times New Roman"/>
                <w:lang w:val="zh-CN" w:eastAsia="en-US"/>
              </w:rPr>
            </w:pPr>
            <w:r>
              <w:rPr>
                <w:rFonts w:ascii="Times New Roman" w:hAnsi="Times New Roman" w:eastAsia="等线"/>
              </w:rPr>
              <w:t>634</w:t>
            </w:r>
          </w:p>
        </w:tc>
        <w:tc>
          <w:tcPr>
            <w:tcW w:w="1417" w:type="dxa"/>
          </w:tcPr>
          <w:p>
            <w:pPr>
              <w:pStyle w:val="39"/>
              <w:rPr>
                <w:rFonts w:ascii="Times New Roman" w:hAnsi="Times New Roman" w:eastAsia="等线"/>
              </w:rPr>
            </w:pPr>
            <w:r>
              <w:rPr>
                <w:rFonts w:ascii="Times New Roman" w:hAnsi="Times New Roman" w:eastAsia="等线"/>
              </w:rPr>
              <w:t>大气、风险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lang w:val="zh-CN"/>
              </w:rPr>
            </w:pPr>
            <w:r>
              <w:rPr>
                <w:rFonts w:ascii="Times New Roman" w:hAnsi="Times New Roman"/>
                <w:lang w:val="zh-CN"/>
              </w:rPr>
              <w:t>4</w:t>
            </w:r>
          </w:p>
        </w:tc>
        <w:tc>
          <w:tcPr>
            <w:tcW w:w="1246" w:type="dxa"/>
            <w:vMerge w:val="continue"/>
            <w:vAlign w:val="center"/>
          </w:tcPr>
          <w:p>
            <w:pPr>
              <w:pStyle w:val="39"/>
              <w:rPr>
                <w:rFonts w:ascii="Times New Roman" w:hAnsi="Times New Roman"/>
                <w:lang w:val="zh-CN" w:eastAsia="en-US"/>
              </w:rPr>
            </w:pPr>
          </w:p>
        </w:tc>
        <w:tc>
          <w:tcPr>
            <w:tcW w:w="1335" w:type="dxa"/>
            <w:vAlign w:val="center"/>
          </w:tcPr>
          <w:p>
            <w:pPr>
              <w:pStyle w:val="39"/>
              <w:rPr>
                <w:rFonts w:ascii="Times New Roman" w:hAnsi="Times New Roman"/>
                <w:lang w:val="zh-CN"/>
              </w:rPr>
            </w:pPr>
            <w:r>
              <w:rPr>
                <w:rFonts w:ascii="Times New Roman" w:hAnsi="Times New Roman"/>
              </w:rPr>
              <w:t>马伏村</w:t>
            </w:r>
          </w:p>
        </w:tc>
        <w:tc>
          <w:tcPr>
            <w:tcW w:w="1388" w:type="dxa"/>
            <w:vAlign w:val="bottom"/>
          </w:tcPr>
          <w:p>
            <w:pPr>
              <w:pStyle w:val="39"/>
              <w:rPr>
                <w:rFonts w:ascii="Times New Roman" w:hAnsi="Times New Roman"/>
                <w:lang w:val="zh-CN"/>
              </w:rPr>
            </w:pPr>
            <w:r>
              <w:rPr>
                <w:rFonts w:ascii="Times New Roman" w:hAnsi="Times New Roman"/>
              </w:rPr>
              <w:t>所在地</w:t>
            </w:r>
          </w:p>
        </w:tc>
        <w:tc>
          <w:tcPr>
            <w:tcW w:w="1274" w:type="dxa"/>
            <w:vAlign w:val="bottom"/>
          </w:tcPr>
          <w:p>
            <w:pPr>
              <w:pStyle w:val="39"/>
              <w:rPr>
                <w:rFonts w:ascii="Times New Roman" w:hAnsi="Times New Roman"/>
                <w:lang w:val="zh-CN" w:eastAsia="en-US"/>
              </w:rPr>
            </w:pPr>
            <w:r>
              <w:rPr>
                <w:rFonts w:ascii="Times New Roman" w:hAnsi="Times New Roman" w:eastAsia="等线"/>
              </w:rPr>
              <w:t>205</w:t>
            </w:r>
          </w:p>
        </w:tc>
        <w:tc>
          <w:tcPr>
            <w:tcW w:w="708" w:type="dxa"/>
            <w:vAlign w:val="center"/>
          </w:tcPr>
          <w:p>
            <w:pPr>
              <w:pStyle w:val="39"/>
              <w:rPr>
                <w:rFonts w:ascii="Times New Roman" w:hAnsi="Times New Roman"/>
                <w:lang w:val="zh-CN" w:eastAsia="en-US"/>
              </w:rPr>
            </w:pPr>
            <w:r>
              <w:rPr>
                <w:rFonts w:ascii="Times New Roman" w:hAnsi="Times New Roman"/>
                <w:lang w:val="zh-CN" w:eastAsia="en-US"/>
              </w:rPr>
              <w:t>民房</w:t>
            </w:r>
          </w:p>
        </w:tc>
        <w:tc>
          <w:tcPr>
            <w:tcW w:w="1137" w:type="dxa"/>
            <w:vAlign w:val="bottom"/>
          </w:tcPr>
          <w:p>
            <w:pPr>
              <w:pStyle w:val="39"/>
              <w:rPr>
                <w:rFonts w:ascii="Times New Roman" w:hAnsi="Times New Roman"/>
                <w:lang w:val="zh-CN" w:eastAsia="en-US"/>
              </w:rPr>
            </w:pPr>
            <w:r>
              <w:rPr>
                <w:rFonts w:ascii="Times New Roman" w:hAnsi="Times New Roman" w:eastAsia="等线"/>
              </w:rPr>
              <w:t>5025</w:t>
            </w:r>
          </w:p>
        </w:tc>
        <w:tc>
          <w:tcPr>
            <w:tcW w:w="1134" w:type="dxa"/>
            <w:vAlign w:val="bottom"/>
          </w:tcPr>
          <w:p>
            <w:pPr>
              <w:pStyle w:val="39"/>
              <w:rPr>
                <w:rFonts w:ascii="Times New Roman" w:hAnsi="Times New Roman"/>
                <w:lang w:val="zh-CN" w:eastAsia="en-US"/>
              </w:rPr>
            </w:pPr>
            <w:r>
              <w:rPr>
                <w:rFonts w:ascii="Times New Roman" w:hAnsi="Times New Roman" w:eastAsia="等线"/>
              </w:rPr>
              <w:t>1256</w:t>
            </w:r>
          </w:p>
        </w:tc>
        <w:tc>
          <w:tcPr>
            <w:tcW w:w="1417" w:type="dxa"/>
          </w:tcPr>
          <w:p>
            <w:pPr>
              <w:pStyle w:val="39"/>
              <w:rPr>
                <w:rFonts w:ascii="Times New Roman" w:hAnsi="Times New Roman" w:eastAsia="等线"/>
              </w:rPr>
            </w:pPr>
            <w:r>
              <w:rPr>
                <w:rFonts w:ascii="Times New Roman" w:hAnsi="Times New Roman" w:eastAsia="等线"/>
              </w:rPr>
              <w:t>大气、风险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lang w:val="zh-CN"/>
              </w:rPr>
            </w:pPr>
            <w:r>
              <w:rPr>
                <w:rFonts w:ascii="Times New Roman" w:hAnsi="Times New Roman"/>
                <w:lang w:val="zh-CN"/>
              </w:rPr>
              <w:t>5</w:t>
            </w:r>
          </w:p>
        </w:tc>
        <w:tc>
          <w:tcPr>
            <w:tcW w:w="1246" w:type="dxa"/>
            <w:vMerge w:val="continue"/>
            <w:vAlign w:val="center"/>
          </w:tcPr>
          <w:p>
            <w:pPr>
              <w:pStyle w:val="39"/>
              <w:rPr>
                <w:rFonts w:ascii="Times New Roman" w:hAnsi="Times New Roman"/>
                <w:lang w:val="zh-CN" w:eastAsia="en-US"/>
              </w:rPr>
            </w:pPr>
          </w:p>
        </w:tc>
        <w:tc>
          <w:tcPr>
            <w:tcW w:w="1335" w:type="dxa"/>
            <w:vAlign w:val="center"/>
          </w:tcPr>
          <w:p>
            <w:pPr>
              <w:pStyle w:val="39"/>
              <w:rPr>
                <w:rFonts w:ascii="Times New Roman" w:hAnsi="Times New Roman"/>
                <w:lang w:val="zh-CN"/>
              </w:rPr>
            </w:pPr>
            <w:r>
              <w:rPr>
                <w:rFonts w:ascii="Times New Roman" w:hAnsi="Times New Roman"/>
              </w:rPr>
              <w:t>王家坝村</w:t>
            </w:r>
          </w:p>
        </w:tc>
        <w:tc>
          <w:tcPr>
            <w:tcW w:w="1388" w:type="dxa"/>
            <w:vAlign w:val="bottom"/>
          </w:tcPr>
          <w:p>
            <w:pPr>
              <w:pStyle w:val="39"/>
              <w:rPr>
                <w:rFonts w:ascii="Times New Roman" w:hAnsi="Times New Roman"/>
                <w:lang w:val="zh-CN"/>
              </w:rPr>
            </w:pPr>
            <w:r>
              <w:rPr>
                <w:rFonts w:ascii="Times New Roman" w:hAnsi="Times New Roman" w:eastAsia="等线"/>
              </w:rPr>
              <w:t>SW</w:t>
            </w:r>
          </w:p>
        </w:tc>
        <w:tc>
          <w:tcPr>
            <w:tcW w:w="1274" w:type="dxa"/>
            <w:vAlign w:val="bottom"/>
          </w:tcPr>
          <w:p>
            <w:pPr>
              <w:pStyle w:val="39"/>
              <w:rPr>
                <w:rFonts w:ascii="Times New Roman" w:hAnsi="Times New Roman"/>
                <w:lang w:val="zh-CN" w:eastAsia="en-US"/>
              </w:rPr>
            </w:pPr>
            <w:r>
              <w:rPr>
                <w:rFonts w:ascii="Times New Roman" w:hAnsi="Times New Roman" w:eastAsia="等线"/>
              </w:rPr>
              <w:t>1180</w:t>
            </w:r>
          </w:p>
        </w:tc>
        <w:tc>
          <w:tcPr>
            <w:tcW w:w="708" w:type="dxa"/>
            <w:vAlign w:val="center"/>
          </w:tcPr>
          <w:p>
            <w:pPr>
              <w:pStyle w:val="39"/>
              <w:rPr>
                <w:rFonts w:ascii="Times New Roman" w:hAnsi="Times New Roman"/>
                <w:lang w:val="zh-CN" w:eastAsia="en-US"/>
              </w:rPr>
            </w:pPr>
            <w:r>
              <w:rPr>
                <w:rFonts w:ascii="Times New Roman" w:hAnsi="Times New Roman"/>
                <w:lang w:val="zh-CN" w:eastAsia="en-US"/>
              </w:rPr>
              <w:t>民房</w:t>
            </w:r>
          </w:p>
        </w:tc>
        <w:tc>
          <w:tcPr>
            <w:tcW w:w="1137" w:type="dxa"/>
            <w:vAlign w:val="bottom"/>
          </w:tcPr>
          <w:p>
            <w:pPr>
              <w:pStyle w:val="39"/>
              <w:rPr>
                <w:rFonts w:ascii="Times New Roman" w:hAnsi="Times New Roman"/>
                <w:lang w:val="zh-CN" w:eastAsia="en-US"/>
              </w:rPr>
            </w:pPr>
            <w:r>
              <w:rPr>
                <w:rFonts w:ascii="Times New Roman" w:hAnsi="Times New Roman" w:eastAsia="等线"/>
              </w:rPr>
              <w:t>4948</w:t>
            </w:r>
          </w:p>
        </w:tc>
        <w:tc>
          <w:tcPr>
            <w:tcW w:w="1134" w:type="dxa"/>
            <w:vAlign w:val="bottom"/>
          </w:tcPr>
          <w:p>
            <w:pPr>
              <w:pStyle w:val="39"/>
              <w:rPr>
                <w:rFonts w:ascii="Times New Roman" w:hAnsi="Times New Roman"/>
                <w:lang w:val="zh-CN" w:eastAsia="en-US"/>
              </w:rPr>
            </w:pPr>
            <w:r>
              <w:rPr>
                <w:rFonts w:ascii="Times New Roman" w:hAnsi="Times New Roman" w:eastAsia="等线"/>
              </w:rPr>
              <w:t>1430</w:t>
            </w:r>
          </w:p>
        </w:tc>
        <w:tc>
          <w:tcPr>
            <w:tcW w:w="1417" w:type="dxa"/>
          </w:tcPr>
          <w:p>
            <w:pPr>
              <w:pStyle w:val="39"/>
              <w:rPr>
                <w:rFonts w:ascii="Times New Roman" w:hAnsi="Times New Roman" w:eastAsia="等线"/>
              </w:rPr>
            </w:pPr>
            <w:r>
              <w:rPr>
                <w:rFonts w:ascii="Times New Roman" w:hAnsi="Times New Roman" w:eastAsia="等线"/>
              </w:rPr>
              <w:t>大气、风险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lang w:val="zh-CN"/>
              </w:rPr>
            </w:pPr>
            <w:r>
              <w:rPr>
                <w:rFonts w:ascii="Times New Roman" w:hAnsi="Times New Roman"/>
                <w:lang w:val="zh-CN"/>
              </w:rPr>
              <w:t>6</w:t>
            </w:r>
          </w:p>
        </w:tc>
        <w:tc>
          <w:tcPr>
            <w:tcW w:w="1246" w:type="dxa"/>
            <w:vAlign w:val="center"/>
          </w:tcPr>
          <w:p>
            <w:pPr>
              <w:pStyle w:val="39"/>
              <w:rPr>
                <w:rFonts w:ascii="Times New Roman" w:hAnsi="Times New Roman"/>
                <w:lang w:val="zh-CN" w:eastAsia="en-US"/>
              </w:rPr>
            </w:pPr>
            <w:r>
              <w:rPr>
                <w:rFonts w:ascii="Times New Roman" w:hAnsi="Times New Roman"/>
                <w:lang w:val="zh-CN"/>
              </w:rPr>
              <w:t>桃花镇</w:t>
            </w:r>
          </w:p>
        </w:tc>
        <w:tc>
          <w:tcPr>
            <w:tcW w:w="1335" w:type="dxa"/>
            <w:vAlign w:val="center"/>
          </w:tcPr>
          <w:p>
            <w:pPr>
              <w:pStyle w:val="39"/>
              <w:rPr>
                <w:rFonts w:ascii="Times New Roman" w:hAnsi="Times New Roman"/>
              </w:rPr>
            </w:pPr>
            <w:r>
              <w:rPr>
                <w:rFonts w:ascii="Times New Roman" w:hAnsi="Times New Roman"/>
              </w:rPr>
              <w:t>中山村</w:t>
            </w:r>
          </w:p>
        </w:tc>
        <w:tc>
          <w:tcPr>
            <w:tcW w:w="1388" w:type="dxa"/>
            <w:vAlign w:val="bottom"/>
          </w:tcPr>
          <w:p>
            <w:pPr>
              <w:pStyle w:val="39"/>
              <w:rPr>
                <w:rFonts w:ascii="Times New Roman" w:hAnsi="Times New Roman" w:eastAsia="等线"/>
              </w:rPr>
            </w:pPr>
            <w:r>
              <w:rPr>
                <w:rFonts w:ascii="Times New Roman" w:hAnsi="Times New Roman" w:eastAsia="等线"/>
              </w:rPr>
              <w:t>NE</w:t>
            </w:r>
          </w:p>
        </w:tc>
        <w:tc>
          <w:tcPr>
            <w:tcW w:w="1274" w:type="dxa"/>
            <w:vAlign w:val="bottom"/>
          </w:tcPr>
          <w:p>
            <w:pPr>
              <w:pStyle w:val="39"/>
              <w:rPr>
                <w:rFonts w:ascii="Times New Roman" w:hAnsi="Times New Roman" w:eastAsia="等线"/>
              </w:rPr>
            </w:pPr>
            <w:r>
              <w:rPr>
                <w:rFonts w:ascii="Times New Roman" w:hAnsi="Times New Roman" w:eastAsia="等线"/>
              </w:rPr>
              <w:t>3224</w:t>
            </w:r>
          </w:p>
        </w:tc>
        <w:tc>
          <w:tcPr>
            <w:tcW w:w="708" w:type="dxa"/>
            <w:vAlign w:val="center"/>
          </w:tcPr>
          <w:p>
            <w:pPr>
              <w:pStyle w:val="39"/>
              <w:rPr>
                <w:rFonts w:ascii="Times New Roman" w:hAnsi="Times New Roman"/>
                <w:lang w:val="zh-CN" w:eastAsia="en-US"/>
              </w:rPr>
            </w:pPr>
            <w:r>
              <w:rPr>
                <w:rFonts w:ascii="Times New Roman" w:hAnsi="Times New Roman"/>
                <w:lang w:val="zh-CN"/>
              </w:rPr>
              <w:t>民房</w:t>
            </w:r>
          </w:p>
        </w:tc>
        <w:tc>
          <w:tcPr>
            <w:tcW w:w="1137" w:type="dxa"/>
            <w:vAlign w:val="bottom"/>
          </w:tcPr>
          <w:p>
            <w:pPr>
              <w:pStyle w:val="39"/>
              <w:rPr>
                <w:rFonts w:ascii="Times New Roman" w:hAnsi="Times New Roman" w:eastAsia="等线"/>
              </w:rPr>
            </w:pPr>
            <w:r>
              <w:rPr>
                <w:rFonts w:ascii="Times New Roman" w:hAnsi="Times New Roman" w:eastAsia="等线"/>
              </w:rPr>
              <w:t>15</w:t>
            </w:r>
          </w:p>
        </w:tc>
        <w:tc>
          <w:tcPr>
            <w:tcW w:w="1134" w:type="dxa"/>
            <w:vAlign w:val="bottom"/>
          </w:tcPr>
          <w:p>
            <w:pPr>
              <w:pStyle w:val="39"/>
              <w:rPr>
                <w:rFonts w:ascii="Times New Roman" w:hAnsi="Times New Roman" w:eastAsia="等线"/>
              </w:rPr>
            </w:pPr>
            <w:r>
              <w:rPr>
                <w:rFonts w:ascii="Times New Roman" w:hAnsi="Times New Roman" w:eastAsia="等线"/>
              </w:rPr>
              <w:t>4</w:t>
            </w:r>
          </w:p>
        </w:tc>
        <w:tc>
          <w:tcPr>
            <w:tcW w:w="1417" w:type="dxa"/>
          </w:tcPr>
          <w:p>
            <w:pPr>
              <w:pStyle w:val="39"/>
              <w:rPr>
                <w:rFonts w:ascii="Times New Roman" w:hAnsi="Times New Roman" w:eastAsia="等线"/>
              </w:rPr>
            </w:pPr>
            <w:r>
              <w:rPr>
                <w:rFonts w:ascii="Times New Roman" w:hAnsi="Times New Roman" w:eastAsia="等线"/>
              </w:rPr>
              <w:t>大气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lang w:val="zh-CN"/>
              </w:rPr>
            </w:pPr>
            <w:r>
              <w:rPr>
                <w:rFonts w:ascii="Times New Roman" w:hAnsi="Times New Roman"/>
                <w:lang w:val="zh-CN"/>
              </w:rPr>
              <w:t>7</w:t>
            </w:r>
          </w:p>
        </w:tc>
        <w:tc>
          <w:tcPr>
            <w:tcW w:w="2581" w:type="dxa"/>
            <w:gridSpan w:val="2"/>
            <w:vAlign w:val="bottom"/>
          </w:tcPr>
          <w:p>
            <w:pPr>
              <w:pStyle w:val="39"/>
              <w:rPr>
                <w:rFonts w:ascii="Times New Roman" w:hAnsi="Times New Roman"/>
                <w:lang w:val="zh-CN"/>
              </w:rPr>
            </w:pPr>
            <w:r>
              <w:rPr>
                <w:rFonts w:ascii="Times New Roman" w:hAnsi="Times New Roman"/>
              </w:rPr>
              <w:t>清溪镇桂花小学</w:t>
            </w:r>
          </w:p>
        </w:tc>
        <w:tc>
          <w:tcPr>
            <w:tcW w:w="1388" w:type="dxa"/>
            <w:vAlign w:val="bottom"/>
          </w:tcPr>
          <w:p>
            <w:pPr>
              <w:pStyle w:val="39"/>
              <w:rPr>
                <w:rFonts w:ascii="Times New Roman" w:hAnsi="Times New Roman"/>
                <w:lang w:val="zh-CN"/>
              </w:rPr>
            </w:pPr>
            <w:r>
              <w:rPr>
                <w:rFonts w:ascii="Times New Roman" w:hAnsi="Times New Roman" w:eastAsia="等线"/>
              </w:rPr>
              <w:t>S</w:t>
            </w:r>
          </w:p>
        </w:tc>
        <w:tc>
          <w:tcPr>
            <w:tcW w:w="1274" w:type="dxa"/>
            <w:vAlign w:val="bottom"/>
          </w:tcPr>
          <w:p>
            <w:pPr>
              <w:pStyle w:val="39"/>
              <w:rPr>
                <w:rFonts w:ascii="Times New Roman" w:hAnsi="Times New Roman"/>
                <w:lang w:val="zh-CN" w:eastAsia="en-US"/>
              </w:rPr>
            </w:pPr>
            <w:r>
              <w:rPr>
                <w:rFonts w:ascii="Times New Roman" w:hAnsi="Times New Roman" w:eastAsia="等线"/>
              </w:rPr>
              <w:t>838</w:t>
            </w:r>
          </w:p>
        </w:tc>
        <w:tc>
          <w:tcPr>
            <w:tcW w:w="708" w:type="dxa"/>
            <w:vAlign w:val="center"/>
          </w:tcPr>
          <w:p>
            <w:pPr>
              <w:pStyle w:val="39"/>
              <w:rPr>
                <w:rFonts w:ascii="Times New Roman" w:hAnsi="Times New Roman"/>
                <w:lang w:val="zh-CN" w:eastAsia="en-US"/>
              </w:rPr>
            </w:pPr>
            <w:r>
              <w:rPr>
                <w:rFonts w:ascii="Times New Roman" w:hAnsi="Times New Roman"/>
                <w:lang w:val="zh-CN" w:eastAsia="en-US"/>
              </w:rPr>
              <w:t>学校</w:t>
            </w:r>
          </w:p>
        </w:tc>
        <w:tc>
          <w:tcPr>
            <w:tcW w:w="2271" w:type="dxa"/>
            <w:gridSpan w:val="2"/>
            <w:vAlign w:val="bottom"/>
          </w:tcPr>
          <w:p>
            <w:pPr>
              <w:pStyle w:val="39"/>
              <w:rPr>
                <w:rFonts w:ascii="Times New Roman" w:hAnsi="Times New Roman"/>
                <w:lang w:val="zh-CN" w:eastAsia="en-US"/>
              </w:rPr>
            </w:pPr>
            <w:r>
              <w:rPr>
                <w:rFonts w:ascii="Times New Roman" w:hAnsi="Times New Roman"/>
              </w:rPr>
              <w:t>教师1人，学生4人</w:t>
            </w:r>
          </w:p>
        </w:tc>
        <w:tc>
          <w:tcPr>
            <w:tcW w:w="1417" w:type="dxa"/>
          </w:tcPr>
          <w:p>
            <w:pPr>
              <w:pStyle w:val="39"/>
              <w:rPr>
                <w:rFonts w:ascii="Times New Roman" w:hAnsi="Times New Roman"/>
              </w:rPr>
            </w:pPr>
            <w:r>
              <w:rPr>
                <w:rFonts w:ascii="Times New Roman" w:hAnsi="Times New Roman" w:eastAsia="等线"/>
              </w:rPr>
              <w:t>大气、风险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lang w:val="zh-CN"/>
              </w:rPr>
            </w:pPr>
            <w:r>
              <w:rPr>
                <w:rFonts w:ascii="Times New Roman" w:hAnsi="Times New Roman"/>
                <w:lang w:val="zh-CN"/>
              </w:rPr>
              <w:t>8</w:t>
            </w:r>
          </w:p>
        </w:tc>
        <w:tc>
          <w:tcPr>
            <w:tcW w:w="2581" w:type="dxa"/>
            <w:gridSpan w:val="2"/>
            <w:vAlign w:val="bottom"/>
          </w:tcPr>
          <w:p>
            <w:pPr>
              <w:pStyle w:val="39"/>
              <w:rPr>
                <w:rFonts w:ascii="Times New Roman" w:hAnsi="Times New Roman"/>
                <w:lang w:val="zh-CN" w:eastAsia="en-US"/>
              </w:rPr>
            </w:pPr>
            <w:r>
              <w:rPr>
                <w:rFonts w:ascii="Times New Roman" w:hAnsi="Times New Roman"/>
              </w:rPr>
              <w:t>清溪镇马伏村卫生院</w:t>
            </w:r>
          </w:p>
        </w:tc>
        <w:tc>
          <w:tcPr>
            <w:tcW w:w="1388" w:type="dxa"/>
            <w:vAlign w:val="bottom"/>
          </w:tcPr>
          <w:p>
            <w:pPr>
              <w:pStyle w:val="39"/>
              <w:rPr>
                <w:rFonts w:ascii="Times New Roman" w:hAnsi="Times New Roman"/>
                <w:lang w:val="zh-CN"/>
              </w:rPr>
            </w:pPr>
            <w:r>
              <w:rPr>
                <w:rFonts w:ascii="Times New Roman" w:hAnsi="Times New Roman" w:eastAsia="等线"/>
              </w:rPr>
              <w:t>SE</w:t>
            </w:r>
          </w:p>
        </w:tc>
        <w:tc>
          <w:tcPr>
            <w:tcW w:w="1274" w:type="dxa"/>
            <w:vAlign w:val="bottom"/>
          </w:tcPr>
          <w:p>
            <w:pPr>
              <w:pStyle w:val="39"/>
              <w:rPr>
                <w:rFonts w:ascii="Times New Roman" w:hAnsi="Times New Roman"/>
                <w:lang w:val="zh-CN" w:eastAsia="en-US"/>
              </w:rPr>
            </w:pPr>
            <w:r>
              <w:rPr>
                <w:rFonts w:ascii="Times New Roman" w:hAnsi="Times New Roman" w:eastAsia="等线"/>
              </w:rPr>
              <w:t>409</w:t>
            </w:r>
          </w:p>
        </w:tc>
        <w:tc>
          <w:tcPr>
            <w:tcW w:w="708" w:type="dxa"/>
            <w:vAlign w:val="center"/>
          </w:tcPr>
          <w:p>
            <w:pPr>
              <w:pStyle w:val="39"/>
              <w:rPr>
                <w:rFonts w:ascii="Times New Roman" w:hAnsi="Times New Roman"/>
                <w:lang w:val="zh-CN" w:eastAsia="en-US"/>
              </w:rPr>
            </w:pPr>
            <w:r>
              <w:rPr>
                <w:rFonts w:ascii="Times New Roman" w:hAnsi="Times New Roman"/>
                <w:lang w:val="zh-CN" w:eastAsia="en-US"/>
              </w:rPr>
              <w:t>医院</w:t>
            </w:r>
          </w:p>
        </w:tc>
        <w:tc>
          <w:tcPr>
            <w:tcW w:w="2271" w:type="dxa"/>
            <w:gridSpan w:val="2"/>
            <w:vAlign w:val="bottom"/>
          </w:tcPr>
          <w:p>
            <w:pPr>
              <w:pStyle w:val="39"/>
              <w:rPr>
                <w:rFonts w:ascii="Times New Roman" w:hAnsi="Times New Roman"/>
                <w:lang w:val="zh-CN" w:eastAsia="en-US"/>
              </w:rPr>
            </w:pPr>
            <w:r>
              <w:rPr>
                <w:rFonts w:ascii="Times New Roman" w:hAnsi="Times New Roman" w:eastAsia="等线"/>
              </w:rPr>
              <w:t>2</w:t>
            </w:r>
            <w:r>
              <w:rPr>
                <w:rFonts w:ascii="Times New Roman" w:hAnsi="Times New Roman"/>
              </w:rPr>
              <w:t>人</w:t>
            </w:r>
          </w:p>
        </w:tc>
        <w:tc>
          <w:tcPr>
            <w:tcW w:w="1417" w:type="dxa"/>
          </w:tcPr>
          <w:p>
            <w:pPr>
              <w:pStyle w:val="39"/>
              <w:rPr>
                <w:rFonts w:ascii="Times New Roman" w:hAnsi="Times New Roman" w:eastAsia="等线"/>
              </w:rPr>
            </w:pPr>
            <w:r>
              <w:rPr>
                <w:rFonts w:ascii="Times New Roman" w:hAnsi="Times New Roman" w:eastAsia="等线"/>
              </w:rPr>
              <w:t>大气、风险</w:t>
            </w:r>
          </w:p>
        </w:tc>
      </w:tr>
    </w:tbl>
    <w:p>
      <w:pPr>
        <w:pStyle w:val="37"/>
        <w:rPr>
          <w:rFonts w:ascii="Times New Roman" w:hAnsi="Times New Roman" w:cs="Times New Roman"/>
        </w:rPr>
      </w:pPr>
      <w:bookmarkStart w:id="37" w:name="_Ref155792148"/>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27</w:t>
      </w:r>
      <w:r>
        <w:rPr>
          <w:rFonts w:ascii="Times New Roman" w:hAnsi="Times New Roman" w:cs="Times New Roman"/>
        </w:rPr>
        <w:fldChar w:fldCharType="end"/>
      </w:r>
      <w:bookmarkEnd w:id="37"/>
      <w:r>
        <w:rPr>
          <w:rFonts w:ascii="Times New Roman" w:hAnsi="Times New Roman" w:cs="Times New Roman"/>
        </w:rPr>
        <w:t xml:space="preserve">  宣兴1井站周边大气、环境风险（大气）环境保护目标一表</w:t>
      </w:r>
    </w:p>
    <w:tbl>
      <w:tblPr>
        <w:tblStyle w:val="28"/>
        <w:tblW w:w="1034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62"/>
        <w:gridCol w:w="1246"/>
        <w:gridCol w:w="1335"/>
        <w:gridCol w:w="1388"/>
        <w:gridCol w:w="1274"/>
        <w:gridCol w:w="708"/>
        <w:gridCol w:w="1137"/>
        <w:gridCol w:w="1134"/>
        <w:gridCol w:w="155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Merge w:val="restart"/>
            <w:vAlign w:val="center"/>
          </w:tcPr>
          <w:p>
            <w:pPr>
              <w:pStyle w:val="39"/>
              <w:rPr>
                <w:rFonts w:ascii="Times New Roman" w:hAnsi="Times New Roman"/>
              </w:rPr>
            </w:pPr>
            <w:r>
              <w:rPr>
                <w:rFonts w:ascii="Times New Roman" w:hAnsi="Times New Roman"/>
              </w:rPr>
              <w:t>编号</w:t>
            </w:r>
          </w:p>
        </w:tc>
        <w:tc>
          <w:tcPr>
            <w:tcW w:w="2581" w:type="dxa"/>
            <w:gridSpan w:val="2"/>
            <w:vMerge w:val="restart"/>
            <w:vAlign w:val="center"/>
          </w:tcPr>
          <w:p>
            <w:pPr>
              <w:pStyle w:val="39"/>
              <w:rPr>
                <w:rFonts w:ascii="Times New Roman" w:hAnsi="Times New Roman"/>
              </w:rPr>
            </w:pPr>
            <w:r>
              <w:rPr>
                <w:rFonts w:ascii="Times New Roman" w:hAnsi="Times New Roman"/>
              </w:rPr>
              <w:t>敏感目标名称</w:t>
            </w:r>
          </w:p>
        </w:tc>
        <w:tc>
          <w:tcPr>
            <w:tcW w:w="1388" w:type="dxa"/>
            <w:vMerge w:val="restart"/>
            <w:vAlign w:val="center"/>
          </w:tcPr>
          <w:p>
            <w:pPr>
              <w:pStyle w:val="39"/>
              <w:rPr>
                <w:rFonts w:ascii="Times New Roman" w:hAnsi="Times New Roman"/>
              </w:rPr>
            </w:pPr>
            <w:r>
              <w:rPr>
                <w:rFonts w:ascii="Times New Roman" w:hAnsi="Times New Roman"/>
              </w:rPr>
              <w:t>相对于宣兴井站的方位</w:t>
            </w:r>
          </w:p>
        </w:tc>
        <w:tc>
          <w:tcPr>
            <w:tcW w:w="1274" w:type="dxa"/>
            <w:vMerge w:val="restart"/>
            <w:vAlign w:val="center"/>
          </w:tcPr>
          <w:p>
            <w:pPr>
              <w:pStyle w:val="39"/>
              <w:rPr>
                <w:rFonts w:ascii="Times New Roman" w:hAnsi="Times New Roman"/>
              </w:rPr>
            </w:pPr>
            <w:r>
              <w:rPr>
                <w:rFonts w:ascii="Times New Roman" w:hAnsi="Times New Roman"/>
              </w:rPr>
              <w:t>距离/m</w:t>
            </w:r>
          </w:p>
          <w:p>
            <w:pPr>
              <w:pStyle w:val="39"/>
              <w:rPr>
                <w:rFonts w:ascii="Times New Roman" w:hAnsi="Times New Roman"/>
              </w:rPr>
            </w:pPr>
            <w:r>
              <w:rPr>
                <w:rFonts w:ascii="Times New Roman" w:hAnsi="Times New Roman"/>
              </w:rPr>
              <w:t>(最近房屋)</w:t>
            </w:r>
          </w:p>
        </w:tc>
        <w:tc>
          <w:tcPr>
            <w:tcW w:w="708" w:type="dxa"/>
            <w:vMerge w:val="restart"/>
            <w:vAlign w:val="center"/>
          </w:tcPr>
          <w:p>
            <w:pPr>
              <w:pStyle w:val="39"/>
              <w:rPr>
                <w:rFonts w:ascii="Times New Roman" w:hAnsi="Times New Roman"/>
              </w:rPr>
            </w:pPr>
            <w:r>
              <w:rPr>
                <w:rFonts w:ascii="Times New Roman" w:hAnsi="Times New Roman"/>
              </w:rPr>
              <w:t>属性</w:t>
            </w:r>
          </w:p>
        </w:tc>
        <w:tc>
          <w:tcPr>
            <w:tcW w:w="2271" w:type="dxa"/>
            <w:gridSpan w:val="2"/>
            <w:vAlign w:val="center"/>
          </w:tcPr>
          <w:p>
            <w:pPr>
              <w:pStyle w:val="39"/>
              <w:rPr>
                <w:rFonts w:ascii="Times New Roman" w:hAnsi="Times New Roman"/>
              </w:rPr>
            </w:pPr>
            <w:r>
              <w:rPr>
                <w:rFonts w:ascii="Times New Roman" w:hAnsi="Times New Roman"/>
                <w:lang w:val="zh-CN" w:eastAsia="en-US"/>
              </w:rPr>
              <w:t>3km</w:t>
            </w:r>
            <w:r>
              <w:rPr>
                <w:rFonts w:ascii="Times New Roman" w:hAnsi="Times New Roman"/>
              </w:rPr>
              <w:t>范围内</w:t>
            </w:r>
          </w:p>
        </w:tc>
        <w:tc>
          <w:tcPr>
            <w:tcW w:w="1559" w:type="dxa"/>
            <w:vMerge w:val="restart"/>
            <w:vAlign w:val="center"/>
          </w:tcPr>
          <w:p>
            <w:pPr>
              <w:pStyle w:val="39"/>
              <w:rPr>
                <w:rFonts w:ascii="Times New Roman" w:hAnsi="Times New Roman"/>
              </w:rPr>
            </w:pPr>
            <w:r>
              <w:rPr>
                <w:rFonts w:ascii="Times New Roman" w:hAnsi="Times New Roma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Merge w:val="continue"/>
            <w:vAlign w:val="center"/>
          </w:tcPr>
          <w:p>
            <w:pPr>
              <w:pStyle w:val="39"/>
              <w:rPr>
                <w:rFonts w:ascii="Times New Roman" w:hAnsi="Times New Roman"/>
              </w:rPr>
            </w:pPr>
          </w:p>
        </w:tc>
        <w:tc>
          <w:tcPr>
            <w:tcW w:w="2581" w:type="dxa"/>
            <w:gridSpan w:val="2"/>
            <w:vMerge w:val="continue"/>
            <w:vAlign w:val="center"/>
          </w:tcPr>
          <w:p>
            <w:pPr>
              <w:pStyle w:val="39"/>
              <w:rPr>
                <w:rFonts w:ascii="Times New Roman" w:hAnsi="Times New Roman"/>
              </w:rPr>
            </w:pPr>
          </w:p>
        </w:tc>
        <w:tc>
          <w:tcPr>
            <w:tcW w:w="1388" w:type="dxa"/>
            <w:vMerge w:val="continue"/>
            <w:vAlign w:val="center"/>
          </w:tcPr>
          <w:p>
            <w:pPr>
              <w:pStyle w:val="39"/>
              <w:rPr>
                <w:rFonts w:ascii="Times New Roman" w:hAnsi="Times New Roman"/>
              </w:rPr>
            </w:pPr>
          </w:p>
        </w:tc>
        <w:tc>
          <w:tcPr>
            <w:tcW w:w="1274" w:type="dxa"/>
            <w:vMerge w:val="continue"/>
            <w:vAlign w:val="center"/>
          </w:tcPr>
          <w:p>
            <w:pPr>
              <w:pStyle w:val="39"/>
              <w:rPr>
                <w:rFonts w:ascii="Times New Roman" w:hAnsi="Times New Roman"/>
              </w:rPr>
            </w:pPr>
          </w:p>
        </w:tc>
        <w:tc>
          <w:tcPr>
            <w:tcW w:w="708" w:type="dxa"/>
            <w:vMerge w:val="continue"/>
            <w:vAlign w:val="center"/>
          </w:tcPr>
          <w:p>
            <w:pPr>
              <w:pStyle w:val="39"/>
              <w:rPr>
                <w:rFonts w:ascii="Times New Roman" w:hAnsi="Times New Roman"/>
              </w:rPr>
            </w:pPr>
          </w:p>
        </w:tc>
        <w:tc>
          <w:tcPr>
            <w:tcW w:w="1137" w:type="dxa"/>
            <w:vAlign w:val="center"/>
          </w:tcPr>
          <w:p>
            <w:pPr>
              <w:pStyle w:val="39"/>
              <w:rPr>
                <w:rFonts w:ascii="Times New Roman" w:hAnsi="Times New Roman"/>
              </w:rPr>
            </w:pPr>
            <w:r>
              <w:rPr>
                <w:rFonts w:ascii="Times New Roman" w:hAnsi="Times New Roman"/>
              </w:rPr>
              <w:t>人口数</w:t>
            </w:r>
          </w:p>
        </w:tc>
        <w:tc>
          <w:tcPr>
            <w:tcW w:w="1134" w:type="dxa"/>
            <w:vAlign w:val="center"/>
          </w:tcPr>
          <w:p>
            <w:pPr>
              <w:pStyle w:val="39"/>
              <w:rPr>
                <w:rFonts w:ascii="Times New Roman" w:hAnsi="Times New Roman"/>
              </w:rPr>
            </w:pPr>
            <w:r>
              <w:rPr>
                <w:rFonts w:ascii="Times New Roman" w:hAnsi="Times New Roman"/>
              </w:rPr>
              <w:t>户数</w:t>
            </w:r>
          </w:p>
        </w:tc>
        <w:tc>
          <w:tcPr>
            <w:tcW w:w="1559" w:type="dxa"/>
            <w:vMerge w:val="continue"/>
          </w:tcPr>
          <w:p>
            <w:pPr>
              <w:pStyle w:val="39"/>
              <w:rPr>
                <w:rFonts w:ascii="Times New Roman" w:hAnsi="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1</w:t>
            </w:r>
          </w:p>
        </w:tc>
        <w:tc>
          <w:tcPr>
            <w:tcW w:w="1246" w:type="dxa"/>
            <w:vMerge w:val="restart"/>
            <w:vAlign w:val="center"/>
          </w:tcPr>
          <w:p>
            <w:pPr>
              <w:pStyle w:val="39"/>
              <w:rPr>
                <w:rFonts w:ascii="Times New Roman" w:hAnsi="Times New Roman"/>
              </w:rPr>
            </w:pPr>
            <w:r>
              <w:rPr>
                <w:rFonts w:ascii="Times New Roman" w:hAnsi="Times New Roman"/>
              </w:rPr>
              <w:t>老君乡</w:t>
            </w:r>
          </w:p>
        </w:tc>
        <w:tc>
          <w:tcPr>
            <w:tcW w:w="1335" w:type="dxa"/>
            <w:vAlign w:val="center"/>
          </w:tcPr>
          <w:p>
            <w:pPr>
              <w:pStyle w:val="39"/>
              <w:rPr>
                <w:rFonts w:ascii="Times New Roman" w:hAnsi="Times New Roman"/>
              </w:rPr>
            </w:pPr>
            <w:r>
              <w:rPr>
                <w:rFonts w:ascii="Times New Roman" w:hAnsi="Times New Roman"/>
              </w:rPr>
              <w:t>垭豁村</w:t>
            </w:r>
          </w:p>
        </w:tc>
        <w:tc>
          <w:tcPr>
            <w:tcW w:w="1388" w:type="dxa"/>
            <w:vAlign w:val="center"/>
          </w:tcPr>
          <w:p>
            <w:pPr>
              <w:pStyle w:val="39"/>
              <w:rPr>
                <w:rFonts w:ascii="Times New Roman" w:hAnsi="Times New Roman"/>
              </w:rPr>
            </w:pPr>
            <w:r>
              <w:rPr>
                <w:rFonts w:ascii="Times New Roman" w:hAnsi="Times New Roman" w:eastAsia="等线"/>
              </w:rPr>
              <w:t>N\NE</w:t>
            </w:r>
          </w:p>
        </w:tc>
        <w:tc>
          <w:tcPr>
            <w:tcW w:w="1274" w:type="dxa"/>
            <w:vAlign w:val="center"/>
          </w:tcPr>
          <w:p>
            <w:pPr>
              <w:pStyle w:val="39"/>
              <w:rPr>
                <w:rFonts w:ascii="Times New Roman" w:hAnsi="Times New Roman"/>
              </w:rPr>
            </w:pPr>
            <w:r>
              <w:rPr>
                <w:rFonts w:ascii="Times New Roman" w:hAnsi="Times New Roman" w:eastAsia="等线"/>
              </w:rPr>
              <w:t>1757</w:t>
            </w:r>
          </w:p>
        </w:tc>
        <w:tc>
          <w:tcPr>
            <w:tcW w:w="708" w:type="dxa"/>
            <w:vAlign w:val="center"/>
          </w:tcPr>
          <w:p>
            <w:pPr>
              <w:pStyle w:val="39"/>
              <w:rPr>
                <w:rFonts w:ascii="Times New Roman" w:hAnsi="Times New Roman"/>
              </w:rPr>
            </w:pPr>
            <w:r>
              <w:rPr>
                <w:rFonts w:ascii="Times New Roman" w:hAnsi="Times New Roman"/>
              </w:rPr>
              <w:t>民房</w:t>
            </w:r>
          </w:p>
        </w:tc>
        <w:tc>
          <w:tcPr>
            <w:tcW w:w="1137" w:type="dxa"/>
            <w:vAlign w:val="bottom"/>
          </w:tcPr>
          <w:p>
            <w:pPr>
              <w:pStyle w:val="39"/>
              <w:rPr>
                <w:rFonts w:ascii="Times New Roman" w:hAnsi="Times New Roman"/>
              </w:rPr>
            </w:pPr>
            <w:r>
              <w:rPr>
                <w:rFonts w:ascii="Times New Roman" w:hAnsi="Times New Roman" w:eastAsia="等线"/>
              </w:rPr>
              <w:t>2431</w:t>
            </w:r>
          </w:p>
        </w:tc>
        <w:tc>
          <w:tcPr>
            <w:tcW w:w="1134" w:type="dxa"/>
            <w:vAlign w:val="bottom"/>
          </w:tcPr>
          <w:p>
            <w:pPr>
              <w:pStyle w:val="39"/>
              <w:rPr>
                <w:rFonts w:ascii="Times New Roman" w:hAnsi="Times New Roman"/>
              </w:rPr>
            </w:pPr>
            <w:r>
              <w:rPr>
                <w:rFonts w:ascii="Times New Roman" w:hAnsi="Times New Roman" w:eastAsia="等线"/>
              </w:rPr>
              <w:t>674</w:t>
            </w:r>
          </w:p>
        </w:tc>
        <w:tc>
          <w:tcPr>
            <w:tcW w:w="1559" w:type="dxa"/>
          </w:tcPr>
          <w:p>
            <w:pPr>
              <w:pStyle w:val="39"/>
              <w:rPr>
                <w:rFonts w:ascii="Times New Roman" w:hAnsi="Times New Roman" w:eastAsia="等线"/>
              </w:rPr>
            </w:pPr>
            <w:r>
              <w:rPr>
                <w:rFonts w:ascii="Times New Roman" w:hAnsi="Times New Roman" w:eastAsia="等线"/>
              </w:rPr>
              <w:t>大气、风险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2</w:t>
            </w:r>
          </w:p>
        </w:tc>
        <w:tc>
          <w:tcPr>
            <w:tcW w:w="1246" w:type="dxa"/>
            <w:vMerge w:val="continue"/>
            <w:vAlign w:val="center"/>
          </w:tcPr>
          <w:p>
            <w:pPr>
              <w:pStyle w:val="39"/>
              <w:rPr>
                <w:rFonts w:ascii="Times New Roman" w:hAnsi="Times New Roman"/>
              </w:rPr>
            </w:pPr>
          </w:p>
        </w:tc>
        <w:tc>
          <w:tcPr>
            <w:tcW w:w="1335" w:type="dxa"/>
            <w:vAlign w:val="center"/>
          </w:tcPr>
          <w:p>
            <w:pPr>
              <w:pStyle w:val="39"/>
              <w:rPr>
                <w:rFonts w:ascii="Times New Roman" w:hAnsi="Times New Roman"/>
              </w:rPr>
            </w:pPr>
            <w:r>
              <w:rPr>
                <w:rFonts w:ascii="Times New Roman" w:hAnsi="Times New Roman"/>
              </w:rPr>
              <w:t>古楼村</w:t>
            </w:r>
          </w:p>
        </w:tc>
        <w:tc>
          <w:tcPr>
            <w:tcW w:w="1388" w:type="dxa"/>
            <w:vAlign w:val="center"/>
          </w:tcPr>
          <w:p>
            <w:pPr>
              <w:pStyle w:val="39"/>
              <w:rPr>
                <w:rFonts w:ascii="Times New Roman" w:hAnsi="Times New Roman"/>
              </w:rPr>
            </w:pPr>
            <w:r>
              <w:rPr>
                <w:rFonts w:ascii="Times New Roman" w:hAnsi="Times New Roman" w:eastAsia="等线"/>
              </w:rPr>
              <w:t>N\NW</w:t>
            </w:r>
          </w:p>
        </w:tc>
        <w:tc>
          <w:tcPr>
            <w:tcW w:w="1274" w:type="dxa"/>
            <w:vAlign w:val="center"/>
          </w:tcPr>
          <w:p>
            <w:pPr>
              <w:pStyle w:val="39"/>
              <w:rPr>
                <w:rFonts w:ascii="Times New Roman" w:hAnsi="Times New Roman"/>
              </w:rPr>
            </w:pPr>
            <w:r>
              <w:rPr>
                <w:rFonts w:ascii="Times New Roman" w:hAnsi="Times New Roman" w:eastAsia="等线"/>
              </w:rPr>
              <w:t>1250</w:t>
            </w:r>
          </w:p>
        </w:tc>
        <w:tc>
          <w:tcPr>
            <w:tcW w:w="708" w:type="dxa"/>
            <w:vAlign w:val="center"/>
          </w:tcPr>
          <w:p>
            <w:pPr>
              <w:pStyle w:val="39"/>
              <w:rPr>
                <w:rFonts w:ascii="Times New Roman" w:hAnsi="Times New Roman"/>
              </w:rPr>
            </w:pPr>
            <w:r>
              <w:rPr>
                <w:rFonts w:ascii="Times New Roman" w:hAnsi="Times New Roman"/>
              </w:rPr>
              <w:t>民房</w:t>
            </w:r>
          </w:p>
        </w:tc>
        <w:tc>
          <w:tcPr>
            <w:tcW w:w="1137" w:type="dxa"/>
            <w:vAlign w:val="bottom"/>
          </w:tcPr>
          <w:p>
            <w:pPr>
              <w:pStyle w:val="39"/>
              <w:rPr>
                <w:rFonts w:ascii="Times New Roman" w:hAnsi="Times New Roman"/>
              </w:rPr>
            </w:pPr>
            <w:r>
              <w:rPr>
                <w:rFonts w:ascii="Times New Roman" w:hAnsi="Times New Roman" w:eastAsia="等线"/>
              </w:rPr>
              <w:t>3738</w:t>
            </w:r>
          </w:p>
        </w:tc>
        <w:tc>
          <w:tcPr>
            <w:tcW w:w="1134" w:type="dxa"/>
            <w:vAlign w:val="bottom"/>
          </w:tcPr>
          <w:p>
            <w:pPr>
              <w:pStyle w:val="39"/>
              <w:rPr>
                <w:rFonts w:ascii="Times New Roman" w:hAnsi="Times New Roman"/>
              </w:rPr>
            </w:pPr>
            <w:r>
              <w:rPr>
                <w:rFonts w:ascii="Times New Roman" w:hAnsi="Times New Roman" w:eastAsia="等线"/>
              </w:rPr>
              <w:t>1085</w:t>
            </w:r>
          </w:p>
        </w:tc>
        <w:tc>
          <w:tcPr>
            <w:tcW w:w="1559" w:type="dxa"/>
          </w:tcPr>
          <w:p>
            <w:pPr>
              <w:pStyle w:val="39"/>
              <w:rPr>
                <w:rFonts w:ascii="Times New Roman" w:hAnsi="Times New Roman" w:eastAsia="等线"/>
              </w:rPr>
            </w:pPr>
            <w:r>
              <w:rPr>
                <w:rFonts w:ascii="Times New Roman" w:hAnsi="Times New Roman" w:eastAsia="等线"/>
              </w:rPr>
              <w:t>大气、风险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3</w:t>
            </w:r>
          </w:p>
        </w:tc>
        <w:tc>
          <w:tcPr>
            <w:tcW w:w="1246" w:type="dxa"/>
            <w:vMerge w:val="restart"/>
            <w:vAlign w:val="center"/>
          </w:tcPr>
          <w:p>
            <w:pPr>
              <w:pStyle w:val="39"/>
              <w:rPr>
                <w:rFonts w:ascii="Times New Roman" w:hAnsi="Times New Roman"/>
              </w:rPr>
            </w:pPr>
            <w:r>
              <w:rPr>
                <w:rFonts w:ascii="Times New Roman" w:hAnsi="Times New Roman"/>
              </w:rPr>
              <w:t>清溪镇</w:t>
            </w:r>
          </w:p>
        </w:tc>
        <w:tc>
          <w:tcPr>
            <w:tcW w:w="1335" w:type="dxa"/>
            <w:vAlign w:val="center"/>
          </w:tcPr>
          <w:p>
            <w:pPr>
              <w:pStyle w:val="39"/>
              <w:rPr>
                <w:rFonts w:ascii="Times New Roman" w:hAnsi="Times New Roman"/>
              </w:rPr>
            </w:pPr>
            <w:r>
              <w:rPr>
                <w:rFonts w:ascii="Times New Roman" w:hAnsi="Times New Roman"/>
              </w:rPr>
              <w:t>五道口村</w:t>
            </w:r>
          </w:p>
        </w:tc>
        <w:tc>
          <w:tcPr>
            <w:tcW w:w="1388" w:type="dxa"/>
            <w:vAlign w:val="center"/>
          </w:tcPr>
          <w:p>
            <w:pPr>
              <w:pStyle w:val="39"/>
              <w:rPr>
                <w:rFonts w:ascii="Times New Roman" w:hAnsi="Times New Roman"/>
              </w:rPr>
            </w:pPr>
            <w:r>
              <w:rPr>
                <w:rFonts w:ascii="Times New Roman" w:hAnsi="Times New Roman"/>
              </w:rPr>
              <w:t>所在地</w:t>
            </w:r>
          </w:p>
        </w:tc>
        <w:tc>
          <w:tcPr>
            <w:tcW w:w="1274" w:type="dxa"/>
            <w:vAlign w:val="center"/>
          </w:tcPr>
          <w:p>
            <w:pPr>
              <w:pStyle w:val="39"/>
              <w:rPr>
                <w:rFonts w:ascii="Times New Roman" w:hAnsi="Times New Roman"/>
              </w:rPr>
            </w:pPr>
            <w:r>
              <w:rPr>
                <w:rFonts w:ascii="Times New Roman" w:hAnsi="Times New Roman" w:eastAsia="等线"/>
              </w:rPr>
              <w:t>260</w:t>
            </w:r>
          </w:p>
        </w:tc>
        <w:tc>
          <w:tcPr>
            <w:tcW w:w="708" w:type="dxa"/>
            <w:vAlign w:val="center"/>
          </w:tcPr>
          <w:p>
            <w:pPr>
              <w:pStyle w:val="39"/>
              <w:rPr>
                <w:rFonts w:ascii="Times New Roman" w:hAnsi="Times New Roman"/>
              </w:rPr>
            </w:pPr>
            <w:r>
              <w:rPr>
                <w:rFonts w:ascii="Times New Roman" w:hAnsi="Times New Roman"/>
              </w:rPr>
              <w:t>民房</w:t>
            </w:r>
          </w:p>
        </w:tc>
        <w:tc>
          <w:tcPr>
            <w:tcW w:w="1137" w:type="dxa"/>
            <w:vAlign w:val="bottom"/>
          </w:tcPr>
          <w:p>
            <w:pPr>
              <w:pStyle w:val="39"/>
              <w:rPr>
                <w:rFonts w:ascii="Times New Roman" w:hAnsi="Times New Roman"/>
              </w:rPr>
            </w:pPr>
            <w:r>
              <w:rPr>
                <w:rFonts w:ascii="Times New Roman" w:hAnsi="Times New Roman" w:eastAsia="等线"/>
              </w:rPr>
              <w:t>2352</w:t>
            </w:r>
          </w:p>
        </w:tc>
        <w:tc>
          <w:tcPr>
            <w:tcW w:w="1134" w:type="dxa"/>
            <w:vAlign w:val="bottom"/>
          </w:tcPr>
          <w:p>
            <w:pPr>
              <w:pStyle w:val="39"/>
              <w:rPr>
                <w:rFonts w:ascii="Times New Roman" w:hAnsi="Times New Roman"/>
              </w:rPr>
            </w:pPr>
            <w:r>
              <w:rPr>
                <w:rFonts w:ascii="Times New Roman" w:hAnsi="Times New Roman" w:eastAsia="等线"/>
              </w:rPr>
              <w:t>634</w:t>
            </w:r>
          </w:p>
        </w:tc>
        <w:tc>
          <w:tcPr>
            <w:tcW w:w="1559" w:type="dxa"/>
          </w:tcPr>
          <w:p>
            <w:pPr>
              <w:pStyle w:val="39"/>
              <w:rPr>
                <w:rFonts w:ascii="Times New Roman" w:hAnsi="Times New Roman" w:eastAsia="等线"/>
              </w:rPr>
            </w:pPr>
            <w:r>
              <w:rPr>
                <w:rFonts w:ascii="Times New Roman" w:hAnsi="Times New Roman" w:eastAsia="等线"/>
              </w:rPr>
              <w:t>大气、风险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4</w:t>
            </w:r>
          </w:p>
        </w:tc>
        <w:tc>
          <w:tcPr>
            <w:tcW w:w="1246" w:type="dxa"/>
            <w:vMerge w:val="continue"/>
            <w:vAlign w:val="center"/>
          </w:tcPr>
          <w:p>
            <w:pPr>
              <w:pStyle w:val="39"/>
              <w:rPr>
                <w:rFonts w:ascii="Times New Roman" w:hAnsi="Times New Roman"/>
              </w:rPr>
            </w:pPr>
          </w:p>
        </w:tc>
        <w:tc>
          <w:tcPr>
            <w:tcW w:w="1335" w:type="dxa"/>
            <w:vAlign w:val="center"/>
          </w:tcPr>
          <w:p>
            <w:pPr>
              <w:pStyle w:val="39"/>
              <w:rPr>
                <w:rFonts w:ascii="Times New Roman" w:hAnsi="Times New Roman"/>
              </w:rPr>
            </w:pPr>
            <w:r>
              <w:rPr>
                <w:rFonts w:ascii="Times New Roman" w:hAnsi="Times New Roman"/>
              </w:rPr>
              <w:t>宏文村</w:t>
            </w:r>
          </w:p>
        </w:tc>
        <w:tc>
          <w:tcPr>
            <w:tcW w:w="1388" w:type="dxa"/>
            <w:vAlign w:val="center"/>
          </w:tcPr>
          <w:p>
            <w:pPr>
              <w:pStyle w:val="39"/>
              <w:rPr>
                <w:rFonts w:ascii="Times New Roman" w:hAnsi="Times New Roman"/>
              </w:rPr>
            </w:pPr>
            <w:r>
              <w:rPr>
                <w:rFonts w:ascii="Times New Roman" w:hAnsi="Times New Roman" w:eastAsia="等线"/>
              </w:rPr>
              <w:t>SW</w:t>
            </w:r>
          </w:p>
        </w:tc>
        <w:tc>
          <w:tcPr>
            <w:tcW w:w="1274" w:type="dxa"/>
            <w:vAlign w:val="center"/>
          </w:tcPr>
          <w:p>
            <w:pPr>
              <w:pStyle w:val="39"/>
              <w:rPr>
                <w:rFonts w:ascii="Times New Roman" w:hAnsi="Times New Roman"/>
              </w:rPr>
            </w:pPr>
            <w:r>
              <w:rPr>
                <w:rFonts w:ascii="Times New Roman" w:hAnsi="Times New Roman" w:eastAsia="等线"/>
              </w:rPr>
              <w:t>1990</w:t>
            </w:r>
          </w:p>
        </w:tc>
        <w:tc>
          <w:tcPr>
            <w:tcW w:w="708" w:type="dxa"/>
            <w:vAlign w:val="center"/>
          </w:tcPr>
          <w:p>
            <w:pPr>
              <w:pStyle w:val="39"/>
              <w:rPr>
                <w:rFonts w:ascii="Times New Roman" w:hAnsi="Times New Roman"/>
              </w:rPr>
            </w:pPr>
            <w:r>
              <w:rPr>
                <w:rFonts w:ascii="Times New Roman" w:hAnsi="Times New Roman"/>
              </w:rPr>
              <w:t>民房</w:t>
            </w:r>
          </w:p>
        </w:tc>
        <w:tc>
          <w:tcPr>
            <w:tcW w:w="1137" w:type="dxa"/>
            <w:vAlign w:val="bottom"/>
          </w:tcPr>
          <w:p>
            <w:pPr>
              <w:pStyle w:val="39"/>
              <w:rPr>
                <w:rFonts w:ascii="Times New Roman" w:hAnsi="Times New Roman"/>
              </w:rPr>
            </w:pPr>
            <w:r>
              <w:rPr>
                <w:rFonts w:ascii="Times New Roman" w:hAnsi="Times New Roman" w:eastAsia="等线"/>
              </w:rPr>
              <w:t>2719</w:t>
            </w:r>
          </w:p>
        </w:tc>
        <w:tc>
          <w:tcPr>
            <w:tcW w:w="1134" w:type="dxa"/>
            <w:vAlign w:val="bottom"/>
          </w:tcPr>
          <w:p>
            <w:pPr>
              <w:pStyle w:val="39"/>
              <w:rPr>
                <w:rFonts w:ascii="Times New Roman" w:hAnsi="Times New Roman"/>
              </w:rPr>
            </w:pPr>
            <w:r>
              <w:rPr>
                <w:rFonts w:ascii="Times New Roman" w:hAnsi="Times New Roman" w:eastAsia="等线"/>
              </w:rPr>
              <w:t>639</w:t>
            </w:r>
          </w:p>
        </w:tc>
        <w:tc>
          <w:tcPr>
            <w:tcW w:w="1559" w:type="dxa"/>
          </w:tcPr>
          <w:p>
            <w:pPr>
              <w:pStyle w:val="39"/>
              <w:rPr>
                <w:rFonts w:ascii="Times New Roman" w:hAnsi="Times New Roman" w:eastAsia="等线"/>
              </w:rPr>
            </w:pPr>
            <w:r>
              <w:rPr>
                <w:rFonts w:ascii="Times New Roman" w:hAnsi="Times New Roman" w:eastAsia="等线"/>
              </w:rPr>
              <w:t>大气、风险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5</w:t>
            </w:r>
          </w:p>
        </w:tc>
        <w:tc>
          <w:tcPr>
            <w:tcW w:w="1246" w:type="dxa"/>
            <w:vMerge w:val="continue"/>
            <w:vAlign w:val="center"/>
          </w:tcPr>
          <w:p>
            <w:pPr>
              <w:pStyle w:val="39"/>
              <w:rPr>
                <w:rFonts w:ascii="Times New Roman" w:hAnsi="Times New Roman"/>
              </w:rPr>
            </w:pPr>
          </w:p>
        </w:tc>
        <w:tc>
          <w:tcPr>
            <w:tcW w:w="1335" w:type="dxa"/>
            <w:vAlign w:val="center"/>
          </w:tcPr>
          <w:p>
            <w:pPr>
              <w:pStyle w:val="39"/>
              <w:rPr>
                <w:rFonts w:ascii="Times New Roman" w:hAnsi="Times New Roman"/>
              </w:rPr>
            </w:pPr>
            <w:r>
              <w:rPr>
                <w:rFonts w:ascii="Times New Roman" w:hAnsi="Times New Roman"/>
              </w:rPr>
              <w:t>马伏村</w:t>
            </w:r>
          </w:p>
        </w:tc>
        <w:tc>
          <w:tcPr>
            <w:tcW w:w="1388" w:type="dxa"/>
            <w:vAlign w:val="center"/>
          </w:tcPr>
          <w:p>
            <w:pPr>
              <w:pStyle w:val="39"/>
              <w:rPr>
                <w:rFonts w:ascii="Times New Roman" w:hAnsi="Times New Roman"/>
              </w:rPr>
            </w:pPr>
            <w:r>
              <w:rPr>
                <w:rFonts w:ascii="Times New Roman" w:hAnsi="Times New Roman" w:eastAsia="等线"/>
              </w:rPr>
              <w:t>SW</w:t>
            </w:r>
          </w:p>
        </w:tc>
        <w:tc>
          <w:tcPr>
            <w:tcW w:w="1274" w:type="dxa"/>
            <w:vAlign w:val="center"/>
          </w:tcPr>
          <w:p>
            <w:pPr>
              <w:pStyle w:val="39"/>
              <w:rPr>
                <w:rFonts w:ascii="Times New Roman" w:hAnsi="Times New Roman"/>
              </w:rPr>
            </w:pPr>
            <w:r>
              <w:rPr>
                <w:rFonts w:ascii="Times New Roman" w:hAnsi="Times New Roman" w:eastAsia="等线"/>
              </w:rPr>
              <w:t>1910</w:t>
            </w:r>
          </w:p>
        </w:tc>
        <w:tc>
          <w:tcPr>
            <w:tcW w:w="708" w:type="dxa"/>
            <w:vAlign w:val="center"/>
          </w:tcPr>
          <w:p>
            <w:pPr>
              <w:pStyle w:val="39"/>
              <w:rPr>
                <w:rFonts w:ascii="Times New Roman" w:hAnsi="Times New Roman"/>
              </w:rPr>
            </w:pPr>
            <w:r>
              <w:rPr>
                <w:rFonts w:ascii="Times New Roman" w:hAnsi="Times New Roman"/>
              </w:rPr>
              <w:t>民房</w:t>
            </w:r>
          </w:p>
        </w:tc>
        <w:tc>
          <w:tcPr>
            <w:tcW w:w="1137" w:type="dxa"/>
            <w:vAlign w:val="bottom"/>
          </w:tcPr>
          <w:p>
            <w:pPr>
              <w:pStyle w:val="39"/>
              <w:rPr>
                <w:rFonts w:ascii="Times New Roman" w:hAnsi="Times New Roman"/>
              </w:rPr>
            </w:pPr>
            <w:r>
              <w:rPr>
                <w:rFonts w:ascii="Times New Roman" w:hAnsi="Times New Roman" w:eastAsia="等线"/>
              </w:rPr>
              <w:t>5025</w:t>
            </w:r>
          </w:p>
        </w:tc>
        <w:tc>
          <w:tcPr>
            <w:tcW w:w="1134" w:type="dxa"/>
            <w:vAlign w:val="bottom"/>
          </w:tcPr>
          <w:p>
            <w:pPr>
              <w:pStyle w:val="39"/>
              <w:rPr>
                <w:rFonts w:ascii="Times New Roman" w:hAnsi="Times New Roman"/>
              </w:rPr>
            </w:pPr>
            <w:r>
              <w:rPr>
                <w:rFonts w:ascii="Times New Roman" w:hAnsi="Times New Roman" w:eastAsia="等线"/>
              </w:rPr>
              <w:t>1256</w:t>
            </w:r>
          </w:p>
        </w:tc>
        <w:tc>
          <w:tcPr>
            <w:tcW w:w="1559" w:type="dxa"/>
          </w:tcPr>
          <w:p>
            <w:pPr>
              <w:pStyle w:val="39"/>
              <w:rPr>
                <w:rFonts w:ascii="Times New Roman" w:hAnsi="Times New Roman" w:eastAsia="等线"/>
              </w:rPr>
            </w:pPr>
            <w:r>
              <w:rPr>
                <w:rFonts w:ascii="Times New Roman" w:hAnsi="Times New Roman" w:eastAsia="等线"/>
              </w:rPr>
              <w:t>大气、风险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6</w:t>
            </w:r>
          </w:p>
        </w:tc>
        <w:tc>
          <w:tcPr>
            <w:tcW w:w="1246" w:type="dxa"/>
            <w:vAlign w:val="center"/>
          </w:tcPr>
          <w:p>
            <w:pPr>
              <w:pStyle w:val="39"/>
              <w:rPr>
                <w:rFonts w:ascii="Times New Roman" w:hAnsi="Times New Roman"/>
              </w:rPr>
            </w:pPr>
            <w:r>
              <w:rPr>
                <w:rFonts w:ascii="Times New Roman" w:hAnsi="Times New Roman"/>
              </w:rPr>
              <w:t>桃花镇</w:t>
            </w:r>
          </w:p>
        </w:tc>
        <w:tc>
          <w:tcPr>
            <w:tcW w:w="1335" w:type="dxa"/>
            <w:vAlign w:val="center"/>
          </w:tcPr>
          <w:p>
            <w:pPr>
              <w:pStyle w:val="39"/>
              <w:rPr>
                <w:rFonts w:ascii="Times New Roman" w:hAnsi="Times New Roman"/>
              </w:rPr>
            </w:pPr>
            <w:r>
              <w:rPr>
                <w:rFonts w:ascii="Times New Roman" w:hAnsi="Times New Roman"/>
              </w:rPr>
              <w:t>中山村</w:t>
            </w:r>
          </w:p>
        </w:tc>
        <w:tc>
          <w:tcPr>
            <w:tcW w:w="1388" w:type="dxa"/>
            <w:vAlign w:val="center"/>
          </w:tcPr>
          <w:p>
            <w:pPr>
              <w:pStyle w:val="39"/>
              <w:rPr>
                <w:rFonts w:ascii="Times New Roman" w:hAnsi="Times New Roman"/>
              </w:rPr>
            </w:pPr>
            <w:r>
              <w:rPr>
                <w:rFonts w:ascii="Times New Roman" w:hAnsi="Times New Roman" w:eastAsia="等线"/>
              </w:rPr>
              <w:t>E</w:t>
            </w:r>
          </w:p>
        </w:tc>
        <w:tc>
          <w:tcPr>
            <w:tcW w:w="1274" w:type="dxa"/>
            <w:vAlign w:val="center"/>
          </w:tcPr>
          <w:p>
            <w:pPr>
              <w:pStyle w:val="39"/>
              <w:rPr>
                <w:rFonts w:ascii="Times New Roman" w:hAnsi="Times New Roman"/>
              </w:rPr>
            </w:pPr>
            <w:r>
              <w:rPr>
                <w:rFonts w:ascii="Times New Roman" w:hAnsi="Times New Roman" w:eastAsia="等线"/>
              </w:rPr>
              <w:t>1550</w:t>
            </w:r>
          </w:p>
        </w:tc>
        <w:tc>
          <w:tcPr>
            <w:tcW w:w="708" w:type="dxa"/>
            <w:vAlign w:val="center"/>
          </w:tcPr>
          <w:p>
            <w:pPr>
              <w:pStyle w:val="39"/>
              <w:rPr>
                <w:rFonts w:ascii="Times New Roman" w:hAnsi="Times New Roman"/>
              </w:rPr>
            </w:pPr>
            <w:r>
              <w:rPr>
                <w:rFonts w:ascii="Times New Roman" w:hAnsi="Times New Roman"/>
              </w:rPr>
              <w:t>民房</w:t>
            </w:r>
          </w:p>
        </w:tc>
        <w:tc>
          <w:tcPr>
            <w:tcW w:w="1137" w:type="dxa"/>
            <w:vAlign w:val="bottom"/>
          </w:tcPr>
          <w:p>
            <w:pPr>
              <w:pStyle w:val="39"/>
              <w:rPr>
                <w:rFonts w:ascii="Times New Roman" w:hAnsi="Times New Roman"/>
              </w:rPr>
            </w:pPr>
            <w:r>
              <w:rPr>
                <w:rFonts w:ascii="Times New Roman" w:hAnsi="Times New Roman" w:eastAsia="等线"/>
              </w:rPr>
              <w:t>932</w:t>
            </w:r>
          </w:p>
        </w:tc>
        <w:tc>
          <w:tcPr>
            <w:tcW w:w="1134" w:type="dxa"/>
            <w:vAlign w:val="bottom"/>
          </w:tcPr>
          <w:p>
            <w:pPr>
              <w:pStyle w:val="39"/>
              <w:rPr>
                <w:rFonts w:ascii="Times New Roman" w:hAnsi="Times New Roman"/>
              </w:rPr>
            </w:pPr>
            <w:r>
              <w:rPr>
                <w:rFonts w:ascii="Times New Roman" w:hAnsi="Times New Roman" w:eastAsia="等线"/>
              </w:rPr>
              <w:t>248</w:t>
            </w:r>
          </w:p>
        </w:tc>
        <w:tc>
          <w:tcPr>
            <w:tcW w:w="1559" w:type="dxa"/>
          </w:tcPr>
          <w:p>
            <w:pPr>
              <w:pStyle w:val="39"/>
              <w:rPr>
                <w:rFonts w:ascii="Times New Roman" w:hAnsi="Times New Roman" w:eastAsia="等线"/>
              </w:rPr>
            </w:pPr>
            <w:r>
              <w:rPr>
                <w:rFonts w:ascii="Times New Roman" w:hAnsi="Times New Roman" w:eastAsia="等线"/>
              </w:rPr>
              <w:t>大气、风险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7</w:t>
            </w:r>
          </w:p>
        </w:tc>
        <w:tc>
          <w:tcPr>
            <w:tcW w:w="2581" w:type="dxa"/>
            <w:gridSpan w:val="2"/>
            <w:vAlign w:val="bottom"/>
          </w:tcPr>
          <w:p>
            <w:pPr>
              <w:pStyle w:val="39"/>
              <w:rPr>
                <w:rFonts w:ascii="Times New Roman" w:hAnsi="Times New Roman"/>
              </w:rPr>
            </w:pPr>
            <w:r>
              <w:rPr>
                <w:rFonts w:ascii="Times New Roman" w:hAnsi="Times New Roman"/>
              </w:rPr>
              <w:t>清溪镇桂花小学</w:t>
            </w:r>
          </w:p>
        </w:tc>
        <w:tc>
          <w:tcPr>
            <w:tcW w:w="1388" w:type="dxa"/>
            <w:vAlign w:val="bottom"/>
          </w:tcPr>
          <w:p>
            <w:pPr>
              <w:pStyle w:val="39"/>
              <w:rPr>
                <w:rFonts w:ascii="Times New Roman" w:hAnsi="Times New Roman"/>
              </w:rPr>
            </w:pPr>
            <w:r>
              <w:rPr>
                <w:rFonts w:ascii="Times New Roman" w:hAnsi="Times New Roman" w:eastAsia="等线"/>
              </w:rPr>
              <w:t>S</w:t>
            </w:r>
          </w:p>
        </w:tc>
        <w:tc>
          <w:tcPr>
            <w:tcW w:w="1274" w:type="dxa"/>
            <w:vAlign w:val="bottom"/>
          </w:tcPr>
          <w:p>
            <w:pPr>
              <w:pStyle w:val="39"/>
              <w:rPr>
                <w:rFonts w:ascii="Times New Roman" w:hAnsi="Times New Roman"/>
              </w:rPr>
            </w:pPr>
            <w:r>
              <w:rPr>
                <w:rFonts w:ascii="Times New Roman" w:hAnsi="Times New Roman" w:eastAsia="等线"/>
              </w:rPr>
              <w:t>2996</w:t>
            </w:r>
          </w:p>
        </w:tc>
        <w:tc>
          <w:tcPr>
            <w:tcW w:w="708" w:type="dxa"/>
            <w:vAlign w:val="center"/>
          </w:tcPr>
          <w:p>
            <w:pPr>
              <w:pStyle w:val="39"/>
              <w:rPr>
                <w:rFonts w:ascii="Times New Roman" w:hAnsi="Times New Roman"/>
              </w:rPr>
            </w:pPr>
            <w:r>
              <w:rPr>
                <w:rFonts w:ascii="Times New Roman" w:hAnsi="Times New Roman"/>
              </w:rPr>
              <w:t>学校</w:t>
            </w:r>
          </w:p>
        </w:tc>
        <w:tc>
          <w:tcPr>
            <w:tcW w:w="2271" w:type="dxa"/>
            <w:gridSpan w:val="2"/>
            <w:vAlign w:val="bottom"/>
          </w:tcPr>
          <w:p>
            <w:pPr>
              <w:pStyle w:val="39"/>
              <w:rPr>
                <w:rFonts w:ascii="Times New Roman" w:hAnsi="Times New Roman"/>
              </w:rPr>
            </w:pPr>
            <w:r>
              <w:rPr>
                <w:rFonts w:ascii="Times New Roman" w:hAnsi="Times New Roman"/>
              </w:rPr>
              <w:t>教师1人，学生4人</w:t>
            </w:r>
          </w:p>
        </w:tc>
        <w:tc>
          <w:tcPr>
            <w:tcW w:w="1559" w:type="dxa"/>
          </w:tcPr>
          <w:p>
            <w:pPr>
              <w:pStyle w:val="39"/>
              <w:rPr>
                <w:rFonts w:ascii="Times New Roman" w:hAnsi="Times New Roman"/>
              </w:rPr>
            </w:pPr>
            <w:r>
              <w:rPr>
                <w:rFonts w:ascii="Times New Roman" w:hAnsi="Times New Roman" w:eastAsia="等线"/>
              </w:rPr>
              <w:t>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8</w:t>
            </w:r>
          </w:p>
        </w:tc>
        <w:tc>
          <w:tcPr>
            <w:tcW w:w="2581" w:type="dxa"/>
            <w:gridSpan w:val="2"/>
            <w:vAlign w:val="bottom"/>
          </w:tcPr>
          <w:p>
            <w:pPr>
              <w:pStyle w:val="39"/>
              <w:rPr>
                <w:rFonts w:ascii="Times New Roman" w:hAnsi="Times New Roman"/>
              </w:rPr>
            </w:pPr>
            <w:r>
              <w:rPr>
                <w:rFonts w:ascii="Times New Roman" w:hAnsi="Times New Roman"/>
              </w:rPr>
              <w:t>清溪镇马伏村卫生院</w:t>
            </w:r>
          </w:p>
        </w:tc>
        <w:tc>
          <w:tcPr>
            <w:tcW w:w="1388" w:type="dxa"/>
            <w:vAlign w:val="bottom"/>
          </w:tcPr>
          <w:p>
            <w:pPr>
              <w:pStyle w:val="39"/>
              <w:rPr>
                <w:rFonts w:ascii="Times New Roman" w:hAnsi="Times New Roman"/>
              </w:rPr>
            </w:pPr>
            <w:r>
              <w:rPr>
                <w:rFonts w:ascii="Times New Roman" w:hAnsi="Times New Roman" w:eastAsia="等线"/>
              </w:rPr>
              <w:t>S</w:t>
            </w:r>
          </w:p>
        </w:tc>
        <w:tc>
          <w:tcPr>
            <w:tcW w:w="1274" w:type="dxa"/>
            <w:vAlign w:val="bottom"/>
          </w:tcPr>
          <w:p>
            <w:pPr>
              <w:pStyle w:val="39"/>
              <w:rPr>
                <w:rFonts w:ascii="Times New Roman" w:hAnsi="Times New Roman"/>
              </w:rPr>
            </w:pPr>
            <w:r>
              <w:rPr>
                <w:rFonts w:ascii="Times New Roman" w:hAnsi="Times New Roman" w:eastAsia="等线"/>
              </w:rPr>
              <w:t>2484</w:t>
            </w:r>
          </w:p>
        </w:tc>
        <w:tc>
          <w:tcPr>
            <w:tcW w:w="708" w:type="dxa"/>
            <w:vAlign w:val="center"/>
          </w:tcPr>
          <w:p>
            <w:pPr>
              <w:pStyle w:val="39"/>
              <w:rPr>
                <w:rFonts w:ascii="Times New Roman" w:hAnsi="Times New Roman"/>
              </w:rPr>
            </w:pPr>
            <w:r>
              <w:rPr>
                <w:rFonts w:ascii="Times New Roman" w:hAnsi="Times New Roman"/>
              </w:rPr>
              <w:t>医院</w:t>
            </w:r>
          </w:p>
        </w:tc>
        <w:tc>
          <w:tcPr>
            <w:tcW w:w="2271" w:type="dxa"/>
            <w:gridSpan w:val="2"/>
            <w:vAlign w:val="bottom"/>
          </w:tcPr>
          <w:p>
            <w:pPr>
              <w:pStyle w:val="39"/>
              <w:rPr>
                <w:rFonts w:ascii="Times New Roman" w:hAnsi="Times New Roman"/>
              </w:rPr>
            </w:pPr>
            <w:r>
              <w:rPr>
                <w:rFonts w:ascii="Times New Roman" w:hAnsi="Times New Roman" w:eastAsia="等线"/>
              </w:rPr>
              <w:t>2</w:t>
            </w:r>
            <w:r>
              <w:rPr>
                <w:rFonts w:ascii="Times New Roman" w:hAnsi="Times New Roman"/>
              </w:rPr>
              <w:t>人</w:t>
            </w:r>
          </w:p>
        </w:tc>
        <w:tc>
          <w:tcPr>
            <w:tcW w:w="1559" w:type="dxa"/>
          </w:tcPr>
          <w:p>
            <w:pPr>
              <w:pStyle w:val="39"/>
              <w:rPr>
                <w:rFonts w:ascii="Times New Roman" w:hAnsi="Times New Roman" w:eastAsia="等线"/>
              </w:rPr>
            </w:pPr>
            <w:r>
              <w:rPr>
                <w:rFonts w:ascii="Times New Roman" w:hAnsi="Times New Roman" w:eastAsia="等线"/>
              </w:rPr>
              <w:t>大气、风险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9</w:t>
            </w:r>
          </w:p>
        </w:tc>
        <w:tc>
          <w:tcPr>
            <w:tcW w:w="2581" w:type="dxa"/>
            <w:gridSpan w:val="2"/>
            <w:vAlign w:val="bottom"/>
          </w:tcPr>
          <w:p>
            <w:pPr>
              <w:pStyle w:val="39"/>
              <w:rPr>
                <w:rFonts w:ascii="Times New Roman" w:hAnsi="Times New Roman"/>
              </w:rPr>
            </w:pPr>
            <w:r>
              <w:rPr>
                <w:rFonts w:ascii="Times New Roman" w:hAnsi="Times New Roman"/>
              </w:rPr>
              <w:t>老君乡古楼村小学</w:t>
            </w:r>
          </w:p>
        </w:tc>
        <w:tc>
          <w:tcPr>
            <w:tcW w:w="1388" w:type="dxa"/>
            <w:vAlign w:val="bottom"/>
          </w:tcPr>
          <w:p>
            <w:pPr>
              <w:pStyle w:val="39"/>
              <w:rPr>
                <w:rFonts w:ascii="Times New Roman" w:hAnsi="Times New Roman"/>
              </w:rPr>
            </w:pPr>
            <w:r>
              <w:rPr>
                <w:rFonts w:ascii="Times New Roman" w:hAnsi="Times New Roman" w:eastAsia="等线"/>
              </w:rPr>
              <w:t>NW</w:t>
            </w:r>
          </w:p>
        </w:tc>
        <w:tc>
          <w:tcPr>
            <w:tcW w:w="1274" w:type="dxa"/>
            <w:vAlign w:val="bottom"/>
          </w:tcPr>
          <w:p>
            <w:pPr>
              <w:pStyle w:val="39"/>
              <w:rPr>
                <w:rFonts w:ascii="Times New Roman" w:hAnsi="Times New Roman"/>
              </w:rPr>
            </w:pPr>
            <w:r>
              <w:rPr>
                <w:rFonts w:ascii="Times New Roman" w:hAnsi="Times New Roman" w:eastAsia="等线"/>
              </w:rPr>
              <w:t>2658</w:t>
            </w:r>
          </w:p>
        </w:tc>
        <w:tc>
          <w:tcPr>
            <w:tcW w:w="708" w:type="dxa"/>
            <w:vAlign w:val="center"/>
          </w:tcPr>
          <w:p>
            <w:pPr>
              <w:pStyle w:val="39"/>
              <w:rPr>
                <w:rFonts w:ascii="Times New Roman" w:hAnsi="Times New Roman"/>
              </w:rPr>
            </w:pPr>
            <w:r>
              <w:rPr>
                <w:rFonts w:ascii="Times New Roman" w:hAnsi="Times New Roman"/>
              </w:rPr>
              <w:t>学校</w:t>
            </w:r>
          </w:p>
        </w:tc>
        <w:tc>
          <w:tcPr>
            <w:tcW w:w="2271" w:type="dxa"/>
            <w:gridSpan w:val="2"/>
            <w:vAlign w:val="bottom"/>
          </w:tcPr>
          <w:p>
            <w:pPr>
              <w:pStyle w:val="39"/>
              <w:rPr>
                <w:rFonts w:ascii="Times New Roman" w:hAnsi="Times New Roman"/>
              </w:rPr>
            </w:pPr>
            <w:r>
              <w:rPr>
                <w:rFonts w:ascii="Times New Roman" w:hAnsi="Times New Roman"/>
              </w:rPr>
              <w:t>教师</w:t>
            </w:r>
            <w:r>
              <w:rPr>
                <w:rFonts w:ascii="Times New Roman" w:hAnsi="Times New Roman" w:eastAsia="等线"/>
              </w:rPr>
              <w:t>5</w:t>
            </w:r>
            <w:r>
              <w:rPr>
                <w:rFonts w:ascii="Times New Roman" w:hAnsi="Times New Roman"/>
              </w:rPr>
              <w:t>人，学生30人</w:t>
            </w:r>
          </w:p>
        </w:tc>
        <w:tc>
          <w:tcPr>
            <w:tcW w:w="1559" w:type="dxa"/>
          </w:tcPr>
          <w:p>
            <w:pPr>
              <w:pStyle w:val="39"/>
              <w:rPr>
                <w:rFonts w:ascii="Times New Roman" w:hAnsi="Times New Roman"/>
              </w:rPr>
            </w:pPr>
            <w:r>
              <w:rPr>
                <w:rFonts w:ascii="Times New Roman" w:hAnsi="Times New Roman" w:eastAsia="等线"/>
              </w:rPr>
              <w:t>大气、风险</w:t>
            </w:r>
          </w:p>
        </w:tc>
      </w:tr>
    </w:tbl>
    <w:p>
      <w:pPr>
        <w:pStyle w:val="37"/>
        <w:rPr>
          <w:rFonts w:ascii="Times New Roman" w:hAnsi="Times New Roman" w:cs="Times New Roman"/>
        </w:rPr>
      </w:pPr>
      <w:bookmarkStart w:id="38" w:name="_Ref15568662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28</w:t>
      </w:r>
      <w:r>
        <w:rPr>
          <w:rFonts w:ascii="Times New Roman" w:hAnsi="Times New Roman" w:cs="Times New Roman"/>
        </w:rPr>
        <w:fldChar w:fldCharType="end"/>
      </w:r>
      <w:bookmarkEnd w:id="38"/>
      <w:r>
        <w:rPr>
          <w:rFonts w:ascii="Times New Roman" w:hAnsi="Times New Roman" w:cs="Times New Roman"/>
        </w:rPr>
        <w:t xml:space="preserve">  管道沿线声环境、环境风险（大气）保护目标一览表</w:t>
      </w:r>
    </w:p>
    <w:tbl>
      <w:tblPr>
        <w:tblStyle w:val="28"/>
        <w:tblW w:w="917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62"/>
        <w:gridCol w:w="1246"/>
        <w:gridCol w:w="1335"/>
        <w:gridCol w:w="1774"/>
        <w:gridCol w:w="1274"/>
        <w:gridCol w:w="708"/>
        <w:gridCol w:w="1137"/>
        <w:gridCol w:w="11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9172" w:type="dxa"/>
            <w:gridSpan w:val="8"/>
            <w:vAlign w:val="center"/>
          </w:tcPr>
          <w:p>
            <w:pPr>
              <w:pStyle w:val="39"/>
              <w:rPr>
                <w:rFonts w:ascii="Times New Roman" w:hAnsi="Times New Roman"/>
              </w:rPr>
            </w:pPr>
            <w:r>
              <w:rPr>
                <w:rFonts w:ascii="Times New Roman" w:hAnsi="Times New Roman"/>
              </w:rPr>
              <w:t>集气干线（宣兴1井站-宣探阀室）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Merge w:val="restart"/>
            <w:vAlign w:val="center"/>
          </w:tcPr>
          <w:p>
            <w:pPr>
              <w:pStyle w:val="39"/>
              <w:rPr>
                <w:rFonts w:ascii="Times New Roman" w:hAnsi="Times New Roman"/>
              </w:rPr>
            </w:pPr>
            <w:r>
              <w:rPr>
                <w:rFonts w:ascii="Times New Roman" w:hAnsi="Times New Roman"/>
              </w:rPr>
              <w:t>编号</w:t>
            </w:r>
          </w:p>
        </w:tc>
        <w:tc>
          <w:tcPr>
            <w:tcW w:w="2581" w:type="dxa"/>
            <w:gridSpan w:val="2"/>
            <w:vMerge w:val="restart"/>
            <w:vAlign w:val="center"/>
          </w:tcPr>
          <w:p>
            <w:pPr>
              <w:pStyle w:val="39"/>
              <w:rPr>
                <w:rFonts w:ascii="Times New Roman" w:hAnsi="Times New Roman"/>
              </w:rPr>
            </w:pPr>
            <w:r>
              <w:rPr>
                <w:rFonts w:ascii="Times New Roman" w:hAnsi="Times New Roman"/>
              </w:rPr>
              <w:t>敏感目标名称</w:t>
            </w:r>
          </w:p>
        </w:tc>
        <w:tc>
          <w:tcPr>
            <w:tcW w:w="1774" w:type="dxa"/>
            <w:vMerge w:val="restart"/>
            <w:vAlign w:val="center"/>
          </w:tcPr>
          <w:p>
            <w:pPr>
              <w:pStyle w:val="39"/>
              <w:rPr>
                <w:rFonts w:ascii="Times New Roman" w:hAnsi="Times New Roman"/>
              </w:rPr>
            </w:pPr>
            <w:r>
              <w:rPr>
                <w:rFonts w:ascii="Times New Roman" w:hAnsi="Times New Roman"/>
              </w:rPr>
              <w:t>相对于管线的方位(最近房屋)</w:t>
            </w:r>
          </w:p>
        </w:tc>
        <w:tc>
          <w:tcPr>
            <w:tcW w:w="1274" w:type="dxa"/>
            <w:vMerge w:val="restart"/>
            <w:vAlign w:val="center"/>
          </w:tcPr>
          <w:p>
            <w:pPr>
              <w:pStyle w:val="39"/>
              <w:rPr>
                <w:rFonts w:ascii="Times New Roman" w:hAnsi="Times New Roman"/>
              </w:rPr>
            </w:pPr>
            <w:r>
              <w:rPr>
                <w:rFonts w:ascii="Times New Roman" w:hAnsi="Times New Roman"/>
              </w:rPr>
              <w:t>距离/m</w:t>
            </w:r>
          </w:p>
          <w:p>
            <w:pPr>
              <w:pStyle w:val="39"/>
              <w:rPr>
                <w:rFonts w:ascii="Times New Roman" w:hAnsi="Times New Roman"/>
              </w:rPr>
            </w:pPr>
            <w:r>
              <w:rPr>
                <w:rFonts w:ascii="Times New Roman" w:hAnsi="Times New Roman"/>
              </w:rPr>
              <w:t>(最近房屋)</w:t>
            </w:r>
          </w:p>
        </w:tc>
        <w:tc>
          <w:tcPr>
            <w:tcW w:w="708" w:type="dxa"/>
            <w:vMerge w:val="restart"/>
            <w:vAlign w:val="center"/>
          </w:tcPr>
          <w:p>
            <w:pPr>
              <w:pStyle w:val="39"/>
              <w:rPr>
                <w:rFonts w:ascii="Times New Roman" w:hAnsi="Times New Roman"/>
              </w:rPr>
            </w:pPr>
            <w:r>
              <w:rPr>
                <w:rFonts w:ascii="Times New Roman" w:hAnsi="Times New Roman"/>
              </w:rPr>
              <w:t>属性</w:t>
            </w:r>
          </w:p>
        </w:tc>
        <w:tc>
          <w:tcPr>
            <w:tcW w:w="2273" w:type="dxa"/>
            <w:gridSpan w:val="2"/>
            <w:vAlign w:val="center"/>
          </w:tcPr>
          <w:p>
            <w:pPr>
              <w:pStyle w:val="39"/>
              <w:rPr>
                <w:rFonts w:ascii="Times New Roman" w:hAnsi="Times New Roman"/>
              </w:rPr>
            </w:pPr>
            <w:r>
              <w:rPr>
                <w:rFonts w:ascii="Times New Roman" w:hAnsi="Times New Roman"/>
              </w:rPr>
              <w:t>840m范围内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Merge w:val="continue"/>
            <w:vAlign w:val="center"/>
          </w:tcPr>
          <w:p>
            <w:pPr>
              <w:pStyle w:val="39"/>
              <w:rPr>
                <w:rFonts w:ascii="Times New Roman" w:hAnsi="Times New Roman"/>
              </w:rPr>
            </w:pPr>
          </w:p>
        </w:tc>
        <w:tc>
          <w:tcPr>
            <w:tcW w:w="2581" w:type="dxa"/>
            <w:gridSpan w:val="2"/>
            <w:vMerge w:val="continue"/>
            <w:vAlign w:val="center"/>
          </w:tcPr>
          <w:p>
            <w:pPr>
              <w:pStyle w:val="39"/>
              <w:rPr>
                <w:rFonts w:ascii="Times New Roman" w:hAnsi="Times New Roman"/>
              </w:rPr>
            </w:pPr>
          </w:p>
        </w:tc>
        <w:tc>
          <w:tcPr>
            <w:tcW w:w="1774" w:type="dxa"/>
            <w:vMerge w:val="continue"/>
            <w:vAlign w:val="center"/>
          </w:tcPr>
          <w:p>
            <w:pPr>
              <w:pStyle w:val="39"/>
              <w:rPr>
                <w:rFonts w:ascii="Times New Roman" w:hAnsi="Times New Roman"/>
              </w:rPr>
            </w:pPr>
          </w:p>
        </w:tc>
        <w:tc>
          <w:tcPr>
            <w:tcW w:w="1274" w:type="dxa"/>
            <w:vMerge w:val="continue"/>
            <w:vAlign w:val="center"/>
          </w:tcPr>
          <w:p>
            <w:pPr>
              <w:pStyle w:val="39"/>
              <w:rPr>
                <w:rFonts w:ascii="Times New Roman" w:hAnsi="Times New Roman"/>
              </w:rPr>
            </w:pPr>
          </w:p>
        </w:tc>
        <w:tc>
          <w:tcPr>
            <w:tcW w:w="708" w:type="dxa"/>
            <w:vMerge w:val="continue"/>
            <w:vAlign w:val="center"/>
          </w:tcPr>
          <w:p>
            <w:pPr>
              <w:pStyle w:val="39"/>
              <w:rPr>
                <w:rFonts w:ascii="Times New Roman" w:hAnsi="Times New Roman"/>
              </w:rPr>
            </w:pPr>
          </w:p>
        </w:tc>
        <w:tc>
          <w:tcPr>
            <w:tcW w:w="1137" w:type="dxa"/>
            <w:vAlign w:val="center"/>
          </w:tcPr>
          <w:p>
            <w:pPr>
              <w:pStyle w:val="39"/>
              <w:rPr>
                <w:rFonts w:ascii="Times New Roman" w:hAnsi="Times New Roman"/>
              </w:rPr>
            </w:pPr>
            <w:r>
              <w:rPr>
                <w:rFonts w:ascii="Times New Roman" w:hAnsi="Times New Roman"/>
              </w:rPr>
              <w:t>人口数</w:t>
            </w:r>
          </w:p>
        </w:tc>
        <w:tc>
          <w:tcPr>
            <w:tcW w:w="1136" w:type="dxa"/>
            <w:vAlign w:val="center"/>
          </w:tcPr>
          <w:p>
            <w:pPr>
              <w:pStyle w:val="39"/>
              <w:rPr>
                <w:rFonts w:ascii="Times New Roman" w:hAnsi="Times New Roman"/>
              </w:rPr>
            </w:pPr>
            <w:r>
              <w:rPr>
                <w:rFonts w:ascii="Times New Roman" w:hAnsi="Times New Roman"/>
              </w:rPr>
              <w:t>户数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1</w:t>
            </w:r>
          </w:p>
        </w:tc>
        <w:tc>
          <w:tcPr>
            <w:tcW w:w="1246" w:type="dxa"/>
            <w:vAlign w:val="center"/>
          </w:tcPr>
          <w:p>
            <w:pPr>
              <w:pStyle w:val="39"/>
              <w:rPr>
                <w:rFonts w:ascii="Times New Roman" w:hAnsi="Times New Roman"/>
              </w:rPr>
            </w:pPr>
            <w:r>
              <w:rPr>
                <w:rFonts w:ascii="Times New Roman" w:hAnsi="Times New Roman"/>
                <w:sz w:val="22"/>
                <w:szCs w:val="22"/>
              </w:rPr>
              <w:t>清溪镇</w:t>
            </w:r>
          </w:p>
        </w:tc>
        <w:tc>
          <w:tcPr>
            <w:tcW w:w="1335" w:type="dxa"/>
            <w:vAlign w:val="center"/>
          </w:tcPr>
          <w:p>
            <w:pPr>
              <w:pStyle w:val="39"/>
              <w:rPr>
                <w:rFonts w:ascii="Times New Roman" w:hAnsi="Times New Roman"/>
              </w:rPr>
            </w:pPr>
            <w:r>
              <w:rPr>
                <w:rFonts w:ascii="Times New Roman" w:hAnsi="Times New Roman"/>
                <w:sz w:val="22"/>
                <w:szCs w:val="22"/>
              </w:rPr>
              <w:t>五道口村</w:t>
            </w:r>
          </w:p>
        </w:tc>
        <w:tc>
          <w:tcPr>
            <w:tcW w:w="1774" w:type="dxa"/>
            <w:vAlign w:val="center"/>
          </w:tcPr>
          <w:p>
            <w:pPr>
              <w:pStyle w:val="39"/>
              <w:rPr>
                <w:rFonts w:ascii="Times New Roman" w:hAnsi="Times New Roman"/>
              </w:rPr>
            </w:pPr>
            <w:r>
              <w:rPr>
                <w:rFonts w:ascii="Times New Roman" w:hAnsi="Times New Roman"/>
                <w:sz w:val="22"/>
                <w:szCs w:val="22"/>
              </w:rPr>
              <w:t>E</w:t>
            </w:r>
          </w:p>
        </w:tc>
        <w:tc>
          <w:tcPr>
            <w:tcW w:w="1274" w:type="dxa"/>
            <w:vAlign w:val="center"/>
          </w:tcPr>
          <w:p>
            <w:pPr>
              <w:pStyle w:val="39"/>
              <w:rPr>
                <w:rFonts w:ascii="Times New Roman" w:hAnsi="Times New Roman"/>
              </w:rPr>
            </w:pPr>
            <w:r>
              <w:rPr>
                <w:rFonts w:ascii="Times New Roman" w:hAnsi="Times New Roman"/>
                <w:sz w:val="22"/>
                <w:szCs w:val="22"/>
              </w:rPr>
              <w:t>130</w:t>
            </w:r>
            <w:r>
              <w:rPr>
                <w:rFonts w:ascii="Times New Roman" w:hAnsi="Times New Roman"/>
              </w:rPr>
              <w:t>（同时为声环境保护目标）</w:t>
            </w:r>
          </w:p>
        </w:tc>
        <w:tc>
          <w:tcPr>
            <w:tcW w:w="708" w:type="dxa"/>
            <w:vAlign w:val="center"/>
          </w:tcPr>
          <w:p>
            <w:pPr>
              <w:pStyle w:val="39"/>
              <w:rPr>
                <w:rFonts w:ascii="Times New Roman" w:hAnsi="Times New Roman"/>
              </w:rPr>
            </w:pPr>
            <w:r>
              <w:rPr>
                <w:rFonts w:ascii="Times New Roman" w:hAnsi="Times New Roman"/>
              </w:rPr>
              <w:t>民房</w:t>
            </w:r>
          </w:p>
        </w:tc>
        <w:tc>
          <w:tcPr>
            <w:tcW w:w="1137" w:type="dxa"/>
            <w:vAlign w:val="center"/>
          </w:tcPr>
          <w:p>
            <w:pPr>
              <w:pStyle w:val="39"/>
              <w:rPr>
                <w:rFonts w:ascii="Times New Roman" w:hAnsi="Times New Roman"/>
              </w:rPr>
            </w:pPr>
            <w:r>
              <w:rPr>
                <w:rFonts w:ascii="Times New Roman" w:hAnsi="Times New Roman"/>
                <w:sz w:val="22"/>
                <w:szCs w:val="22"/>
              </w:rPr>
              <w:t>512</w:t>
            </w:r>
          </w:p>
        </w:tc>
        <w:tc>
          <w:tcPr>
            <w:tcW w:w="1136" w:type="dxa"/>
            <w:vAlign w:val="center"/>
          </w:tcPr>
          <w:p>
            <w:pPr>
              <w:pStyle w:val="39"/>
              <w:rPr>
                <w:rFonts w:ascii="Times New Roman" w:hAnsi="Times New Roman"/>
              </w:rPr>
            </w:pPr>
            <w:r>
              <w:rPr>
                <w:rFonts w:ascii="Times New Roman" w:hAnsi="Times New Roman"/>
                <w:sz w:val="22"/>
                <w:szCs w:val="22"/>
              </w:rPr>
              <w:t>129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2</w:t>
            </w:r>
          </w:p>
        </w:tc>
        <w:tc>
          <w:tcPr>
            <w:tcW w:w="1246" w:type="dxa"/>
            <w:vAlign w:val="center"/>
          </w:tcPr>
          <w:p>
            <w:pPr>
              <w:pStyle w:val="39"/>
              <w:rPr>
                <w:rFonts w:ascii="Times New Roman" w:hAnsi="Times New Roman"/>
              </w:rPr>
            </w:pPr>
            <w:r>
              <w:rPr>
                <w:rFonts w:ascii="Times New Roman" w:hAnsi="Times New Roman"/>
                <w:sz w:val="22"/>
                <w:szCs w:val="22"/>
              </w:rPr>
              <w:t>清溪镇</w:t>
            </w:r>
          </w:p>
        </w:tc>
        <w:tc>
          <w:tcPr>
            <w:tcW w:w="1335" w:type="dxa"/>
            <w:vAlign w:val="center"/>
          </w:tcPr>
          <w:p>
            <w:pPr>
              <w:pStyle w:val="39"/>
              <w:rPr>
                <w:rFonts w:ascii="Times New Roman" w:hAnsi="Times New Roman"/>
              </w:rPr>
            </w:pPr>
            <w:r>
              <w:rPr>
                <w:rFonts w:ascii="Times New Roman" w:hAnsi="Times New Roman"/>
                <w:sz w:val="22"/>
                <w:szCs w:val="22"/>
              </w:rPr>
              <w:t>宏文村</w:t>
            </w:r>
          </w:p>
        </w:tc>
        <w:tc>
          <w:tcPr>
            <w:tcW w:w="1774" w:type="dxa"/>
            <w:vAlign w:val="center"/>
          </w:tcPr>
          <w:p>
            <w:pPr>
              <w:pStyle w:val="39"/>
              <w:rPr>
                <w:rFonts w:ascii="Times New Roman" w:hAnsi="Times New Roman"/>
              </w:rPr>
            </w:pPr>
            <w:r>
              <w:rPr>
                <w:rFonts w:ascii="Times New Roman" w:hAnsi="Times New Roman"/>
                <w:sz w:val="22"/>
                <w:szCs w:val="22"/>
              </w:rPr>
              <w:t>S</w:t>
            </w:r>
          </w:p>
        </w:tc>
        <w:tc>
          <w:tcPr>
            <w:tcW w:w="1274" w:type="dxa"/>
            <w:vAlign w:val="center"/>
          </w:tcPr>
          <w:p>
            <w:pPr>
              <w:pStyle w:val="39"/>
              <w:rPr>
                <w:rFonts w:ascii="Times New Roman" w:hAnsi="Times New Roman"/>
              </w:rPr>
            </w:pPr>
            <w:r>
              <w:rPr>
                <w:rFonts w:ascii="Times New Roman" w:hAnsi="Times New Roman"/>
                <w:sz w:val="22"/>
                <w:szCs w:val="22"/>
              </w:rPr>
              <w:t>664</w:t>
            </w:r>
          </w:p>
        </w:tc>
        <w:tc>
          <w:tcPr>
            <w:tcW w:w="708" w:type="dxa"/>
            <w:vAlign w:val="center"/>
          </w:tcPr>
          <w:p>
            <w:pPr>
              <w:pStyle w:val="39"/>
              <w:rPr>
                <w:rFonts w:ascii="Times New Roman" w:hAnsi="Times New Roman"/>
              </w:rPr>
            </w:pPr>
            <w:r>
              <w:rPr>
                <w:rFonts w:ascii="Times New Roman" w:hAnsi="Times New Roman"/>
              </w:rPr>
              <w:t>民房</w:t>
            </w:r>
          </w:p>
        </w:tc>
        <w:tc>
          <w:tcPr>
            <w:tcW w:w="1137" w:type="dxa"/>
            <w:vAlign w:val="center"/>
          </w:tcPr>
          <w:p>
            <w:pPr>
              <w:pStyle w:val="39"/>
              <w:rPr>
                <w:rFonts w:ascii="Times New Roman" w:hAnsi="Times New Roman"/>
              </w:rPr>
            </w:pPr>
            <w:r>
              <w:rPr>
                <w:rFonts w:ascii="Times New Roman" w:hAnsi="Times New Roman"/>
                <w:sz w:val="22"/>
                <w:szCs w:val="22"/>
              </w:rPr>
              <w:t>7</w:t>
            </w:r>
          </w:p>
        </w:tc>
        <w:tc>
          <w:tcPr>
            <w:tcW w:w="1136" w:type="dxa"/>
            <w:vAlign w:val="center"/>
          </w:tcPr>
          <w:p>
            <w:pPr>
              <w:pStyle w:val="39"/>
              <w:rPr>
                <w:rFonts w:ascii="Times New Roman" w:hAnsi="Times New Roman"/>
              </w:rPr>
            </w:pPr>
            <w:r>
              <w:rPr>
                <w:rFonts w:ascii="Times New Roman" w:hAnsi="Times New Roman"/>
                <w:sz w:val="22"/>
                <w:szCs w:val="22"/>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3</w:t>
            </w:r>
          </w:p>
        </w:tc>
        <w:tc>
          <w:tcPr>
            <w:tcW w:w="1246" w:type="dxa"/>
            <w:vAlign w:val="center"/>
          </w:tcPr>
          <w:p>
            <w:pPr>
              <w:pStyle w:val="39"/>
              <w:rPr>
                <w:rFonts w:ascii="Times New Roman" w:hAnsi="Times New Roman"/>
              </w:rPr>
            </w:pPr>
            <w:r>
              <w:rPr>
                <w:rFonts w:ascii="Times New Roman" w:hAnsi="Times New Roman"/>
              </w:rPr>
              <w:t>老君乡</w:t>
            </w:r>
          </w:p>
        </w:tc>
        <w:tc>
          <w:tcPr>
            <w:tcW w:w="1335" w:type="dxa"/>
            <w:vAlign w:val="center"/>
          </w:tcPr>
          <w:p>
            <w:pPr>
              <w:pStyle w:val="39"/>
              <w:rPr>
                <w:rFonts w:ascii="Times New Roman" w:hAnsi="Times New Roman"/>
              </w:rPr>
            </w:pPr>
            <w:r>
              <w:rPr>
                <w:rFonts w:ascii="Times New Roman" w:hAnsi="Times New Roman"/>
                <w:sz w:val="22"/>
                <w:szCs w:val="22"/>
              </w:rPr>
              <w:t>古楼村</w:t>
            </w:r>
          </w:p>
        </w:tc>
        <w:tc>
          <w:tcPr>
            <w:tcW w:w="1774" w:type="dxa"/>
            <w:vAlign w:val="center"/>
          </w:tcPr>
          <w:p>
            <w:pPr>
              <w:pStyle w:val="39"/>
              <w:rPr>
                <w:rFonts w:ascii="Times New Roman" w:hAnsi="Times New Roman"/>
              </w:rPr>
            </w:pPr>
            <w:r>
              <w:rPr>
                <w:rFonts w:ascii="Times New Roman" w:hAnsi="Times New Roman"/>
                <w:sz w:val="22"/>
                <w:szCs w:val="22"/>
              </w:rPr>
              <w:t>S</w:t>
            </w:r>
          </w:p>
        </w:tc>
        <w:tc>
          <w:tcPr>
            <w:tcW w:w="1274" w:type="dxa"/>
            <w:vAlign w:val="center"/>
          </w:tcPr>
          <w:p>
            <w:pPr>
              <w:pStyle w:val="39"/>
              <w:rPr>
                <w:rFonts w:ascii="Times New Roman" w:hAnsi="Times New Roman"/>
              </w:rPr>
            </w:pPr>
            <w:r>
              <w:rPr>
                <w:rFonts w:ascii="Times New Roman" w:hAnsi="Times New Roman"/>
                <w:sz w:val="22"/>
                <w:szCs w:val="22"/>
              </w:rPr>
              <w:t>261</w:t>
            </w:r>
          </w:p>
        </w:tc>
        <w:tc>
          <w:tcPr>
            <w:tcW w:w="708" w:type="dxa"/>
            <w:vAlign w:val="center"/>
          </w:tcPr>
          <w:p>
            <w:pPr>
              <w:pStyle w:val="39"/>
              <w:rPr>
                <w:rFonts w:ascii="Times New Roman" w:hAnsi="Times New Roman"/>
              </w:rPr>
            </w:pPr>
            <w:r>
              <w:rPr>
                <w:rFonts w:ascii="Times New Roman" w:hAnsi="Times New Roman"/>
              </w:rPr>
              <w:t>民房</w:t>
            </w:r>
          </w:p>
        </w:tc>
        <w:tc>
          <w:tcPr>
            <w:tcW w:w="1137" w:type="dxa"/>
            <w:vAlign w:val="center"/>
          </w:tcPr>
          <w:p>
            <w:pPr>
              <w:pStyle w:val="39"/>
              <w:rPr>
                <w:rFonts w:ascii="Times New Roman" w:hAnsi="Times New Roman"/>
              </w:rPr>
            </w:pPr>
            <w:r>
              <w:rPr>
                <w:rFonts w:ascii="Times New Roman" w:hAnsi="Times New Roman"/>
                <w:sz w:val="22"/>
                <w:szCs w:val="22"/>
              </w:rPr>
              <w:t>35</w:t>
            </w:r>
          </w:p>
        </w:tc>
        <w:tc>
          <w:tcPr>
            <w:tcW w:w="1136" w:type="dxa"/>
            <w:vAlign w:val="center"/>
          </w:tcPr>
          <w:p>
            <w:pPr>
              <w:pStyle w:val="39"/>
              <w:rPr>
                <w:rFonts w:ascii="Times New Roman" w:hAnsi="Times New Roman"/>
              </w:rPr>
            </w:pPr>
            <w:r>
              <w:rPr>
                <w:rFonts w:ascii="Times New Roman" w:hAnsi="Times New Roman"/>
                <w:sz w:val="22"/>
                <w:szCs w:val="22"/>
              </w:rPr>
              <w:t>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9172" w:type="dxa"/>
            <w:gridSpan w:val="8"/>
            <w:vAlign w:val="center"/>
          </w:tcPr>
          <w:p>
            <w:pPr>
              <w:pStyle w:val="39"/>
              <w:rPr>
                <w:rFonts w:ascii="Times New Roman" w:hAnsi="Times New Roman"/>
              </w:rPr>
            </w:pPr>
            <w:r>
              <w:rPr>
                <w:rFonts w:ascii="Times New Roman" w:hAnsi="Times New Roman"/>
              </w:rPr>
              <w:t>集气干线（宣探阀室-宣探清管站）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Merge w:val="restart"/>
            <w:vAlign w:val="center"/>
          </w:tcPr>
          <w:p>
            <w:pPr>
              <w:pStyle w:val="39"/>
              <w:rPr>
                <w:rFonts w:ascii="Times New Roman" w:hAnsi="Times New Roman"/>
              </w:rPr>
            </w:pPr>
            <w:r>
              <w:rPr>
                <w:rFonts w:ascii="Times New Roman" w:hAnsi="Times New Roman"/>
              </w:rPr>
              <w:t>编号</w:t>
            </w:r>
          </w:p>
        </w:tc>
        <w:tc>
          <w:tcPr>
            <w:tcW w:w="2581" w:type="dxa"/>
            <w:gridSpan w:val="2"/>
            <w:vMerge w:val="restart"/>
            <w:vAlign w:val="center"/>
          </w:tcPr>
          <w:p>
            <w:pPr>
              <w:pStyle w:val="39"/>
              <w:rPr>
                <w:rFonts w:ascii="Times New Roman" w:hAnsi="Times New Roman"/>
              </w:rPr>
            </w:pPr>
            <w:r>
              <w:rPr>
                <w:rFonts w:ascii="Times New Roman" w:hAnsi="Times New Roman"/>
              </w:rPr>
              <w:t>敏感目标名称</w:t>
            </w:r>
          </w:p>
        </w:tc>
        <w:tc>
          <w:tcPr>
            <w:tcW w:w="1774" w:type="dxa"/>
            <w:vMerge w:val="restart"/>
            <w:vAlign w:val="center"/>
          </w:tcPr>
          <w:p>
            <w:pPr>
              <w:pStyle w:val="39"/>
              <w:rPr>
                <w:rFonts w:ascii="Times New Roman" w:hAnsi="Times New Roman"/>
              </w:rPr>
            </w:pPr>
            <w:r>
              <w:rPr>
                <w:rFonts w:ascii="Times New Roman" w:hAnsi="Times New Roman"/>
              </w:rPr>
              <w:t>相对于管线的方位(最近房屋)</w:t>
            </w:r>
          </w:p>
        </w:tc>
        <w:tc>
          <w:tcPr>
            <w:tcW w:w="1274" w:type="dxa"/>
            <w:vMerge w:val="restart"/>
            <w:vAlign w:val="center"/>
          </w:tcPr>
          <w:p>
            <w:pPr>
              <w:pStyle w:val="39"/>
              <w:rPr>
                <w:rFonts w:ascii="Times New Roman" w:hAnsi="Times New Roman"/>
              </w:rPr>
            </w:pPr>
            <w:r>
              <w:rPr>
                <w:rFonts w:ascii="Times New Roman" w:hAnsi="Times New Roman"/>
              </w:rPr>
              <w:t>距离/m</w:t>
            </w:r>
          </w:p>
          <w:p>
            <w:pPr>
              <w:pStyle w:val="39"/>
              <w:rPr>
                <w:rFonts w:ascii="Times New Roman" w:hAnsi="Times New Roman"/>
              </w:rPr>
            </w:pPr>
            <w:r>
              <w:rPr>
                <w:rFonts w:ascii="Times New Roman" w:hAnsi="Times New Roman"/>
              </w:rPr>
              <w:t>(最近房屋)</w:t>
            </w:r>
          </w:p>
        </w:tc>
        <w:tc>
          <w:tcPr>
            <w:tcW w:w="708" w:type="dxa"/>
            <w:vMerge w:val="restart"/>
            <w:vAlign w:val="center"/>
          </w:tcPr>
          <w:p>
            <w:pPr>
              <w:pStyle w:val="39"/>
              <w:rPr>
                <w:rFonts w:ascii="Times New Roman" w:hAnsi="Times New Roman"/>
              </w:rPr>
            </w:pPr>
            <w:r>
              <w:rPr>
                <w:rFonts w:ascii="Times New Roman" w:hAnsi="Times New Roman"/>
              </w:rPr>
              <w:t>属性</w:t>
            </w:r>
          </w:p>
        </w:tc>
        <w:tc>
          <w:tcPr>
            <w:tcW w:w="2273" w:type="dxa"/>
            <w:gridSpan w:val="2"/>
            <w:vAlign w:val="center"/>
          </w:tcPr>
          <w:p>
            <w:pPr>
              <w:pStyle w:val="39"/>
              <w:rPr>
                <w:rFonts w:ascii="Times New Roman" w:hAnsi="Times New Roman"/>
              </w:rPr>
            </w:pPr>
            <w:r>
              <w:rPr>
                <w:rFonts w:ascii="Times New Roman" w:hAnsi="Times New Roman"/>
              </w:rPr>
              <w:t>1470m范围内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Merge w:val="continue"/>
            <w:vAlign w:val="center"/>
          </w:tcPr>
          <w:p>
            <w:pPr>
              <w:pStyle w:val="39"/>
              <w:rPr>
                <w:rFonts w:ascii="Times New Roman" w:hAnsi="Times New Roman"/>
              </w:rPr>
            </w:pPr>
          </w:p>
        </w:tc>
        <w:tc>
          <w:tcPr>
            <w:tcW w:w="2581" w:type="dxa"/>
            <w:gridSpan w:val="2"/>
            <w:vMerge w:val="continue"/>
            <w:vAlign w:val="center"/>
          </w:tcPr>
          <w:p>
            <w:pPr>
              <w:pStyle w:val="39"/>
              <w:rPr>
                <w:rFonts w:ascii="Times New Roman" w:hAnsi="Times New Roman"/>
              </w:rPr>
            </w:pPr>
          </w:p>
        </w:tc>
        <w:tc>
          <w:tcPr>
            <w:tcW w:w="1774" w:type="dxa"/>
            <w:vMerge w:val="continue"/>
            <w:vAlign w:val="center"/>
          </w:tcPr>
          <w:p>
            <w:pPr>
              <w:pStyle w:val="39"/>
              <w:rPr>
                <w:rFonts w:ascii="Times New Roman" w:hAnsi="Times New Roman"/>
              </w:rPr>
            </w:pPr>
          </w:p>
        </w:tc>
        <w:tc>
          <w:tcPr>
            <w:tcW w:w="1274" w:type="dxa"/>
            <w:vMerge w:val="continue"/>
            <w:vAlign w:val="center"/>
          </w:tcPr>
          <w:p>
            <w:pPr>
              <w:pStyle w:val="39"/>
              <w:rPr>
                <w:rFonts w:ascii="Times New Roman" w:hAnsi="Times New Roman"/>
              </w:rPr>
            </w:pPr>
          </w:p>
        </w:tc>
        <w:tc>
          <w:tcPr>
            <w:tcW w:w="708" w:type="dxa"/>
            <w:vMerge w:val="continue"/>
            <w:vAlign w:val="center"/>
          </w:tcPr>
          <w:p>
            <w:pPr>
              <w:pStyle w:val="39"/>
              <w:rPr>
                <w:rFonts w:ascii="Times New Roman" w:hAnsi="Times New Roman"/>
              </w:rPr>
            </w:pPr>
          </w:p>
        </w:tc>
        <w:tc>
          <w:tcPr>
            <w:tcW w:w="1137" w:type="dxa"/>
            <w:vAlign w:val="center"/>
          </w:tcPr>
          <w:p>
            <w:pPr>
              <w:pStyle w:val="39"/>
              <w:rPr>
                <w:rFonts w:ascii="Times New Roman" w:hAnsi="Times New Roman"/>
              </w:rPr>
            </w:pPr>
            <w:r>
              <w:rPr>
                <w:rFonts w:ascii="Times New Roman" w:hAnsi="Times New Roman"/>
              </w:rPr>
              <w:t>人口数</w:t>
            </w:r>
          </w:p>
        </w:tc>
        <w:tc>
          <w:tcPr>
            <w:tcW w:w="1136" w:type="dxa"/>
            <w:vAlign w:val="center"/>
          </w:tcPr>
          <w:p>
            <w:pPr>
              <w:pStyle w:val="39"/>
              <w:rPr>
                <w:rFonts w:ascii="Times New Roman" w:hAnsi="Times New Roman"/>
              </w:rPr>
            </w:pPr>
            <w:r>
              <w:rPr>
                <w:rFonts w:ascii="Times New Roman" w:hAnsi="Times New Roman"/>
              </w:rPr>
              <w:t>户数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1</w:t>
            </w:r>
          </w:p>
        </w:tc>
        <w:tc>
          <w:tcPr>
            <w:tcW w:w="1246" w:type="dxa"/>
            <w:vMerge w:val="restart"/>
            <w:vAlign w:val="center"/>
          </w:tcPr>
          <w:p>
            <w:pPr>
              <w:pStyle w:val="39"/>
              <w:rPr>
                <w:rFonts w:ascii="Times New Roman" w:hAnsi="Times New Roman"/>
              </w:rPr>
            </w:pPr>
            <w:r>
              <w:rPr>
                <w:rFonts w:ascii="Times New Roman" w:hAnsi="Times New Roman"/>
              </w:rPr>
              <w:t>老君乡</w:t>
            </w:r>
          </w:p>
        </w:tc>
        <w:tc>
          <w:tcPr>
            <w:tcW w:w="1335" w:type="dxa"/>
            <w:vAlign w:val="center"/>
          </w:tcPr>
          <w:p>
            <w:pPr>
              <w:pStyle w:val="39"/>
              <w:rPr>
                <w:rFonts w:ascii="Times New Roman" w:hAnsi="Times New Roman"/>
              </w:rPr>
            </w:pPr>
            <w:r>
              <w:rPr>
                <w:rFonts w:ascii="Times New Roman" w:hAnsi="Times New Roman"/>
              </w:rPr>
              <w:t>古楼村</w:t>
            </w:r>
          </w:p>
        </w:tc>
        <w:tc>
          <w:tcPr>
            <w:tcW w:w="1774" w:type="dxa"/>
            <w:vAlign w:val="center"/>
          </w:tcPr>
          <w:p>
            <w:pPr>
              <w:pStyle w:val="39"/>
              <w:rPr>
                <w:rFonts w:ascii="Times New Roman" w:hAnsi="Times New Roman"/>
              </w:rPr>
            </w:pPr>
            <w:r>
              <w:rPr>
                <w:rFonts w:ascii="Times New Roman" w:hAnsi="Times New Roman"/>
                <w:sz w:val="22"/>
                <w:szCs w:val="22"/>
              </w:rPr>
              <w:t>N</w:t>
            </w:r>
          </w:p>
        </w:tc>
        <w:tc>
          <w:tcPr>
            <w:tcW w:w="1274" w:type="dxa"/>
            <w:vAlign w:val="center"/>
          </w:tcPr>
          <w:p>
            <w:pPr>
              <w:pStyle w:val="39"/>
              <w:rPr>
                <w:rFonts w:ascii="Times New Roman" w:hAnsi="Times New Roman"/>
              </w:rPr>
            </w:pPr>
            <w:r>
              <w:rPr>
                <w:rFonts w:ascii="Times New Roman" w:hAnsi="Times New Roman"/>
                <w:sz w:val="22"/>
                <w:szCs w:val="22"/>
              </w:rPr>
              <w:t>112</w:t>
            </w:r>
            <w:r>
              <w:rPr>
                <w:rFonts w:ascii="Times New Roman" w:hAnsi="Times New Roman"/>
              </w:rPr>
              <w:t>（同时为声环境保护目标）</w:t>
            </w:r>
          </w:p>
        </w:tc>
        <w:tc>
          <w:tcPr>
            <w:tcW w:w="708" w:type="dxa"/>
            <w:vAlign w:val="center"/>
          </w:tcPr>
          <w:p>
            <w:pPr>
              <w:pStyle w:val="39"/>
              <w:rPr>
                <w:rFonts w:ascii="Times New Roman" w:hAnsi="Times New Roman"/>
              </w:rPr>
            </w:pPr>
            <w:r>
              <w:rPr>
                <w:rFonts w:ascii="Times New Roman" w:hAnsi="Times New Roman"/>
              </w:rPr>
              <w:t>民房</w:t>
            </w:r>
          </w:p>
        </w:tc>
        <w:tc>
          <w:tcPr>
            <w:tcW w:w="1137" w:type="dxa"/>
            <w:vAlign w:val="center"/>
          </w:tcPr>
          <w:p>
            <w:pPr>
              <w:pStyle w:val="39"/>
              <w:rPr>
                <w:rFonts w:ascii="Times New Roman" w:hAnsi="Times New Roman"/>
              </w:rPr>
            </w:pPr>
            <w:r>
              <w:rPr>
                <w:rFonts w:ascii="Times New Roman" w:hAnsi="Times New Roman"/>
              </w:rPr>
              <w:t>3670</w:t>
            </w:r>
          </w:p>
        </w:tc>
        <w:tc>
          <w:tcPr>
            <w:tcW w:w="1136" w:type="dxa"/>
            <w:vAlign w:val="center"/>
          </w:tcPr>
          <w:p>
            <w:pPr>
              <w:pStyle w:val="39"/>
              <w:rPr>
                <w:rFonts w:ascii="Times New Roman" w:hAnsi="Times New Roman"/>
              </w:rPr>
            </w:pPr>
            <w:r>
              <w:rPr>
                <w:rFonts w:ascii="Times New Roman" w:hAnsi="Times New Roman"/>
              </w:rPr>
              <w:t>917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2</w:t>
            </w:r>
          </w:p>
        </w:tc>
        <w:tc>
          <w:tcPr>
            <w:tcW w:w="1246" w:type="dxa"/>
            <w:vMerge w:val="continue"/>
            <w:vAlign w:val="center"/>
          </w:tcPr>
          <w:p>
            <w:pPr>
              <w:pStyle w:val="39"/>
              <w:rPr>
                <w:rFonts w:ascii="Times New Roman" w:hAnsi="Times New Roman"/>
              </w:rPr>
            </w:pPr>
          </w:p>
        </w:tc>
        <w:tc>
          <w:tcPr>
            <w:tcW w:w="1335" w:type="dxa"/>
            <w:vAlign w:val="center"/>
          </w:tcPr>
          <w:p>
            <w:pPr>
              <w:pStyle w:val="39"/>
              <w:rPr>
                <w:rFonts w:ascii="Times New Roman" w:hAnsi="Times New Roman"/>
              </w:rPr>
            </w:pPr>
            <w:r>
              <w:rPr>
                <w:rFonts w:ascii="Times New Roman" w:hAnsi="Times New Roman"/>
              </w:rPr>
              <w:t>铁尖村</w:t>
            </w:r>
          </w:p>
        </w:tc>
        <w:tc>
          <w:tcPr>
            <w:tcW w:w="1774" w:type="dxa"/>
            <w:vAlign w:val="center"/>
          </w:tcPr>
          <w:p>
            <w:pPr>
              <w:pStyle w:val="39"/>
              <w:rPr>
                <w:rFonts w:ascii="Times New Roman" w:hAnsi="Times New Roman"/>
              </w:rPr>
            </w:pPr>
            <w:r>
              <w:rPr>
                <w:rFonts w:ascii="Times New Roman" w:hAnsi="Times New Roman"/>
                <w:sz w:val="22"/>
                <w:szCs w:val="22"/>
              </w:rPr>
              <w:t>E</w:t>
            </w:r>
          </w:p>
        </w:tc>
        <w:tc>
          <w:tcPr>
            <w:tcW w:w="1274" w:type="dxa"/>
            <w:vAlign w:val="center"/>
          </w:tcPr>
          <w:p>
            <w:pPr>
              <w:pStyle w:val="39"/>
              <w:rPr>
                <w:rFonts w:ascii="Times New Roman" w:hAnsi="Times New Roman"/>
              </w:rPr>
            </w:pPr>
            <w:r>
              <w:rPr>
                <w:rFonts w:ascii="Times New Roman" w:hAnsi="Times New Roman"/>
                <w:sz w:val="22"/>
                <w:szCs w:val="22"/>
              </w:rPr>
              <w:t>102</w:t>
            </w:r>
            <w:r>
              <w:rPr>
                <w:rFonts w:ascii="Times New Roman" w:hAnsi="Times New Roman"/>
              </w:rPr>
              <w:t>（同时为声环境保护目标）</w:t>
            </w:r>
          </w:p>
        </w:tc>
        <w:tc>
          <w:tcPr>
            <w:tcW w:w="708" w:type="dxa"/>
            <w:vAlign w:val="center"/>
          </w:tcPr>
          <w:p>
            <w:pPr>
              <w:pStyle w:val="39"/>
              <w:rPr>
                <w:rFonts w:ascii="Times New Roman" w:hAnsi="Times New Roman"/>
              </w:rPr>
            </w:pPr>
            <w:r>
              <w:rPr>
                <w:rFonts w:ascii="Times New Roman" w:hAnsi="Times New Roman"/>
              </w:rPr>
              <w:t>民房</w:t>
            </w:r>
          </w:p>
        </w:tc>
        <w:tc>
          <w:tcPr>
            <w:tcW w:w="1137" w:type="dxa"/>
            <w:vAlign w:val="center"/>
          </w:tcPr>
          <w:p>
            <w:pPr>
              <w:pStyle w:val="39"/>
              <w:rPr>
                <w:rFonts w:ascii="Times New Roman" w:hAnsi="Times New Roman"/>
              </w:rPr>
            </w:pPr>
            <w:r>
              <w:rPr>
                <w:rFonts w:ascii="Times New Roman" w:hAnsi="Times New Roman"/>
              </w:rPr>
              <w:t>1385</w:t>
            </w:r>
          </w:p>
        </w:tc>
        <w:tc>
          <w:tcPr>
            <w:tcW w:w="1136" w:type="dxa"/>
            <w:vAlign w:val="center"/>
          </w:tcPr>
          <w:p>
            <w:pPr>
              <w:pStyle w:val="39"/>
              <w:rPr>
                <w:rFonts w:ascii="Times New Roman" w:hAnsi="Times New Roman"/>
              </w:rPr>
            </w:pPr>
            <w:r>
              <w:rPr>
                <w:rFonts w:ascii="Times New Roman" w:hAnsi="Times New Roman"/>
              </w:rPr>
              <w:t>460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3</w:t>
            </w:r>
          </w:p>
        </w:tc>
        <w:tc>
          <w:tcPr>
            <w:tcW w:w="1246" w:type="dxa"/>
            <w:vAlign w:val="center"/>
          </w:tcPr>
          <w:p>
            <w:pPr>
              <w:pStyle w:val="39"/>
              <w:rPr>
                <w:rFonts w:ascii="Times New Roman" w:hAnsi="Times New Roman"/>
              </w:rPr>
            </w:pPr>
            <w:r>
              <w:rPr>
                <w:rFonts w:ascii="Times New Roman" w:hAnsi="Times New Roman"/>
              </w:rPr>
              <w:t>清溪镇</w:t>
            </w:r>
          </w:p>
        </w:tc>
        <w:tc>
          <w:tcPr>
            <w:tcW w:w="1335" w:type="dxa"/>
            <w:vAlign w:val="center"/>
          </w:tcPr>
          <w:p>
            <w:pPr>
              <w:pStyle w:val="39"/>
              <w:rPr>
                <w:rFonts w:ascii="Times New Roman" w:hAnsi="Times New Roman"/>
              </w:rPr>
            </w:pPr>
            <w:r>
              <w:rPr>
                <w:rFonts w:ascii="Times New Roman" w:hAnsi="Times New Roman"/>
              </w:rPr>
              <w:t>长青村</w:t>
            </w:r>
          </w:p>
        </w:tc>
        <w:tc>
          <w:tcPr>
            <w:tcW w:w="1774" w:type="dxa"/>
            <w:vAlign w:val="center"/>
          </w:tcPr>
          <w:p>
            <w:pPr>
              <w:pStyle w:val="39"/>
              <w:rPr>
                <w:rFonts w:ascii="Times New Roman" w:hAnsi="Times New Roman"/>
              </w:rPr>
            </w:pPr>
            <w:r>
              <w:rPr>
                <w:rFonts w:ascii="Times New Roman" w:hAnsi="Times New Roman"/>
                <w:sz w:val="22"/>
                <w:szCs w:val="22"/>
              </w:rPr>
              <w:t>W</w:t>
            </w:r>
          </w:p>
        </w:tc>
        <w:tc>
          <w:tcPr>
            <w:tcW w:w="1274" w:type="dxa"/>
            <w:vAlign w:val="center"/>
          </w:tcPr>
          <w:p>
            <w:pPr>
              <w:pStyle w:val="39"/>
              <w:rPr>
                <w:rFonts w:ascii="Times New Roman" w:hAnsi="Times New Roman"/>
              </w:rPr>
            </w:pPr>
            <w:r>
              <w:rPr>
                <w:rFonts w:ascii="Times New Roman" w:hAnsi="Times New Roman"/>
                <w:sz w:val="22"/>
                <w:szCs w:val="22"/>
              </w:rPr>
              <w:t>485</w:t>
            </w:r>
          </w:p>
        </w:tc>
        <w:tc>
          <w:tcPr>
            <w:tcW w:w="708" w:type="dxa"/>
            <w:vAlign w:val="center"/>
          </w:tcPr>
          <w:p>
            <w:pPr>
              <w:pStyle w:val="39"/>
              <w:rPr>
                <w:rFonts w:ascii="Times New Roman" w:hAnsi="Times New Roman"/>
              </w:rPr>
            </w:pPr>
            <w:r>
              <w:rPr>
                <w:rFonts w:ascii="Times New Roman" w:hAnsi="Times New Roman"/>
              </w:rPr>
              <w:t>民房</w:t>
            </w:r>
          </w:p>
        </w:tc>
        <w:tc>
          <w:tcPr>
            <w:tcW w:w="1137" w:type="dxa"/>
            <w:vAlign w:val="center"/>
          </w:tcPr>
          <w:p>
            <w:pPr>
              <w:pStyle w:val="39"/>
              <w:rPr>
                <w:rFonts w:ascii="Times New Roman" w:hAnsi="Times New Roman"/>
              </w:rPr>
            </w:pPr>
            <w:r>
              <w:rPr>
                <w:rFonts w:ascii="Times New Roman" w:hAnsi="Times New Roman"/>
              </w:rPr>
              <w:t>271</w:t>
            </w:r>
          </w:p>
        </w:tc>
        <w:tc>
          <w:tcPr>
            <w:tcW w:w="1136" w:type="dxa"/>
            <w:vAlign w:val="center"/>
          </w:tcPr>
          <w:p>
            <w:pPr>
              <w:pStyle w:val="39"/>
              <w:rPr>
                <w:rFonts w:ascii="Times New Roman" w:hAnsi="Times New Roman"/>
              </w:rPr>
            </w:pPr>
            <w:r>
              <w:rPr>
                <w:rFonts w:ascii="Times New Roman" w:hAnsi="Times New Roman"/>
              </w:rPr>
              <w:t>74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4</w:t>
            </w:r>
          </w:p>
        </w:tc>
        <w:tc>
          <w:tcPr>
            <w:tcW w:w="1246" w:type="dxa"/>
            <w:vAlign w:val="center"/>
          </w:tcPr>
          <w:p>
            <w:pPr>
              <w:pStyle w:val="39"/>
              <w:rPr>
                <w:rFonts w:ascii="Times New Roman" w:hAnsi="Times New Roman"/>
              </w:rPr>
            </w:pPr>
            <w:r>
              <w:rPr>
                <w:rFonts w:ascii="Times New Roman" w:hAnsi="Times New Roman"/>
              </w:rPr>
              <w:t>普光镇</w:t>
            </w:r>
          </w:p>
        </w:tc>
        <w:tc>
          <w:tcPr>
            <w:tcW w:w="1335" w:type="dxa"/>
            <w:vAlign w:val="center"/>
          </w:tcPr>
          <w:p>
            <w:pPr>
              <w:pStyle w:val="39"/>
              <w:rPr>
                <w:rFonts w:ascii="Times New Roman" w:hAnsi="Times New Roman"/>
              </w:rPr>
            </w:pPr>
            <w:r>
              <w:rPr>
                <w:rFonts w:ascii="Times New Roman" w:hAnsi="Times New Roman"/>
              </w:rPr>
              <w:t>千河村</w:t>
            </w:r>
          </w:p>
        </w:tc>
        <w:tc>
          <w:tcPr>
            <w:tcW w:w="1774" w:type="dxa"/>
            <w:vAlign w:val="center"/>
          </w:tcPr>
          <w:p>
            <w:pPr>
              <w:pStyle w:val="39"/>
              <w:rPr>
                <w:rFonts w:ascii="Times New Roman" w:hAnsi="Times New Roman"/>
              </w:rPr>
            </w:pPr>
            <w:r>
              <w:rPr>
                <w:rFonts w:ascii="Times New Roman" w:hAnsi="Times New Roman"/>
                <w:sz w:val="22"/>
                <w:szCs w:val="22"/>
              </w:rPr>
              <w:t>N</w:t>
            </w:r>
          </w:p>
        </w:tc>
        <w:tc>
          <w:tcPr>
            <w:tcW w:w="1274" w:type="dxa"/>
            <w:vAlign w:val="center"/>
          </w:tcPr>
          <w:p>
            <w:pPr>
              <w:pStyle w:val="39"/>
              <w:rPr>
                <w:rFonts w:ascii="Times New Roman" w:hAnsi="Times New Roman"/>
              </w:rPr>
            </w:pPr>
            <w:r>
              <w:rPr>
                <w:rFonts w:ascii="Times New Roman" w:hAnsi="Times New Roman"/>
                <w:sz w:val="22"/>
                <w:szCs w:val="22"/>
              </w:rPr>
              <w:t>101</w:t>
            </w:r>
            <w:r>
              <w:rPr>
                <w:rFonts w:ascii="Times New Roman" w:hAnsi="Times New Roman"/>
              </w:rPr>
              <w:t>（同时为声环境保护目标）</w:t>
            </w:r>
          </w:p>
        </w:tc>
        <w:tc>
          <w:tcPr>
            <w:tcW w:w="708" w:type="dxa"/>
            <w:vAlign w:val="center"/>
          </w:tcPr>
          <w:p>
            <w:pPr>
              <w:pStyle w:val="39"/>
              <w:rPr>
                <w:rFonts w:ascii="Times New Roman" w:hAnsi="Times New Roman"/>
              </w:rPr>
            </w:pPr>
            <w:r>
              <w:rPr>
                <w:rFonts w:ascii="Times New Roman" w:hAnsi="Times New Roman"/>
              </w:rPr>
              <w:t>民房</w:t>
            </w:r>
          </w:p>
        </w:tc>
        <w:tc>
          <w:tcPr>
            <w:tcW w:w="1137" w:type="dxa"/>
            <w:vAlign w:val="center"/>
          </w:tcPr>
          <w:p>
            <w:pPr>
              <w:pStyle w:val="39"/>
              <w:rPr>
                <w:rFonts w:ascii="Times New Roman" w:hAnsi="Times New Roman"/>
              </w:rPr>
            </w:pPr>
            <w:r>
              <w:rPr>
                <w:rFonts w:ascii="Times New Roman" w:hAnsi="Times New Roman"/>
              </w:rPr>
              <w:t>1575</w:t>
            </w:r>
          </w:p>
        </w:tc>
        <w:tc>
          <w:tcPr>
            <w:tcW w:w="1136" w:type="dxa"/>
            <w:vAlign w:val="center"/>
          </w:tcPr>
          <w:p>
            <w:pPr>
              <w:pStyle w:val="39"/>
              <w:rPr>
                <w:rFonts w:ascii="Times New Roman" w:hAnsi="Times New Roman"/>
              </w:rPr>
            </w:pPr>
            <w:r>
              <w:rPr>
                <w:rFonts w:ascii="Times New Roman" w:hAnsi="Times New Roman"/>
              </w:rPr>
              <w:t>491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9172" w:type="dxa"/>
            <w:gridSpan w:val="8"/>
            <w:vAlign w:val="center"/>
          </w:tcPr>
          <w:p>
            <w:pPr>
              <w:pStyle w:val="39"/>
              <w:rPr>
                <w:rFonts w:ascii="Times New Roman" w:hAnsi="Times New Roman"/>
              </w:rPr>
            </w:pPr>
            <w:r>
              <w:rPr>
                <w:rFonts w:ascii="Times New Roman" w:hAnsi="Times New Roman"/>
              </w:rPr>
              <w:t>联络线（宣探清管站-304集气站）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Merge w:val="restart"/>
            <w:vAlign w:val="center"/>
          </w:tcPr>
          <w:p>
            <w:pPr>
              <w:pStyle w:val="39"/>
              <w:rPr>
                <w:rFonts w:ascii="Times New Roman" w:hAnsi="Times New Roman"/>
              </w:rPr>
            </w:pPr>
            <w:r>
              <w:rPr>
                <w:rFonts w:ascii="Times New Roman" w:hAnsi="Times New Roman"/>
              </w:rPr>
              <w:t>编号</w:t>
            </w:r>
          </w:p>
        </w:tc>
        <w:tc>
          <w:tcPr>
            <w:tcW w:w="2581" w:type="dxa"/>
            <w:gridSpan w:val="2"/>
            <w:vMerge w:val="restart"/>
            <w:vAlign w:val="center"/>
          </w:tcPr>
          <w:p>
            <w:pPr>
              <w:pStyle w:val="39"/>
              <w:rPr>
                <w:rFonts w:ascii="Times New Roman" w:hAnsi="Times New Roman"/>
              </w:rPr>
            </w:pPr>
            <w:r>
              <w:rPr>
                <w:rFonts w:ascii="Times New Roman" w:hAnsi="Times New Roman"/>
              </w:rPr>
              <w:t>敏感目标名称</w:t>
            </w:r>
          </w:p>
        </w:tc>
        <w:tc>
          <w:tcPr>
            <w:tcW w:w="1774" w:type="dxa"/>
            <w:vMerge w:val="restart"/>
            <w:vAlign w:val="center"/>
          </w:tcPr>
          <w:p>
            <w:pPr>
              <w:pStyle w:val="39"/>
              <w:rPr>
                <w:rFonts w:ascii="Times New Roman" w:hAnsi="Times New Roman"/>
              </w:rPr>
            </w:pPr>
            <w:r>
              <w:rPr>
                <w:rFonts w:ascii="Times New Roman" w:hAnsi="Times New Roman"/>
              </w:rPr>
              <w:t>相对于管线的方位(最近房屋)</w:t>
            </w:r>
          </w:p>
        </w:tc>
        <w:tc>
          <w:tcPr>
            <w:tcW w:w="1274" w:type="dxa"/>
            <w:vMerge w:val="restart"/>
            <w:vAlign w:val="center"/>
          </w:tcPr>
          <w:p>
            <w:pPr>
              <w:pStyle w:val="39"/>
              <w:rPr>
                <w:rFonts w:ascii="Times New Roman" w:hAnsi="Times New Roman"/>
              </w:rPr>
            </w:pPr>
            <w:r>
              <w:rPr>
                <w:rFonts w:ascii="Times New Roman" w:hAnsi="Times New Roman"/>
              </w:rPr>
              <w:t>距离/m</w:t>
            </w:r>
          </w:p>
          <w:p>
            <w:pPr>
              <w:pStyle w:val="39"/>
              <w:rPr>
                <w:rFonts w:ascii="Times New Roman" w:hAnsi="Times New Roman"/>
              </w:rPr>
            </w:pPr>
            <w:r>
              <w:rPr>
                <w:rFonts w:ascii="Times New Roman" w:hAnsi="Times New Roman"/>
              </w:rPr>
              <w:t>(最近房屋)</w:t>
            </w:r>
          </w:p>
        </w:tc>
        <w:tc>
          <w:tcPr>
            <w:tcW w:w="708" w:type="dxa"/>
            <w:vMerge w:val="restart"/>
            <w:vAlign w:val="center"/>
          </w:tcPr>
          <w:p>
            <w:pPr>
              <w:pStyle w:val="39"/>
              <w:rPr>
                <w:rFonts w:ascii="Times New Roman" w:hAnsi="Times New Roman"/>
              </w:rPr>
            </w:pPr>
            <w:r>
              <w:rPr>
                <w:rFonts w:ascii="Times New Roman" w:hAnsi="Times New Roman"/>
              </w:rPr>
              <w:t>属性</w:t>
            </w:r>
          </w:p>
        </w:tc>
        <w:tc>
          <w:tcPr>
            <w:tcW w:w="2273" w:type="dxa"/>
            <w:gridSpan w:val="2"/>
            <w:vAlign w:val="center"/>
          </w:tcPr>
          <w:p>
            <w:pPr>
              <w:pStyle w:val="39"/>
              <w:rPr>
                <w:rFonts w:ascii="Times New Roman" w:hAnsi="Times New Roman"/>
              </w:rPr>
            </w:pPr>
            <w:r>
              <w:rPr>
                <w:rFonts w:ascii="Times New Roman" w:hAnsi="Times New Roman"/>
              </w:rPr>
              <w:t>200m范围内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Merge w:val="continue"/>
            <w:vAlign w:val="center"/>
          </w:tcPr>
          <w:p>
            <w:pPr>
              <w:pStyle w:val="39"/>
              <w:rPr>
                <w:rFonts w:ascii="Times New Roman" w:hAnsi="Times New Roman"/>
              </w:rPr>
            </w:pPr>
          </w:p>
        </w:tc>
        <w:tc>
          <w:tcPr>
            <w:tcW w:w="2581" w:type="dxa"/>
            <w:gridSpan w:val="2"/>
            <w:vMerge w:val="continue"/>
            <w:vAlign w:val="center"/>
          </w:tcPr>
          <w:p>
            <w:pPr>
              <w:pStyle w:val="39"/>
              <w:rPr>
                <w:rFonts w:ascii="Times New Roman" w:hAnsi="Times New Roman"/>
              </w:rPr>
            </w:pPr>
          </w:p>
        </w:tc>
        <w:tc>
          <w:tcPr>
            <w:tcW w:w="1774" w:type="dxa"/>
            <w:vMerge w:val="continue"/>
            <w:vAlign w:val="center"/>
          </w:tcPr>
          <w:p>
            <w:pPr>
              <w:pStyle w:val="39"/>
              <w:rPr>
                <w:rFonts w:ascii="Times New Roman" w:hAnsi="Times New Roman"/>
              </w:rPr>
            </w:pPr>
          </w:p>
        </w:tc>
        <w:tc>
          <w:tcPr>
            <w:tcW w:w="1274" w:type="dxa"/>
            <w:vMerge w:val="continue"/>
            <w:vAlign w:val="center"/>
          </w:tcPr>
          <w:p>
            <w:pPr>
              <w:pStyle w:val="39"/>
              <w:rPr>
                <w:rFonts w:ascii="Times New Roman" w:hAnsi="Times New Roman"/>
              </w:rPr>
            </w:pPr>
          </w:p>
        </w:tc>
        <w:tc>
          <w:tcPr>
            <w:tcW w:w="708" w:type="dxa"/>
            <w:vMerge w:val="continue"/>
            <w:vAlign w:val="center"/>
          </w:tcPr>
          <w:p>
            <w:pPr>
              <w:pStyle w:val="39"/>
              <w:rPr>
                <w:rFonts w:ascii="Times New Roman" w:hAnsi="Times New Roman"/>
              </w:rPr>
            </w:pPr>
          </w:p>
        </w:tc>
        <w:tc>
          <w:tcPr>
            <w:tcW w:w="1137" w:type="dxa"/>
            <w:vAlign w:val="center"/>
          </w:tcPr>
          <w:p>
            <w:pPr>
              <w:pStyle w:val="39"/>
              <w:rPr>
                <w:rFonts w:ascii="Times New Roman" w:hAnsi="Times New Roman"/>
              </w:rPr>
            </w:pPr>
            <w:r>
              <w:rPr>
                <w:rFonts w:ascii="Times New Roman" w:hAnsi="Times New Roman"/>
              </w:rPr>
              <w:t>人口数</w:t>
            </w:r>
          </w:p>
        </w:tc>
        <w:tc>
          <w:tcPr>
            <w:tcW w:w="1136" w:type="dxa"/>
            <w:vAlign w:val="center"/>
          </w:tcPr>
          <w:p>
            <w:pPr>
              <w:pStyle w:val="39"/>
              <w:rPr>
                <w:rFonts w:ascii="Times New Roman" w:hAnsi="Times New Roman"/>
              </w:rPr>
            </w:pPr>
            <w:r>
              <w:rPr>
                <w:rFonts w:ascii="Times New Roman" w:hAnsi="Times New Roman"/>
              </w:rPr>
              <w:t>户数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1</w:t>
            </w:r>
          </w:p>
        </w:tc>
        <w:tc>
          <w:tcPr>
            <w:tcW w:w="1246" w:type="dxa"/>
            <w:vAlign w:val="center"/>
          </w:tcPr>
          <w:p>
            <w:pPr>
              <w:pStyle w:val="39"/>
              <w:rPr>
                <w:rFonts w:ascii="Times New Roman" w:hAnsi="Times New Roman"/>
              </w:rPr>
            </w:pPr>
            <w:r>
              <w:rPr>
                <w:rFonts w:ascii="Times New Roman" w:hAnsi="Times New Roman"/>
                <w:lang w:val="zh-CN"/>
              </w:rPr>
              <w:t>普光镇</w:t>
            </w:r>
          </w:p>
        </w:tc>
        <w:tc>
          <w:tcPr>
            <w:tcW w:w="1335" w:type="dxa"/>
            <w:vAlign w:val="center"/>
          </w:tcPr>
          <w:p>
            <w:pPr>
              <w:pStyle w:val="39"/>
              <w:rPr>
                <w:rFonts w:ascii="Times New Roman" w:hAnsi="Times New Roman"/>
              </w:rPr>
            </w:pPr>
            <w:r>
              <w:rPr>
                <w:rFonts w:ascii="Times New Roman" w:hAnsi="Times New Roman"/>
              </w:rPr>
              <w:t>千河村</w:t>
            </w:r>
          </w:p>
        </w:tc>
        <w:tc>
          <w:tcPr>
            <w:tcW w:w="1774" w:type="dxa"/>
            <w:vAlign w:val="center"/>
          </w:tcPr>
          <w:p>
            <w:pPr>
              <w:pStyle w:val="39"/>
              <w:rPr>
                <w:rFonts w:ascii="Times New Roman" w:hAnsi="Times New Roman"/>
              </w:rPr>
            </w:pPr>
            <w:r>
              <w:rPr>
                <w:rFonts w:ascii="Times New Roman" w:hAnsi="Times New Roman"/>
              </w:rPr>
              <w:t>N</w:t>
            </w:r>
          </w:p>
        </w:tc>
        <w:tc>
          <w:tcPr>
            <w:tcW w:w="1274" w:type="dxa"/>
            <w:vAlign w:val="center"/>
          </w:tcPr>
          <w:p>
            <w:pPr>
              <w:pStyle w:val="39"/>
              <w:rPr>
                <w:rFonts w:ascii="Times New Roman" w:hAnsi="Times New Roman"/>
              </w:rPr>
            </w:pPr>
            <w:r>
              <w:rPr>
                <w:rFonts w:ascii="Times New Roman" w:hAnsi="Times New Roman"/>
              </w:rPr>
              <w:t>101（同时为声环境保护目标）</w:t>
            </w:r>
          </w:p>
        </w:tc>
        <w:tc>
          <w:tcPr>
            <w:tcW w:w="708" w:type="dxa"/>
            <w:vAlign w:val="center"/>
          </w:tcPr>
          <w:p>
            <w:pPr>
              <w:pStyle w:val="39"/>
              <w:rPr>
                <w:rFonts w:ascii="Times New Roman" w:hAnsi="Times New Roman"/>
              </w:rPr>
            </w:pPr>
            <w:r>
              <w:rPr>
                <w:rFonts w:ascii="Times New Roman" w:hAnsi="Times New Roman"/>
                <w:lang w:val="zh-CN" w:eastAsia="en-US"/>
              </w:rPr>
              <w:t>民房</w:t>
            </w:r>
          </w:p>
        </w:tc>
        <w:tc>
          <w:tcPr>
            <w:tcW w:w="1137" w:type="dxa"/>
            <w:vAlign w:val="center"/>
          </w:tcPr>
          <w:p>
            <w:pPr>
              <w:pStyle w:val="39"/>
              <w:rPr>
                <w:rFonts w:ascii="Times New Roman" w:hAnsi="Times New Roman"/>
              </w:rPr>
            </w:pPr>
            <w:r>
              <w:rPr>
                <w:rFonts w:ascii="Times New Roman" w:hAnsi="Times New Roman"/>
              </w:rPr>
              <w:t>45</w:t>
            </w:r>
          </w:p>
        </w:tc>
        <w:tc>
          <w:tcPr>
            <w:tcW w:w="1136" w:type="dxa"/>
            <w:vAlign w:val="center"/>
          </w:tcPr>
          <w:p>
            <w:pPr>
              <w:pStyle w:val="39"/>
              <w:rPr>
                <w:rFonts w:ascii="Times New Roman" w:hAnsi="Times New Roman"/>
              </w:rPr>
            </w:pPr>
            <w:r>
              <w:rPr>
                <w:rFonts w:ascii="Times New Roman" w:hAnsi="Times New Roman"/>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9172" w:type="dxa"/>
            <w:gridSpan w:val="8"/>
            <w:vAlign w:val="center"/>
          </w:tcPr>
          <w:p>
            <w:pPr>
              <w:pStyle w:val="39"/>
              <w:rPr>
                <w:rFonts w:ascii="Times New Roman" w:hAnsi="Times New Roman"/>
              </w:rPr>
            </w:pPr>
            <w:r>
              <w:rPr>
                <w:rFonts w:ascii="Times New Roman" w:hAnsi="Times New Roman"/>
              </w:rPr>
              <w:t>集气支线（宣探1井站-宣兴1井站）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Merge w:val="restart"/>
            <w:vAlign w:val="center"/>
          </w:tcPr>
          <w:p>
            <w:pPr>
              <w:pStyle w:val="39"/>
              <w:rPr>
                <w:rFonts w:ascii="Times New Roman" w:hAnsi="Times New Roman"/>
              </w:rPr>
            </w:pPr>
            <w:r>
              <w:rPr>
                <w:rFonts w:ascii="Times New Roman" w:hAnsi="Times New Roman"/>
              </w:rPr>
              <w:t>编号</w:t>
            </w:r>
          </w:p>
        </w:tc>
        <w:tc>
          <w:tcPr>
            <w:tcW w:w="2581" w:type="dxa"/>
            <w:gridSpan w:val="2"/>
            <w:vMerge w:val="restart"/>
            <w:vAlign w:val="center"/>
          </w:tcPr>
          <w:p>
            <w:pPr>
              <w:pStyle w:val="39"/>
              <w:rPr>
                <w:rFonts w:ascii="Times New Roman" w:hAnsi="Times New Roman"/>
              </w:rPr>
            </w:pPr>
            <w:r>
              <w:rPr>
                <w:rFonts w:ascii="Times New Roman" w:hAnsi="Times New Roman"/>
              </w:rPr>
              <w:t>敏感目标名称</w:t>
            </w:r>
          </w:p>
        </w:tc>
        <w:tc>
          <w:tcPr>
            <w:tcW w:w="1774" w:type="dxa"/>
            <w:vMerge w:val="restart"/>
            <w:vAlign w:val="center"/>
          </w:tcPr>
          <w:p>
            <w:pPr>
              <w:pStyle w:val="39"/>
              <w:rPr>
                <w:rFonts w:ascii="Times New Roman" w:hAnsi="Times New Roman"/>
              </w:rPr>
            </w:pPr>
            <w:r>
              <w:rPr>
                <w:rFonts w:ascii="Times New Roman" w:hAnsi="Times New Roman"/>
              </w:rPr>
              <w:t>相对于管线的方位(最近房屋)</w:t>
            </w:r>
          </w:p>
        </w:tc>
        <w:tc>
          <w:tcPr>
            <w:tcW w:w="1274" w:type="dxa"/>
            <w:vMerge w:val="restart"/>
            <w:vAlign w:val="center"/>
          </w:tcPr>
          <w:p>
            <w:pPr>
              <w:pStyle w:val="39"/>
              <w:rPr>
                <w:rFonts w:ascii="Times New Roman" w:hAnsi="Times New Roman"/>
              </w:rPr>
            </w:pPr>
            <w:r>
              <w:rPr>
                <w:rFonts w:ascii="Times New Roman" w:hAnsi="Times New Roman"/>
              </w:rPr>
              <w:t>距离/m</w:t>
            </w:r>
          </w:p>
          <w:p>
            <w:pPr>
              <w:pStyle w:val="39"/>
              <w:rPr>
                <w:rFonts w:ascii="Times New Roman" w:hAnsi="Times New Roman"/>
              </w:rPr>
            </w:pPr>
            <w:r>
              <w:rPr>
                <w:rFonts w:ascii="Times New Roman" w:hAnsi="Times New Roman"/>
              </w:rPr>
              <w:t>(最近房屋)</w:t>
            </w:r>
          </w:p>
        </w:tc>
        <w:tc>
          <w:tcPr>
            <w:tcW w:w="708" w:type="dxa"/>
            <w:vMerge w:val="restart"/>
            <w:vAlign w:val="center"/>
          </w:tcPr>
          <w:p>
            <w:pPr>
              <w:pStyle w:val="39"/>
              <w:rPr>
                <w:rFonts w:ascii="Times New Roman" w:hAnsi="Times New Roman"/>
              </w:rPr>
            </w:pPr>
            <w:r>
              <w:rPr>
                <w:rFonts w:ascii="Times New Roman" w:hAnsi="Times New Roman"/>
              </w:rPr>
              <w:t>属性</w:t>
            </w:r>
          </w:p>
        </w:tc>
        <w:tc>
          <w:tcPr>
            <w:tcW w:w="2273" w:type="dxa"/>
            <w:gridSpan w:val="2"/>
            <w:vAlign w:val="center"/>
          </w:tcPr>
          <w:p>
            <w:pPr>
              <w:pStyle w:val="39"/>
              <w:rPr>
                <w:rFonts w:ascii="Times New Roman" w:hAnsi="Times New Roman"/>
              </w:rPr>
            </w:pPr>
            <w:r>
              <w:rPr>
                <w:rFonts w:ascii="Times New Roman" w:hAnsi="Times New Roman"/>
              </w:rPr>
              <w:t>200m范围内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Merge w:val="continue"/>
            <w:vAlign w:val="center"/>
          </w:tcPr>
          <w:p>
            <w:pPr>
              <w:pStyle w:val="39"/>
              <w:rPr>
                <w:rFonts w:ascii="Times New Roman" w:hAnsi="Times New Roman"/>
              </w:rPr>
            </w:pPr>
          </w:p>
        </w:tc>
        <w:tc>
          <w:tcPr>
            <w:tcW w:w="2581" w:type="dxa"/>
            <w:gridSpan w:val="2"/>
            <w:vMerge w:val="continue"/>
            <w:vAlign w:val="center"/>
          </w:tcPr>
          <w:p>
            <w:pPr>
              <w:pStyle w:val="39"/>
              <w:rPr>
                <w:rFonts w:ascii="Times New Roman" w:hAnsi="Times New Roman"/>
              </w:rPr>
            </w:pPr>
          </w:p>
        </w:tc>
        <w:tc>
          <w:tcPr>
            <w:tcW w:w="1774" w:type="dxa"/>
            <w:vMerge w:val="continue"/>
            <w:vAlign w:val="center"/>
          </w:tcPr>
          <w:p>
            <w:pPr>
              <w:pStyle w:val="39"/>
              <w:rPr>
                <w:rFonts w:ascii="Times New Roman" w:hAnsi="Times New Roman"/>
              </w:rPr>
            </w:pPr>
          </w:p>
        </w:tc>
        <w:tc>
          <w:tcPr>
            <w:tcW w:w="1274" w:type="dxa"/>
            <w:vMerge w:val="continue"/>
            <w:vAlign w:val="center"/>
          </w:tcPr>
          <w:p>
            <w:pPr>
              <w:pStyle w:val="39"/>
              <w:rPr>
                <w:rFonts w:ascii="Times New Roman" w:hAnsi="Times New Roman"/>
              </w:rPr>
            </w:pPr>
          </w:p>
        </w:tc>
        <w:tc>
          <w:tcPr>
            <w:tcW w:w="708" w:type="dxa"/>
            <w:vMerge w:val="continue"/>
            <w:vAlign w:val="center"/>
          </w:tcPr>
          <w:p>
            <w:pPr>
              <w:pStyle w:val="39"/>
              <w:rPr>
                <w:rFonts w:ascii="Times New Roman" w:hAnsi="Times New Roman"/>
              </w:rPr>
            </w:pPr>
          </w:p>
        </w:tc>
        <w:tc>
          <w:tcPr>
            <w:tcW w:w="1137" w:type="dxa"/>
            <w:vAlign w:val="center"/>
          </w:tcPr>
          <w:p>
            <w:pPr>
              <w:pStyle w:val="39"/>
              <w:rPr>
                <w:rFonts w:ascii="Times New Roman" w:hAnsi="Times New Roman"/>
              </w:rPr>
            </w:pPr>
            <w:r>
              <w:rPr>
                <w:rFonts w:ascii="Times New Roman" w:hAnsi="Times New Roman"/>
              </w:rPr>
              <w:t>人口数</w:t>
            </w:r>
          </w:p>
        </w:tc>
        <w:tc>
          <w:tcPr>
            <w:tcW w:w="1136" w:type="dxa"/>
            <w:vAlign w:val="center"/>
          </w:tcPr>
          <w:p>
            <w:pPr>
              <w:pStyle w:val="39"/>
              <w:rPr>
                <w:rFonts w:ascii="Times New Roman" w:hAnsi="Times New Roman"/>
              </w:rPr>
            </w:pPr>
            <w:r>
              <w:rPr>
                <w:rFonts w:ascii="Times New Roman" w:hAnsi="Times New Roman"/>
              </w:rPr>
              <w:t>户数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62" w:type="dxa"/>
            <w:vAlign w:val="center"/>
          </w:tcPr>
          <w:p>
            <w:pPr>
              <w:pStyle w:val="39"/>
              <w:rPr>
                <w:rFonts w:ascii="Times New Roman" w:hAnsi="Times New Roman"/>
              </w:rPr>
            </w:pPr>
            <w:r>
              <w:rPr>
                <w:rFonts w:ascii="Times New Roman" w:hAnsi="Times New Roman"/>
              </w:rPr>
              <w:t>1</w:t>
            </w:r>
          </w:p>
        </w:tc>
        <w:tc>
          <w:tcPr>
            <w:tcW w:w="1246" w:type="dxa"/>
            <w:vAlign w:val="center"/>
          </w:tcPr>
          <w:p>
            <w:pPr>
              <w:pStyle w:val="39"/>
              <w:rPr>
                <w:rFonts w:ascii="Times New Roman" w:hAnsi="Times New Roman"/>
              </w:rPr>
            </w:pPr>
            <w:r>
              <w:rPr>
                <w:rFonts w:ascii="Times New Roman" w:hAnsi="Times New Roman"/>
              </w:rPr>
              <w:t>清溪镇</w:t>
            </w:r>
          </w:p>
        </w:tc>
        <w:tc>
          <w:tcPr>
            <w:tcW w:w="1335" w:type="dxa"/>
            <w:vAlign w:val="center"/>
          </w:tcPr>
          <w:p>
            <w:pPr>
              <w:pStyle w:val="39"/>
              <w:rPr>
                <w:rFonts w:ascii="Times New Roman" w:hAnsi="Times New Roman"/>
              </w:rPr>
            </w:pPr>
            <w:r>
              <w:rPr>
                <w:rFonts w:ascii="Times New Roman" w:hAnsi="Times New Roman"/>
              </w:rPr>
              <w:t>五道口村</w:t>
            </w:r>
          </w:p>
        </w:tc>
        <w:tc>
          <w:tcPr>
            <w:tcW w:w="1774" w:type="dxa"/>
            <w:vAlign w:val="center"/>
          </w:tcPr>
          <w:p>
            <w:pPr>
              <w:pStyle w:val="39"/>
              <w:rPr>
                <w:rFonts w:ascii="Times New Roman" w:hAnsi="Times New Roman"/>
              </w:rPr>
            </w:pPr>
            <w:r>
              <w:rPr>
                <w:rFonts w:ascii="Times New Roman" w:hAnsi="Times New Roman"/>
              </w:rPr>
              <w:t>E</w:t>
            </w:r>
          </w:p>
        </w:tc>
        <w:tc>
          <w:tcPr>
            <w:tcW w:w="1274" w:type="dxa"/>
            <w:vAlign w:val="center"/>
          </w:tcPr>
          <w:p>
            <w:pPr>
              <w:pStyle w:val="39"/>
              <w:rPr>
                <w:rFonts w:ascii="Times New Roman" w:hAnsi="Times New Roman"/>
              </w:rPr>
            </w:pPr>
            <w:r>
              <w:rPr>
                <w:rFonts w:ascii="Times New Roman" w:hAnsi="Times New Roman"/>
              </w:rPr>
              <w:t>76（同时为声环境保护目标）</w:t>
            </w:r>
          </w:p>
        </w:tc>
        <w:tc>
          <w:tcPr>
            <w:tcW w:w="708" w:type="dxa"/>
            <w:vAlign w:val="center"/>
          </w:tcPr>
          <w:p>
            <w:pPr>
              <w:pStyle w:val="39"/>
              <w:rPr>
                <w:rFonts w:ascii="Times New Roman" w:hAnsi="Times New Roman"/>
              </w:rPr>
            </w:pPr>
            <w:r>
              <w:rPr>
                <w:rFonts w:ascii="Times New Roman" w:hAnsi="Times New Roman"/>
              </w:rPr>
              <w:t>民房</w:t>
            </w:r>
          </w:p>
        </w:tc>
        <w:tc>
          <w:tcPr>
            <w:tcW w:w="1137" w:type="dxa"/>
            <w:vAlign w:val="center"/>
          </w:tcPr>
          <w:p>
            <w:pPr>
              <w:pStyle w:val="39"/>
              <w:rPr>
                <w:rFonts w:ascii="Times New Roman" w:hAnsi="Times New Roman"/>
              </w:rPr>
            </w:pPr>
            <w:r>
              <w:rPr>
                <w:rFonts w:ascii="Times New Roman" w:hAnsi="Times New Roman"/>
              </w:rPr>
              <w:t>86</w:t>
            </w:r>
          </w:p>
        </w:tc>
        <w:tc>
          <w:tcPr>
            <w:tcW w:w="1136" w:type="dxa"/>
            <w:vAlign w:val="center"/>
          </w:tcPr>
          <w:p>
            <w:pPr>
              <w:pStyle w:val="39"/>
              <w:rPr>
                <w:rFonts w:ascii="Times New Roman" w:hAnsi="Times New Roman"/>
              </w:rPr>
            </w:pPr>
            <w:r>
              <w:rPr>
                <w:rFonts w:ascii="Times New Roman" w:hAnsi="Times New Roman"/>
              </w:rPr>
              <w:t>23</w:t>
            </w:r>
          </w:p>
        </w:tc>
      </w:tr>
    </w:tbl>
    <w:p>
      <w:pPr>
        <w:ind w:firstLine="480"/>
        <w:rPr>
          <w:rFonts w:ascii="Times New Roman" w:hAnsi="Times New Roman"/>
        </w:rPr>
        <w:sectPr>
          <w:pgSz w:w="11906" w:h="16838"/>
          <w:pgMar w:top="1440" w:right="1800" w:bottom="1440" w:left="1800" w:header="851" w:footer="992" w:gutter="0"/>
          <w:cols w:space="425" w:num="1"/>
          <w:docGrid w:type="lines" w:linePitch="312" w:charSpace="0"/>
        </w:sectPr>
      </w:pPr>
    </w:p>
    <w:p>
      <w:pPr>
        <w:pStyle w:val="2"/>
        <w:rPr>
          <w:rFonts w:ascii="Times New Roman" w:hAnsi="Times New Roman" w:cs="Times New Roman"/>
        </w:rPr>
      </w:pPr>
      <w:bookmarkStart w:id="39" w:name="_Toc162339389"/>
      <w:r>
        <w:rPr>
          <w:rFonts w:ascii="Times New Roman" w:hAnsi="Times New Roman" w:cs="Times New Roman"/>
        </w:rPr>
        <w:t>项目概况</w:t>
      </w:r>
      <w:bookmarkEnd w:id="39"/>
    </w:p>
    <w:p>
      <w:pPr>
        <w:pStyle w:val="3"/>
        <w:rPr>
          <w:rFonts w:ascii="Times New Roman" w:hAnsi="Times New Roman" w:cs="Times New Roman"/>
        </w:rPr>
      </w:pPr>
      <w:bookmarkStart w:id="40" w:name="_Toc162339390"/>
      <w:r>
        <w:rPr>
          <w:rFonts w:ascii="Times New Roman" w:hAnsi="Times New Roman" w:cs="Times New Roman"/>
        </w:rPr>
        <w:t>试采方案</w:t>
      </w:r>
      <w:bookmarkEnd w:id="40"/>
    </w:p>
    <w:p>
      <w:pPr>
        <w:pStyle w:val="4"/>
        <w:rPr>
          <w:rFonts w:ascii="Times New Roman" w:hAnsi="Times New Roman" w:cs="Times New Roman"/>
        </w:rPr>
      </w:pPr>
      <w:r>
        <w:rPr>
          <w:rFonts w:ascii="Times New Roman" w:hAnsi="Times New Roman" w:cs="Times New Roman"/>
        </w:rPr>
        <w:t>区域位置</w:t>
      </w:r>
    </w:p>
    <w:p>
      <w:pPr>
        <w:ind w:firstLine="480"/>
        <w:rPr>
          <w:rFonts w:ascii="Times New Roman" w:hAnsi="Times New Roman"/>
        </w:rPr>
      </w:pPr>
      <w:r>
        <w:rPr>
          <w:rFonts w:ascii="Times New Roman" w:hAnsi="Times New Roman"/>
        </w:rPr>
        <w:t>桃花气田宣探1井区位于四川省达州市宣汉县，四川盆地东北大巴山南麓，川渝鄂陕结合部，东北与重庆市城口县接壤，东与重庆市开州区相邻，南连开江县，西接达川区、通川区和平昌县，北与万源交界。桃花气田地理及构造位置见</w:t>
      </w:r>
      <w:r>
        <w:rPr>
          <w:rFonts w:ascii="Times New Roman" w:hAnsi="Times New Roman"/>
        </w:rPr>
        <w:fldChar w:fldCharType="begin"/>
      </w:r>
      <w:r>
        <w:rPr>
          <w:rFonts w:ascii="Times New Roman" w:hAnsi="Times New Roman"/>
        </w:rPr>
        <w:instrText xml:space="preserve"> REF _Ref151989572 \h  \* MERGEFORMAT </w:instrText>
      </w:r>
      <w:r>
        <w:rPr>
          <w:rFonts w:ascii="Times New Roman" w:hAnsi="Times New Roman"/>
        </w:rPr>
        <w:fldChar w:fldCharType="separate"/>
      </w:r>
      <w:r>
        <w:rPr>
          <w:rFonts w:ascii="Times New Roman" w:hAnsi="Times New Roman"/>
        </w:rPr>
        <w:t>图 2</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宣探1井区目前无投产井，邻区中石化老君4井区飞仙关组气藏于2022年11月投产井2口。</w:t>
      </w:r>
    </w:p>
    <w:p>
      <w:pPr>
        <w:ind w:firstLine="0" w:firstLineChars="0"/>
        <w:jc w:val="center"/>
        <w:rPr>
          <w:rFonts w:ascii="Times New Roman" w:hAnsi="Times New Roman"/>
        </w:rPr>
      </w:pPr>
      <w:r>
        <w:rPr>
          <w:rFonts w:ascii="Times New Roman" w:hAnsi="Times New Roman" w:eastAsia="黑体"/>
          <w:kern w:val="0"/>
          <w:szCs w:val="21"/>
        </w:rPr>
        <w:drawing>
          <wp:inline distT="0" distB="0" distL="114300" distR="114300">
            <wp:extent cx="5136515" cy="3549650"/>
            <wp:effectExtent l="0" t="0" r="6985" b="0"/>
            <wp:docPr id="10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6"/>
                    <pic:cNvPicPr>
                      <a:picLocks noChangeAspect="1"/>
                    </pic:cNvPicPr>
                  </pic:nvPicPr>
                  <pic:blipFill>
                    <a:blip r:embed="rId43"/>
                    <a:stretch>
                      <a:fillRect/>
                    </a:stretch>
                  </pic:blipFill>
                  <pic:spPr>
                    <a:xfrm>
                      <a:off x="0" y="0"/>
                      <a:ext cx="5139153" cy="3551049"/>
                    </a:xfrm>
                    <a:prstGeom prst="rect">
                      <a:avLst/>
                    </a:prstGeom>
                    <a:noFill/>
                    <a:ln>
                      <a:noFill/>
                    </a:ln>
                  </pic:spPr>
                </pic:pic>
              </a:graphicData>
            </a:graphic>
          </wp:inline>
        </w:drawing>
      </w:r>
    </w:p>
    <w:p>
      <w:pPr>
        <w:pStyle w:val="37"/>
        <w:rPr>
          <w:rFonts w:ascii="Times New Roman" w:hAnsi="Times New Roman" w:cs="Times New Roman"/>
        </w:rPr>
      </w:pPr>
      <w:bookmarkStart w:id="41" w:name="_Ref151989572"/>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bookmarkEnd w:id="41"/>
      <w:r>
        <w:rPr>
          <w:rFonts w:ascii="Times New Roman" w:hAnsi="Times New Roman" w:cs="Times New Roman"/>
        </w:rPr>
        <w:t xml:space="preserve">  桃花气田地理及构造位置图</w:t>
      </w:r>
    </w:p>
    <w:p>
      <w:pPr>
        <w:pStyle w:val="4"/>
        <w:rPr>
          <w:rFonts w:ascii="Times New Roman" w:hAnsi="Times New Roman" w:cs="Times New Roman"/>
        </w:rPr>
      </w:pPr>
      <w:r>
        <w:rPr>
          <w:rFonts w:ascii="Times New Roman" w:hAnsi="Times New Roman" w:cs="Times New Roman"/>
        </w:rPr>
        <w:t>试采方案</w:t>
      </w:r>
    </w:p>
    <w:p>
      <w:pPr>
        <w:ind w:firstLine="480"/>
        <w:rPr>
          <w:rFonts w:ascii="Times New Roman" w:hAnsi="Times New Roman"/>
        </w:rPr>
      </w:pPr>
      <w:r>
        <w:rPr>
          <w:rFonts w:ascii="Times New Roman" w:hAnsi="Times New Roman"/>
        </w:rPr>
        <w:t>试采层位：</w:t>
      </w:r>
      <w:r>
        <w:rPr>
          <w:rFonts w:ascii="Times New Roman" w:hAnsi="Times New Roman"/>
          <w:highlight w:val="black"/>
        </w:rPr>
        <w:t>飞仙关组</w:t>
      </w:r>
    </w:p>
    <w:p>
      <w:pPr>
        <w:ind w:firstLine="480"/>
        <w:rPr>
          <w:rFonts w:ascii="Times New Roman" w:hAnsi="Times New Roman"/>
        </w:rPr>
      </w:pPr>
      <w:r>
        <w:rPr>
          <w:rFonts w:ascii="Times New Roman" w:hAnsi="Times New Roman"/>
        </w:rPr>
        <w:t>试采方式：采取井组试采、衰竭式开采</w:t>
      </w:r>
    </w:p>
    <w:p>
      <w:pPr>
        <w:ind w:firstLine="480"/>
        <w:rPr>
          <w:rFonts w:ascii="Times New Roman" w:hAnsi="Times New Roman"/>
        </w:rPr>
      </w:pPr>
      <w:r>
        <w:rPr>
          <w:rFonts w:ascii="Times New Roman" w:hAnsi="Times New Roman"/>
        </w:rPr>
        <w:t>试采井：宣探1井和宣兴1井，两井站支线距离约2.2km。</w:t>
      </w:r>
    </w:p>
    <w:p>
      <w:pPr>
        <w:ind w:firstLine="480"/>
        <w:rPr>
          <w:rFonts w:ascii="Times New Roman" w:hAnsi="Times New Roman"/>
        </w:rPr>
      </w:pPr>
      <w:r>
        <w:rPr>
          <w:rFonts w:ascii="Times New Roman" w:hAnsi="Times New Roman"/>
        </w:rPr>
        <w:t>宣探1井和宣兴1井为现有井，目前均已完钻。井位见</w:t>
      </w:r>
      <w:r>
        <w:rPr>
          <w:rFonts w:ascii="Times New Roman" w:hAnsi="Times New Roman"/>
        </w:rPr>
        <w:fldChar w:fldCharType="begin"/>
      </w:r>
      <w:r>
        <w:rPr>
          <w:rFonts w:ascii="Times New Roman" w:hAnsi="Times New Roman"/>
        </w:rPr>
        <w:instrText xml:space="preserve"> REF _Ref151990022 \h  \* MERGEFORMAT </w:instrText>
      </w:r>
      <w:r>
        <w:rPr>
          <w:rFonts w:ascii="Times New Roman" w:hAnsi="Times New Roman"/>
        </w:rPr>
        <w:fldChar w:fldCharType="separate"/>
      </w:r>
      <w:r>
        <w:rPr>
          <w:rFonts w:ascii="Times New Roman" w:hAnsi="Times New Roman"/>
        </w:rPr>
        <w:t>图 2</w:t>
      </w:r>
      <w:r>
        <w:rPr>
          <w:rFonts w:ascii="Times New Roman" w:hAnsi="Times New Roman"/>
        </w:rPr>
        <w:noBreakHyphen/>
      </w:r>
      <w:r>
        <w:rPr>
          <w:rFonts w:ascii="Times New Roman" w:hAnsi="Times New Roman"/>
        </w:rPr>
        <w:t>2</w:t>
      </w:r>
      <w:r>
        <w:rPr>
          <w:rFonts w:ascii="Times New Roman" w:hAnsi="Times New Roman"/>
        </w:rPr>
        <w:fldChar w:fldCharType="end"/>
      </w:r>
      <w:r>
        <w:rPr>
          <w:rFonts w:ascii="Times New Roman" w:hAnsi="Times New Roman"/>
        </w:rPr>
        <w:t>。</w:t>
      </w:r>
    </w:p>
    <w:p>
      <w:pPr>
        <w:ind w:firstLine="0" w:firstLineChars="0"/>
        <w:jc w:val="center"/>
        <w:rPr>
          <w:rFonts w:ascii="Times New Roman" w:hAnsi="Times New Roman"/>
        </w:rPr>
      </w:pPr>
      <w:r>
        <w:rPr>
          <w:rFonts w:ascii="Times New Roman" w:hAnsi="Times New Roman"/>
        </w:rPr>
        <w:drawing>
          <wp:inline distT="0" distB="0" distL="0" distR="0">
            <wp:extent cx="5483225" cy="4324350"/>
            <wp:effectExtent l="0" t="0" r="3175" b="0"/>
            <wp:docPr id="932786309" name="图片 1891374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786309" name="图片 1891374228"/>
                    <pic:cNvPicPr>
                      <a:picLocks noChangeAspect="1"/>
                    </pic:cNvPicPr>
                  </pic:nvPicPr>
                  <pic:blipFill>
                    <a:blip r:embed="rId44"/>
                    <a:srcRect/>
                    <a:stretch>
                      <a:fillRect/>
                    </a:stretch>
                  </pic:blipFill>
                  <pic:spPr>
                    <a:xfrm>
                      <a:off x="0" y="0"/>
                      <a:ext cx="5483306" cy="4324350"/>
                    </a:xfrm>
                    <a:prstGeom prst="rect">
                      <a:avLst/>
                    </a:prstGeom>
                    <a:noFill/>
                    <a:ln>
                      <a:noFill/>
                    </a:ln>
                    <a:effectLst/>
                  </pic:spPr>
                </pic:pic>
              </a:graphicData>
            </a:graphic>
          </wp:inline>
        </w:drawing>
      </w:r>
    </w:p>
    <w:p>
      <w:pPr>
        <w:pStyle w:val="37"/>
        <w:rPr>
          <w:rFonts w:ascii="Times New Roman" w:hAnsi="Times New Roman" w:cs="Times New Roman"/>
        </w:rPr>
      </w:pPr>
      <w:bookmarkStart w:id="42" w:name="_Ref151990022"/>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bookmarkEnd w:id="42"/>
      <w:r>
        <w:rPr>
          <w:rFonts w:ascii="Times New Roman" w:hAnsi="Times New Roman" w:cs="Times New Roman"/>
        </w:rPr>
        <w:t xml:space="preserve">  宣探1井区试采井井位分布图</w:t>
      </w:r>
    </w:p>
    <w:p>
      <w:pPr>
        <w:pStyle w:val="3"/>
        <w:rPr>
          <w:rFonts w:ascii="Times New Roman" w:hAnsi="Times New Roman" w:cs="Times New Roman"/>
        </w:rPr>
      </w:pPr>
      <w:bookmarkStart w:id="43" w:name="_Toc162339391"/>
      <w:r>
        <w:rPr>
          <w:rFonts w:ascii="Times New Roman" w:hAnsi="Times New Roman" w:cs="Times New Roman"/>
        </w:rPr>
        <w:t>现有井基本情况</w:t>
      </w:r>
      <w:bookmarkEnd w:id="43"/>
    </w:p>
    <w:p>
      <w:pPr>
        <w:pStyle w:val="4"/>
        <w:rPr>
          <w:rFonts w:ascii="Times New Roman" w:hAnsi="Times New Roman" w:cs="Times New Roman"/>
        </w:rPr>
      </w:pPr>
      <w:r>
        <w:rPr>
          <w:rFonts w:ascii="Times New Roman" w:hAnsi="Times New Roman" w:cs="Times New Roman"/>
        </w:rPr>
        <w:t>环保手续执行情况</w:t>
      </w:r>
    </w:p>
    <w:p>
      <w:pPr>
        <w:ind w:firstLine="480"/>
        <w:rPr>
          <w:rFonts w:ascii="Times New Roman" w:hAnsi="Times New Roman"/>
        </w:rPr>
      </w:pPr>
      <w:r>
        <w:rPr>
          <w:rFonts w:ascii="Times New Roman" w:hAnsi="Times New Roman"/>
        </w:rPr>
        <w:t>宣探1井钻井工程和宣兴1井钻井工程环保手续执行情况见</w:t>
      </w:r>
      <w:r>
        <w:rPr>
          <w:rFonts w:ascii="Times New Roman" w:hAnsi="Times New Roman"/>
        </w:rPr>
        <w:fldChar w:fldCharType="begin"/>
      </w:r>
      <w:r>
        <w:rPr>
          <w:rFonts w:ascii="Times New Roman" w:hAnsi="Times New Roman"/>
        </w:rPr>
        <w:instrText xml:space="preserve"> REF _Ref151985127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44" w:name="_Ref15198512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bookmarkEnd w:id="44"/>
      <w:r>
        <w:rPr>
          <w:rFonts w:ascii="Times New Roman" w:hAnsi="Times New Roman" w:cs="Times New Roman"/>
        </w:rPr>
        <w:t xml:space="preserve">  钻井工程环保手续一览表</w:t>
      </w:r>
    </w:p>
    <w:tbl>
      <w:tblPr>
        <w:tblStyle w:val="28"/>
        <w:tblW w:w="87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1276"/>
        <w:gridCol w:w="1276"/>
        <w:gridCol w:w="2362"/>
        <w:gridCol w:w="1276"/>
        <w:gridCol w:w="13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pPr>
              <w:pStyle w:val="39"/>
              <w:rPr>
                <w:rFonts w:ascii="Times New Roman" w:hAnsi="Times New Roman"/>
              </w:rPr>
            </w:pPr>
            <w:r>
              <w:rPr>
                <w:rFonts w:ascii="Times New Roman" w:hAnsi="Times New Roman"/>
              </w:rPr>
              <w:t>井号</w:t>
            </w:r>
          </w:p>
        </w:tc>
        <w:tc>
          <w:tcPr>
            <w:tcW w:w="1276" w:type="dxa"/>
            <w:vAlign w:val="center"/>
          </w:tcPr>
          <w:p>
            <w:pPr>
              <w:pStyle w:val="39"/>
              <w:rPr>
                <w:rFonts w:ascii="Times New Roman" w:hAnsi="Times New Roman"/>
              </w:rPr>
            </w:pPr>
            <w:r>
              <w:rPr>
                <w:rFonts w:ascii="Times New Roman" w:hAnsi="Times New Roman"/>
              </w:rPr>
              <w:t>工程类型</w:t>
            </w:r>
          </w:p>
        </w:tc>
        <w:tc>
          <w:tcPr>
            <w:tcW w:w="1276" w:type="dxa"/>
            <w:vAlign w:val="center"/>
          </w:tcPr>
          <w:p>
            <w:pPr>
              <w:pStyle w:val="39"/>
              <w:rPr>
                <w:rFonts w:ascii="Times New Roman" w:hAnsi="Times New Roman"/>
              </w:rPr>
            </w:pPr>
            <w:r>
              <w:rPr>
                <w:rFonts w:ascii="Times New Roman" w:hAnsi="Times New Roman"/>
              </w:rPr>
              <w:t>完井日期</w:t>
            </w:r>
          </w:p>
        </w:tc>
        <w:tc>
          <w:tcPr>
            <w:tcW w:w="2362" w:type="dxa"/>
            <w:vAlign w:val="center"/>
          </w:tcPr>
          <w:p>
            <w:pPr>
              <w:pStyle w:val="39"/>
              <w:rPr>
                <w:rFonts w:ascii="Times New Roman" w:hAnsi="Times New Roman"/>
              </w:rPr>
            </w:pPr>
            <w:r>
              <w:rPr>
                <w:rFonts w:ascii="Times New Roman" w:hAnsi="Times New Roman"/>
              </w:rPr>
              <w:t>钻井工程环评批复时间及文号</w:t>
            </w:r>
          </w:p>
        </w:tc>
        <w:tc>
          <w:tcPr>
            <w:tcW w:w="1276" w:type="dxa"/>
            <w:vAlign w:val="center"/>
          </w:tcPr>
          <w:p>
            <w:pPr>
              <w:pStyle w:val="39"/>
              <w:rPr>
                <w:rFonts w:ascii="Times New Roman" w:hAnsi="Times New Roman"/>
              </w:rPr>
            </w:pPr>
            <w:r>
              <w:rPr>
                <w:rFonts w:ascii="Times New Roman" w:hAnsi="Times New Roman"/>
              </w:rPr>
              <w:t>验收时间</w:t>
            </w:r>
          </w:p>
        </w:tc>
        <w:tc>
          <w:tcPr>
            <w:tcW w:w="1326" w:type="dxa"/>
            <w:vAlign w:val="center"/>
          </w:tcPr>
          <w:p>
            <w:pPr>
              <w:pStyle w:val="39"/>
              <w:rPr>
                <w:rFonts w:ascii="Times New Roman" w:hAnsi="Times New Roman"/>
              </w:rPr>
            </w:pPr>
            <w:r>
              <w:rPr>
                <w:rFonts w:ascii="Times New Roman" w:hAnsi="Times New Roman"/>
              </w:rPr>
              <w:t>目前状态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pPr>
              <w:pStyle w:val="39"/>
              <w:rPr>
                <w:rFonts w:ascii="Times New Roman" w:hAnsi="Times New Roman"/>
              </w:rPr>
            </w:pPr>
            <w:r>
              <w:rPr>
                <w:rFonts w:ascii="Times New Roman" w:hAnsi="Times New Roman"/>
              </w:rPr>
              <w:t>宣探1井</w:t>
            </w:r>
          </w:p>
        </w:tc>
        <w:tc>
          <w:tcPr>
            <w:tcW w:w="1276" w:type="dxa"/>
            <w:vAlign w:val="center"/>
          </w:tcPr>
          <w:p>
            <w:pPr>
              <w:pStyle w:val="39"/>
              <w:rPr>
                <w:rFonts w:ascii="Times New Roman" w:hAnsi="Times New Roman"/>
              </w:rPr>
            </w:pPr>
            <w:r>
              <w:rPr>
                <w:rFonts w:ascii="Times New Roman" w:hAnsi="Times New Roman"/>
              </w:rPr>
              <w:t>预探井</w:t>
            </w:r>
          </w:p>
        </w:tc>
        <w:tc>
          <w:tcPr>
            <w:tcW w:w="1276" w:type="dxa"/>
            <w:vAlign w:val="center"/>
          </w:tcPr>
          <w:p>
            <w:pPr>
              <w:pStyle w:val="39"/>
              <w:rPr>
                <w:rFonts w:ascii="Times New Roman" w:hAnsi="Times New Roman"/>
              </w:rPr>
            </w:pPr>
            <w:r>
              <w:rPr>
                <w:rFonts w:ascii="Times New Roman" w:hAnsi="Times New Roman"/>
              </w:rPr>
              <w:t>2022.11</w:t>
            </w:r>
          </w:p>
        </w:tc>
        <w:tc>
          <w:tcPr>
            <w:tcW w:w="2362" w:type="dxa"/>
            <w:vAlign w:val="center"/>
          </w:tcPr>
          <w:p>
            <w:pPr>
              <w:pStyle w:val="39"/>
              <w:rPr>
                <w:rFonts w:ascii="Times New Roman" w:hAnsi="Times New Roman"/>
              </w:rPr>
            </w:pPr>
            <w:r>
              <w:rPr>
                <w:rFonts w:ascii="Times New Roman" w:hAnsi="Times New Roman"/>
              </w:rPr>
              <w:t>宣环审〔2022〕4号</w:t>
            </w:r>
          </w:p>
          <w:p>
            <w:pPr>
              <w:pStyle w:val="39"/>
              <w:rPr>
                <w:rFonts w:ascii="Times New Roman" w:hAnsi="Times New Roman"/>
              </w:rPr>
            </w:pPr>
            <w:r>
              <w:rPr>
                <w:rFonts w:ascii="Times New Roman" w:hAnsi="Times New Roman"/>
              </w:rPr>
              <w:t>（2022年1月25日）</w:t>
            </w:r>
          </w:p>
        </w:tc>
        <w:tc>
          <w:tcPr>
            <w:tcW w:w="1276" w:type="dxa"/>
            <w:vAlign w:val="center"/>
          </w:tcPr>
          <w:p>
            <w:pPr>
              <w:pStyle w:val="39"/>
              <w:rPr>
                <w:rFonts w:ascii="Times New Roman" w:hAnsi="Times New Roman"/>
              </w:rPr>
            </w:pPr>
            <w:r>
              <w:rPr>
                <w:rFonts w:ascii="Times New Roman" w:hAnsi="Times New Roman"/>
              </w:rPr>
              <w:t>尚未验收</w:t>
            </w:r>
          </w:p>
        </w:tc>
        <w:tc>
          <w:tcPr>
            <w:tcW w:w="1326" w:type="dxa"/>
            <w:vAlign w:val="center"/>
          </w:tcPr>
          <w:p>
            <w:pPr>
              <w:pStyle w:val="39"/>
              <w:rPr>
                <w:rFonts w:ascii="Times New Roman" w:hAnsi="Times New Roman"/>
              </w:rPr>
            </w:pPr>
            <w:r>
              <w:rPr>
                <w:rFonts w:ascii="Times New Roman" w:hAnsi="Times New Roman"/>
              </w:rPr>
              <w:t>关井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pPr>
              <w:pStyle w:val="39"/>
              <w:rPr>
                <w:rFonts w:ascii="Times New Roman" w:hAnsi="Times New Roman"/>
              </w:rPr>
            </w:pPr>
            <w:r>
              <w:rPr>
                <w:rFonts w:ascii="Times New Roman" w:hAnsi="Times New Roman"/>
              </w:rPr>
              <w:t>宣兴1井</w:t>
            </w:r>
          </w:p>
        </w:tc>
        <w:tc>
          <w:tcPr>
            <w:tcW w:w="1276" w:type="dxa"/>
            <w:vAlign w:val="center"/>
          </w:tcPr>
          <w:p>
            <w:pPr>
              <w:pStyle w:val="39"/>
              <w:rPr>
                <w:rFonts w:ascii="Times New Roman" w:hAnsi="Times New Roman"/>
              </w:rPr>
            </w:pPr>
            <w:r>
              <w:rPr>
                <w:rFonts w:ascii="Times New Roman" w:hAnsi="Times New Roman"/>
              </w:rPr>
              <w:t>预探井</w:t>
            </w:r>
          </w:p>
        </w:tc>
        <w:tc>
          <w:tcPr>
            <w:tcW w:w="1276" w:type="dxa"/>
            <w:vAlign w:val="center"/>
          </w:tcPr>
          <w:p>
            <w:pPr>
              <w:pStyle w:val="39"/>
              <w:rPr>
                <w:rFonts w:ascii="Times New Roman" w:hAnsi="Times New Roman"/>
              </w:rPr>
            </w:pPr>
            <w:r>
              <w:rPr>
                <w:rFonts w:ascii="Times New Roman" w:hAnsi="Times New Roman"/>
              </w:rPr>
              <w:t>2023.10</w:t>
            </w:r>
          </w:p>
        </w:tc>
        <w:tc>
          <w:tcPr>
            <w:tcW w:w="2362" w:type="dxa"/>
            <w:vAlign w:val="center"/>
          </w:tcPr>
          <w:p>
            <w:pPr>
              <w:pStyle w:val="39"/>
              <w:rPr>
                <w:rFonts w:ascii="Times New Roman" w:hAnsi="Times New Roman"/>
              </w:rPr>
            </w:pPr>
            <w:r>
              <w:rPr>
                <w:rFonts w:ascii="Times New Roman" w:hAnsi="Times New Roman"/>
              </w:rPr>
              <w:t>宣环审〔2023〕15号</w:t>
            </w:r>
          </w:p>
          <w:p>
            <w:pPr>
              <w:pStyle w:val="39"/>
              <w:rPr>
                <w:rFonts w:ascii="Times New Roman" w:hAnsi="Times New Roman"/>
              </w:rPr>
            </w:pPr>
            <w:r>
              <w:rPr>
                <w:rFonts w:ascii="Times New Roman" w:hAnsi="Times New Roman"/>
              </w:rPr>
              <w:t>（2023年5月19日）</w:t>
            </w:r>
          </w:p>
        </w:tc>
        <w:tc>
          <w:tcPr>
            <w:tcW w:w="1276" w:type="dxa"/>
            <w:vAlign w:val="center"/>
          </w:tcPr>
          <w:p>
            <w:pPr>
              <w:pStyle w:val="39"/>
              <w:rPr>
                <w:rFonts w:ascii="Times New Roman" w:hAnsi="Times New Roman"/>
              </w:rPr>
            </w:pPr>
            <w:r>
              <w:rPr>
                <w:rFonts w:ascii="Times New Roman" w:hAnsi="Times New Roman"/>
              </w:rPr>
              <w:t>尚未验收</w:t>
            </w:r>
          </w:p>
        </w:tc>
        <w:tc>
          <w:tcPr>
            <w:tcW w:w="1326" w:type="dxa"/>
            <w:vAlign w:val="center"/>
          </w:tcPr>
          <w:p>
            <w:pPr>
              <w:pStyle w:val="39"/>
              <w:rPr>
                <w:rFonts w:ascii="Times New Roman" w:hAnsi="Times New Roman"/>
              </w:rPr>
            </w:pPr>
            <w:r>
              <w:rPr>
                <w:rFonts w:ascii="Times New Roman" w:hAnsi="Times New Roman"/>
              </w:rPr>
              <w:t>关井</w:t>
            </w:r>
          </w:p>
        </w:tc>
      </w:tr>
    </w:tbl>
    <w:p>
      <w:pPr>
        <w:pStyle w:val="4"/>
        <w:rPr>
          <w:rFonts w:ascii="Times New Roman" w:hAnsi="Times New Roman" w:cs="Times New Roman"/>
        </w:rPr>
      </w:pPr>
      <w:r>
        <w:rPr>
          <w:rFonts w:ascii="Times New Roman" w:hAnsi="Times New Roman" w:cs="Times New Roman"/>
        </w:rPr>
        <w:t>现有井现状</w:t>
      </w:r>
    </w:p>
    <w:p>
      <w:pPr>
        <w:ind w:firstLine="480"/>
        <w:rPr>
          <w:rFonts w:ascii="Times New Roman" w:hAnsi="Times New Roman"/>
        </w:rPr>
      </w:pPr>
      <w:r>
        <w:rPr>
          <w:rFonts w:ascii="Times New Roman" w:hAnsi="Times New Roman"/>
        </w:rPr>
        <w:t>（1）宣探1井</w:t>
      </w:r>
    </w:p>
    <w:p>
      <w:pPr>
        <w:ind w:firstLine="480"/>
        <w:rPr>
          <w:rFonts w:ascii="Times New Roman" w:hAnsi="Times New Roman"/>
        </w:rPr>
      </w:pPr>
      <w:r>
        <w:rPr>
          <w:rFonts w:ascii="Times New Roman" w:hAnsi="Times New Roman"/>
        </w:rPr>
        <w:t>宣探1井位于达州市宣汉</w:t>
      </w:r>
      <w:r>
        <w:rPr>
          <w:rFonts w:ascii="Times New Roman" w:hAnsi="Times New Roman"/>
          <w:highlight w:val="black"/>
        </w:rPr>
        <w:t>县清溪镇马伏村4组</w:t>
      </w:r>
      <w:r>
        <w:rPr>
          <w:rFonts w:ascii="Times New Roman" w:hAnsi="Times New Roman"/>
        </w:rPr>
        <w:t>，该井开钻时间为2022年3月7日，完钻时间2022年11月4日，</w:t>
      </w:r>
      <w:r>
        <w:rPr>
          <w:rFonts w:ascii="Times New Roman" w:hAnsi="Times New Roman"/>
          <w:highlight w:val="black"/>
        </w:rPr>
        <w:t>完钻层位为长兴组，完钻井深5930.00m，</w:t>
      </w:r>
      <w:r>
        <w:rPr>
          <w:rFonts w:ascii="Times New Roman" w:hAnsi="Times New Roman"/>
        </w:rPr>
        <w:t>完井方法为射孔完井，已完井测试，目前处于关井状态，该井站与宣兴1井站的直线距离约2.2km。</w:t>
      </w:r>
    </w:p>
    <w:p>
      <w:pPr>
        <w:ind w:firstLine="480"/>
        <w:rPr>
          <w:rFonts w:ascii="Times New Roman" w:hAnsi="Times New Roman"/>
        </w:rPr>
      </w:pPr>
      <w:r>
        <w:rPr>
          <w:rFonts w:ascii="Times New Roman" w:hAnsi="Times New Roman"/>
        </w:rPr>
        <w:t>井站周围为农田，井站目前除井口装置外，基本无其他地面设施，井站西北侧有废水池1座，有雨水积存，井站东南方向有少量分散民房，距离井站最近的民居位于井站东南约60m。井站现状见下图。</w:t>
      </w:r>
    </w:p>
    <w:tbl>
      <w:tblPr>
        <w:tblStyle w:val="28"/>
        <w:tblW w:w="0" w:type="auto"/>
        <w:jc w:val="center"/>
        <w:tblLayout w:type="autofit"/>
        <w:tblCellMar>
          <w:top w:w="0" w:type="dxa"/>
          <w:left w:w="108" w:type="dxa"/>
          <w:bottom w:w="0" w:type="dxa"/>
          <w:right w:w="108" w:type="dxa"/>
        </w:tblCellMar>
      </w:tblPr>
      <w:tblGrid>
        <w:gridCol w:w="4476"/>
        <w:gridCol w:w="3996"/>
      </w:tblGrid>
      <w:tr>
        <w:tblPrEx>
          <w:tblCellMar>
            <w:top w:w="0" w:type="dxa"/>
            <w:left w:w="108" w:type="dxa"/>
            <w:bottom w:w="0" w:type="dxa"/>
            <w:right w:w="108" w:type="dxa"/>
          </w:tblCellMar>
        </w:tblPrEx>
        <w:trPr>
          <w:jc w:val="center"/>
        </w:trPr>
        <w:tc>
          <w:tcPr>
            <w:tcW w:w="2765" w:type="dxa"/>
          </w:tcPr>
          <w:p>
            <w:pPr>
              <w:ind w:firstLine="0" w:firstLineChars="0"/>
              <w:rPr>
                <w:rFonts w:ascii="Times New Roman" w:hAnsi="Times New Roman"/>
              </w:rPr>
            </w:pPr>
            <w:r>
              <w:rPr>
                <w:rFonts w:ascii="Times New Roman" w:hAnsi="Times New Roman"/>
              </w:rPr>
              <w:drawing>
                <wp:inline distT="0" distB="0" distL="0" distR="0">
                  <wp:extent cx="2700020" cy="1799590"/>
                  <wp:effectExtent l="0" t="0" r="5080" b="0"/>
                  <wp:docPr id="381960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6078" name="图片 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00163" cy="1800000"/>
                          </a:xfrm>
                          <a:prstGeom prst="rect">
                            <a:avLst/>
                          </a:prstGeom>
                        </pic:spPr>
                      </pic:pic>
                    </a:graphicData>
                  </a:graphic>
                </wp:inline>
              </w:drawing>
            </w:r>
          </w:p>
        </w:tc>
        <w:tc>
          <w:tcPr>
            <w:tcW w:w="2765" w:type="dxa"/>
          </w:tcPr>
          <w:p>
            <w:pPr>
              <w:ind w:firstLine="0" w:firstLineChars="0"/>
              <w:rPr>
                <w:rFonts w:ascii="Times New Roman" w:hAnsi="Times New Roman"/>
              </w:rPr>
            </w:pPr>
            <w:r>
              <w:rPr>
                <w:rFonts w:ascii="Times New Roman" w:hAnsi="Times New Roman"/>
              </w:rPr>
              <w:drawing>
                <wp:inline distT="0" distB="0" distL="0" distR="0">
                  <wp:extent cx="2399665" cy="1799590"/>
                  <wp:effectExtent l="0" t="0" r="635" b="0"/>
                  <wp:docPr id="19165297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29726" name="图片 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99807" cy="1800000"/>
                          </a:xfrm>
                          <a:prstGeom prst="rect">
                            <a:avLst/>
                          </a:prstGeom>
                        </pic:spPr>
                      </pic:pic>
                    </a:graphicData>
                  </a:graphic>
                </wp:inline>
              </w:drawing>
            </w:r>
          </w:p>
        </w:tc>
      </w:tr>
      <w:tr>
        <w:tblPrEx>
          <w:tblCellMar>
            <w:top w:w="0" w:type="dxa"/>
            <w:left w:w="108" w:type="dxa"/>
            <w:bottom w:w="0" w:type="dxa"/>
            <w:right w:w="108" w:type="dxa"/>
          </w:tblCellMar>
        </w:tblPrEx>
        <w:trPr>
          <w:jc w:val="center"/>
        </w:trPr>
        <w:tc>
          <w:tcPr>
            <w:tcW w:w="2765" w:type="dxa"/>
          </w:tcPr>
          <w:p>
            <w:pPr>
              <w:ind w:firstLine="0" w:firstLineChars="0"/>
              <w:jc w:val="center"/>
              <w:rPr>
                <w:rFonts w:ascii="Times New Roman" w:hAnsi="Times New Roman"/>
              </w:rPr>
            </w:pPr>
            <w:r>
              <w:rPr>
                <w:rFonts w:ascii="Times New Roman" w:hAnsi="Times New Roman"/>
              </w:rPr>
              <w:t>井站全貌</w:t>
            </w:r>
          </w:p>
        </w:tc>
        <w:tc>
          <w:tcPr>
            <w:tcW w:w="2765" w:type="dxa"/>
          </w:tcPr>
          <w:p>
            <w:pPr>
              <w:ind w:firstLine="0" w:firstLineChars="0"/>
              <w:jc w:val="center"/>
              <w:rPr>
                <w:rFonts w:ascii="Times New Roman" w:hAnsi="Times New Roman"/>
              </w:rPr>
            </w:pPr>
            <w:r>
              <w:rPr>
                <w:rFonts w:ascii="Times New Roman" w:hAnsi="Times New Roman"/>
              </w:rPr>
              <w:t>井口设施</w:t>
            </w:r>
          </w:p>
        </w:tc>
      </w:tr>
      <w:tr>
        <w:tblPrEx>
          <w:tblCellMar>
            <w:top w:w="0" w:type="dxa"/>
            <w:left w:w="108" w:type="dxa"/>
            <w:bottom w:w="0" w:type="dxa"/>
            <w:right w:w="108" w:type="dxa"/>
          </w:tblCellMar>
        </w:tblPrEx>
        <w:trPr>
          <w:jc w:val="center"/>
        </w:trPr>
        <w:tc>
          <w:tcPr>
            <w:tcW w:w="2765" w:type="dxa"/>
          </w:tcPr>
          <w:p>
            <w:pPr>
              <w:ind w:firstLine="0" w:firstLineChars="0"/>
              <w:rPr>
                <w:rFonts w:ascii="Times New Roman" w:hAnsi="Times New Roman"/>
              </w:rPr>
            </w:pPr>
            <w:r>
              <w:rPr>
                <w:rFonts w:ascii="Times New Roman" w:hAnsi="Times New Roman"/>
              </w:rPr>
              <w:drawing>
                <wp:inline distT="0" distB="0" distL="0" distR="0">
                  <wp:extent cx="2700020" cy="1799590"/>
                  <wp:effectExtent l="0" t="0" r="5080" b="0"/>
                  <wp:docPr id="19633390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339083" name="图片 4"/>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00163" cy="1800000"/>
                          </a:xfrm>
                          <a:prstGeom prst="rect">
                            <a:avLst/>
                          </a:prstGeom>
                        </pic:spPr>
                      </pic:pic>
                    </a:graphicData>
                  </a:graphic>
                </wp:inline>
              </w:drawing>
            </w:r>
          </w:p>
        </w:tc>
        <w:tc>
          <w:tcPr>
            <w:tcW w:w="2765" w:type="dxa"/>
          </w:tcPr>
          <w:p>
            <w:pPr>
              <w:ind w:firstLine="0" w:firstLineChars="0"/>
              <w:rPr>
                <w:rFonts w:ascii="Times New Roman" w:hAnsi="Times New Roman"/>
              </w:rPr>
            </w:pPr>
            <w:r>
              <w:rPr>
                <w:rFonts w:ascii="Times New Roman" w:hAnsi="Times New Roman"/>
              </w:rPr>
              <w:drawing>
                <wp:inline distT="0" distB="0" distL="0" distR="0">
                  <wp:extent cx="2399665" cy="1799590"/>
                  <wp:effectExtent l="0" t="0" r="635" b="0"/>
                  <wp:docPr id="1254988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8872" name="图片 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99807" cy="1800000"/>
                          </a:xfrm>
                          <a:prstGeom prst="rect">
                            <a:avLst/>
                          </a:prstGeom>
                        </pic:spPr>
                      </pic:pic>
                    </a:graphicData>
                  </a:graphic>
                </wp:inline>
              </w:drawing>
            </w:r>
          </w:p>
        </w:tc>
      </w:tr>
      <w:tr>
        <w:trPr>
          <w:jc w:val="center"/>
        </w:trPr>
        <w:tc>
          <w:tcPr>
            <w:tcW w:w="2765" w:type="dxa"/>
          </w:tcPr>
          <w:p>
            <w:pPr>
              <w:ind w:firstLine="0" w:firstLineChars="0"/>
              <w:jc w:val="center"/>
              <w:rPr>
                <w:rFonts w:ascii="Times New Roman" w:hAnsi="Times New Roman"/>
              </w:rPr>
            </w:pPr>
            <w:r>
              <w:rPr>
                <w:rFonts w:ascii="Times New Roman" w:hAnsi="Times New Roman"/>
              </w:rPr>
              <w:t>井站北侧河流</w:t>
            </w:r>
          </w:p>
        </w:tc>
        <w:tc>
          <w:tcPr>
            <w:tcW w:w="2765" w:type="dxa"/>
          </w:tcPr>
          <w:p>
            <w:pPr>
              <w:ind w:firstLine="0" w:firstLineChars="0"/>
              <w:jc w:val="center"/>
              <w:rPr>
                <w:rFonts w:ascii="Times New Roman" w:hAnsi="Times New Roman"/>
              </w:rPr>
            </w:pPr>
            <w:r>
              <w:rPr>
                <w:rFonts w:ascii="Times New Roman" w:hAnsi="Times New Roman"/>
              </w:rPr>
              <w:t>场地现状</w:t>
            </w:r>
          </w:p>
        </w:tc>
      </w:tr>
    </w:tbl>
    <w:p>
      <w:pPr>
        <w:ind w:firstLine="480"/>
        <w:rPr>
          <w:rFonts w:ascii="Times New Roman" w:hAnsi="Times New Roman"/>
        </w:rPr>
      </w:pPr>
    </w:p>
    <w:p>
      <w:pPr>
        <w:ind w:firstLine="480"/>
        <w:rPr>
          <w:rFonts w:ascii="Times New Roman" w:hAnsi="Times New Roman"/>
        </w:rPr>
      </w:pPr>
      <w:r>
        <w:rPr>
          <w:rFonts w:ascii="Times New Roman" w:hAnsi="Times New Roman"/>
        </w:rPr>
        <w:t>（2）宣兴1井</w:t>
      </w:r>
    </w:p>
    <w:p>
      <w:pPr>
        <w:ind w:firstLine="480"/>
        <w:rPr>
          <w:rFonts w:ascii="Times New Roman" w:hAnsi="Times New Roman"/>
        </w:rPr>
      </w:pPr>
      <w:r>
        <w:rPr>
          <w:rFonts w:ascii="Times New Roman" w:hAnsi="Times New Roman"/>
        </w:rPr>
        <w:t>宣兴1井位于达州市宣汉县</w:t>
      </w:r>
      <w:r>
        <w:rPr>
          <w:rFonts w:ascii="Times New Roman" w:hAnsi="Times New Roman"/>
          <w:highlight w:val="black"/>
        </w:rPr>
        <w:t>清溪镇五道口村1组</w:t>
      </w:r>
      <w:r>
        <w:rPr>
          <w:rFonts w:ascii="Times New Roman" w:hAnsi="Times New Roman"/>
        </w:rPr>
        <w:t>，宣兴1井开钻时间2023年6月3日，完钻时间2023年10月23日，</w:t>
      </w:r>
      <w:r>
        <w:rPr>
          <w:rFonts w:ascii="Times New Roman" w:hAnsi="Times New Roman"/>
          <w:highlight w:val="black"/>
        </w:rPr>
        <w:t>完钻层位为飞仙关组，</w:t>
      </w:r>
      <w:r>
        <w:rPr>
          <w:rFonts w:ascii="Times New Roman" w:hAnsi="Times New Roman"/>
        </w:rPr>
        <w:t>完钻</w:t>
      </w:r>
      <w:r>
        <w:rPr>
          <w:rFonts w:ascii="Times New Roman" w:hAnsi="Times New Roman"/>
          <w:highlight w:val="black"/>
        </w:rPr>
        <w:t>井深6080m，</w:t>
      </w:r>
      <w:r>
        <w:rPr>
          <w:rFonts w:ascii="Times New Roman" w:hAnsi="Times New Roman"/>
        </w:rPr>
        <w:t>完井方式为射孔完井。已完井测试，目前处于关井状态。</w:t>
      </w:r>
    </w:p>
    <w:p>
      <w:pPr>
        <w:ind w:firstLine="480"/>
        <w:rPr>
          <w:rFonts w:ascii="Times New Roman" w:hAnsi="Times New Roman"/>
        </w:rPr>
      </w:pPr>
      <w:r>
        <w:rPr>
          <w:rFonts w:ascii="Times New Roman" w:hAnsi="Times New Roman"/>
        </w:rPr>
        <w:t>地面施工设施已基本拆除，井站东侧有应急池1座。井站除西侧外，其他方向分布有少量分散民房，距离井站最近的民居位于井站西北约35m。井站现状见下图。</w:t>
      </w:r>
    </w:p>
    <w:tbl>
      <w:tblPr>
        <w:tblStyle w:val="28"/>
        <w:tblW w:w="0" w:type="auto"/>
        <w:tblInd w:w="0" w:type="dxa"/>
        <w:tblLayout w:type="autofit"/>
        <w:tblCellMar>
          <w:top w:w="0" w:type="dxa"/>
          <w:left w:w="108" w:type="dxa"/>
          <w:bottom w:w="0" w:type="dxa"/>
          <w:right w:w="108" w:type="dxa"/>
        </w:tblCellMar>
      </w:tblPr>
      <w:tblGrid>
        <w:gridCol w:w="4476"/>
        <w:gridCol w:w="4046"/>
      </w:tblGrid>
      <w:tr>
        <w:tblPrEx>
          <w:tblCellMar>
            <w:top w:w="0" w:type="dxa"/>
            <w:left w:w="108" w:type="dxa"/>
            <w:bottom w:w="0" w:type="dxa"/>
            <w:right w:w="108" w:type="dxa"/>
          </w:tblCellMar>
        </w:tblPrEx>
        <w:tc>
          <w:tcPr>
            <w:tcW w:w="4148" w:type="dxa"/>
          </w:tcPr>
          <w:p>
            <w:pPr>
              <w:ind w:firstLine="0" w:firstLineChars="0"/>
              <w:rPr>
                <w:rFonts w:ascii="Times New Roman" w:hAnsi="Times New Roman"/>
              </w:rPr>
            </w:pPr>
            <w:r>
              <w:rPr>
                <w:rFonts w:ascii="Times New Roman" w:hAnsi="Times New Roman"/>
              </w:rPr>
              <w:drawing>
                <wp:inline distT="0" distB="0" distL="0" distR="0">
                  <wp:extent cx="2700020" cy="1799590"/>
                  <wp:effectExtent l="0" t="0" r="5080" b="0"/>
                  <wp:docPr id="2700801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080175" name="图片 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00163" cy="1800000"/>
                          </a:xfrm>
                          <a:prstGeom prst="rect">
                            <a:avLst/>
                          </a:prstGeom>
                        </pic:spPr>
                      </pic:pic>
                    </a:graphicData>
                  </a:graphic>
                </wp:inline>
              </w:drawing>
            </w:r>
          </w:p>
        </w:tc>
        <w:tc>
          <w:tcPr>
            <w:tcW w:w="4148" w:type="dxa"/>
          </w:tcPr>
          <w:p>
            <w:pPr>
              <w:ind w:firstLine="0" w:firstLineChars="0"/>
              <w:rPr>
                <w:rFonts w:ascii="Times New Roman" w:hAnsi="Times New Roman"/>
              </w:rPr>
            </w:pPr>
            <w:r>
              <w:rPr>
                <w:rFonts w:ascii="Times New Roman" w:hAnsi="Times New Roman"/>
              </w:rPr>
              <w:drawing>
                <wp:inline distT="0" distB="0" distL="0" distR="0">
                  <wp:extent cx="2399665" cy="1799590"/>
                  <wp:effectExtent l="0" t="0" r="635" b="0"/>
                  <wp:docPr id="3408673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867394" name="图片 6"/>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99807" cy="1800000"/>
                          </a:xfrm>
                          <a:prstGeom prst="rect">
                            <a:avLst/>
                          </a:prstGeom>
                        </pic:spPr>
                      </pic:pic>
                    </a:graphicData>
                  </a:graphic>
                </wp:inline>
              </w:drawing>
            </w:r>
          </w:p>
        </w:tc>
      </w:tr>
      <w:tr>
        <w:tblPrEx>
          <w:tblCellMar>
            <w:top w:w="0" w:type="dxa"/>
            <w:left w:w="108" w:type="dxa"/>
            <w:bottom w:w="0" w:type="dxa"/>
            <w:right w:w="108" w:type="dxa"/>
          </w:tblCellMar>
        </w:tblPrEx>
        <w:tc>
          <w:tcPr>
            <w:tcW w:w="4148" w:type="dxa"/>
          </w:tcPr>
          <w:p>
            <w:pPr>
              <w:ind w:firstLine="0" w:firstLineChars="0"/>
              <w:jc w:val="center"/>
              <w:rPr>
                <w:rFonts w:ascii="Times New Roman" w:hAnsi="Times New Roman"/>
              </w:rPr>
            </w:pPr>
            <w:r>
              <w:rPr>
                <w:rFonts w:ascii="Times New Roman" w:hAnsi="Times New Roman"/>
              </w:rPr>
              <w:t>井站全貌</w:t>
            </w:r>
          </w:p>
        </w:tc>
        <w:tc>
          <w:tcPr>
            <w:tcW w:w="4148" w:type="dxa"/>
          </w:tcPr>
          <w:p>
            <w:pPr>
              <w:ind w:firstLine="0" w:firstLineChars="0"/>
              <w:jc w:val="center"/>
              <w:rPr>
                <w:rFonts w:ascii="Times New Roman" w:hAnsi="Times New Roman"/>
              </w:rPr>
            </w:pPr>
            <w:r>
              <w:rPr>
                <w:rFonts w:ascii="Times New Roman" w:hAnsi="Times New Roman"/>
              </w:rPr>
              <w:t>前期施工设施</w:t>
            </w:r>
          </w:p>
        </w:tc>
      </w:tr>
      <w:tr>
        <w:tblPrEx>
          <w:tblCellMar>
            <w:top w:w="0" w:type="dxa"/>
            <w:left w:w="108" w:type="dxa"/>
            <w:bottom w:w="0" w:type="dxa"/>
            <w:right w:w="108" w:type="dxa"/>
          </w:tblCellMar>
        </w:tblPrEx>
        <w:tc>
          <w:tcPr>
            <w:tcW w:w="4148" w:type="dxa"/>
          </w:tcPr>
          <w:p>
            <w:pPr>
              <w:ind w:firstLine="0" w:firstLineChars="0"/>
              <w:rPr>
                <w:rFonts w:ascii="Times New Roman" w:hAnsi="Times New Roman"/>
              </w:rPr>
            </w:pPr>
            <w:r>
              <w:rPr>
                <w:rFonts w:ascii="Times New Roman" w:hAnsi="Times New Roman"/>
              </w:rPr>
              <w:drawing>
                <wp:inline distT="0" distB="0" distL="0" distR="0">
                  <wp:extent cx="2400935" cy="1799590"/>
                  <wp:effectExtent l="0" t="0" r="0" b="0"/>
                  <wp:docPr id="1359482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482154" name="图片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400964" cy="1800000"/>
                          </a:xfrm>
                          <a:prstGeom prst="rect">
                            <a:avLst/>
                          </a:prstGeom>
                          <a:noFill/>
                          <a:ln>
                            <a:noFill/>
                          </a:ln>
                        </pic:spPr>
                      </pic:pic>
                    </a:graphicData>
                  </a:graphic>
                </wp:inline>
              </w:drawing>
            </w:r>
          </w:p>
        </w:tc>
        <w:tc>
          <w:tcPr>
            <w:tcW w:w="4148" w:type="dxa"/>
          </w:tcPr>
          <w:p>
            <w:pPr>
              <w:ind w:firstLine="0" w:firstLineChars="0"/>
              <w:rPr>
                <w:rFonts w:ascii="Times New Roman" w:hAnsi="Times New Roman"/>
              </w:rPr>
            </w:pPr>
            <w:r>
              <w:rPr>
                <w:rFonts w:ascii="Times New Roman" w:hAnsi="Times New Roman"/>
              </w:rPr>
              <w:drawing>
                <wp:inline distT="0" distB="0" distL="0" distR="0">
                  <wp:extent cx="2399665" cy="1799590"/>
                  <wp:effectExtent l="0" t="0" r="635" b="0"/>
                  <wp:docPr id="20725188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518838" name="图片 7"/>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99807" cy="1800000"/>
                          </a:xfrm>
                          <a:prstGeom prst="rect">
                            <a:avLst/>
                          </a:prstGeom>
                        </pic:spPr>
                      </pic:pic>
                    </a:graphicData>
                  </a:graphic>
                </wp:inline>
              </w:drawing>
            </w:r>
          </w:p>
        </w:tc>
      </w:tr>
      <w:tr>
        <w:tblPrEx>
          <w:tblCellMar>
            <w:top w:w="0" w:type="dxa"/>
            <w:left w:w="108" w:type="dxa"/>
            <w:bottom w:w="0" w:type="dxa"/>
            <w:right w:w="108" w:type="dxa"/>
          </w:tblCellMar>
        </w:tblPrEx>
        <w:tc>
          <w:tcPr>
            <w:tcW w:w="4148" w:type="dxa"/>
          </w:tcPr>
          <w:p>
            <w:pPr>
              <w:ind w:firstLine="0" w:firstLineChars="0"/>
              <w:jc w:val="center"/>
              <w:rPr>
                <w:rFonts w:ascii="Times New Roman" w:hAnsi="Times New Roman"/>
              </w:rPr>
            </w:pPr>
            <w:r>
              <w:rPr>
                <w:rFonts w:ascii="Times New Roman" w:hAnsi="Times New Roman"/>
              </w:rPr>
              <w:t>场地现状</w:t>
            </w:r>
          </w:p>
        </w:tc>
        <w:tc>
          <w:tcPr>
            <w:tcW w:w="4148" w:type="dxa"/>
          </w:tcPr>
          <w:p>
            <w:pPr>
              <w:ind w:firstLine="0" w:firstLineChars="0"/>
              <w:jc w:val="center"/>
              <w:rPr>
                <w:rFonts w:ascii="Times New Roman" w:hAnsi="Times New Roman"/>
              </w:rPr>
            </w:pPr>
            <w:r>
              <w:rPr>
                <w:rFonts w:ascii="Times New Roman" w:hAnsi="Times New Roman"/>
              </w:rPr>
              <w:t>井站东北民居</w:t>
            </w:r>
          </w:p>
        </w:tc>
      </w:tr>
    </w:tbl>
    <w:p>
      <w:pPr>
        <w:ind w:firstLine="480"/>
        <w:rPr>
          <w:rFonts w:ascii="Times New Roman" w:hAnsi="Times New Roman"/>
        </w:rPr>
      </w:pPr>
    </w:p>
    <w:p>
      <w:pPr>
        <w:pStyle w:val="4"/>
        <w:rPr>
          <w:rFonts w:ascii="Times New Roman" w:hAnsi="Times New Roman" w:cs="Times New Roman"/>
        </w:rPr>
      </w:pPr>
      <w:r>
        <w:rPr>
          <w:rFonts w:ascii="Times New Roman" w:hAnsi="Times New Roman" w:cs="Times New Roman"/>
        </w:rPr>
        <w:t>现有井环境影响回顾</w:t>
      </w:r>
    </w:p>
    <w:p>
      <w:pPr>
        <w:ind w:firstLine="480"/>
        <w:rPr>
          <w:rFonts w:ascii="Times New Roman" w:hAnsi="Times New Roman"/>
        </w:rPr>
      </w:pPr>
      <w:r>
        <w:rPr>
          <w:rFonts w:ascii="Times New Roman" w:hAnsi="Times New Roman"/>
        </w:rPr>
        <w:t>钻井期间产生的废气、噪声随施工完结而消失。根据调查，现场已无各类废水残留。采用的是常规水基钻井工艺，钻井产生的水基岩屑及废弃泥浆通过固化、无害化处理后填埋于井场周边填埋池内，井站周边生态已基本恢复，根据本次环评对站场周边的、大气环境、地表水环境、土壤环境和地下水环境质量现状调查结果（详见本报告书第5章环境质量现状调查与评价）可知，各环境要素的监测值均能满足相应的标准限值要求，所以宣探1井钻井工程除西北侧应急池未拆除外（用于本项目再利用），无环境问题遗留。</w:t>
      </w:r>
    </w:p>
    <w:p>
      <w:pPr>
        <w:ind w:firstLine="480"/>
        <w:rPr>
          <w:rFonts w:ascii="Times New Roman" w:hAnsi="Times New Roman"/>
        </w:rPr>
      </w:pPr>
      <w:r>
        <w:rPr>
          <w:rFonts w:ascii="Times New Roman" w:hAnsi="Times New Roman"/>
        </w:rPr>
        <w:t>宣兴1井已完成钻井工作，完井测试工作也已完成，地面施工设施基本已拆除，井站东侧有应急池1座。</w:t>
      </w:r>
    </w:p>
    <w:p>
      <w:pPr>
        <w:ind w:firstLine="480"/>
        <w:rPr>
          <w:rFonts w:ascii="Times New Roman" w:hAnsi="Times New Roman"/>
        </w:rPr>
      </w:pPr>
      <w:r>
        <w:rPr>
          <w:rFonts w:ascii="Times New Roman" w:hAnsi="Times New Roman"/>
        </w:rPr>
        <w:t>根据现场调查井站施工期间均基本做到了环评及环评批复提出的环保措施要求。详见</w:t>
      </w:r>
      <w:r>
        <w:rPr>
          <w:rFonts w:ascii="Times New Roman" w:hAnsi="Times New Roman"/>
        </w:rPr>
        <w:fldChar w:fldCharType="begin"/>
      </w:r>
      <w:r>
        <w:rPr>
          <w:rFonts w:ascii="Times New Roman" w:hAnsi="Times New Roman"/>
        </w:rPr>
        <w:instrText xml:space="preserve"> REF _Ref155358657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2</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45" w:name="_Ref15535865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bookmarkEnd w:id="45"/>
      <w:r>
        <w:rPr>
          <w:rFonts w:ascii="Times New Roman" w:hAnsi="Times New Roman" w:cs="Times New Roman"/>
        </w:rPr>
        <w:t xml:space="preserve">  两井站施工期环保措施落实情况</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3685"/>
        <w:gridCol w:w="31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Align w:val="center"/>
          </w:tcPr>
          <w:p>
            <w:pPr>
              <w:pStyle w:val="39"/>
              <w:rPr>
                <w:rFonts w:ascii="Times New Roman" w:hAnsi="Times New Roman"/>
              </w:rPr>
            </w:pPr>
            <w:r>
              <w:rPr>
                <w:rFonts w:ascii="Times New Roman" w:hAnsi="Times New Roman"/>
              </w:rPr>
              <w:t>井站</w:t>
            </w:r>
          </w:p>
        </w:tc>
        <w:tc>
          <w:tcPr>
            <w:tcW w:w="3685" w:type="dxa"/>
            <w:vAlign w:val="center"/>
          </w:tcPr>
          <w:p>
            <w:pPr>
              <w:pStyle w:val="39"/>
              <w:rPr>
                <w:rFonts w:ascii="Times New Roman" w:hAnsi="Times New Roman"/>
              </w:rPr>
            </w:pPr>
            <w:r>
              <w:rPr>
                <w:rFonts w:ascii="Times New Roman" w:hAnsi="Times New Roman"/>
              </w:rPr>
              <w:t>环评批复环保措施要求</w:t>
            </w:r>
          </w:p>
        </w:tc>
        <w:tc>
          <w:tcPr>
            <w:tcW w:w="3198" w:type="dxa"/>
            <w:vAlign w:val="center"/>
          </w:tcPr>
          <w:p>
            <w:pPr>
              <w:pStyle w:val="39"/>
              <w:rPr>
                <w:rFonts w:ascii="Times New Roman" w:hAnsi="Times New Roman"/>
              </w:rPr>
            </w:pPr>
            <w:r>
              <w:rPr>
                <w:rFonts w:ascii="Times New Roman" w:hAnsi="Times New Roman"/>
              </w:rPr>
              <w:t>实际落实情况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restart"/>
            <w:vAlign w:val="center"/>
          </w:tcPr>
          <w:p>
            <w:pPr>
              <w:pStyle w:val="39"/>
              <w:rPr>
                <w:rFonts w:ascii="Times New Roman" w:hAnsi="Times New Roman"/>
              </w:rPr>
            </w:pPr>
            <w:r>
              <w:rPr>
                <w:rFonts w:ascii="Times New Roman" w:hAnsi="Times New Roman"/>
              </w:rPr>
              <w:t>宣探1井站</w:t>
            </w:r>
          </w:p>
        </w:tc>
        <w:tc>
          <w:tcPr>
            <w:tcW w:w="3685" w:type="dxa"/>
            <w:vAlign w:val="center"/>
          </w:tcPr>
          <w:p>
            <w:pPr>
              <w:pStyle w:val="39"/>
              <w:rPr>
                <w:rFonts w:ascii="Times New Roman" w:hAnsi="Times New Roman"/>
              </w:rPr>
            </w:pPr>
            <w:r>
              <w:rPr>
                <w:rFonts w:ascii="Times New Roman" w:hAnsi="Times New Roman"/>
              </w:rPr>
              <w:t>合理设置放喷池、废水收集池、应急池，并做好防渗处理</w:t>
            </w:r>
          </w:p>
        </w:tc>
        <w:tc>
          <w:tcPr>
            <w:tcW w:w="3198" w:type="dxa"/>
            <w:vAlign w:val="center"/>
          </w:tcPr>
          <w:p>
            <w:pPr>
              <w:pStyle w:val="39"/>
              <w:rPr>
                <w:rFonts w:ascii="Times New Roman" w:hAnsi="Times New Roman"/>
              </w:rPr>
            </w:pPr>
            <w:r>
              <w:rPr>
                <w:rFonts w:ascii="Times New Roman" w:hAnsi="Times New Roman"/>
              </w:rPr>
              <w:t>施工场期间设置有应急池等，并对池底和侧方进行了防渗处理。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vAlign w:val="center"/>
          </w:tcPr>
          <w:p>
            <w:pPr>
              <w:pStyle w:val="39"/>
              <w:rPr>
                <w:rFonts w:ascii="Times New Roman" w:hAnsi="Times New Roman"/>
              </w:rPr>
            </w:pPr>
          </w:p>
        </w:tc>
        <w:tc>
          <w:tcPr>
            <w:tcW w:w="3685" w:type="dxa"/>
            <w:vAlign w:val="center"/>
          </w:tcPr>
          <w:p>
            <w:pPr>
              <w:pStyle w:val="39"/>
              <w:rPr>
                <w:rFonts w:ascii="Times New Roman" w:hAnsi="Times New Roman"/>
              </w:rPr>
            </w:pPr>
            <w:r>
              <w:rPr>
                <w:rFonts w:ascii="Times New Roman" w:hAnsi="Times New Roman"/>
              </w:rPr>
              <w:t>酸化废水、洗井废水经沉淀、中和预处理后在废水罐、应急池暂存，由罐车拉运至苍溪鑫泓钻井废水处理厂处理达标排放</w:t>
            </w:r>
          </w:p>
        </w:tc>
        <w:tc>
          <w:tcPr>
            <w:tcW w:w="3198" w:type="dxa"/>
            <w:vAlign w:val="center"/>
          </w:tcPr>
          <w:p>
            <w:pPr>
              <w:pStyle w:val="39"/>
              <w:rPr>
                <w:rFonts w:ascii="Times New Roman" w:hAnsi="Times New Roman"/>
              </w:rPr>
            </w:pPr>
            <w:r>
              <w:rPr>
                <w:rFonts w:ascii="Times New Roman" w:hAnsi="Times New Roman"/>
              </w:rPr>
              <w:t>施工废水暂存到一定液位后由罐车拉运至苍溪鑫泓钻井废水处理厂处理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vAlign w:val="center"/>
          </w:tcPr>
          <w:p>
            <w:pPr>
              <w:pStyle w:val="39"/>
              <w:rPr>
                <w:rFonts w:ascii="Times New Roman" w:hAnsi="Times New Roman"/>
              </w:rPr>
            </w:pPr>
          </w:p>
        </w:tc>
        <w:tc>
          <w:tcPr>
            <w:tcW w:w="3685" w:type="dxa"/>
            <w:vAlign w:val="center"/>
          </w:tcPr>
          <w:p>
            <w:pPr>
              <w:pStyle w:val="39"/>
              <w:rPr>
                <w:rFonts w:ascii="Times New Roman" w:hAnsi="Times New Roman"/>
              </w:rPr>
            </w:pPr>
            <w:r>
              <w:rPr>
                <w:rFonts w:ascii="Times New Roman" w:hAnsi="Times New Roman"/>
              </w:rPr>
              <w:t>严格落实分区防渗措施</w:t>
            </w:r>
          </w:p>
        </w:tc>
        <w:tc>
          <w:tcPr>
            <w:tcW w:w="3198" w:type="dxa"/>
            <w:vAlign w:val="center"/>
          </w:tcPr>
          <w:p>
            <w:pPr>
              <w:pStyle w:val="39"/>
              <w:rPr>
                <w:rFonts w:ascii="Times New Roman" w:hAnsi="Times New Roman"/>
              </w:rPr>
            </w:pPr>
            <w:r>
              <w:rPr>
                <w:rFonts w:ascii="Times New Roman" w:hAnsi="Times New Roman"/>
              </w:rPr>
              <w:t>对场地进行了水泥硬化的防渗处理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vAlign w:val="center"/>
          </w:tcPr>
          <w:p>
            <w:pPr>
              <w:pStyle w:val="39"/>
              <w:rPr>
                <w:rFonts w:ascii="Times New Roman" w:hAnsi="Times New Roman"/>
              </w:rPr>
            </w:pPr>
          </w:p>
        </w:tc>
        <w:tc>
          <w:tcPr>
            <w:tcW w:w="3685" w:type="dxa"/>
            <w:vAlign w:val="center"/>
          </w:tcPr>
          <w:p>
            <w:pPr>
              <w:pStyle w:val="39"/>
              <w:rPr>
                <w:rFonts w:ascii="Times New Roman" w:hAnsi="Times New Roman"/>
              </w:rPr>
            </w:pPr>
            <w:r>
              <w:rPr>
                <w:rFonts w:ascii="Times New Roman" w:hAnsi="Times New Roman"/>
              </w:rPr>
              <w:t>采取封闭施工，实时洒水降尘</w:t>
            </w:r>
          </w:p>
        </w:tc>
        <w:tc>
          <w:tcPr>
            <w:tcW w:w="3198" w:type="dxa"/>
            <w:vAlign w:val="center"/>
          </w:tcPr>
          <w:p>
            <w:pPr>
              <w:pStyle w:val="39"/>
              <w:rPr>
                <w:rFonts w:ascii="Times New Roman" w:hAnsi="Times New Roman"/>
              </w:rPr>
            </w:pPr>
            <w:r>
              <w:rPr>
                <w:rFonts w:ascii="Times New Roman" w:hAnsi="Times New Roman"/>
              </w:rPr>
              <w:t>设有施工围挡，并定期洒水抑尘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vAlign w:val="center"/>
          </w:tcPr>
          <w:p>
            <w:pPr>
              <w:pStyle w:val="39"/>
              <w:rPr>
                <w:rFonts w:ascii="Times New Roman" w:hAnsi="Times New Roman"/>
              </w:rPr>
            </w:pPr>
          </w:p>
        </w:tc>
        <w:tc>
          <w:tcPr>
            <w:tcW w:w="3685" w:type="dxa"/>
            <w:vAlign w:val="center"/>
          </w:tcPr>
          <w:p>
            <w:pPr>
              <w:pStyle w:val="39"/>
              <w:rPr>
                <w:rFonts w:ascii="Times New Roman" w:hAnsi="Times New Roman"/>
              </w:rPr>
            </w:pPr>
            <w:r>
              <w:rPr>
                <w:rFonts w:ascii="Times New Roman" w:hAnsi="Times New Roman"/>
              </w:rPr>
              <w:t>对开挖边坡和耕植土临时堆场加强挡护措施</w:t>
            </w:r>
          </w:p>
        </w:tc>
        <w:tc>
          <w:tcPr>
            <w:tcW w:w="3198" w:type="dxa"/>
            <w:vAlign w:val="center"/>
          </w:tcPr>
          <w:p>
            <w:pPr>
              <w:pStyle w:val="39"/>
              <w:rPr>
                <w:rFonts w:ascii="Times New Roman" w:hAnsi="Times New Roman"/>
              </w:rPr>
            </w:pPr>
            <w:r>
              <w:rPr>
                <w:rFonts w:ascii="Times New Roman" w:hAnsi="Times New Roman"/>
              </w:rPr>
              <w:t>开挖边坡进行了水泥混凝土挡墙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vAlign w:val="center"/>
          </w:tcPr>
          <w:p>
            <w:pPr>
              <w:pStyle w:val="39"/>
              <w:rPr>
                <w:rFonts w:ascii="Times New Roman" w:hAnsi="Times New Roman"/>
              </w:rPr>
            </w:pPr>
          </w:p>
        </w:tc>
        <w:tc>
          <w:tcPr>
            <w:tcW w:w="3685" w:type="dxa"/>
            <w:vAlign w:val="center"/>
          </w:tcPr>
          <w:p>
            <w:pPr>
              <w:pStyle w:val="39"/>
              <w:rPr>
                <w:rFonts w:ascii="Times New Roman" w:hAnsi="Times New Roman"/>
              </w:rPr>
            </w:pPr>
            <w:r>
              <w:rPr>
                <w:rFonts w:ascii="Times New Roman" w:hAnsi="Times New Roman"/>
              </w:rPr>
              <w:t>加强队钻井液、柴油、盐酸、危险废物等环境风险物质的暂存管控</w:t>
            </w:r>
          </w:p>
        </w:tc>
        <w:tc>
          <w:tcPr>
            <w:tcW w:w="3198" w:type="dxa"/>
            <w:vAlign w:val="center"/>
          </w:tcPr>
          <w:p>
            <w:pPr>
              <w:pStyle w:val="39"/>
              <w:rPr>
                <w:rFonts w:ascii="Times New Roman" w:hAnsi="Times New Roman"/>
              </w:rPr>
            </w:pPr>
            <w:r>
              <w:rPr>
                <w:rFonts w:ascii="Times New Roman" w:hAnsi="Times New Roman"/>
              </w:rPr>
              <w:t>施工期间对柴油、危废等环境风险物质制定了暂存管控要求并进行了落实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restart"/>
            <w:vAlign w:val="center"/>
          </w:tcPr>
          <w:p>
            <w:pPr>
              <w:pStyle w:val="39"/>
              <w:rPr>
                <w:rFonts w:ascii="Times New Roman" w:hAnsi="Times New Roman"/>
              </w:rPr>
            </w:pPr>
            <w:r>
              <w:rPr>
                <w:rFonts w:ascii="Times New Roman" w:hAnsi="Times New Roman"/>
              </w:rPr>
              <w:t>宣兴1井站</w:t>
            </w:r>
          </w:p>
        </w:tc>
        <w:tc>
          <w:tcPr>
            <w:tcW w:w="3685" w:type="dxa"/>
            <w:vAlign w:val="center"/>
          </w:tcPr>
          <w:p>
            <w:pPr>
              <w:pStyle w:val="39"/>
              <w:rPr>
                <w:rFonts w:ascii="Times New Roman" w:hAnsi="Times New Roman"/>
              </w:rPr>
            </w:pPr>
            <w:r>
              <w:rPr>
                <w:rFonts w:ascii="Times New Roman" w:hAnsi="Times New Roman"/>
              </w:rPr>
              <w:t>施工废水经沉淀处理后循环使用，不外排</w:t>
            </w:r>
          </w:p>
        </w:tc>
        <w:tc>
          <w:tcPr>
            <w:tcW w:w="3198" w:type="dxa"/>
            <w:vAlign w:val="center"/>
          </w:tcPr>
          <w:p>
            <w:pPr>
              <w:pStyle w:val="39"/>
              <w:rPr>
                <w:rFonts w:ascii="Times New Roman" w:hAnsi="Times New Roman"/>
              </w:rPr>
            </w:pPr>
            <w:r>
              <w:rPr>
                <w:rFonts w:ascii="Times New Roman" w:hAnsi="Times New Roman"/>
              </w:rPr>
              <w:t>施工废水循环使用不外排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vAlign w:val="center"/>
          </w:tcPr>
          <w:p>
            <w:pPr>
              <w:pStyle w:val="39"/>
              <w:rPr>
                <w:rFonts w:ascii="Times New Roman" w:hAnsi="Times New Roman"/>
              </w:rPr>
            </w:pPr>
          </w:p>
        </w:tc>
        <w:tc>
          <w:tcPr>
            <w:tcW w:w="3685" w:type="dxa"/>
            <w:vAlign w:val="center"/>
          </w:tcPr>
          <w:p>
            <w:pPr>
              <w:pStyle w:val="39"/>
              <w:rPr>
                <w:rFonts w:ascii="Times New Roman" w:hAnsi="Times New Roman"/>
              </w:rPr>
            </w:pPr>
            <w:r>
              <w:rPr>
                <w:rFonts w:ascii="Times New Roman" w:hAnsi="Times New Roman"/>
              </w:rPr>
              <w:t>洗井废水、酸化废水等返排至应急池内暂存，拉运至四川鑫泓钻井废水处理有限公司桥溪污水处理场进行处理</w:t>
            </w:r>
          </w:p>
        </w:tc>
        <w:tc>
          <w:tcPr>
            <w:tcW w:w="3198" w:type="dxa"/>
            <w:vAlign w:val="center"/>
          </w:tcPr>
          <w:p>
            <w:pPr>
              <w:pStyle w:val="39"/>
              <w:rPr>
                <w:rFonts w:ascii="Times New Roman" w:hAnsi="Times New Roman"/>
              </w:rPr>
            </w:pPr>
            <w:r>
              <w:rPr>
                <w:rFonts w:ascii="Times New Roman" w:hAnsi="Times New Roman"/>
              </w:rPr>
              <w:t>洗井废水、酸化废水等返排至应急池内暂存，拉运至四川鑫泓钻井废水处理有限公司桥溪污水处理场进行处理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vAlign w:val="center"/>
          </w:tcPr>
          <w:p>
            <w:pPr>
              <w:pStyle w:val="39"/>
              <w:rPr>
                <w:rFonts w:ascii="Times New Roman" w:hAnsi="Times New Roman"/>
              </w:rPr>
            </w:pPr>
          </w:p>
        </w:tc>
        <w:tc>
          <w:tcPr>
            <w:tcW w:w="3685" w:type="dxa"/>
            <w:vAlign w:val="center"/>
          </w:tcPr>
          <w:p>
            <w:pPr>
              <w:pStyle w:val="39"/>
              <w:rPr>
                <w:rFonts w:ascii="Times New Roman" w:hAnsi="Times New Roman"/>
              </w:rPr>
            </w:pPr>
            <w:r>
              <w:rPr>
                <w:rFonts w:ascii="Times New Roman" w:hAnsi="Times New Roman"/>
              </w:rPr>
              <w:t>现场定期洒水，减少扬尘产生量和影响范围</w:t>
            </w:r>
          </w:p>
        </w:tc>
        <w:tc>
          <w:tcPr>
            <w:tcW w:w="3198" w:type="dxa"/>
            <w:vAlign w:val="center"/>
          </w:tcPr>
          <w:p>
            <w:pPr>
              <w:pStyle w:val="39"/>
              <w:rPr>
                <w:rFonts w:ascii="Times New Roman" w:hAnsi="Times New Roman"/>
              </w:rPr>
            </w:pPr>
            <w:r>
              <w:rPr>
                <w:rFonts w:ascii="Times New Roman" w:hAnsi="Times New Roman"/>
              </w:rPr>
              <w:t>定期洒水抑尘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vAlign w:val="center"/>
          </w:tcPr>
          <w:p>
            <w:pPr>
              <w:pStyle w:val="39"/>
              <w:rPr>
                <w:rFonts w:ascii="Times New Roman" w:hAnsi="Times New Roman"/>
              </w:rPr>
            </w:pPr>
          </w:p>
        </w:tc>
        <w:tc>
          <w:tcPr>
            <w:tcW w:w="3685" w:type="dxa"/>
            <w:vAlign w:val="center"/>
          </w:tcPr>
          <w:p>
            <w:pPr>
              <w:pStyle w:val="39"/>
              <w:rPr>
                <w:rFonts w:ascii="Times New Roman" w:hAnsi="Times New Roman"/>
              </w:rPr>
            </w:pPr>
            <w:r>
              <w:rPr>
                <w:rFonts w:ascii="Times New Roman" w:hAnsi="Times New Roman"/>
              </w:rPr>
              <w:t>加强施工设备的维护，合理布局施工设备的摆放位置</w:t>
            </w:r>
          </w:p>
        </w:tc>
        <w:tc>
          <w:tcPr>
            <w:tcW w:w="3198" w:type="dxa"/>
            <w:vAlign w:val="center"/>
          </w:tcPr>
          <w:p>
            <w:pPr>
              <w:pStyle w:val="39"/>
              <w:rPr>
                <w:rFonts w:ascii="Times New Roman" w:hAnsi="Times New Roman"/>
              </w:rPr>
            </w:pPr>
            <w:r>
              <w:rPr>
                <w:rFonts w:ascii="Times New Roman" w:hAnsi="Times New Roman"/>
              </w:rPr>
              <w:t>施工场地河流布置，高噪声设备尽量远离东北侧居民区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vAlign w:val="center"/>
          </w:tcPr>
          <w:p>
            <w:pPr>
              <w:pStyle w:val="39"/>
              <w:rPr>
                <w:rFonts w:ascii="Times New Roman" w:hAnsi="Times New Roman"/>
              </w:rPr>
            </w:pPr>
          </w:p>
        </w:tc>
        <w:tc>
          <w:tcPr>
            <w:tcW w:w="3685" w:type="dxa"/>
            <w:vAlign w:val="center"/>
          </w:tcPr>
          <w:p>
            <w:pPr>
              <w:pStyle w:val="39"/>
              <w:rPr>
                <w:rFonts w:ascii="Times New Roman" w:hAnsi="Times New Roman"/>
              </w:rPr>
            </w:pPr>
            <w:r>
              <w:rPr>
                <w:rFonts w:ascii="Times New Roman" w:hAnsi="Times New Roman"/>
              </w:rPr>
              <w:t>施工期加强队缓蚀剂、钻井液、加重剂、固井水泥、柴油、盐酸等环境风险物质的暂存管控</w:t>
            </w:r>
          </w:p>
        </w:tc>
        <w:tc>
          <w:tcPr>
            <w:tcW w:w="3198" w:type="dxa"/>
            <w:vAlign w:val="center"/>
          </w:tcPr>
          <w:p>
            <w:pPr>
              <w:pStyle w:val="39"/>
              <w:rPr>
                <w:rFonts w:ascii="Times New Roman" w:hAnsi="Times New Roman"/>
              </w:rPr>
            </w:pPr>
            <w:r>
              <w:rPr>
                <w:rFonts w:ascii="Times New Roman" w:hAnsi="Times New Roman"/>
              </w:rPr>
              <w:t>施工期制定了环境风险物质暂存管控要求并进行了落实</w:t>
            </w:r>
          </w:p>
        </w:tc>
      </w:tr>
    </w:tbl>
    <w:p>
      <w:pPr>
        <w:ind w:firstLine="480"/>
        <w:rPr>
          <w:rFonts w:ascii="Times New Roman" w:hAnsi="Times New Roman"/>
        </w:rPr>
      </w:pPr>
    </w:p>
    <w:p>
      <w:pPr>
        <w:pStyle w:val="3"/>
        <w:rPr>
          <w:rFonts w:ascii="Times New Roman" w:hAnsi="Times New Roman" w:cs="Times New Roman"/>
        </w:rPr>
      </w:pPr>
      <w:bookmarkStart w:id="46" w:name="_Toc162339392"/>
      <w:bookmarkStart w:id="47" w:name="_Hlk155945378"/>
      <w:r>
        <w:rPr>
          <w:rFonts w:ascii="Times New Roman" w:hAnsi="Times New Roman" w:cs="Times New Roman"/>
        </w:rPr>
        <w:t>项目基本情况</w:t>
      </w:r>
      <w:bookmarkEnd w:id="46"/>
    </w:p>
    <w:p>
      <w:pPr>
        <w:ind w:firstLine="482"/>
        <w:rPr>
          <w:rFonts w:ascii="Times New Roman" w:hAnsi="Times New Roman"/>
        </w:rPr>
      </w:pPr>
      <w:r>
        <w:rPr>
          <w:rFonts w:ascii="Times New Roman" w:hAnsi="Times New Roman"/>
          <w:b/>
          <w:bCs/>
        </w:rPr>
        <w:t>项目名称：</w:t>
      </w:r>
      <w:r>
        <w:rPr>
          <w:rFonts w:ascii="Times New Roman" w:hAnsi="Times New Roman"/>
        </w:rPr>
        <w:t>西南油气田桃花气田宣探1井组飞仙关组气藏试采产能建设项目</w:t>
      </w:r>
    </w:p>
    <w:p>
      <w:pPr>
        <w:ind w:firstLine="482"/>
        <w:rPr>
          <w:rFonts w:ascii="Times New Roman" w:hAnsi="Times New Roman"/>
        </w:rPr>
      </w:pPr>
      <w:r>
        <w:rPr>
          <w:rFonts w:ascii="Times New Roman" w:hAnsi="Times New Roman"/>
          <w:b/>
          <w:bCs/>
        </w:rPr>
        <w:t>项目性质：</w:t>
      </w:r>
      <w:r>
        <w:rPr>
          <w:rFonts w:ascii="Times New Roman" w:hAnsi="Times New Roman"/>
        </w:rPr>
        <w:t>新建</w:t>
      </w:r>
    </w:p>
    <w:p>
      <w:pPr>
        <w:ind w:firstLine="482"/>
        <w:rPr>
          <w:rFonts w:ascii="Times New Roman" w:hAnsi="Times New Roman"/>
        </w:rPr>
      </w:pPr>
      <w:r>
        <w:rPr>
          <w:rFonts w:ascii="Times New Roman" w:hAnsi="Times New Roman"/>
          <w:b/>
          <w:bCs/>
        </w:rPr>
        <w:t>建设单位：</w:t>
      </w:r>
      <w:r>
        <w:rPr>
          <w:rFonts w:ascii="Times New Roman" w:hAnsi="Times New Roman"/>
        </w:rPr>
        <w:t>中国石油天然气股份有限公司西南油气田分公司川东北气矿</w:t>
      </w:r>
    </w:p>
    <w:p>
      <w:pPr>
        <w:ind w:firstLine="482"/>
        <w:rPr>
          <w:rFonts w:ascii="Times New Roman" w:hAnsi="Times New Roman"/>
        </w:rPr>
      </w:pPr>
      <w:r>
        <w:rPr>
          <w:rFonts w:ascii="Times New Roman" w:hAnsi="Times New Roman"/>
          <w:b/>
          <w:bCs/>
        </w:rPr>
        <w:t>建设内容：</w:t>
      </w:r>
      <w:r>
        <w:rPr>
          <w:rFonts w:ascii="Times New Roman" w:hAnsi="Times New Roman"/>
        </w:rPr>
        <w:t>本项目新建井站2座（宣兴1井、宣探1井，均为原有井，本项目新建地面设施），清管站1座、阀室1座，以及公用工程配套和辅助设施等。新建1条DN150宣探集气支线3.5km，1条DN200宣探集气干线14.6km，1条DN 200宣探清管站至P304集气站联络线1.2km，DN80燃料气管道2条共6.4km，DN50燃料气管道1条，1.2km，线路部分共计26.9km。</w:t>
      </w:r>
    </w:p>
    <w:p>
      <w:pPr>
        <w:ind w:firstLine="482"/>
        <w:rPr>
          <w:rFonts w:ascii="Times New Roman" w:hAnsi="Times New Roman"/>
        </w:rPr>
      </w:pPr>
      <w:r>
        <w:rPr>
          <w:rFonts w:ascii="Times New Roman" w:hAnsi="Times New Roman"/>
          <w:b/>
          <w:bCs/>
        </w:rPr>
        <w:t>建设规模：</w:t>
      </w:r>
      <w:r>
        <w:rPr>
          <w:rFonts w:ascii="Times New Roman" w:hAnsi="Times New Roman"/>
        </w:rPr>
        <w:t>宣兴1井站：</w:t>
      </w:r>
      <w:r>
        <w:rPr>
          <w:rFonts w:ascii="Times New Roman" w:hAnsi="Times New Roman"/>
          <w:highlight w:val="black"/>
        </w:rPr>
        <w:t>（20~40）×10</w:t>
      </w:r>
      <w:r>
        <w:rPr>
          <w:rFonts w:ascii="Times New Roman" w:hAnsi="Times New Roman"/>
          <w:highlight w:val="black"/>
          <w:vertAlign w:val="superscript"/>
        </w:rPr>
        <w:t>4</w:t>
      </w:r>
      <w:r>
        <w:rPr>
          <w:rFonts w:ascii="Times New Roman" w:hAnsi="Times New Roman"/>
          <w:highlight w:val="black"/>
        </w:rPr>
        <w:t>Nm</w:t>
      </w:r>
      <w:r>
        <w:rPr>
          <w:rFonts w:ascii="Times New Roman" w:hAnsi="Times New Roman"/>
          <w:highlight w:val="black"/>
          <w:vertAlign w:val="superscript"/>
        </w:rPr>
        <w:t>3</w:t>
      </w:r>
      <w:r>
        <w:rPr>
          <w:rFonts w:ascii="Times New Roman" w:hAnsi="Times New Roman"/>
          <w:highlight w:val="black"/>
        </w:rPr>
        <w:t>/d；</w:t>
      </w:r>
    </w:p>
    <w:p>
      <w:pPr>
        <w:ind w:firstLine="1680" w:firstLineChars="700"/>
        <w:rPr>
          <w:rFonts w:ascii="Times New Roman" w:hAnsi="Times New Roman"/>
        </w:rPr>
      </w:pPr>
      <w:r>
        <w:rPr>
          <w:rFonts w:ascii="Times New Roman" w:hAnsi="Times New Roman"/>
        </w:rPr>
        <w:t>宣探1井站：</w:t>
      </w:r>
      <w:r>
        <w:rPr>
          <w:rFonts w:ascii="Times New Roman" w:hAnsi="Times New Roman"/>
          <w:highlight w:val="black"/>
        </w:rPr>
        <w:t>（40~60）×10</w:t>
      </w:r>
      <w:r>
        <w:rPr>
          <w:rFonts w:ascii="Times New Roman" w:hAnsi="Times New Roman"/>
          <w:highlight w:val="black"/>
          <w:vertAlign w:val="superscript"/>
        </w:rPr>
        <w:t>4</w:t>
      </w:r>
      <w:r>
        <w:rPr>
          <w:rFonts w:ascii="Times New Roman" w:hAnsi="Times New Roman"/>
          <w:highlight w:val="black"/>
        </w:rPr>
        <w:t>Nm</w:t>
      </w:r>
      <w:r>
        <w:rPr>
          <w:rFonts w:ascii="Times New Roman" w:hAnsi="Times New Roman"/>
          <w:highlight w:val="black"/>
          <w:vertAlign w:val="superscript"/>
        </w:rPr>
        <w:t>3</w:t>
      </w:r>
      <w:r>
        <w:rPr>
          <w:rFonts w:ascii="Times New Roman" w:hAnsi="Times New Roman"/>
          <w:highlight w:val="black"/>
        </w:rPr>
        <w:t>/d；</w:t>
      </w:r>
    </w:p>
    <w:p>
      <w:pPr>
        <w:ind w:firstLine="1680" w:firstLineChars="700"/>
        <w:rPr>
          <w:rFonts w:ascii="Times New Roman" w:hAnsi="Times New Roman"/>
        </w:rPr>
      </w:pPr>
      <w:r>
        <w:rPr>
          <w:rFonts w:ascii="Times New Roman" w:hAnsi="Times New Roman"/>
        </w:rPr>
        <w:t>最大操作弹性按120%考虑。</w:t>
      </w:r>
    </w:p>
    <w:p>
      <w:pPr>
        <w:ind w:firstLine="482"/>
        <w:rPr>
          <w:rFonts w:ascii="Times New Roman" w:hAnsi="Times New Roman"/>
        </w:rPr>
      </w:pPr>
      <w:r>
        <w:rPr>
          <w:rFonts w:ascii="Times New Roman" w:hAnsi="Times New Roman"/>
          <w:b/>
          <w:bCs/>
        </w:rPr>
        <w:t>项目占地：</w:t>
      </w:r>
      <w:r>
        <w:rPr>
          <w:rFonts w:ascii="Times New Roman" w:hAnsi="Times New Roman"/>
        </w:rPr>
        <w:t>永久占地</w:t>
      </w:r>
      <w:r>
        <w:rPr>
          <w:rFonts w:hint="eastAsia" w:ascii="Times New Roman" w:hAnsi="Times New Roman"/>
        </w:rPr>
        <w:t>26940</w:t>
      </w:r>
      <w:r>
        <w:rPr>
          <w:rFonts w:ascii="Times New Roman" w:hAnsi="Times New Roman"/>
        </w:rPr>
        <w:t>m</w:t>
      </w:r>
      <w:r>
        <w:rPr>
          <w:rFonts w:ascii="Times New Roman" w:hAnsi="Times New Roman"/>
          <w:vertAlign w:val="superscript"/>
        </w:rPr>
        <w:t>2</w:t>
      </w:r>
      <w:r>
        <w:rPr>
          <w:rFonts w:ascii="Times New Roman" w:hAnsi="Times New Roman"/>
        </w:rPr>
        <w:t>。</w:t>
      </w:r>
    </w:p>
    <w:p>
      <w:pPr>
        <w:ind w:firstLine="482"/>
        <w:rPr>
          <w:rFonts w:ascii="Times New Roman" w:hAnsi="Times New Roman"/>
        </w:rPr>
      </w:pPr>
      <w:r>
        <w:rPr>
          <w:rFonts w:ascii="Times New Roman" w:hAnsi="Times New Roman"/>
          <w:b/>
          <w:bCs/>
        </w:rPr>
        <w:t>工程投资：</w:t>
      </w:r>
      <w:r>
        <w:rPr>
          <w:rFonts w:ascii="Times New Roman" w:hAnsi="Times New Roman"/>
          <w:highlight w:val="black"/>
        </w:rPr>
        <w:t>33172.90万元</w:t>
      </w:r>
    </w:p>
    <w:p>
      <w:pPr>
        <w:ind w:firstLine="482"/>
        <w:rPr>
          <w:rFonts w:ascii="Times New Roman" w:hAnsi="Times New Roman"/>
        </w:rPr>
      </w:pPr>
      <w:r>
        <w:rPr>
          <w:rFonts w:ascii="Times New Roman" w:hAnsi="Times New Roman"/>
          <w:b/>
          <w:bCs/>
        </w:rPr>
        <w:t>建设地点：</w:t>
      </w:r>
      <w:r>
        <w:rPr>
          <w:rFonts w:ascii="Times New Roman" w:hAnsi="Times New Roman"/>
        </w:rPr>
        <w:t>四川省达州市宣汉县清溪镇、老君乡、普光镇境内，详见附图1。</w:t>
      </w:r>
    </w:p>
    <w:p>
      <w:pPr>
        <w:pStyle w:val="3"/>
        <w:rPr>
          <w:rFonts w:ascii="Times New Roman" w:hAnsi="Times New Roman" w:cs="Times New Roman"/>
        </w:rPr>
      </w:pPr>
      <w:bookmarkStart w:id="48" w:name="_Toc162339393"/>
      <w:r>
        <w:rPr>
          <w:rFonts w:ascii="Times New Roman" w:hAnsi="Times New Roman" w:cs="Times New Roman"/>
        </w:rPr>
        <w:t>总体布局</w:t>
      </w:r>
      <w:bookmarkEnd w:id="48"/>
    </w:p>
    <w:p>
      <w:pPr>
        <w:ind w:firstLine="480"/>
        <w:rPr>
          <w:rFonts w:ascii="Times New Roman" w:hAnsi="Times New Roman"/>
        </w:rPr>
      </w:pPr>
      <w:r>
        <w:rPr>
          <w:rFonts w:ascii="Times New Roman" w:hAnsi="Times New Roman"/>
        </w:rPr>
        <w:t>本项目总体布局方案为宣兴1井、宣探1井及两者之间的集气支线；宣兴1井站~老君701集气站~ P304集气站的集气干线；宣兴1井站~已建P304集气站之间的阀室1座、宣探清管站1座，井站总配产规模</w:t>
      </w:r>
      <w:r>
        <w:rPr>
          <w:rFonts w:ascii="Times New Roman" w:hAnsi="Times New Roman"/>
          <w:highlight w:val="black"/>
        </w:rPr>
        <w:t>100×10</w:t>
      </w:r>
      <w:r>
        <w:rPr>
          <w:rFonts w:ascii="Times New Roman" w:hAnsi="Times New Roman"/>
          <w:highlight w:val="black"/>
          <w:vertAlign w:val="superscript"/>
        </w:rPr>
        <w:t>4</w:t>
      </w:r>
      <w:r>
        <w:rPr>
          <w:rFonts w:ascii="Times New Roman" w:hAnsi="Times New Roman"/>
          <w:highlight w:val="black"/>
        </w:rPr>
        <w:t>m</w:t>
      </w:r>
      <w:r>
        <w:rPr>
          <w:rFonts w:ascii="Times New Roman" w:hAnsi="Times New Roman"/>
          <w:highlight w:val="black"/>
          <w:vertAlign w:val="superscript"/>
        </w:rPr>
        <w:t>3</w:t>
      </w:r>
      <w:r>
        <w:rPr>
          <w:rFonts w:ascii="Times New Roman" w:hAnsi="Times New Roman"/>
          <w:highlight w:val="black"/>
        </w:rPr>
        <w:t>/d</w:t>
      </w:r>
      <w:r>
        <w:rPr>
          <w:rFonts w:ascii="Times New Roman" w:hAnsi="Times New Roman"/>
        </w:rPr>
        <w:t>，最大操作弹性按120%考虑，考虑集气干线预留老君701集气站来气</w:t>
      </w:r>
      <w:r>
        <w:rPr>
          <w:rFonts w:ascii="Times New Roman" w:hAnsi="Times New Roman"/>
          <w:highlight w:val="black"/>
        </w:rPr>
        <w:t>（50～80×10</w:t>
      </w:r>
      <w:r>
        <w:rPr>
          <w:rFonts w:ascii="Times New Roman" w:hAnsi="Times New Roman"/>
          <w:highlight w:val="black"/>
          <w:vertAlign w:val="superscript"/>
        </w:rPr>
        <w:t>4</w:t>
      </w:r>
      <w:r>
        <w:rPr>
          <w:rFonts w:ascii="Times New Roman" w:hAnsi="Times New Roman"/>
          <w:highlight w:val="black"/>
        </w:rPr>
        <w:t>m</w:t>
      </w:r>
      <w:r>
        <w:rPr>
          <w:rFonts w:ascii="Times New Roman" w:hAnsi="Times New Roman"/>
          <w:highlight w:val="black"/>
          <w:vertAlign w:val="superscript"/>
        </w:rPr>
        <w:t>3</w:t>
      </w:r>
      <w:r>
        <w:rPr>
          <w:rFonts w:ascii="Times New Roman" w:hAnsi="Times New Roman"/>
          <w:highlight w:val="black"/>
        </w:rPr>
        <w:t>/d）</w:t>
      </w:r>
      <w:r>
        <w:rPr>
          <w:rFonts w:ascii="Times New Roman" w:hAnsi="Times New Roman"/>
        </w:rPr>
        <w:t>，阀室、清管站、集气干线建设规模</w:t>
      </w:r>
      <w:r>
        <w:rPr>
          <w:rFonts w:ascii="Times New Roman" w:hAnsi="Times New Roman"/>
          <w:highlight w:val="black"/>
        </w:rPr>
        <w:t>200×10</w:t>
      </w:r>
      <w:r>
        <w:rPr>
          <w:rFonts w:ascii="Times New Roman" w:hAnsi="Times New Roman"/>
          <w:highlight w:val="black"/>
          <w:vertAlign w:val="superscript"/>
        </w:rPr>
        <w:t>4</w:t>
      </w:r>
      <w:r>
        <w:rPr>
          <w:rFonts w:ascii="Times New Roman" w:hAnsi="Times New Roman"/>
          <w:highlight w:val="black"/>
        </w:rPr>
        <w:t>m</w:t>
      </w:r>
      <w:r>
        <w:rPr>
          <w:rFonts w:ascii="Times New Roman" w:hAnsi="Times New Roman"/>
          <w:highlight w:val="black"/>
          <w:vertAlign w:val="superscript"/>
        </w:rPr>
        <w:t>3</w:t>
      </w:r>
      <w:r>
        <w:rPr>
          <w:rFonts w:ascii="Times New Roman" w:hAnsi="Times New Roman"/>
          <w:highlight w:val="black"/>
        </w:rPr>
        <w:t>/d</w:t>
      </w:r>
      <w:r>
        <w:rPr>
          <w:rFonts w:ascii="Times New Roman" w:hAnsi="Times New Roman"/>
        </w:rPr>
        <w:t>。</w:t>
      </w:r>
    </w:p>
    <w:p>
      <w:pPr>
        <w:ind w:firstLine="480"/>
        <w:rPr>
          <w:rFonts w:ascii="Times New Roman" w:hAnsi="Times New Roman"/>
        </w:rPr>
      </w:pPr>
      <w:r>
        <w:rPr>
          <w:rFonts w:ascii="Times New Roman" w:hAnsi="Times New Roman"/>
        </w:rPr>
        <w:t>总体布局见附图2。</w:t>
      </w:r>
    </w:p>
    <w:bookmarkEnd w:id="47"/>
    <w:p>
      <w:pPr>
        <w:pStyle w:val="3"/>
        <w:rPr>
          <w:rFonts w:ascii="Times New Roman" w:hAnsi="Times New Roman" w:cs="Times New Roman"/>
        </w:rPr>
      </w:pPr>
      <w:bookmarkStart w:id="49" w:name="_Toc162339394"/>
      <w:bookmarkStart w:id="50" w:name="_Hlk155945329"/>
      <w:r>
        <w:rPr>
          <w:rFonts w:ascii="Times New Roman" w:hAnsi="Times New Roman" w:cs="Times New Roman"/>
        </w:rPr>
        <w:t>项目组成</w:t>
      </w:r>
      <w:bookmarkEnd w:id="49"/>
    </w:p>
    <w:p>
      <w:pPr>
        <w:ind w:firstLine="480"/>
        <w:rPr>
          <w:rFonts w:ascii="Times New Roman" w:hAnsi="Times New Roman"/>
        </w:rPr>
      </w:pPr>
      <w:r>
        <w:rPr>
          <w:rFonts w:ascii="Times New Roman" w:hAnsi="Times New Roman"/>
        </w:rPr>
        <w:t>本项目主要包括：井站工程、集输管线工程及配套的公辅工程等。本项目组成情况见</w:t>
      </w:r>
      <w:r>
        <w:rPr>
          <w:rFonts w:ascii="Times New Roman" w:hAnsi="Times New Roman"/>
        </w:rPr>
        <w:fldChar w:fldCharType="begin"/>
      </w:r>
      <w:r>
        <w:rPr>
          <w:rFonts w:ascii="Times New Roman" w:hAnsi="Times New Roman"/>
        </w:rPr>
        <w:instrText xml:space="preserve"> REF _Ref151729264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3</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51" w:name="_Ref151729264"/>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bookmarkEnd w:id="51"/>
      <w:r>
        <w:rPr>
          <w:rFonts w:ascii="Times New Roman" w:hAnsi="Times New Roman" w:cs="Times New Roman"/>
        </w:rPr>
        <w:t xml:space="preserve">  本项目组成一览表</w:t>
      </w:r>
    </w:p>
    <w:tbl>
      <w:tblPr>
        <w:tblStyle w:val="28"/>
        <w:tblW w:w="85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1"/>
        <w:gridCol w:w="1251"/>
        <w:gridCol w:w="1381"/>
        <w:gridCol w:w="3820"/>
        <w:gridCol w:w="8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tcMar>
              <w:left w:w="28" w:type="dxa"/>
              <w:right w:w="28" w:type="dxa"/>
            </w:tcMar>
            <w:vAlign w:val="center"/>
          </w:tcPr>
          <w:p>
            <w:pPr>
              <w:pStyle w:val="39"/>
              <w:rPr>
                <w:rFonts w:ascii="Times New Roman" w:hAnsi="Times New Roman"/>
              </w:rPr>
            </w:pPr>
            <w:r>
              <w:rPr>
                <w:rFonts w:ascii="Times New Roman" w:hAnsi="Times New Roman"/>
              </w:rPr>
              <w:t>工程类别</w:t>
            </w:r>
          </w:p>
        </w:tc>
        <w:tc>
          <w:tcPr>
            <w:tcW w:w="2632" w:type="dxa"/>
            <w:gridSpan w:val="2"/>
            <w:tcMar>
              <w:left w:w="28" w:type="dxa"/>
              <w:right w:w="28" w:type="dxa"/>
            </w:tcMar>
            <w:vAlign w:val="center"/>
          </w:tcPr>
          <w:p>
            <w:pPr>
              <w:pStyle w:val="39"/>
              <w:rPr>
                <w:rFonts w:ascii="Times New Roman" w:hAnsi="Times New Roman"/>
              </w:rPr>
            </w:pPr>
            <w:r>
              <w:rPr>
                <w:rFonts w:ascii="Times New Roman" w:hAnsi="Times New Roman"/>
              </w:rPr>
              <w:t>项目</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建设内容</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restart"/>
            <w:tcMar>
              <w:left w:w="28" w:type="dxa"/>
              <w:right w:w="28" w:type="dxa"/>
            </w:tcMar>
            <w:vAlign w:val="center"/>
          </w:tcPr>
          <w:p>
            <w:pPr>
              <w:pStyle w:val="39"/>
              <w:rPr>
                <w:rFonts w:ascii="Times New Roman" w:hAnsi="Times New Roman"/>
              </w:rPr>
            </w:pPr>
            <w:r>
              <w:rPr>
                <w:rFonts w:ascii="Times New Roman" w:hAnsi="Times New Roman"/>
              </w:rPr>
              <w:t>主体工程</w:t>
            </w:r>
          </w:p>
        </w:tc>
        <w:tc>
          <w:tcPr>
            <w:tcW w:w="1251" w:type="dxa"/>
            <w:vMerge w:val="restart"/>
            <w:tcMar>
              <w:left w:w="28" w:type="dxa"/>
              <w:right w:w="28" w:type="dxa"/>
            </w:tcMar>
            <w:vAlign w:val="center"/>
          </w:tcPr>
          <w:p>
            <w:pPr>
              <w:pStyle w:val="39"/>
              <w:rPr>
                <w:rFonts w:ascii="Times New Roman" w:hAnsi="Times New Roman"/>
              </w:rPr>
            </w:pPr>
            <w:r>
              <w:rPr>
                <w:rFonts w:ascii="Times New Roman" w:hAnsi="Times New Roman"/>
              </w:rPr>
              <w:t>井站</w:t>
            </w:r>
          </w:p>
        </w:tc>
        <w:tc>
          <w:tcPr>
            <w:tcW w:w="1381" w:type="dxa"/>
            <w:tcMar>
              <w:left w:w="28" w:type="dxa"/>
              <w:right w:w="28" w:type="dxa"/>
            </w:tcMar>
            <w:vAlign w:val="center"/>
          </w:tcPr>
          <w:p>
            <w:pPr>
              <w:pStyle w:val="39"/>
              <w:rPr>
                <w:rFonts w:ascii="Times New Roman" w:hAnsi="Times New Roman"/>
              </w:rPr>
            </w:pPr>
            <w:r>
              <w:rPr>
                <w:rFonts w:ascii="Times New Roman" w:hAnsi="Times New Roman"/>
              </w:rPr>
              <w:t>宣探1井</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1口井，规模：</w:t>
            </w:r>
            <w:r>
              <w:rPr>
                <w:rFonts w:ascii="Times New Roman" w:hAnsi="Times New Roman"/>
                <w:highlight w:val="black"/>
              </w:rPr>
              <w:t>60×10</w:t>
            </w:r>
            <w:r>
              <w:rPr>
                <w:rFonts w:ascii="Times New Roman" w:hAnsi="Times New Roman"/>
                <w:highlight w:val="black"/>
                <w:vertAlign w:val="superscript"/>
              </w:rPr>
              <w:t>4</w:t>
            </w:r>
            <w:r>
              <w:rPr>
                <w:rFonts w:ascii="Times New Roman" w:hAnsi="Times New Roman"/>
                <w:highlight w:val="black"/>
              </w:rPr>
              <w:t>m</w:t>
            </w:r>
            <w:r>
              <w:rPr>
                <w:rFonts w:ascii="Times New Roman" w:hAnsi="Times New Roman"/>
                <w:highlight w:val="black"/>
                <w:vertAlign w:val="superscript"/>
              </w:rPr>
              <w:t>3</w:t>
            </w:r>
            <w:r>
              <w:rPr>
                <w:rFonts w:ascii="Times New Roman" w:hAnsi="Times New Roman"/>
                <w:highlight w:val="black"/>
              </w:rPr>
              <w:t>/d</w:t>
            </w:r>
            <w:r>
              <w:rPr>
                <w:rFonts w:ascii="Times New Roman" w:hAnsi="Times New Roman"/>
              </w:rPr>
              <w:t>，操作弹性120%</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现有井，新建地面设施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vMerge w:val="continue"/>
            <w:tcMar>
              <w:left w:w="28" w:type="dxa"/>
              <w:right w:w="28" w:type="dxa"/>
            </w:tcMar>
            <w:vAlign w:val="center"/>
          </w:tcPr>
          <w:p>
            <w:pPr>
              <w:pStyle w:val="39"/>
              <w:rPr>
                <w:rFonts w:ascii="Times New Roman" w:hAnsi="Times New Roman"/>
              </w:rPr>
            </w:pPr>
          </w:p>
        </w:tc>
        <w:tc>
          <w:tcPr>
            <w:tcW w:w="1381" w:type="dxa"/>
            <w:tcMar>
              <w:left w:w="28" w:type="dxa"/>
              <w:right w:w="28" w:type="dxa"/>
            </w:tcMar>
            <w:vAlign w:val="center"/>
          </w:tcPr>
          <w:p>
            <w:pPr>
              <w:pStyle w:val="39"/>
              <w:rPr>
                <w:rFonts w:ascii="Times New Roman" w:hAnsi="Times New Roman"/>
              </w:rPr>
            </w:pPr>
            <w:r>
              <w:rPr>
                <w:rFonts w:ascii="Times New Roman" w:hAnsi="Times New Roman"/>
              </w:rPr>
              <w:t>宣兴1井</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1口井，规模：</w:t>
            </w:r>
            <w:r>
              <w:rPr>
                <w:rFonts w:ascii="Times New Roman" w:hAnsi="Times New Roman"/>
                <w:highlight w:val="black"/>
              </w:rPr>
              <w:t>40×10</w:t>
            </w:r>
            <w:r>
              <w:rPr>
                <w:rFonts w:ascii="Times New Roman" w:hAnsi="Times New Roman"/>
                <w:highlight w:val="black"/>
                <w:vertAlign w:val="superscript"/>
              </w:rPr>
              <w:t>4</w:t>
            </w:r>
            <w:r>
              <w:rPr>
                <w:rFonts w:ascii="Times New Roman" w:hAnsi="Times New Roman"/>
                <w:highlight w:val="black"/>
              </w:rPr>
              <w:t>m</w:t>
            </w:r>
            <w:r>
              <w:rPr>
                <w:rFonts w:ascii="Times New Roman" w:hAnsi="Times New Roman"/>
                <w:highlight w:val="black"/>
                <w:vertAlign w:val="superscript"/>
              </w:rPr>
              <w:t>3</w:t>
            </w:r>
            <w:r>
              <w:rPr>
                <w:rFonts w:ascii="Times New Roman" w:hAnsi="Times New Roman"/>
                <w:highlight w:val="black"/>
              </w:rPr>
              <w:t>/d，</w:t>
            </w:r>
            <w:r>
              <w:rPr>
                <w:rFonts w:ascii="Times New Roman" w:hAnsi="Times New Roman"/>
              </w:rPr>
              <w:t>操作弹性120%</w:t>
            </w:r>
          </w:p>
        </w:tc>
        <w:tc>
          <w:tcPr>
            <w:tcW w:w="889" w:type="dxa"/>
            <w:tcMar>
              <w:left w:w="28" w:type="dxa"/>
              <w:right w:w="28" w:type="dxa"/>
            </w:tcMar>
            <w:vAlign w:val="center"/>
          </w:tcPr>
          <w:p>
            <w:pPr>
              <w:pStyle w:val="39"/>
              <w:jc w:val="left"/>
              <w:rPr>
                <w:rFonts w:ascii="Times New Roman" w:hAnsi="Times New Roman"/>
              </w:rPr>
            </w:pPr>
            <w:r>
              <w:rPr>
                <w:rFonts w:ascii="Times New Roman" w:hAnsi="Times New Roman"/>
              </w:rPr>
              <w:t>现有井，新建地面设施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vMerge w:val="restart"/>
            <w:tcMar>
              <w:left w:w="28" w:type="dxa"/>
              <w:right w:w="28" w:type="dxa"/>
            </w:tcMar>
            <w:vAlign w:val="center"/>
          </w:tcPr>
          <w:p>
            <w:pPr>
              <w:pStyle w:val="39"/>
              <w:rPr>
                <w:rFonts w:ascii="Times New Roman" w:hAnsi="Times New Roman"/>
              </w:rPr>
            </w:pPr>
            <w:r>
              <w:rPr>
                <w:rFonts w:ascii="Times New Roman" w:hAnsi="Times New Roman"/>
              </w:rPr>
              <w:t>集气管道</w:t>
            </w:r>
          </w:p>
        </w:tc>
        <w:tc>
          <w:tcPr>
            <w:tcW w:w="1381" w:type="dxa"/>
            <w:tcMar>
              <w:left w:w="28" w:type="dxa"/>
              <w:right w:w="28" w:type="dxa"/>
            </w:tcMar>
            <w:vAlign w:val="center"/>
          </w:tcPr>
          <w:p>
            <w:pPr>
              <w:pStyle w:val="39"/>
              <w:rPr>
                <w:rFonts w:ascii="Times New Roman" w:hAnsi="Times New Roman"/>
              </w:rPr>
            </w:pPr>
            <w:r>
              <w:rPr>
                <w:rFonts w:ascii="Times New Roman" w:hAnsi="Times New Roman"/>
              </w:rPr>
              <w:t>集气干线</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14.6km，DN 200</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vMerge w:val="continue"/>
            <w:tcMar>
              <w:left w:w="28" w:type="dxa"/>
              <w:right w:w="28" w:type="dxa"/>
            </w:tcMar>
            <w:vAlign w:val="center"/>
          </w:tcPr>
          <w:p>
            <w:pPr>
              <w:pStyle w:val="39"/>
              <w:rPr>
                <w:rFonts w:ascii="Times New Roman" w:hAnsi="Times New Roman"/>
              </w:rPr>
            </w:pPr>
          </w:p>
        </w:tc>
        <w:tc>
          <w:tcPr>
            <w:tcW w:w="1381" w:type="dxa"/>
            <w:tcMar>
              <w:left w:w="28" w:type="dxa"/>
              <w:right w:w="28" w:type="dxa"/>
            </w:tcMar>
            <w:vAlign w:val="center"/>
          </w:tcPr>
          <w:p>
            <w:pPr>
              <w:pStyle w:val="39"/>
              <w:rPr>
                <w:rFonts w:ascii="Times New Roman" w:hAnsi="Times New Roman"/>
              </w:rPr>
            </w:pPr>
            <w:r>
              <w:rPr>
                <w:rFonts w:ascii="Times New Roman" w:hAnsi="Times New Roman"/>
              </w:rPr>
              <w:t>集气支线</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3.5km，DN150</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vMerge w:val="continue"/>
            <w:tcMar>
              <w:left w:w="28" w:type="dxa"/>
              <w:right w:w="28" w:type="dxa"/>
            </w:tcMar>
            <w:vAlign w:val="center"/>
          </w:tcPr>
          <w:p>
            <w:pPr>
              <w:pStyle w:val="39"/>
              <w:rPr>
                <w:rFonts w:ascii="Times New Roman" w:hAnsi="Times New Roman"/>
              </w:rPr>
            </w:pPr>
          </w:p>
        </w:tc>
        <w:tc>
          <w:tcPr>
            <w:tcW w:w="1381" w:type="dxa"/>
            <w:tcMar>
              <w:left w:w="28" w:type="dxa"/>
              <w:right w:w="28" w:type="dxa"/>
            </w:tcMar>
            <w:vAlign w:val="center"/>
          </w:tcPr>
          <w:p>
            <w:pPr>
              <w:pStyle w:val="39"/>
              <w:rPr>
                <w:rFonts w:ascii="Times New Roman" w:hAnsi="Times New Roman"/>
              </w:rPr>
            </w:pPr>
            <w:r>
              <w:rPr>
                <w:rFonts w:ascii="Times New Roman" w:hAnsi="Times New Roman"/>
              </w:rPr>
              <w:t>联络线</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1.2km，DN 200</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2632" w:type="dxa"/>
            <w:gridSpan w:val="2"/>
            <w:tcMar>
              <w:left w:w="28" w:type="dxa"/>
              <w:right w:w="28" w:type="dxa"/>
            </w:tcMar>
            <w:vAlign w:val="center"/>
          </w:tcPr>
          <w:p>
            <w:pPr>
              <w:pStyle w:val="39"/>
              <w:rPr>
                <w:rFonts w:ascii="Times New Roman" w:hAnsi="Times New Roman"/>
              </w:rPr>
            </w:pPr>
            <w:r>
              <w:rPr>
                <w:rFonts w:ascii="Times New Roman" w:hAnsi="Times New Roman"/>
              </w:rPr>
              <w:t>宣探阀室</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RTU阀室</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2632" w:type="dxa"/>
            <w:gridSpan w:val="2"/>
            <w:tcMar>
              <w:left w:w="28" w:type="dxa"/>
              <w:right w:w="28" w:type="dxa"/>
            </w:tcMar>
            <w:vAlign w:val="center"/>
          </w:tcPr>
          <w:p>
            <w:pPr>
              <w:pStyle w:val="39"/>
              <w:rPr>
                <w:rFonts w:ascii="Times New Roman" w:hAnsi="Times New Roman"/>
              </w:rPr>
            </w:pPr>
            <w:r>
              <w:rPr>
                <w:rFonts w:ascii="Times New Roman" w:hAnsi="Times New Roman"/>
              </w:rPr>
              <w:t>宣探清管站</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1台清管收球装置，1台放空分液罐、火炬</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restart"/>
            <w:tcMar>
              <w:left w:w="28" w:type="dxa"/>
              <w:right w:w="28" w:type="dxa"/>
            </w:tcMar>
            <w:vAlign w:val="center"/>
          </w:tcPr>
          <w:p>
            <w:pPr>
              <w:pStyle w:val="39"/>
              <w:rPr>
                <w:rFonts w:ascii="Times New Roman" w:hAnsi="Times New Roman"/>
              </w:rPr>
            </w:pPr>
            <w:r>
              <w:rPr>
                <w:rFonts w:ascii="Times New Roman" w:hAnsi="Times New Roman"/>
              </w:rPr>
              <w:t>辅助工程</w:t>
            </w:r>
          </w:p>
        </w:tc>
        <w:tc>
          <w:tcPr>
            <w:tcW w:w="2632" w:type="dxa"/>
            <w:gridSpan w:val="2"/>
            <w:tcMar>
              <w:left w:w="28" w:type="dxa"/>
              <w:right w:w="28" w:type="dxa"/>
            </w:tcMar>
            <w:vAlign w:val="center"/>
          </w:tcPr>
          <w:p>
            <w:pPr>
              <w:pStyle w:val="39"/>
              <w:rPr>
                <w:rFonts w:ascii="Times New Roman" w:hAnsi="Times New Roman"/>
              </w:rPr>
            </w:pPr>
            <w:r>
              <w:rPr>
                <w:rFonts w:ascii="Times New Roman" w:hAnsi="Times New Roman"/>
              </w:rPr>
              <w:t>防腐工程</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集气支线、集气干线、联络线及燃料气管道均采用三层PE常温型外防腐层；采用强制电流方式阴极保护，在宣兴1井站内新建1 座阴极保护站。</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2632" w:type="dxa"/>
            <w:gridSpan w:val="2"/>
            <w:tcMar>
              <w:left w:w="28" w:type="dxa"/>
              <w:right w:w="28" w:type="dxa"/>
            </w:tcMar>
            <w:vAlign w:val="center"/>
          </w:tcPr>
          <w:p>
            <w:pPr>
              <w:pStyle w:val="39"/>
              <w:rPr>
                <w:rFonts w:ascii="Times New Roman" w:hAnsi="Times New Roman"/>
              </w:rPr>
            </w:pPr>
            <w:r>
              <w:rPr>
                <w:rFonts w:ascii="Times New Roman" w:hAnsi="Times New Roman"/>
              </w:rPr>
              <w:t>自控系统</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依托渡口河项目建设的调度控制中心设置的SCADA计算机系统，通过通信网络该SCADA系统完成对气田各个站场的集中监控和管理。</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vMerge w:val="restart"/>
            <w:tcMar>
              <w:left w:w="28" w:type="dxa"/>
              <w:right w:w="28" w:type="dxa"/>
            </w:tcMar>
            <w:vAlign w:val="center"/>
          </w:tcPr>
          <w:p>
            <w:pPr>
              <w:pStyle w:val="39"/>
              <w:rPr>
                <w:rFonts w:ascii="Times New Roman" w:hAnsi="Times New Roman"/>
              </w:rPr>
            </w:pPr>
            <w:r>
              <w:rPr>
                <w:rFonts w:ascii="Times New Roman" w:hAnsi="Times New Roman"/>
              </w:rPr>
              <w:t>火炬及放空系统</w:t>
            </w:r>
          </w:p>
        </w:tc>
        <w:tc>
          <w:tcPr>
            <w:tcW w:w="1381" w:type="dxa"/>
            <w:tcMar>
              <w:left w:w="28" w:type="dxa"/>
              <w:right w:w="28" w:type="dxa"/>
            </w:tcMar>
            <w:vAlign w:val="center"/>
          </w:tcPr>
          <w:p>
            <w:pPr>
              <w:pStyle w:val="39"/>
              <w:rPr>
                <w:rFonts w:ascii="Times New Roman" w:hAnsi="Times New Roman"/>
              </w:rPr>
            </w:pPr>
            <w:r>
              <w:rPr>
                <w:rFonts w:ascii="Times New Roman" w:hAnsi="Times New Roman"/>
              </w:rPr>
              <w:t>宣探1井放空系统</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放空分液罐：P1.6MPaDN2400×7200</w:t>
            </w:r>
          </w:p>
          <w:p>
            <w:pPr>
              <w:pStyle w:val="39"/>
              <w:rPr>
                <w:rFonts w:ascii="Times New Roman" w:hAnsi="Times New Roman"/>
              </w:rPr>
            </w:pPr>
            <w:r>
              <w:rPr>
                <w:rFonts w:ascii="Times New Roman" w:hAnsi="Times New Roman"/>
              </w:rPr>
              <w:t>火炬：DN250×30000</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vMerge w:val="continue"/>
            <w:tcMar>
              <w:left w:w="28" w:type="dxa"/>
              <w:right w:w="28" w:type="dxa"/>
            </w:tcMar>
            <w:vAlign w:val="center"/>
          </w:tcPr>
          <w:p>
            <w:pPr>
              <w:pStyle w:val="39"/>
              <w:rPr>
                <w:rFonts w:ascii="Times New Roman" w:hAnsi="Times New Roman"/>
              </w:rPr>
            </w:pPr>
          </w:p>
        </w:tc>
        <w:tc>
          <w:tcPr>
            <w:tcW w:w="1381" w:type="dxa"/>
            <w:tcMar>
              <w:left w:w="28" w:type="dxa"/>
              <w:right w:w="28" w:type="dxa"/>
            </w:tcMar>
            <w:vAlign w:val="center"/>
          </w:tcPr>
          <w:p>
            <w:pPr>
              <w:pStyle w:val="39"/>
              <w:rPr>
                <w:rFonts w:ascii="Times New Roman" w:hAnsi="Times New Roman"/>
              </w:rPr>
            </w:pPr>
            <w:r>
              <w:rPr>
                <w:rFonts w:ascii="Times New Roman" w:hAnsi="Times New Roman"/>
              </w:rPr>
              <w:t>宣兴1井放空系统</w:t>
            </w:r>
          </w:p>
        </w:tc>
        <w:tc>
          <w:tcPr>
            <w:tcW w:w="3820" w:type="dxa"/>
            <w:tcMar>
              <w:left w:w="28" w:type="dxa"/>
              <w:right w:w="28" w:type="dxa"/>
            </w:tcMar>
            <w:vAlign w:val="center"/>
          </w:tcPr>
          <w:p>
            <w:pPr>
              <w:pStyle w:val="39"/>
              <w:ind w:firstLine="480"/>
              <w:rPr>
                <w:rFonts w:ascii="Times New Roman" w:hAnsi="Times New Roman"/>
              </w:rPr>
            </w:pPr>
            <w:r>
              <w:rPr>
                <w:rFonts w:ascii="Times New Roman" w:hAnsi="Times New Roman"/>
              </w:rPr>
              <w:t>放空分液罐：P1.6MPaDN2400×7200</w:t>
            </w:r>
          </w:p>
          <w:p>
            <w:pPr>
              <w:pStyle w:val="39"/>
              <w:rPr>
                <w:rFonts w:ascii="Times New Roman" w:hAnsi="Times New Roman"/>
              </w:rPr>
            </w:pPr>
            <w:r>
              <w:rPr>
                <w:rFonts w:ascii="Times New Roman" w:hAnsi="Times New Roman"/>
              </w:rPr>
              <w:t>火炬：DN250×30000</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vMerge w:val="continue"/>
            <w:tcMar>
              <w:left w:w="28" w:type="dxa"/>
              <w:right w:w="28" w:type="dxa"/>
            </w:tcMar>
            <w:vAlign w:val="center"/>
          </w:tcPr>
          <w:p>
            <w:pPr>
              <w:pStyle w:val="39"/>
              <w:rPr>
                <w:rFonts w:ascii="Times New Roman" w:hAnsi="Times New Roman"/>
              </w:rPr>
            </w:pPr>
          </w:p>
        </w:tc>
        <w:tc>
          <w:tcPr>
            <w:tcW w:w="1381" w:type="dxa"/>
            <w:tcMar>
              <w:left w:w="28" w:type="dxa"/>
              <w:right w:w="28" w:type="dxa"/>
            </w:tcMar>
            <w:vAlign w:val="center"/>
          </w:tcPr>
          <w:p>
            <w:pPr>
              <w:pStyle w:val="39"/>
              <w:rPr>
                <w:rFonts w:ascii="Times New Roman" w:hAnsi="Times New Roman"/>
              </w:rPr>
            </w:pPr>
            <w:r>
              <w:rPr>
                <w:rFonts w:ascii="Times New Roman" w:hAnsi="Times New Roman"/>
              </w:rPr>
              <w:t>清管站放空系统</w:t>
            </w:r>
          </w:p>
        </w:tc>
        <w:tc>
          <w:tcPr>
            <w:tcW w:w="3820" w:type="dxa"/>
            <w:tcMar>
              <w:left w:w="28" w:type="dxa"/>
              <w:right w:w="28" w:type="dxa"/>
            </w:tcMar>
            <w:vAlign w:val="center"/>
          </w:tcPr>
          <w:p>
            <w:pPr>
              <w:pStyle w:val="39"/>
              <w:ind w:firstLine="480"/>
              <w:rPr>
                <w:rFonts w:ascii="Times New Roman" w:hAnsi="Times New Roman"/>
              </w:rPr>
            </w:pPr>
            <w:r>
              <w:rPr>
                <w:rFonts w:ascii="Times New Roman" w:hAnsi="Times New Roman"/>
              </w:rPr>
              <w:t>放空分液罐：P1.6MPaDN2400×7200</w:t>
            </w:r>
          </w:p>
          <w:p>
            <w:pPr>
              <w:pStyle w:val="39"/>
              <w:rPr>
                <w:rFonts w:ascii="Times New Roman" w:hAnsi="Times New Roman"/>
              </w:rPr>
            </w:pPr>
            <w:r>
              <w:rPr>
                <w:rFonts w:ascii="Times New Roman" w:hAnsi="Times New Roman"/>
              </w:rPr>
              <w:t>火炬：DN250×22000</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2632" w:type="dxa"/>
            <w:gridSpan w:val="2"/>
            <w:tcMar>
              <w:left w:w="28" w:type="dxa"/>
              <w:right w:w="28" w:type="dxa"/>
            </w:tcMar>
            <w:vAlign w:val="center"/>
          </w:tcPr>
          <w:p>
            <w:pPr>
              <w:pStyle w:val="39"/>
              <w:rPr>
                <w:rFonts w:ascii="Times New Roman" w:hAnsi="Times New Roman"/>
              </w:rPr>
            </w:pPr>
            <w:r>
              <w:rPr>
                <w:rFonts w:ascii="Times New Roman" w:hAnsi="Times New Roman"/>
              </w:rPr>
              <w:t>气液分离系统</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气液分离器（两井站各1台）：</w:t>
            </w:r>
          </w:p>
          <w:p>
            <w:pPr>
              <w:pStyle w:val="39"/>
              <w:rPr>
                <w:rFonts w:ascii="Times New Roman" w:hAnsi="Times New Roman"/>
              </w:rPr>
            </w:pPr>
            <w:r>
              <w:rPr>
                <w:rFonts w:ascii="Times New Roman" w:hAnsi="Times New Roman"/>
              </w:rPr>
              <w:t>P13MPa  DN1000×5000，2台</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2632" w:type="dxa"/>
            <w:gridSpan w:val="2"/>
            <w:tcMar>
              <w:left w:w="28" w:type="dxa"/>
              <w:right w:w="28" w:type="dxa"/>
            </w:tcMar>
            <w:vAlign w:val="center"/>
          </w:tcPr>
          <w:p>
            <w:pPr>
              <w:pStyle w:val="39"/>
              <w:rPr>
                <w:rFonts w:ascii="Times New Roman" w:hAnsi="Times New Roman"/>
              </w:rPr>
            </w:pPr>
            <w:r>
              <w:rPr>
                <w:rFonts w:ascii="Times New Roman" w:hAnsi="Times New Roman"/>
              </w:rPr>
              <w:t>气田水罐</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P1.6MPa DN2800×8400，2座</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2632" w:type="dxa"/>
            <w:gridSpan w:val="2"/>
            <w:tcMar>
              <w:left w:w="28" w:type="dxa"/>
              <w:right w:w="28" w:type="dxa"/>
            </w:tcMar>
            <w:vAlign w:val="center"/>
          </w:tcPr>
          <w:p>
            <w:pPr>
              <w:pStyle w:val="39"/>
              <w:rPr>
                <w:rFonts w:ascii="Times New Roman" w:hAnsi="Times New Roman"/>
              </w:rPr>
            </w:pPr>
            <w:r>
              <w:rPr>
                <w:rFonts w:ascii="Times New Roman" w:hAnsi="Times New Roman"/>
              </w:rPr>
              <w:t>施工便道</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整修施工道路约7.2km，新建施工道路4.8km，宽4m</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部分新建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2632" w:type="dxa"/>
            <w:gridSpan w:val="2"/>
            <w:tcMar>
              <w:left w:w="28" w:type="dxa"/>
              <w:right w:w="28" w:type="dxa"/>
            </w:tcMar>
            <w:vAlign w:val="center"/>
          </w:tcPr>
          <w:p>
            <w:pPr>
              <w:pStyle w:val="39"/>
              <w:rPr>
                <w:rFonts w:ascii="Times New Roman" w:hAnsi="Times New Roman"/>
              </w:rPr>
            </w:pPr>
            <w:r>
              <w:rPr>
                <w:rFonts w:ascii="Times New Roman" w:hAnsi="Times New Roman"/>
              </w:rPr>
              <w:t>巡检便道</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12.5km巡检便道，宽0.8m</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vMerge w:val="restart"/>
            <w:tcMar>
              <w:left w:w="28" w:type="dxa"/>
              <w:right w:w="28" w:type="dxa"/>
            </w:tcMar>
            <w:vAlign w:val="center"/>
          </w:tcPr>
          <w:p>
            <w:pPr>
              <w:pStyle w:val="39"/>
              <w:rPr>
                <w:rFonts w:ascii="Times New Roman" w:hAnsi="Times New Roman"/>
              </w:rPr>
            </w:pPr>
            <w:r>
              <w:rPr>
                <w:rFonts w:ascii="Times New Roman" w:hAnsi="Times New Roman"/>
              </w:rPr>
              <w:t>穿越工程</w:t>
            </w:r>
          </w:p>
        </w:tc>
        <w:tc>
          <w:tcPr>
            <w:tcW w:w="1381" w:type="dxa"/>
            <w:tcMar>
              <w:left w:w="28" w:type="dxa"/>
              <w:right w:w="28" w:type="dxa"/>
            </w:tcMar>
            <w:vAlign w:val="center"/>
          </w:tcPr>
          <w:p>
            <w:pPr>
              <w:pStyle w:val="39"/>
              <w:rPr>
                <w:rFonts w:ascii="Times New Roman" w:hAnsi="Times New Roman"/>
              </w:rPr>
            </w:pPr>
            <w:r>
              <w:rPr>
                <w:rFonts w:ascii="Times New Roman" w:hAnsi="Times New Roman"/>
              </w:rPr>
              <w:t>清溪河穿越</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35m，开挖</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vMerge w:val="continue"/>
            <w:tcMar>
              <w:left w:w="28" w:type="dxa"/>
              <w:right w:w="28" w:type="dxa"/>
            </w:tcMar>
            <w:vAlign w:val="center"/>
          </w:tcPr>
          <w:p>
            <w:pPr>
              <w:pStyle w:val="39"/>
              <w:rPr>
                <w:rFonts w:ascii="Times New Roman" w:hAnsi="Times New Roman"/>
              </w:rPr>
            </w:pPr>
          </w:p>
        </w:tc>
        <w:tc>
          <w:tcPr>
            <w:tcW w:w="1381" w:type="dxa"/>
            <w:tcMar>
              <w:left w:w="28" w:type="dxa"/>
              <w:right w:w="28" w:type="dxa"/>
            </w:tcMar>
            <w:vAlign w:val="center"/>
          </w:tcPr>
          <w:p>
            <w:pPr>
              <w:pStyle w:val="39"/>
              <w:rPr>
                <w:rFonts w:ascii="Times New Roman" w:hAnsi="Times New Roman"/>
              </w:rPr>
            </w:pPr>
            <w:r>
              <w:rPr>
                <w:rFonts w:ascii="Times New Roman" w:hAnsi="Times New Roman"/>
              </w:rPr>
              <w:t>县道穿越</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30m，顶管</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2632" w:type="dxa"/>
            <w:gridSpan w:val="2"/>
            <w:tcMar>
              <w:left w:w="28" w:type="dxa"/>
              <w:right w:w="28" w:type="dxa"/>
            </w:tcMar>
            <w:vAlign w:val="center"/>
          </w:tcPr>
          <w:p>
            <w:pPr>
              <w:pStyle w:val="39"/>
              <w:rPr>
                <w:rFonts w:ascii="Times New Roman" w:hAnsi="Times New Roman"/>
              </w:rPr>
            </w:pPr>
            <w:r>
              <w:rPr>
                <w:rFonts w:ascii="Times New Roman" w:hAnsi="Times New Roman"/>
              </w:rPr>
              <w:t>维抢修队</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定员14人，在岗人员7人，租用民房</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restart"/>
            <w:tcMar>
              <w:left w:w="28" w:type="dxa"/>
              <w:right w:w="28" w:type="dxa"/>
            </w:tcMar>
            <w:vAlign w:val="center"/>
          </w:tcPr>
          <w:p>
            <w:pPr>
              <w:pStyle w:val="39"/>
              <w:rPr>
                <w:rFonts w:ascii="Times New Roman" w:hAnsi="Times New Roman"/>
              </w:rPr>
            </w:pPr>
            <w:r>
              <w:rPr>
                <w:rFonts w:ascii="Times New Roman" w:hAnsi="Times New Roman"/>
              </w:rPr>
              <w:t>公用工程</w:t>
            </w:r>
          </w:p>
        </w:tc>
        <w:tc>
          <w:tcPr>
            <w:tcW w:w="2632" w:type="dxa"/>
            <w:gridSpan w:val="2"/>
            <w:tcMar>
              <w:left w:w="28" w:type="dxa"/>
              <w:right w:w="28" w:type="dxa"/>
            </w:tcMar>
            <w:vAlign w:val="center"/>
          </w:tcPr>
          <w:p>
            <w:pPr>
              <w:pStyle w:val="39"/>
              <w:rPr>
                <w:rFonts w:ascii="Times New Roman" w:hAnsi="Times New Roman"/>
              </w:rPr>
            </w:pPr>
            <w:r>
              <w:rPr>
                <w:rFonts w:ascii="Times New Roman" w:hAnsi="Times New Roman"/>
              </w:rPr>
              <w:t>给水工程</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清水罐车拉运供给</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tcMar>
              <w:left w:w="28" w:type="dxa"/>
              <w:right w:w="28" w:type="dxa"/>
            </w:tcMar>
            <w:vAlign w:val="center"/>
          </w:tcPr>
          <w:p>
            <w:pPr>
              <w:pStyle w:val="39"/>
              <w:rPr>
                <w:rFonts w:ascii="Times New Roman" w:hAnsi="Times New Roman"/>
              </w:rPr>
            </w:pPr>
            <w:r>
              <w:rPr>
                <w:rFonts w:ascii="Times New Roman" w:hAnsi="Times New Roman"/>
              </w:rPr>
              <w:t>供热</w:t>
            </w:r>
          </w:p>
        </w:tc>
        <w:tc>
          <w:tcPr>
            <w:tcW w:w="1381" w:type="dxa"/>
            <w:tcMar>
              <w:left w:w="28" w:type="dxa"/>
              <w:right w:w="28" w:type="dxa"/>
            </w:tcMar>
            <w:vAlign w:val="center"/>
          </w:tcPr>
          <w:p>
            <w:pPr>
              <w:pStyle w:val="39"/>
              <w:rPr>
                <w:rFonts w:ascii="Times New Roman" w:hAnsi="Times New Roman"/>
              </w:rPr>
            </w:pPr>
            <w:r>
              <w:rPr>
                <w:rFonts w:ascii="Times New Roman" w:hAnsi="Times New Roman"/>
              </w:rPr>
              <w:t>水套炉</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宣探1井站设置1台400kW水套炉；</w:t>
            </w:r>
          </w:p>
          <w:p>
            <w:pPr>
              <w:pStyle w:val="39"/>
              <w:rPr>
                <w:rFonts w:ascii="Times New Roman" w:hAnsi="Times New Roman"/>
              </w:rPr>
            </w:pPr>
            <w:r>
              <w:rPr>
                <w:rFonts w:ascii="Times New Roman" w:hAnsi="Times New Roman"/>
              </w:rPr>
              <w:t>宣兴1井站设置1台1180kW水套炉。</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tcMar>
              <w:left w:w="28" w:type="dxa"/>
              <w:right w:w="28" w:type="dxa"/>
            </w:tcMar>
            <w:vAlign w:val="center"/>
          </w:tcPr>
          <w:p>
            <w:pPr>
              <w:pStyle w:val="39"/>
              <w:rPr>
                <w:rFonts w:ascii="Times New Roman" w:hAnsi="Times New Roman"/>
              </w:rPr>
            </w:pPr>
            <w:r>
              <w:rPr>
                <w:rFonts w:ascii="Times New Roman" w:hAnsi="Times New Roman"/>
              </w:rPr>
              <w:t>供气</w:t>
            </w:r>
          </w:p>
        </w:tc>
        <w:tc>
          <w:tcPr>
            <w:tcW w:w="1381" w:type="dxa"/>
            <w:tcMar>
              <w:left w:w="28" w:type="dxa"/>
              <w:right w:w="28" w:type="dxa"/>
            </w:tcMar>
            <w:vAlign w:val="center"/>
          </w:tcPr>
          <w:p>
            <w:pPr>
              <w:pStyle w:val="39"/>
              <w:rPr>
                <w:rFonts w:ascii="Times New Roman" w:hAnsi="Times New Roman"/>
              </w:rPr>
            </w:pPr>
            <w:r>
              <w:rPr>
                <w:rFonts w:ascii="Times New Roman" w:hAnsi="Times New Roman"/>
              </w:rPr>
              <w:t>燃料气管道</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3条共7.6km，DN80、DN50</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vMerge w:val="restart"/>
            <w:tcMar>
              <w:left w:w="28" w:type="dxa"/>
              <w:right w:w="28" w:type="dxa"/>
            </w:tcMar>
            <w:vAlign w:val="center"/>
          </w:tcPr>
          <w:p>
            <w:pPr>
              <w:pStyle w:val="39"/>
              <w:rPr>
                <w:rFonts w:ascii="Times New Roman" w:hAnsi="Times New Roman"/>
              </w:rPr>
            </w:pPr>
            <w:r>
              <w:rPr>
                <w:rFonts w:ascii="Times New Roman" w:hAnsi="Times New Roman"/>
              </w:rPr>
              <w:t>供配电</w:t>
            </w:r>
          </w:p>
        </w:tc>
        <w:tc>
          <w:tcPr>
            <w:tcW w:w="1381" w:type="dxa"/>
            <w:tcMar>
              <w:left w:w="28" w:type="dxa"/>
              <w:right w:w="28" w:type="dxa"/>
            </w:tcMar>
            <w:vAlign w:val="center"/>
          </w:tcPr>
          <w:p>
            <w:pPr>
              <w:pStyle w:val="39"/>
              <w:rPr>
                <w:rFonts w:ascii="Times New Roman" w:hAnsi="Times New Roman"/>
              </w:rPr>
            </w:pPr>
            <w:r>
              <w:rPr>
                <w:rFonts w:ascii="Times New Roman" w:hAnsi="Times New Roman"/>
              </w:rPr>
              <w:t>电源</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依托中石化集气站外35kV架空线路终端塔</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vMerge w:val="continue"/>
            <w:tcMar>
              <w:left w:w="28" w:type="dxa"/>
              <w:right w:w="28" w:type="dxa"/>
            </w:tcMar>
            <w:vAlign w:val="center"/>
          </w:tcPr>
          <w:p>
            <w:pPr>
              <w:pStyle w:val="39"/>
              <w:rPr>
                <w:rFonts w:ascii="Times New Roman" w:hAnsi="Times New Roman"/>
              </w:rPr>
            </w:pPr>
          </w:p>
        </w:tc>
        <w:tc>
          <w:tcPr>
            <w:tcW w:w="1381" w:type="dxa"/>
            <w:tcMar>
              <w:left w:w="28" w:type="dxa"/>
              <w:right w:w="28" w:type="dxa"/>
            </w:tcMar>
            <w:vAlign w:val="center"/>
          </w:tcPr>
          <w:p>
            <w:pPr>
              <w:pStyle w:val="39"/>
              <w:rPr>
                <w:rFonts w:ascii="Times New Roman" w:hAnsi="Times New Roman"/>
              </w:rPr>
            </w:pPr>
            <w:r>
              <w:rPr>
                <w:rFonts w:ascii="Times New Roman" w:hAnsi="Times New Roman"/>
              </w:rPr>
              <w:t>井站</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分别设预装式变电站一座，包括35kV环网柜2台，35/0.4kV 50kVA干式变压器1台，低压配电柜4台。另外分别设置1套柴油发电机组作为备用电源</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vMerge w:val="continue"/>
            <w:tcMar>
              <w:left w:w="28" w:type="dxa"/>
              <w:right w:w="28" w:type="dxa"/>
            </w:tcMar>
            <w:vAlign w:val="center"/>
          </w:tcPr>
          <w:p>
            <w:pPr>
              <w:pStyle w:val="39"/>
              <w:rPr>
                <w:rFonts w:ascii="Times New Roman" w:hAnsi="Times New Roman"/>
              </w:rPr>
            </w:pPr>
          </w:p>
        </w:tc>
        <w:tc>
          <w:tcPr>
            <w:tcW w:w="1381" w:type="dxa"/>
            <w:tcMar>
              <w:left w:w="28" w:type="dxa"/>
              <w:right w:w="28" w:type="dxa"/>
            </w:tcMar>
            <w:vAlign w:val="center"/>
          </w:tcPr>
          <w:p>
            <w:pPr>
              <w:pStyle w:val="39"/>
              <w:rPr>
                <w:rFonts w:ascii="Times New Roman" w:hAnsi="Times New Roman"/>
              </w:rPr>
            </w:pPr>
            <w:r>
              <w:rPr>
                <w:rFonts w:ascii="Times New Roman" w:hAnsi="Times New Roman"/>
              </w:rPr>
              <w:t>阀室</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各监控阀室分别设置35/0.4kV杆上变压器1台。</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vMerge w:val="continue"/>
            <w:tcMar>
              <w:left w:w="28" w:type="dxa"/>
              <w:right w:w="28" w:type="dxa"/>
            </w:tcMar>
            <w:vAlign w:val="center"/>
          </w:tcPr>
          <w:p>
            <w:pPr>
              <w:pStyle w:val="39"/>
              <w:rPr>
                <w:rFonts w:ascii="Times New Roman" w:hAnsi="Times New Roman"/>
              </w:rPr>
            </w:pPr>
          </w:p>
        </w:tc>
        <w:tc>
          <w:tcPr>
            <w:tcW w:w="1381" w:type="dxa"/>
            <w:tcMar>
              <w:left w:w="28" w:type="dxa"/>
              <w:right w:w="28" w:type="dxa"/>
            </w:tcMar>
            <w:vAlign w:val="center"/>
          </w:tcPr>
          <w:p>
            <w:pPr>
              <w:pStyle w:val="39"/>
              <w:rPr>
                <w:rFonts w:ascii="Times New Roman" w:hAnsi="Times New Roman"/>
              </w:rPr>
            </w:pPr>
            <w:r>
              <w:rPr>
                <w:rFonts w:ascii="Times New Roman" w:hAnsi="Times New Roman"/>
              </w:rPr>
              <w:t>清管站</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设置1座35/0.4kV预装式变电站。</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2632" w:type="dxa"/>
            <w:gridSpan w:val="2"/>
            <w:tcMar>
              <w:left w:w="28" w:type="dxa"/>
              <w:right w:w="28" w:type="dxa"/>
            </w:tcMar>
            <w:vAlign w:val="center"/>
          </w:tcPr>
          <w:p>
            <w:pPr>
              <w:pStyle w:val="39"/>
              <w:rPr>
                <w:rFonts w:ascii="Times New Roman" w:hAnsi="Times New Roman"/>
              </w:rPr>
            </w:pPr>
            <w:r>
              <w:rPr>
                <w:rFonts w:ascii="Times New Roman" w:hAnsi="Times New Roman"/>
              </w:rPr>
              <w:t>通信</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数据传输系统、工业电视监控系统、门禁系统、火灾自动报警系统、光缆线路、社区报警系统以及高后果视频监控系统等</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2632" w:type="dxa"/>
            <w:gridSpan w:val="2"/>
            <w:tcMar>
              <w:left w:w="28" w:type="dxa"/>
              <w:right w:w="28" w:type="dxa"/>
            </w:tcMar>
            <w:vAlign w:val="center"/>
          </w:tcPr>
          <w:p>
            <w:pPr>
              <w:pStyle w:val="39"/>
              <w:rPr>
                <w:rFonts w:ascii="Times New Roman" w:hAnsi="Times New Roman"/>
              </w:rPr>
            </w:pPr>
            <w:r>
              <w:rPr>
                <w:rFonts w:ascii="Times New Roman" w:hAnsi="Times New Roman"/>
              </w:rPr>
              <w:t>消防系统</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在井场、阀室、清管站分别配备一定数量的移动式灭火器材。</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restart"/>
            <w:tcMar>
              <w:left w:w="28" w:type="dxa"/>
              <w:right w:w="28" w:type="dxa"/>
            </w:tcMar>
            <w:vAlign w:val="center"/>
          </w:tcPr>
          <w:p>
            <w:pPr>
              <w:pStyle w:val="39"/>
              <w:rPr>
                <w:rFonts w:ascii="Times New Roman" w:hAnsi="Times New Roman"/>
              </w:rPr>
            </w:pPr>
            <w:bookmarkStart w:id="52" w:name="_Hlk153539214"/>
            <w:r>
              <w:rPr>
                <w:rFonts w:ascii="Times New Roman" w:hAnsi="Times New Roman"/>
              </w:rPr>
              <w:t>环保工程</w:t>
            </w:r>
          </w:p>
        </w:tc>
        <w:tc>
          <w:tcPr>
            <w:tcW w:w="1251" w:type="dxa"/>
            <w:vMerge w:val="restart"/>
            <w:tcMar>
              <w:left w:w="28" w:type="dxa"/>
              <w:right w:w="28" w:type="dxa"/>
            </w:tcMar>
            <w:vAlign w:val="center"/>
          </w:tcPr>
          <w:p>
            <w:pPr>
              <w:pStyle w:val="39"/>
              <w:rPr>
                <w:rFonts w:ascii="Times New Roman" w:hAnsi="Times New Roman"/>
              </w:rPr>
            </w:pPr>
            <w:r>
              <w:rPr>
                <w:rFonts w:ascii="Times New Roman" w:hAnsi="Times New Roman"/>
              </w:rPr>
              <w:t>排水工程</w:t>
            </w:r>
          </w:p>
        </w:tc>
        <w:tc>
          <w:tcPr>
            <w:tcW w:w="1381" w:type="dxa"/>
            <w:tcMar>
              <w:left w:w="28" w:type="dxa"/>
              <w:right w:w="28" w:type="dxa"/>
            </w:tcMar>
            <w:vAlign w:val="center"/>
          </w:tcPr>
          <w:p>
            <w:pPr>
              <w:pStyle w:val="39"/>
              <w:rPr>
                <w:rFonts w:ascii="Times New Roman" w:hAnsi="Times New Roman"/>
              </w:rPr>
            </w:pPr>
            <w:r>
              <w:rPr>
                <w:rFonts w:ascii="Times New Roman" w:hAnsi="Times New Roman"/>
              </w:rPr>
              <w:t>气田水罐</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2座，P1.6MPa DN2800×8400</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vMerge w:val="continue"/>
            <w:tcMar>
              <w:left w:w="28" w:type="dxa"/>
              <w:right w:w="28" w:type="dxa"/>
            </w:tcMar>
            <w:vAlign w:val="center"/>
          </w:tcPr>
          <w:p>
            <w:pPr>
              <w:pStyle w:val="39"/>
              <w:rPr>
                <w:rFonts w:ascii="Times New Roman" w:hAnsi="Times New Roman"/>
              </w:rPr>
            </w:pPr>
          </w:p>
        </w:tc>
        <w:tc>
          <w:tcPr>
            <w:tcW w:w="1381" w:type="dxa"/>
            <w:tcMar>
              <w:left w:w="28" w:type="dxa"/>
              <w:right w:w="28" w:type="dxa"/>
            </w:tcMar>
            <w:vAlign w:val="center"/>
          </w:tcPr>
          <w:p>
            <w:pPr>
              <w:pStyle w:val="39"/>
              <w:rPr>
                <w:rFonts w:ascii="Times New Roman" w:hAnsi="Times New Roman"/>
              </w:rPr>
            </w:pPr>
            <w:r>
              <w:rPr>
                <w:rFonts w:ascii="Times New Roman" w:hAnsi="Times New Roman"/>
              </w:rPr>
              <w:t>气田水处理装置</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渡口河净化厂气田水处理装置1套</w:t>
            </w:r>
          </w:p>
          <w:p>
            <w:pPr>
              <w:pStyle w:val="39"/>
              <w:rPr>
                <w:rFonts w:ascii="Times New Roman" w:hAnsi="Times New Roman"/>
              </w:rPr>
            </w:pPr>
            <w:r>
              <w:rPr>
                <w:rFonts w:ascii="Times New Roman" w:hAnsi="Times New Roman"/>
              </w:rPr>
              <w:t>规模：5m</w:t>
            </w:r>
            <w:r>
              <w:rPr>
                <w:rFonts w:ascii="Times New Roman" w:hAnsi="Times New Roman"/>
                <w:vertAlign w:val="superscript"/>
              </w:rPr>
              <w:t>3</w:t>
            </w:r>
            <w:r>
              <w:rPr>
                <w:rFonts w:ascii="Times New Roman" w:hAnsi="Times New Roman"/>
              </w:rPr>
              <w:t>/h</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vMerge w:val="continue"/>
            <w:tcMar>
              <w:left w:w="28" w:type="dxa"/>
              <w:right w:w="28" w:type="dxa"/>
            </w:tcMar>
            <w:vAlign w:val="center"/>
          </w:tcPr>
          <w:p>
            <w:pPr>
              <w:pStyle w:val="39"/>
              <w:rPr>
                <w:rFonts w:ascii="Times New Roman" w:hAnsi="Times New Roman"/>
              </w:rPr>
            </w:pPr>
          </w:p>
        </w:tc>
        <w:tc>
          <w:tcPr>
            <w:tcW w:w="1381" w:type="dxa"/>
            <w:tcMar>
              <w:left w:w="28" w:type="dxa"/>
              <w:right w:w="28" w:type="dxa"/>
            </w:tcMar>
            <w:vAlign w:val="center"/>
          </w:tcPr>
          <w:p>
            <w:pPr>
              <w:pStyle w:val="39"/>
              <w:rPr>
                <w:rFonts w:ascii="Times New Roman" w:hAnsi="Times New Roman"/>
              </w:rPr>
            </w:pPr>
            <w:r>
              <w:rPr>
                <w:rFonts w:ascii="Times New Roman" w:hAnsi="Times New Roman"/>
              </w:rPr>
              <w:t>回注井</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黄龙5井、黄龙2井、蒲西4井</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vMerge w:val="continue"/>
            <w:tcMar>
              <w:left w:w="28" w:type="dxa"/>
              <w:right w:w="28" w:type="dxa"/>
            </w:tcMar>
            <w:vAlign w:val="center"/>
          </w:tcPr>
          <w:p>
            <w:pPr>
              <w:pStyle w:val="39"/>
              <w:rPr>
                <w:rFonts w:ascii="Times New Roman" w:hAnsi="Times New Roman"/>
              </w:rPr>
            </w:pPr>
          </w:p>
        </w:tc>
        <w:tc>
          <w:tcPr>
            <w:tcW w:w="1381" w:type="dxa"/>
            <w:tcMar>
              <w:left w:w="28" w:type="dxa"/>
              <w:right w:w="28" w:type="dxa"/>
            </w:tcMar>
            <w:vAlign w:val="center"/>
          </w:tcPr>
          <w:p>
            <w:pPr>
              <w:pStyle w:val="39"/>
              <w:rPr>
                <w:rFonts w:ascii="Times New Roman" w:hAnsi="Times New Roman"/>
              </w:rPr>
            </w:pPr>
            <w:r>
              <w:rPr>
                <w:rFonts w:ascii="Times New Roman" w:hAnsi="Times New Roman"/>
              </w:rPr>
              <w:t>回注管线</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渡口河净化厂至黄龙5井气田水管线7km，DN100</w:t>
            </w:r>
          </w:p>
          <w:p>
            <w:pPr>
              <w:pStyle w:val="39"/>
              <w:rPr>
                <w:rFonts w:ascii="Times New Roman" w:hAnsi="Times New Roman"/>
              </w:rPr>
            </w:pPr>
            <w:r>
              <w:rPr>
                <w:rFonts w:ascii="Times New Roman" w:hAnsi="Times New Roman"/>
              </w:rPr>
              <w:t>黄龙5井至黄龙2井气田水管线10.2km，DN100</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依托</w:t>
            </w:r>
          </w:p>
        </w:tc>
      </w:tr>
      <w:bookmarkEnd w:id="52"/>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1" w:type="dxa"/>
            <w:vMerge w:val="continue"/>
            <w:tcMar>
              <w:left w:w="28" w:type="dxa"/>
              <w:right w:w="28" w:type="dxa"/>
            </w:tcMar>
            <w:vAlign w:val="center"/>
          </w:tcPr>
          <w:p>
            <w:pPr>
              <w:pStyle w:val="39"/>
              <w:rPr>
                <w:rFonts w:ascii="Times New Roman" w:hAnsi="Times New Roman"/>
              </w:rPr>
            </w:pPr>
          </w:p>
        </w:tc>
        <w:tc>
          <w:tcPr>
            <w:tcW w:w="1251" w:type="dxa"/>
            <w:tcMar>
              <w:left w:w="28" w:type="dxa"/>
              <w:right w:w="28" w:type="dxa"/>
            </w:tcMar>
            <w:vAlign w:val="center"/>
          </w:tcPr>
          <w:p>
            <w:pPr>
              <w:pStyle w:val="39"/>
              <w:rPr>
                <w:rFonts w:ascii="Times New Roman" w:hAnsi="Times New Roman"/>
              </w:rPr>
            </w:pPr>
            <w:r>
              <w:rPr>
                <w:rFonts w:ascii="Times New Roman" w:hAnsi="Times New Roman"/>
              </w:rPr>
              <w:t>废气处理工程</w:t>
            </w:r>
          </w:p>
        </w:tc>
        <w:tc>
          <w:tcPr>
            <w:tcW w:w="1381" w:type="dxa"/>
            <w:tcMar>
              <w:left w:w="28" w:type="dxa"/>
              <w:right w:w="28" w:type="dxa"/>
            </w:tcMar>
            <w:vAlign w:val="center"/>
          </w:tcPr>
          <w:p>
            <w:pPr>
              <w:pStyle w:val="39"/>
              <w:rPr>
                <w:rFonts w:ascii="Times New Roman" w:hAnsi="Times New Roman"/>
              </w:rPr>
            </w:pPr>
            <w:r>
              <w:rPr>
                <w:rFonts w:ascii="Times New Roman" w:hAnsi="Times New Roman"/>
              </w:rPr>
              <w:t>火炬（同属辅助工程）</w:t>
            </w:r>
          </w:p>
        </w:tc>
        <w:tc>
          <w:tcPr>
            <w:tcW w:w="3820" w:type="dxa"/>
            <w:tcMar>
              <w:left w:w="28" w:type="dxa"/>
              <w:right w:w="28" w:type="dxa"/>
            </w:tcMar>
            <w:vAlign w:val="center"/>
          </w:tcPr>
          <w:p>
            <w:pPr>
              <w:pStyle w:val="39"/>
              <w:rPr>
                <w:rFonts w:ascii="Times New Roman" w:hAnsi="Times New Roman"/>
              </w:rPr>
            </w:pPr>
            <w:r>
              <w:rPr>
                <w:rFonts w:ascii="Times New Roman" w:hAnsi="Times New Roman"/>
              </w:rPr>
              <w:t>常压 DN250×0000（2套）</w:t>
            </w:r>
          </w:p>
          <w:p>
            <w:pPr>
              <w:pStyle w:val="39"/>
              <w:rPr>
                <w:rFonts w:ascii="Times New Roman" w:hAnsi="Times New Roman"/>
              </w:rPr>
            </w:pPr>
            <w:r>
              <w:rPr>
                <w:rFonts w:ascii="Times New Roman" w:hAnsi="Times New Roman"/>
              </w:rPr>
              <w:t>常压 DN250×22000（1套）</w:t>
            </w:r>
          </w:p>
        </w:tc>
        <w:tc>
          <w:tcPr>
            <w:tcW w:w="889" w:type="dxa"/>
            <w:tcMar>
              <w:left w:w="28" w:type="dxa"/>
              <w:right w:w="28" w:type="dxa"/>
            </w:tcMar>
            <w:vAlign w:val="center"/>
          </w:tcPr>
          <w:p>
            <w:pPr>
              <w:pStyle w:val="39"/>
              <w:rPr>
                <w:rFonts w:ascii="Times New Roman" w:hAnsi="Times New Roman"/>
              </w:rPr>
            </w:pPr>
            <w:r>
              <w:rPr>
                <w:rFonts w:ascii="Times New Roman" w:hAnsi="Times New Roman"/>
              </w:rPr>
              <w:t>新建</w:t>
            </w:r>
          </w:p>
        </w:tc>
      </w:tr>
    </w:tbl>
    <w:p>
      <w:pPr>
        <w:pStyle w:val="4"/>
        <w:rPr>
          <w:rFonts w:ascii="Times New Roman" w:hAnsi="Times New Roman" w:cs="Times New Roman"/>
        </w:rPr>
      </w:pPr>
      <w:r>
        <w:rPr>
          <w:rFonts w:ascii="Times New Roman" w:hAnsi="Times New Roman" w:cs="Times New Roman"/>
        </w:rPr>
        <w:t>原料气组分</w:t>
      </w:r>
    </w:p>
    <w:p>
      <w:pPr>
        <w:ind w:firstLine="480"/>
        <w:rPr>
          <w:rFonts w:ascii="Times New Roman" w:hAnsi="Times New Roman"/>
        </w:rPr>
      </w:pPr>
      <w:r>
        <w:rPr>
          <w:rFonts w:ascii="Times New Roman" w:hAnsi="Times New Roman"/>
        </w:rPr>
        <w:t>宣探1井站测试原料气摩尔百分含</w:t>
      </w:r>
      <w:r>
        <w:rPr>
          <w:rFonts w:ascii="Times New Roman" w:hAnsi="Times New Roman"/>
          <w:highlight w:val="black"/>
        </w:rPr>
        <w:t>量CH</w:t>
      </w:r>
      <w:r>
        <w:rPr>
          <w:rFonts w:ascii="Times New Roman" w:hAnsi="Times New Roman"/>
          <w:highlight w:val="black"/>
          <w:vertAlign w:val="subscript"/>
        </w:rPr>
        <w:t>4</w:t>
      </w:r>
      <w:r>
        <w:rPr>
          <w:rFonts w:ascii="Times New Roman" w:hAnsi="Times New Roman"/>
          <w:highlight w:val="black"/>
        </w:rPr>
        <w:t xml:space="preserve"> 80.25%，H</w:t>
      </w:r>
      <w:r>
        <w:rPr>
          <w:rFonts w:ascii="Times New Roman" w:hAnsi="Times New Roman"/>
          <w:highlight w:val="black"/>
          <w:vertAlign w:val="subscript"/>
        </w:rPr>
        <w:t>2</w:t>
      </w:r>
      <w:r>
        <w:rPr>
          <w:rFonts w:ascii="Times New Roman" w:hAnsi="Times New Roman"/>
          <w:highlight w:val="black"/>
        </w:rPr>
        <w:t>S 10.69%，CO</w:t>
      </w:r>
      <w:r>
        <w:rPr>
          <w:rFonts w:ascii="Times New Roman" w:hAnsi="Times New Roman"/>
          <w:highlight w:val="black"/>
          <w:vertAlign w:val="subscript"/>
        </w:rPr>
        <w:t>2</w:t>
      </w:r>
      <w:r>
        <w:rPr>
          <w:rFonts w:ascii="Times New Roman" w:hAnsi="Times New Roman"/>
          <w:highlight w:val="black"/>
        </w:rPr>
        <w:t xml:space="preserve"> 8.32%。</w:t>
      </w:r>
    </w:p>
    <w:p>
      <w:pPr>
        <w:ind w:firstLine="480"/>
        <w:rPr>
          <w:rFonts w:ascii="Times New Roman" w:hAnsi="Times New Roman"/>
        </w:rPr>
      </w:pPr>
      <w:r>
        <w:rPr>
          <w:rFonts w:ascii="Times New Roman" w:hAnsi="Times New Roman"/>
        </w:rPr>
        <w:t>宣兴1井站测试原料气摩尔百分</w:t>
      </w:r>
      <w:r>
        <w:rPr>
          <w:rFonts w:ascii="Times New Roman" w:hAnsi="Times New Roman"/>
          <w:highlight w:val="black"/>
        </w:rPr>
        <w:t>含量CH</w:t>
      </w:r>
      <w:r>
        <w:rPr>
          <w:rFonts w:ascii="Times New Roman" w:hAnsi="Times New Roman"/>
          <w:highlight w:val="black"/>
          <w:vertAlign w:val="subscript"/>
        </w:rPr>
        <w:t>4</w:t>
      </w:r>
      <w:r>
        <w:rPr>
          <w:rFonts w:ascii="Times New Roman" w:hAnsi="Times New Roman"/>
          <w:highlight w:val="black"/>
        </w:rPr>
        <w:t xml:space="preserve"> 77.48%，H</w:t>
      </w:r>
      <w:r>
        <w:rPr>
          <w:rFonts w:ascii="Times New Roman" w:hAnsi="Times New Roman"/>
          <w:highlight w:val="black"/>
          <w:vertAlign w:val="subscript"/>
        </w:rPr>
        <w:t>2</w:t>
      </w:r>
      <w:r>
        <w:rPr>
          <w:rFonts w:ascii="Times New Roman" w:hAnsi="Times New Roman"/>
          <w:highlight w:val="black"/>
        </w:rPr>
        <w:t>S 14.31%，CO</w:t>
      </w:r>
      <w:r>
        <w:rPr>
          <w:rFonts w:ascii="Times New Roman" w:hAnsi="Times New Roman"/>
          <w:highlight w:val="black"/>
          <w:vertAlign w:val="subscript"/>
        </w:rPr>
        <w:t>2</w:t>
      </w:r>
      <w:r>
        <w:rPr>
          <w:rFonts w:ascii="Times New Roman" w:hAnsi="Times New Roman"/>
          <w:highlight w:val="black"/>
        </w:rPr>
        <w:t xml:space="preserve"> 7.39%。</w:t>
      </w:r>
    </w:p>
    <w:p>
      <w:pPr>
        <w:ind w:firstLine="480"/>
        <w:rPr>
          <w:rFonts w:ascii="Times New Roman" w:hAnsi="Times New Roman"/>
        </w:rPr>
      </w:pPr>
      <w:r>
        <w:rPr>
          <w:rFonts w:ascii="Times New Roman" w:hAnsi="Times New Roman"/>
        </w:rPr>
        <w:t>两井站及中石化进宣探阀室原料气具体组分表见</w:t>
      </w:r>
      <w:r>
        <w:rPr>
          <w:rFonts w:ascii="Times New Roman" w:hAnsi="Times New Roman"/>
        </w:rPr>
        <w:fldChar w:fldCharType="begin"/>
      </w:r>
      <w:r>
        <w:rPr>
          <w:rFonts w:ascii="Times New Roman" w:hAnsi="Times New Roman"/>
        </w:rPr>
        <w:instrText xml:space="preserve"> REF _Ref154133656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4</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53" w:name="_Ref15413365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bookmarkEnd w:id="53"/>
      <w:r>
        <w:rPr>
          <w:rFonts w:ascii="Times New Roman" w:hAnsi="Times New Roman" w:cs="Times New Roman"/>
        </w:rPr>
        <w:t xml:space="preserve">  原料气组分表</w:t>
      </w:r>
    </w:p>
    <w:tbl>
      <w:tblPr>
        <w:tblStyle w:val="28"/>
        <w:tblW w:w="90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8"/>
        <w:gridCol w:w="1162"/>
        <w:gridCol w:w="1162"/>
        <w:gridCol w:w="1162"/>
        <w:gridCol w:w="1162"/>
        <w:gridCol w:w="1162"/>
        <w:gridCol w:w="1162"/>
        <w:gridCol w:w="10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8" w:type="dxa"/>
            <w:vAlign w:val="center"/>
          </w:tcPr>
          <w:p>
            <w:pPr>
              <w:pStyle w:val="39"/>
              <w:rPr>
                <w:rFonts w:ascii="Times New Roman" w:hAnsi="Times New Roman"/>
              </w:rPr>
            </w:pPr>
            <w:r>
              <w:rPr>
                <w:rFonts w:ascii="Times New Roman" w:hAnsi="Times New Roman"/>
              </w:rPr>
              <w:t>井站</w:t>
            </w:r>
          </w:p>
        </w:tc>
        <w:tc>
          <w:tcPr>
            <w:tcW w:w="1162" w:type="dxa"/>
            <w:vAlign w:val="center"/>
          </w:tcPr>
          <w:p>
            <w:pPr>
              <w:pStyle w:val="39"/>
              <w:rPr>
                <w:rFonts w:ascii="Times New Roman" w:hAnsi="Times New Roman"/>
              </w:rPr>
            </w:pPr>
            <w:r>
              <w:rPr>
                <w:rFonts w:ascii="Times New Roman" w:hAnsi="Times New Roman"/>
              </w:rPr>
              <w:t>氦</w:t>
            </w:r>
          </w:p>
          <w:p>
            <w:pPr>
              <w:pStyle w:val="39"/>
              <w:rPr>
                <w:rFonts w:ascii="Times New Roman" w:hAnsi="Times New Roman"/>
              </w:rPr>
            </w:pPr>
            <w:r>
              <w:rPr>
                <w:rFonts w:ascii="Times New Roman" w:hAnsi="Times New Roman"/>
              </w:rPr>
              <w:t>（mol%）</w:t>
            </w:r>
          </w:p>
        </w:tc>
        <w:tc>
          <w:tcPr>
            <w:tcW w:w="1162" w:type="dxa"/>
            <w:vAlign w:val="center"/>
          </w:tcPr>
          <w:p>
            <w:pPr>
              <w:pStyle w:val="39"/>
              <w:rPr>
                <w:rFonts w:ascii="Times New Roman" w:hAnsi="Times New Roman"/>
                <w:vertAlign w:val="subscript"/>
              </w:rPr>
            </w:pPr>
            <w:r>
              <w:rPr>
                <w:rFonts w:ascii="Times New Roman" w:hAnsi="Times New Roman"/>
              </w:rPr>
              <w:t>N</w:t>
            </w:r>
            <w:r>
              <w:rPr>
                <w:rFonts w:ascii="Times New Roman" w:hAnsi="Times New Roman"/>
                <w:vertAlign w:val="subscript"/>
              </w:rPr>
              <w:t>2</w:t>
            </w:r>
          </w:p>
          <w:p>
            <w:pPr>
              <w:pStyle w:val="39"/>
              <w:rPr>
                <w:rFonts w:ascii="Times New Roman" w:hAnsi="Times New Roman"/>
              </w:rPr>
            </w:pPr>
            <w:r>
              <w:rPr>
                <w:rFonts w:ascii="Times New Roman" w:hAnsi="Times New Roman"/>
              </w:rPr>
              <w:t>（mol%）</w:t>
            </w:r>
          </w:p>
        </w:tc>
        <w:tc>
          <w:tcPr>
            <w:tcW w:w="0" w:type="auto"/>
            <w:vAlign w:val="center"/>
          </w:tcPr>
          <w:p>
            <w:pPr>
              <w:pStyle w:val="39"/>
              <w:rPr>
                <w:rFonts w:ascii="Times New Roman" w:hAnsi="Times New Roman"/>
              </w:rPr>
            </w:pPr>
            <w:r>
              <w:rPr>
                <w:rFonts w:ascii="Times New Roman" w:hAnsi="Times New Roman"/>
              </w:rPr>
              <w:t>CO</w:t>
            </w:r>
            <w:r>
              <w:rPr>
                <w:rFonts w:ascii="Times New Roman" w:hAnsi="Times New Roman"/>
                <w:vertAlign w:val="subscript"/>
              </w:rPr>
              <w:t>2</w:t>
            </w:r>
          </w:p>
          <w:p>
            <w:pPr>
              <w:pStyle w:val="39"/>
              <w:rPr>
                <w:rFonts w:ascii="Times New Roman" w:hAnsi="Times New Roman"/>
              </w:rPr>
            </w:pPr>
            <w:r>
              <w:rPr>
                <w:rFonts w:ascii="Times New Roman" w:hAnsi="Times New Roman"/>
              </w:rPr>
              <w:t>（mol%）</w:t>
            </w:r>
          </w:p>
        </w:tc>
        <w:tc>
          <w:tcPr>
            <w:tcW w:w="0" w:type="auto"/>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p>
            <w:pPr>
              <w:pStyle w:val="39"/>
              <w:rPr>
                <w:rFonts w:ascii="Times New Roman" w:hAnsi="Times New Roman"/>
              </w:rPr>
            </w:pPr>
            <w:r>
              <w:rPr>
                <w:rFonts w:ascii="Times New Roman" w:hAnsi="Times New Roman"/>
              </w:rPr>
              <w:t>（mol%）</w:t>
            </w:r>
          </w:p>
        </w:tc>
        <w:tc>
          <w:tcPr>
            <w:tcW w:w="0" w:type="auto"/>
            <w:vAlign w:val="center"/>
          </w:tcPr>
          <w:p>
            <w:pPr>
              <w:pStyle w:val="39"/>
              <w:rPr>
                <w:rFonts w:ascii="Times New Roman" w:hAnsi="Times New Roman"/>
              </w:rPr>
            </w:pPr>
            <w:r>
              <w:rPr>
                <w:rFonts w:ascii="Times New Roman" w:hAnsi="Times New Roman"/>
              </w:rPr>
              <w:t>CH</w:t>
            </w:r>
            <w:r>
              <w:rPr>
                <w:rFonts w:ascii="Times New Roman" w:hAnsi="Times New Roman"/>
                <w:vertAlign w:val="subscript"/>
              </w:rPr>
              <w:t>4</w:t>
            </w:r>
          </w:p>
          <w:p>
            <w:pPr>
              <w:pStyle w:val="39"/>
              <w:rPr>
                <w:rFonts w:ascii="Times New Roman" w:hAnsi="Times New Roman"/>
              </w:rPr>
            </w:pPr>
            <w:r>
              <w:rPr>
                <w:rFonts w:ascii="Times New Roman" w:hAnsi="Times New Roman"/>
              </w:rPr>
              <w:t>（mol%）</w:t>
            </w:r>
          </w:p>
        </w:tc>
        <w:tc>
          <w:tcPr>
            <w:tcW w:w="1162" w:type="dxa"/>
            <w:vAlign w:val="center"/>
          </w:tcPr>
          <w:p>
            <w:pPr>
              <w:pStyle w:val="39"/>
              <w:rPr>
                <w:rFonts w:ascii="Times New Roman" w:hAnsi="Times New Roman"/>
                <w:vertAlign w:val="subscript"/>
              </w:rPr>
            </w:pPr>
            <w:r>
              <w:rPr>
                <w:rFonts w:ascii="Times New Roman" w:hAnsi="Times New Roman"/>
              </w:rPr>
              <w:t>C</w:t>
            </w:r>
            <w:r>
              <w:rPr>
                <w:rFonts w:ascii="Times New Roman" w:hAnsi="Times New Roman"/>
                <w:vertAlign w:val="subscript"/>
              </w:rPr>
              <w:t>2</w:t>
            </w:r>
            <w:r>
              <w:rPr>
                <w:rFonts w:ascii="Times New Roman" w:hAnsi="Times New Roman"/>
              </w:rPr>
              <w:t>H</w:t>
            </w:r>
            <w:r>
              <w:rPr>
                <w:rFonts w:ascii="Times New Roman" w:hAnsi="Times New Roman"/>
                <w:vertAlign w:val="subscript"/>
              </w:rPr>
              <w:t>6</w:t>
            </w:r>
          </w:p>
          <w:p>
            <w:pPr>
              <w:pStyle w:val="39"/>
              <w:rPr>
                <w:rFonts w:ascii="Times New Roman" w:hAnsi="Times New Roman"/>
              </w:rPr>
            </w:pPr>
            <w:r>
              <w:rPr>
                <w:rFonts w:ascii="Times New Roman" w:hAnsi="Times New Roman"/>
              </w:rPr>
              <w:t>（mol%）</w:t>
            </w:r>
          </w:p>
        </w:tc>
        <w:tc>
          <w:tcPr>
            <w:tcW w:w="1099" w:type="dxa"/>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p>
            <w:pPr>
              <w:pStyle w:val="39"/>
              <w:rPr>
                <w:rFonts w:ascii="Times New Roman" w:hAnsi="Times New Roman"/>
              </w:rPr>
            </w:pPr>
            <w:r>
              <w:rPr>
                <w:rFonts w:ascii="Times New Roman" w:hAnsi="Times New Roman"/>
              </w:rPr>
              <w:t>（g/m</w:t>
            </w:r>
            <w:r>
              <w:rPr>
                <w:rFonts w:ascii="Times New Roman" w:hAnsi="Times New Roman"/>
                <w:vertAlign w:val="superscript"/>
              </w:rPr>
              <w:t>3</w:t>
            </w: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8" w:type="dxa"/>
            <w:vAlign w:val="center"/>
          </w:tcPr>
          <w:p>
            <w:pPr>
              <w:pStyle w:val="39"/>
              <w:rPr>
                <w:rFonts w:ascii="Times New Roman" w:hAnsi="Times New Roman"/>
              </w:rPr>
            </w:pPr>
            <w:r>
              <w:rPr>
                <w:rFonts w:ascii="Times New Roman" w:hAnsi="Times New Roman"/>
              </w:rPr>
              <w:t>宣探1井站原料气</w:t>
            </w:r>
          </w:p>
        </w:tc>
        <w:tc>
          <w:tcPr>
            <w:tcW w:w="1162" w:type="dxa"/>
            <w:vAlign w:val="center"/>
          </w:tcPr>
          <w:p>
            <w:pPr>
              <w:pStyle w:val="39"/>
              <w:rPr>
                <w:rFonts w:ascii="Times New Roman" w:hAnsi="Times New Roman"/>
                <w:highlight w:val="black"/>
              </w:rPr>
            </w:pPr>
            <w:r>
              <w:rPr>
                <w:rFonts w:ascii="Times New Roman" w:hAnsi="Times New Roman"/>
                <w:highlight w:val="black"/>
              </w:rPr>
              <w:t>0.01</w:t>
            </w:r>
          </w:p>
        </w:tc>
        <w:tc>
          <w:tcPr>
            <w:tcW w:w="1162" w:type="dxa"/>
            <w:vAlign w:val="center"/>
          </w:tcPr>
          <w:p>
            <w:pPr>
              <w:pStyle w:val="39"/>
              <w:rPr>
                <w:rFonts w:ascii="Times New Roman" w:hAnsi="Times New Roman"/>
                <w:highlight w:val="black"/>
              </w:rPr>
            </w:pPr>
            <w:r>
              <w:rPr>
                <w:rFonts w:ascii="Times New Roman" w:hAnsi="Times New Roman"/>
                <w:highlight w:val="black"/>
              </w:rPr>
              <w:t>0.71</w:t>
            </w:r>
          </w:p>
        </w:tc>
        <w:tc>
          <w:tcPr>
            <w:tcW w:w="0" w:type="auto"/>
            <w:vAlign w:val="center"/>
          </w:tcPr>
          <w:p>
            <w:pPr>
              <w:pStyle w:val="39"/>
              <w:rPr>
                <w:rFonts w:ascii="Times New Roman" w:hAnsi="Times New Roman"/>
                <w:highlight w:val="black"/>
              </w:rPr>
            </w:pPr>
            <w:r>
              <w:rPr>
                <w:rFonts w:ascii="Times New Roman" w:hAnsi="Times New Roman"/>
                <w:highlight w:val="black"/>
              </w:rPr>
              <w:t>8.32</w:t>
            </w:r>
          </w:p>
        </w:tc>
        <w:tc>
          <w:tcPr>
            <w:tcW w:w="0" w:type="auto"/>
            <w:vAlign w:val="center"/>
          </w:tcPr>
          <w:p>
            <w:pPr>
              <w:pStyle w:val="39"/>
              <w:rPr>
                <w:rFonts w:ascii="Times New Roman" w:hAnsi="Times New Roman"/>
                <w:highlight w:val="black"/>
              </w:rPr>
            </w:pPr>
            <w:r>
              <w:rPr>
                <w:rFonts w:ascii="Times New Roman" w:hAnsi="Times New Roman"/>
                <w:highlight w:val="black"/>
              </w:rPr>
              <w:t>10.69</w:t>
            </w:r>
          </w:p>
        </w:tc>
        <w:tc>
          <w:tcPr>
            <w:tcW w:w="0" w:type="auto"/>
            <w:vAlign w:val="center"/>
          </w:tcPr>
          <w:p>
            <w:pPr>
              <w:pStyle w:val="39"/>
              <w:rPr>
                <w:rFonts w:ascii="Times New Roman" w:hAnsi="Times New Roman"/>
                <w:highlight w:val="black"/>
              </w:rPr>
            </w:pPr>
            <w:r>
              <w:rPr>
                <w:rFonts w:ascii="Times New Roman" w:hAnsi="Times New Roman"/>
                <w:highlight w:val="black"/>
              </w:rPr>
              <w:t>80.25</w:t>
            </w:r>
          </w:p>
        </w:tc>
        <w:tc>
          <w:tcPr>
            <w:tcW w:w="1162" w:type="dxa"/>
            <w:vAlign w:val="center"/>
          </w:tcPr>
          <w:p>
            <w:pPr>
              <w:pStyle w:val="39"/>
              <w:rPr>
                <w:rFonts w:ascii="Times New Roman" w:hAnsi="Times New Roman"/>
                <w:highlight w:val="black"/>
              </w:rPr>
            </w:pPr>
            <w:r>
              <w:rPr>
                <w:rFonts w:ascii="Times New Roman" w:hAnsi="Times New Roman"/>
                <w:highlight w:val="black"/>
              </w:rPr>
              <w:t>0.02</w:t>
            </w:r>
          </w:p>
        </w:tc>
        <w:tc>
          <w:tcPr>
            <w:tcW w:w="1099" w:type="dxa"/>
            <w:vAlign w:val="center"/>
          </w:tcPr>
          <w:p>
            <w:pPr>
              <w:pStyle w:val="39"/>
              <w:rPr>
                <w:rFonts w:ascii="Times New Roman" w:hAnsi="Times New Roman"/>
                <w:highlight w:val="black"/>
              </w:rPr>
            </w:pPr>
            <w:r>
              <w:rPr>
                <w:rFonts w:ascii="Times New Roman" w:hAnsi="Times New Roman"/>
                <w:highlight w:val="black"/>
              </w:rPr>
              <w:t>153.28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8" w:type="dxa"/>
            <w:vAlign w:val="center"/>
          </w:tcPr>
          <w:p>
            <w:pPr>
              <w:pStyle w:val="39"/>
              <w:rPr>
                <w:rFonts w:ascii="Times New Roman" w:hAnsi="Times New Roman"/>
              </w:rPr>
            </w:pPr>
            <w:r>
              <w:rPr>
                <w:rFonts w:ascii="Times New Roman" w:hAnsi="Times New Roman"/>
              </w:rPr>
              <w:t>宣兴1井站原料气</w:t>
            </w:r>
          </w:p>
        </w:tc>
        <w:tc>
          <w:tcPr>
            <w:tcW w:w="1162" w:type="dxa"/>
            <w:vAlign w:val="center"/>
          </w:tcPr>
          <w:p>
            <w:pPr>
              <w:pStyle w:val="39"/>
              <w:rPr>
                <w:rFonts w:ascii="Times New Roman" w:hAnsi="Times New Roman"/>
                <w:highlight w:val="black"/>
              </w:rPr>
            </w:pPr>
            <w:r>
              <w:rPr>
                <w:rFonts w:ascii="Times New Roman" w:hAnsi="Times New Roman"/>
                <w:highlight w:val="black"/>
              </w:rPr>
              <w:t>0.01</w:t>
            </w:r>
          </w:p>
        </w:tc>
        <w:tc>
          <w:tcPr>
            <w:tcW w:w="1162" w:type="dxa"/>
            <w:vAlign w:val="center"/>
          </w:tcPr>
          <w:p>
            <w:pPr>
              <w:pStyle w:val="39"/>
              <w:rPr>
                <w:rFonts w:ascii="Times New Roman" w:hAnsi="Times New Roman"/>
                <w:highlight w:val="black"/>
              </w:rPr>
            </w:pPr>
            <w:r>
              <w:rPr>
                <w:rFonts w:ascii="Times New Roman" w:hAnsi="Times New Roman"/>
                <w:highlight w:val="black"/>
              </w:rPr>
              <w:t>0.79</w:t>
            </w:r>
          </w:p>
        </w:tc>
        <w:tc>
          <w:tcPr>
            <w:tcW w:w="0" w:type="auto"/>
            <w:vAlign w:val="center"/>
          </w:tcPr>
          <w:p>
            <w:pPr>
              <w:pStyle w:val="39"/>
              <w:rPr>
                <w:rFonts w:ascii="Times New Roman" w:hAnsi="Times New Roman"/>
                <w:highlight w:val="black"/>
              </w:rPr>
            </w:pPr>
            <w:r>
              <w:rPr>
                <w:rFonts w:ascii="Times New Roman" w:hAnsi="Times New Roman"/>
                <w:highlight w:val="black"/>
              </w:rPr>
              <w:t>7.39</w:t>
            </w:r>
          </w:p>
        </w:tc>
        <w:tc>
          <w:tcPr>
            <w:tcW w:w="0" w:type="auto"/>
            <w:vAlign w:val="center"/>
          </w:tcPr>
          <w:p>
            <w:pPr>
              <w:pStyle w:val="39"/>
              <w:rPr>
                <w:rFonts w:ascii="Times New Roman" w:hAnsi="Times New Roman"/>
                <w:highlight w:val="black"/>
              </w:rPr>
            </w:pPr>
            <w:r>
              <w:rPr>
                <w:rFonts w:ascii="Times New Roman" w:hAnsi="Times New Roman"/>
                <w:highlight w:val="black"/>
              </w:rPr>
              <w:t>14.31</w:t>
            </w:r>
          </w:p>
        </w:tc>
        <w:tc>
          <w:tcPr>
            <w:tcW w:w="0" w:type="auto"/>
            <w:vAlign w:val="center"/>
          </w:tcPr>
          <w:p>
            <w:pPr>
              <w:pStyle w:val="39"/>
              <w:rPr>
                <w:rFonts w:ascii="Times New Roman" w:hAnsi="Times New Roman"/>
                <w:highlight w:val="black"/>
              </w:rPr>
            </w:pPr>
            <w:r>
              <w:rPr>
                <w:rFonts w:ascii="Times New Roman" w:hAnsi="Times New Roman"/>
                <w:highlight w:val="black"/>
              </w:rPr>
              <w:t>77.48</w:t>
            </w:r>
          </w:p>
        </w:tc>
        <w:tc>
          <w:tcPr>
            <w:tcW w:w="1162" w:type="dxa"/>
            <w:vAlign w:val="center"/>
          </w:tcPr>
          <w:p>
            <w:pPr>
              <w:pStyle w:val="39"/>
              <w:rPr>
                <w:rFonts w:ascii="Times New Roman" w:hAnsi="Times New Roman"/>
                <w:highlight w:val="black"/>
              </w:rPr>
            </w:pPr>
            <w:r>
              <w:rPr>
                <w:rFonts w:ascii="Times New Roman" w:hAnsi="Times New Roman"/>
                <w:highlight w:val="black"/>
              </w:rPr>
              <w:t>/</w:t>
            </w:r>
          </w:p>
        </w:tc>
        <w:tc>
          <w:tcPr>
            <w:tcW w:w="1099" w:type="dxa"/>
            <w:vAlign w:val="center"/>
          </w:tcPr>
          <w:p>
            <w:pPr>
              <w:pStyle w:val="39"/>
              <w:rPr>
                <w:rFonts w:ascii="Times New Roman" w:hAnsi="Times New Roman"/>
                <w:highlight w:val="black"/>
              </w:rPr>
            </w:pPr>
            <w:r>
              <w:rPr>
                <w:rFonts w:ascii="Times New Roman" w:hAnsi="Times New Roman"/>
                <w:highlight w:val="black"/>
              </w:rPr>
              <w:t>205.30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8" w:type="dxa"/>
            <w:vAlign w:val="center"/>
          </w:tcPr>
          <w:p>
            <w:pPr>
              <w:pStyle w:val="39"/>
              <w:rPr>
                <w:rFonts w:ascii="Times New Roman" w:hAnsi="Times New Roman"/>
              </w:rPr>
            </w:pPr>
            <w:r>
              <w:rPr>
                <w:rFonts w:ascii="Times New Roman" w:hAnsi="Times New Roman"/>
              </w:rPr>
              <w:t>中石化进宣探阀室原料气</w:t>
            </w:r>
          </w:p>
        </w:tc>
        <w:tc>
          <w:tcPr>
            <w:tcW w:w="1162" w:type="dxa"/>
            <w:vAlign w:val="center"/>
          </w:tcPr>
          <w:p>
            <w:pPr>
              <w:pStyle w:val="39"/>
              <w:rPr>
                <w:rFonts w:ascii="Times New Roman" w:hAnsi="Times New Roman"/>
                <w:highlight w:val="black"/>
              </w:rPr>
            </w:pPr>
            <w:r>
              <w:rPr>
                <w:rFonts w:ascii="Times New Roman" w:hAnsi="Times New Roman"/>
                <w:highlight w:val="black"/>
              </w:rPr>
              <w:t>0.017</w:t>
            </w:r>
          </w:p>
        </w:tc>
        <w:tc>
          <w:tcPr>
            <w:tcW w:w="1162" w:type="dxa"/>
            <w:vAlign w:val="center"/>
          </w:tcPr>
          <w:p>
            <w:pPr>
              <w:pStyle w:val="39"/>
              <w:rPr>
                <w:rFonts w:ascii="Times New Roman" w:hAnsi="Times New Roman"/>
                <w:highlight w:val="black"/>
              </w:rPr>
            </w:pPr>
            <w:r>
              <w:rPr>
                <w:rFonts w:ascii="Times New Roman" w:hAnsi="Times New Roman"/>
                <w:highlight w:val="black"/>
              </w:rPr>
              <w:t>0.504</w:t>
            </w:r>
          </w:p>
        </w:tc>
        <w:tc>
          <w:tcPr>
            <w:tcW w:w="0" w:type="auto"/>
            <w:vAlign w:val="center"/>
          </w:tcPr>
          <w:p>
            <w:pPr>
              <w:pStyle w:val="39"/>
              <w:rPr>
                <w:rFonts w:ascii="Times New Roman" w:hAnsi="Times New Roman"/>
                <w:highlight w:val="black"/>
              </w:rPr>
            </w:pPr>
            <w:r>
              <w:rPr>
                <w:rFonts w:ascii="Times New Roman" w:hAnsi="Times New Roman"/>
                <w:highlight w:val="black"/>
              </w:rPr>
              <w:t>7.90</w:t>
            </w:r>
          </w:p>
        </w:tc>
        <w:tc>
          <w:tcPr>
            <w:tcW w:w="0" w:type="auto"/>
            <w:vAlign w:val="center"/>
          </w:tcPr>
          <w:p>
            <w:pPr>
              <w:pStyle w:val="39"/>
              <w:rPr>
                <w:rFonts w:ascii="Times New Roman" w:hAnsi="Times New Roman"/>
                <w:highlight w:val="black"/>
              </w:rPr>
            </w:pPr>
            <w:r>
              <w:rPr>
                <w:rFonts w:ascii="Times New Roman" w:hAnsi="Times New Roman"/>
                <w:highlight w:val="black"/>
              </w:rPr>
              <w:t>16.72</w:t>
            </w:r>
          </w:p>
        </w:tc>
        <w:tc>
          <w:tcPr>
            <w:tcW w:w="0" w:type="auto"/>
            <w:vAlign w:val="center"/>
          </w:tcPr>
          <w:p>
            <w:pPr>
              <w:pStyle w:val="39"/>
              <w:rPr>
                <w:rFonts w:ascii="Times New Roman" w:hAnsi="Times New Roman"/>
                <w:highlight w:val="black"/>
              </w:rPr>
            </w:pPr>
            <w:r>
              <w:rPr>
                <w:rFonts w:ascii="Times New Roman" w:hAnsi="Times New Roman"/>
                <w:highlight w:val="black"/>
              </w:rPr>
              <w:t>74.859</w:t>
            </w:r>
          </w:p>
        </w:tc>
        <w:tc>
          <w:tcPr>
            <w:tcW w:w="1162" w:type="dxa"/>
            <w:vAlign w:val="center"/>
          </w:tcPr>
          <w:p>
            <w:pPr>
              <w:pStyle w:val="39"/>
              <w:rPr>
                <w:rFonts w:ascii="Times New Roman" w:hAnsi="Times New Roman"/>
                <w:highlight w:val="black"/>
              </w:rPr>
            </w:pPr>
            <w:r>
              <w:rPr>
                <w:rFonts w:ascii="Times New Roman" w:hAnsi="Times New Roman"/>
                <w:highlight w:val="black"/>
              </w:rPr>
              <w:t>/</w:t>
            </w:r>
          </w:p>
        </w:tc>
        <w:tc>
          <w:tcPr>
            <w:tcW w:w="1099" w:type="dxa"/>
            <w:vAlign w:val="center"/>
          </w:tcPr>
          <w:p>
            <w:pPr>
              <w:pStyle w:val="39"/>
              <w:rPr>
                <w:rFonts w:ascii="Times New Roman" w:hAnsi="Times New Roman"/>
                <w:highlight w:val="black"/>
              </w:rPr>
            </w:pPr>
            <w:r>
              <w:rPr>
                <w:rFonts w:ascii="Times New Roman" w:hAnsi="Times New Roman"/>
                <w:highlight w:val="black"/>
              </w:rPr>
              <w:t>239.95</w:t>
            </w:r>
          </w:p>
        </w:tc>
      </w:tr>
    </w:tbl>
    <w:p>
      <w:pPr>
        <w:pStyle w:val="4"/>
        <w:rPr>
          <w:rFonts w:ascii="Times New Roman" w:hAnsi="Times New Roman" w:cs="Times New Roman"/>
        </w:rPr>
      </w:pPr>
      <w:r>
        <w:rPr>
          <w:rFonts w:ascii="Times New Roman" w:hAnsi="Times New Roman" w:cs="Times New Roman"/>
        </w:rPr>
        <w:t>能源消耗</w:t>
      </w:r>
    </w:p>
    <w:p>
      <w:pPr>
        <w:ind w:firstLine="480"/>
        <w:rPr>
          <w:rFonts w:ascii="Times New Roman" w:hAnsi="Times New Roman"/>
        </w:rPr>
      </w:pPr>
      <w:r>
        <w:rPr>
          <w:rFonts w:ascii="Times New Roman" w:hAnsi="Times New Roman"/>
        </w:rPr>
        <w:t>本项目主要能源消耗见</w:t>
      </w:r>
      <w:r>
        <w:rPr>
          <w:rFonts w:ascii="Times New Roman" w:hAnsi="Times New Roman"/>
        </w:rPr>
        <w:fldChar w:fldCharType="begin"/>
      </w:r>
      <w:r>
        <w:rPr>
          <w:rFonts w:ascii="Times New Roman" w:hAnsi="Times New Roman"/>
        </w:rPr>
        <w:instrText xml:space="preserve"> REF _Ref151996760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5</w:t>
      </w:r>
      <w:r>
        <w:rPr>
          <w:rFonts w:ascii="Times New Roman" w:hAnsi="Times New Roman"/>
        </w:rPr>
        <w:fldChar w:fldCharType="end"/>
      </w:r>
      <w:r>
        <w:rPr>
          <w:rFonts w:ascii="Times New Roman" w:hAnsi="Times New Roman"/>
        </w:rPr>
        <w:t>。燃料气（天然气）消耗情况见</w:t>
      </w:r>
      <w:r>
        <w:rPr>
          <w:rFonts w:ascii="Times New Roman" w:hAnsi="Times New Roman"/>
        </w:rPr>
        <w:fldChar w:fldCharType="begin"/>
      </w:r>
      <w:r>
        <w:rPr>
          <w:rFonts w:ascii="Times New Roman" w:hAnsi="Times New Roman"/>
        </w:rPr>
        <w:instrText xml:space="preserve"> REF _Ref161846299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6</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54" w:name="_Ref151996760"/>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bookmarkEnd w:id="54"/>
      <w:r>
        <w:rPr>
          <w:rFonts w:ascii="Times New Roman" w:hAnsi="Times New Roman" w:cs="Times New Roman"/>
        </w:rPr>
        <w:t xml:space="preserve">  主要能源消耗表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8"/>
        <w:gridCol w:w="2310"/>
        <w:gridCol w:w="2074"/>
        <w:gridCol w:w="2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tcPr>
          <w:p>
            <w:pPr>
              <w:pStyle w:val="39"/>
              <w:rPr>
                <w:rFonts w:ascii="Times New Roman" w:hAnsi="Times New Roman"/>
              </w:rPr>
            </w:pPr>
            <w:bookmarkStart w:id="55" w:name="_Hlk155948069"/>
            <w:r>
              <w:rPr>
                <w:rFonts w:ascii="Times New Roman" w:hAnsi="Times New Roman"/>
              </w:rPr>
              <w:t>能源</w:t>
            </w:r>
          </w:p>
        </w:tc>
        <w:tc>
          <w:tcPr>
            <w:tcW w:w="2310" w:type="dxa"/>
          </w:tcPr>
          <w:p>
            <w:pPr>
              <w:pStyle w:val="39"/>
              <w:rPr>
                <w:rFonts w:ascii="Times New Roman" w:hAnsi="Times New Roman"/>
              </w:rPr>
            </w:pPr>
            <w:r>
              <w:rPr>
                <w:rFonts w:ascii="Times New Roman" w:hAnsi="Times New Roman"/>
              </w:rPr>
              <w:t>天然气（10</w:t>
            </w:r>
            <w:r>
              <w:rPr>
                <w:rFonts w:ascii="Times New Roman" w:hAnsi="Times New Roman"/>
                <w:vertAlign w:val="superscript"/>
              </w:rPr>
              <w:t>4</w:t>
            </w:r>
            <w:r>
              <w:rPr>
                <w:rFonts w:ascii="Times New Roman" w:hAnsi="Times New Roman"/>
              </w:rPr>
              <w:t>Nm³/a）</w:t>
            </w:r>
          </w:p>
        </w:tc>
        <w:tc>
          <w:tcPr>
            <w:tcW w:w="2074" w:type="dxa"/>
          </w:tcPr>
          <w:p>
            <w:pPr>
              <w:pStyle w:val="39"/>
              <w:rPr>
                <w:rFonts w:ascii="Times New Roman" w:hAnsi="Times New Roman"/>
              </w:rPr>
            </w:pPr>
            <w:r>
              <w:rPr>
                <w:rFonts w:ascii="Times New Roman" w:hAnsi="Times New Roman"/>
              </w:rPr>
              <w:t>电力（10</w:t>
            </w:r>
            <w:r>
              <w:rPr>
                <w:rFonts w:ascii="Times New Roman" w:hAnsi="Times New Roman"/>
                <w:vertAlign w:val="superscript"/>
              </w:rPr>
              <w:t>4</w:t>
            </w:r>
            <w:r>
              <w:rPr>
                <w:rFonts w:ascii="Times New Roman" w:hAnsi="Times New Roman"/>
              </w:rPr>
              <w:t>kW·h/a）</w:t>
            </w:r>
          </w:p>
        </w:tc>
        <w:tc>
          <w:tcPr>
            <w:tcW w:w="2074" w:type="dxa"/>
          </w:tcPr>
          <w:p>
            <w:pPr>
              <w:pStyle w:val="39"/>
              <w:rPr>
                <w:rFonts w:ascii="Times New Roman" w:hAnsi="Times New Roman"/>
              </w:rPr>
            </w:pPr>
            <w:r>
              <w:rPr>
                <w:rFonts w:ascii="Times New Roman" w:hAnsi="Times New Roman"/>
              </w:rPr>
              <w:t>水（t/a）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tcPr>
          <w:p>
            <w:pPr>
              <w:pStyle w:val="39"/>
              <w:rPr>
                <w:rFonts w:ascii="Times New Roman" w:hAnsi="Times New Roman"/>
              </w:rPr>
            </w:pPr>
            <w:r>
              <w:rPr>
                <w:rFonts w:ascii="Times New Roman" w:hAnsi="Times New Roman"/>
              </w:rPr>
              <w:t>用量</w:t>
            </w:r>
          </w:p>
        </w:tc>
        <w:tc>
          <w:tcPr>
            <w:tcW w:w="2310" w:type="dxa"/>
          </w:tcPr>
          <w:p>
            <w:pPr>
              <w:pStyle w:val="39"/>
              <w:rPr>
                <w:rFonts w:ascii="Times New Roman" w:hAnsi="Times New Roman"/>
              </w:rPr>
            </w:pPr>
            <w:r>
              <w:rPr>
                <w:rFonts w:ascii="Times New Roman" w:hAnsi="Times New Roman"/>
              </w:rPr>
              <w:t>168</w:t>
            </w:r>
          </w:p>
        </w:tc>
        <w:tc>
          <w:tcPr>
            <w:tcW w:w="2074" w:type="dxa"/>
          </w:tcPr>
          <w:p>
            <w:pPr>
              <w:pStyle w:val="39"/>
              <w:rPr>
                <w:rFonts w:ascii="Times New Roman" w:hAnsi="Times New Roman"/>
              </w:rPr>
            </w:pPr>
            <w:r>
              <w:rPr>
                <w:rFonts w:ascii="Times New Roman" w:hAnsi="Times New Roman"/>
              </w:rPr>
              <w:t>78.42</w:t>
            </w:r>
          </w:p>
        </w:tc>
        <w:tc>
          <w:tcPr>
            <w:tcW w:w="2074" w:type="dxa"/>
          </w:tcPr>
          <w:p>
            <w:pPr>
              <w:pStyle w:val="39"/>
              <w:rPr>
                <w:rFonts w:ascii="Times New Roman" w:hAnsi="Times New Roman"/>
              </w:rPr>
            </w:pPr>
            <w:r>
              <w:rPr>
                <w:rFonts w:ascii="Times New Roman" w:hAnsi="Times New Roman"/>
              </w:rPr>
              <w:t>793</w:t>
            </w:r>
          </w:p>
        </w:tc>
      </w:tr>
      <w:bookmarkEnd w:id="55"/>
    </w:tbl>
    <w:p>
      <w:pPr>
        <w:pStyle w:val="37"/>
        <w:rPr>
          <w:rFonts w:ascii="Times New Roman" w:hAnsi="Times New Roman" w:cs="Times New Roman"/>
        </w:rPr>
      </w:pPr>
      <w:bookmarkStart w:id="56" w:name="_Ref16184629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bookmarkEnd w:id="56"/>
      <w:r>
        <w:rPr>
          <w:rFonts w:ascii="Times New Roman" w:hAnsi="Times New Roman" w:cs="Times New Roman"/>
        </w:rPr>
        <w:t xml:space="preserve">  燃料气（天然气）消耗量</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pPr>
              <w:pStyle w:val="39"/>
              <w:rPr>
                <w:rFonts w:ascii="Times New Roman" w:hAnsi="Times New Roman"/>
              </w:rPr>
            </w:pPr>
            <w:r>
              <w:rPr>
                <w:rFonts w:ascii="Times New Roman" w:hAnsi="Times New Roman"/>
              </w:rPr>
              <w:t>消耗设施</w:t>
            </w:r>
          </w:p>
        </w:tc>
        <w:tc>
          <w:tcPr>
            <w:tcW w:w="1250" w:type="pct"/>
            <w:vAlign w:val="center"/>
          </w:tcPr>
          <w:p>
            <w:pPr>
              <w:pStyle w:val="39"/>
              <w:rPr>
                <w:rFonts w:ascii="Times New Roman" w:hAnsi="Times New Roman"/>
              </w:rPr>
            </w:pPr>
            <w:r>
              <w:rPr>
                <w:rFonts w:ascii="Times New Roman" w:hAnsi="Times New Roman"/>
              </w:rPr>
              <w:t>单位</w:t>
            </w:r>
          </w:p>
        </w:tc>
        <w:tc>
          <w:tcPr>
            <w:tcW w:w="1250" w:type="pct"/>
            <w:vAlign w:val="center"/>
          </w:tcPr>
          <w:p>
            <w:pPr>
              <w:pStyle w:val="39"/>
              <w:rPr>
                <w:rFonts w:ascii="Times New Roman" w:hAnsi="Times New Roman"/>
              </w:rPr>
            </w:pPr>
            <w:r>
              <w:rPr>
                <w:rFonts w:ascii="Times New Roman" w:hAnsi="Times New Roman"/>
              </w:rPr>
              <w:t>耗量</w:t>
            </w:r>
          </w:p>
        </w:tc>
        <w:tc>
          <w:tcPr>
            <w:tcW w:w="1250" w:type="pct"/>
            <w:vAlign w:val="center"/>
          </w:tcPr>
          <w:p>
            <w:pPr>
              <w:pStyle w:val="39"/>
              <w:rPr>
                <w:rFonts w:ascii="Times New Roman" w:hAnsi="Times New Roman"/>
              </w:rPr>
            </w:pPr>
            <w:r>
              <w:rPr>
                <w:rFonts w:ascii="Times New Roman" w:hAnsi="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pPr>
              <w:pStyle w:val="39"/>
              <w:rPr>
                <w:rFonts w:ascii="Times New Roman" w:hAnsi="Times New Roman"/>
              </w:rPr>
            </w:pPr>
            <w:r>
              <w:rPr>
                <w:rFonts w:ascii="Times New Roman" w:hAnsi="Times New Roman"/>
              </w:rPr>
              <w:t>放空火炬</w:t>
            </w:r>
          </w:p>
        </w:tc>
        <w:tc>
          <w:tcPr>
            <w:tcW w:w="1250" w:type="pct"/>
            <w:vMerge w:val="restart"/>
            <w:vAlign w:val="center"/>
          </w:tcPr>
          <w:p>
            <w:pPr>
              <w:pStyle w:val="39"/>
              <w:rPr>
                <w:rFonts w:ascii="Times New Roman" w:hAnsi="Times New Roman"/>
              </w:rPr>
            </w:pPr>
            <w:r>
              <w:rPr>
                <w:rFonts w:ascii="Times New Roman" w:hAnsi="Times New Roman"/>
              </w:rPr>
              <w:t>10</w:t>
            </w:r>
            <w:r>
              <w:rPr>
                <w:rFonts w:ascii="Times New Roman" w:hAnsi="Times New Roman"/>
                <w:vertAlign w:val="superscript"/>
              </w:rPr>
              <w:t>4</w:t>
            </w:r>
            <w:r>
              <w:rPr>
                <w:rFonts w:ascii="Times New Roman" w:hAnsi="Times New Roman"/>
              </w:rPr>
              <w:t>Nm³/a</w:t>
            </w:r>
          </w:p>
        </w:tc>
        <w:tc>
          <w:tcPr>
            <w:tcW w:w="1250" w:type="pct"/>
            <w:vAlign w:val="center"/>
          </w:tcPr>
          <w:p>
            <w:pPr>
              <w:pStyle w:val="39"/>
              <w:rPr>
                <w:rFonts w:ascii="Times New Roman" w:hAnsi="Times New Roman"/>
              </w:rPr>
            </w:pPr>
            <w:r>
              <w:rPr>
                <w:rFonts w:ascii="Times New Roman" w:hAnsi="Times New Roman"/>
              </w:rPr>
              <w:t>6.4</w:t>
            </w:r>
          </w:p>
        </w:tc>
        <w:tc>
          <w:tcPr>
            <w:tcW w:w="1250" w:type="pct"/>
            <w:vAlign w:val="center"/>
          </w:tcPr>
          <w:p>
            <w:pPr>
              <w:pStyle w:val="39"/>
              <w:rPr>
                <w:rFonts w:ascii="Times New Roman" w:hAnsi="Times New Roman"/>
              </w:rPr>
            </w:pPr>
            <w:r>
              <w:rPr>
                <w:rFonts w:ascii="Times New Roman" w:hAnsi="Times New Roman"/>
              </w:rPr>
              <w:t>单个站场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pPr>
              <w:pStyle w:val="39"/>
              <w:rPr>
                <w:rFonts w:ascii="Times New Roman" w:hAnsi="Times New Roman"/>
              </w:rPr>
            </w:pPr>
            <w:r>
              <w:rPr>
                <w:rFonts w:ascii="Times New Roman" w:hAnsi="Times New Roman"/>
              </w:rPr>
              <w:t>水套炉</w:t>
            </w:r>
          </w:p>
        </w:tc>
        <w:tc>
          <w:tcPr>
            <w:tcW w:w="1250" w:type="pct"/>
            <w:vMerge w:val="continue"/>
            <w:vAlign w:val="center"/>
          </w:tcPr>
          <w:p>
            <w:pPr>
              <w:pStyle w:val="39"/>
              <w:rPr>
                <w:rFonts w:ascii="Times New Roman" w:hAnsi="Times New Roman"/>
              </w:rPr>
            </w:pPr>
          </w:p>
        </w:tc>
        <w:tc>
          <w:tcPr>
            <w:tcW w:w="1250" w:type="pct"/>
            <w:vAlign w:val="center"/>
          </w:tcPr>
          <w:p>
            <w:pPr>
              <w:pStyle w:val="39"/>
              <w:rPr>
                <w:rFonts w:ascii="Times New Roman" w:hAnsi="Times New Roman"/>
              </w:rPr>
            </w:pPr>
            <w:r>
              <w:rPr>
                <w:rFonts w:ascii="Times New Roman" w:hAnsi="Times New Roman"/>
              </w:rPr>
              <w:t>37.7</w:t>
            </w:r>
          </w:p>
        </w:tc>
        <w:tc>
          <w:tcPr>
            <w:tcW w:w="1250" w:type="pct"/>
            <w:vAlign w:val="center"/>
          </w:tcPr>
          <w:p>
            <w:pPr>
              <w:pStyle w:val="39"/>
              <w:rPr>
                <w:rFonts w:ascii="Times New Roman" w:hAnsi="Times New Roman"/>
              </w:rPr>
            </w:pPr>
            <w:r>
              <w:rPr>
                <w:rFonts w:ascii="Times New Roman" w:hAnsi="Times New Roman"/>
              </w:rPr>
              <w:t>宣探1井站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pPr>
              <w:pStyle w:val="39"/>
              <w:rPr>
                <w:rFonts w:ascii="Times New Roman" w:hAnsi="Times New Roman"/>
              </w:rPr>
            </w:pPr>
            <w:r>
              <w:rPr>
                <w:rFonts w:ascii="Times New Roman" w:hAnsi="Times New Roman"/>
              </w:rPr>
              <w:t>水套炉</w:t>
            </w:r>
          </w:p>
        </w:tc>
        <w:tc>
          <w:tcPr>
            <w:tcW w:w="1250" w:type="pct"/>
            <w:vMerge w:val="continue"/>
            <w:vAlign w:val="center"/>
          </w:tcPr>
          <w:p>
            <w:pPr>
              <w:pStyle w:val="39"/>
              <w:rPr>
                <w:rFonts w:ascii="Times New Roman" w:hAnsi="Times New Roman"/>
              </w:rPr>
            </w:pPr>
          </w:p>
        </w:tc>
        <w:tc>
          <w:tcPr>
            <w:tcW w:w="1250" w:type="pct"/>
            <w:vAlign w:val="center"/>
          </w:tcPr>
          <w:p>
            <w:pPr>
              <w:pStyle w:val="39"/>
              <w:rPr>
                <w:rFonts w:ascii="Times New Roman" w:hAnsi="Times New Roman"/>
              </w:rPr>
            </w:pPr>
            <w:r>
              <w:rPr>
                <w:rFonts w:ascii="Times New Roman" w:hAnsi="Times New Roman"/>
              </w:rPr>
              <w:t>111.1</w:t>
            </w:r>
          </w:p>
        </w:tc>
        <w:tc>
          <w:tcPr>
            <w:tcW w:w="1250" w:type="pct"/>
            <w:vAlign w:val="center"/>
          </w:tcPr>
          <w:p>
            <w:pPr>
              <w:pStyle w:val="39"/>
              <w:rPr>
                <w:rFonts w:ascii="Times New Roman" w:hAnsi="Times New Roman"/>
              </w:rPr>
            </w:pPr>
            <w:r>
              <w:rPr>
                <w:rFonts w:ascii="Times New Roman" w:hAnsi="Times New Roman"/>
              </w:rPr>
              <w:t>宣兴1井站</w:t>
            </w:r>
          </w:p>
        </w:tc>
      </w:tr>
    </w:tbl>
    <w:p>
      <w:pPr>
        <w:pStyle w:val="41"/>
        <w:spacing w:before="156" w:after="156"/>
        <w:rPr>
          <w:rFonts w:ascii="Times New Roman" w:hAnsi="Times New Roman" w:cs="Times New Roman"/>
        </w:rPr>
      </w:pPr>
      <w:r>
        <w:rPr>
          <w:rFonts w:ascii="Times New Roman" w:hAnsi="Times New Roman" w:cs="Times New Roman"/>
        </w:rPr>
        <w:t>注：宣探1井站和宣兴1井站水套加热炉耗气量分别为：46Nm³/h，135Nm³/h。</w:t>
      </w:r>
    </w:p>
    <w:p>
      <w:pPr>
        <w:pStyle w:val="4"/>
        <w:rPr>
          <w:rFonts w:ascii="Times New Roman" w:hAnsi="Times New Roman" w:cs="Times New Roman"/>
        </w:rPr>
      </w:pPr>
      <w:r>
        <w:rPr>
          <w:rFonts w:ascii="Times New Roman" w:hAnsi="Times New Roman" w:cs="Times New Roman"/>
        </w:rPr>
        <w:t>井站</w:t>
      </w:r>
    </w:p>
    <w:p>
      <w:pPr>
        <w:ind w:firstLine="480"/>
        <w:rPr>
          <w:rFonts w:ascii="Times New Roman" w:hAnsi="Times New Roman"/>
        </w:rPr>
      </w:pPr>
      <w:r>
        <w:rPr>
          <w:rFonts w:ascii="Times New Roman" w:hAnsi="Times New Roman"/>
        </w:rPr>
        <w:t>本项目共计两座井站，宣探1井和宣兴1井。均在原有井的基础上新建地面生产设施。</w:t>
      </w:r>
    </w:p>
    <w:p>
      <w:pPr>
        <w:pStyle w:val="5"/>
        <w:rPr>
          <w:rFonts w:ascii="Times New Roman" w:hAnsi="Times New Roman"/>
        </w:rPr>
      </w:pPr>
      <w:r>
        <w:rPr>
          <w:rFonts w:ascii="Times New Roman" w:hAnsi="Times New Roman"/>
        </w:rPr>
        <w:t>宣探1井站</w:t>
      </w:r>
    </w:p>
    <w:p>
      <w:pPr>
        <w:ind w:firstLine="480"/>
        <w:rPr>
          <w:rFonts w:ascii="Times New Roman" w:hAnsi="Times New Roman"/>
        </w:rPr>
      </w:pPr>
      <w:r>
        <w:rPr>
          <w:rFonts w:ascii="Times New Roman" w:hAnsi="Times New Roman"/>
        </w:rPr>
        <w:t>宣探1井位于达州市宣汉县</w:t>
      </w:r>
      <w:r>
        <w:rPr>
          <w:rFonts w:ascii="Times New Roman" w:hAnsi="Times New Roman"/>
          <w:highlight w:val="black"/>
        </w:rPr>
        <w:t>清溪镇马伏村4组</w:t>
      </w:r>
      <w:r>
        <w:rPr>
          <w:rFonts w:ascii="Times New Roman" w:hAnsi="Times New Roman"/>
        </w:rPr>
        <w:t>，新征永久占地10.62亩，包括站场区及进站道路、放空区及人行道。</w:t>
      </w:r>
    </w:p>
    <w:p>
      <w:pPr>
        <w:ind w:firstLine="480"/>
        <w:rPr>
          <w:rFonts w:ascii="Times New Roman" w:hAnsi="Times New Roman"/>
        </w:rPr>
      </w:pPr>
      <w:r>
        <w:rPr>
          <w:rFonts w:ascii="Times New Roman" w:hAnsi="Times New Roman"/>
        </w:rPr>
        <w:t>井口原料气经两级节流、一级加热后，进入气液分离器进行计量，计量后气相通过气液分输至宣兴1井站。液相进入气田水罐，进行装车拉运至渡口河净化厂处理。</w:t>
      </w:r>
    </w:p>
    <w:p>
      <w:pPr>
        <w:ind w:firstLine="480"/>
        <w:rPr>
          <w:rFonts w:ascii="Times New Roman" w:hAnsi="Times New Roman"/>
        </w:rPr>
      </w:pPr>
      <w:r>
        <w:rPr>
          <w:rFonts w:ascii="Times New Roman" w:hAnsi="Times New Roman"/>
        </w:rPr>
        <w:t>井站内设置1台加热炉，用于宣探1井进行加热，站内设置1台气田水罐，用于气液分输之后，液相的存储和拉运转输。罐内液体达到一定液位后通过装车拉运，闪蒸气密闭输送至放空火炬燃烧。在气田水罐的上游设置脱硫药剂加注预留口，以降低气田水拉运、回注风险。在出站处设有清管器发送装置，可对集气支线进行清管检测作业。在出站处设有远程控制的线路放空阀门，可在事故工况下，通过远程控制主动对线路管道利用站内火炬进行放空燃烧，减少线路部分有毒有害其他的泄漏量。出站设置缓蚀剂加注橇一套，用于宣探集气支线的24小时缓蚀剂连续加注和预膜缓蚀剂加注。井口设置防冻剂一套，用于开井或停输工况下水合物防止，同时预留溶硫剂加注系统一套，在发生硫单质沉积堵塞时使用。</w:t>
      </w:r>
    </w:p>
    <w:p>
      <w:pPr>
        <w:ind w:firstLine="480"/>
        <w:rPr>
          <w:rFonts w:ascii="Times New Roman" w:hAnsi="Times New Roman"/>
        </w:rPr>
      </w:pPr>
      <w:r>
        <w:rPr>
          <w:rFonts w:ascii="Times New Roman" w:hAnsi="Times New Roman"/>
        </w:rPr>
        <w:t>站内设置放空系统用于站内和线路放空，放空分液罐内液体达到一定液位后通过装车拉运，放空火炬设置长明火。仪表风橇1套，用于站内仪表风和火炬的仪表风用气。</w:t>
      </w:r>
    </w:p>
    <w:p>
      <w:pPr>
        <w:pStyle w:val="5"/>
        <w:rPr>
          <w:rFonts w:ascii="Times New Roman" w:hAnsi="Times New Roman"/>
        </w:rPr>
      </w:pPr>
      <w:r>
        <w:rPr>
          <w:rFonts w:ascii="Times New Roman" w:hAnsi="Times New Roman"/>
        </w:rPr>
        <w:t>宣兴1井站</w:t>
      </w:r>
    </w:p>
    <w:p>
      <w:pPr>
        <w:ind w:firstLine="480"/>
        <w:rPr>
          <w:rFonts w:ascii="Times New Roman" w:hAnsi="Times New Roman"/>
        </w:rPr>
      </w:pPr>
      <w:r>
        <w:rPr>
          <w:rFonts w:ascii="Times New Roman" w:hAnsi="Times New Roman"/>
        </w:rPr>
        <w:t>宣兴1井位于达州市宣汉</w:t>
      </w:r>
      <w:r>
        <w:rPr>
          <w:rFonts w:ascii="Times New Roman" w:hAnsi="Times New Roman"/>
          <w:highlight w:val="black"/>
        </w:rPr>
        <w:t>县清溪镇五道口村1组</w:t>
      </w:r>
      <w:r>
        <w:rPr>
          <w:rFonts w:ascii="Times New Roman" w:hAnsi="Times New Roman"/>
        </w:rPr>
        <w:t>，新征永久占地17.18亩，包括站场区及进站道路、放空区及人行道。</w:t>
      </w:r>
    </w:p>
    <w:p>
      <w:pPr>
        <w:ind w:firstLine="480"/>
        <w:rPr>
          <w:rFonts w:ascii="Times New Roman" w:hAnsi="Times New Roman"/>
        </w:rPr>
      </w:pPr>
      <w:r>
        <w:rPr>
          <w:rFonts w:ascii="Times New Roman" w:hAnsi="Times New Roman"/>
        </w:rPr>
        <w:t>宣兴1井井口原料气站内经两级节流、一级加热后，与宣探1井站来气汇合，进入计量分离器进行分离，气相进入水套炉加热进行2级加热后计量，气液分输出站经宣探阀室输往下游P304集气站。液相进入气田水罐，进行装车拉运至渡口河净化厂处理。</w:t>
      </w:r>
    </w:p>
    <w:p>
      <w:pPr>
        <w:ind w:firstLine="480"/>
        <w:rPr>
          <w:rFonts w:ascii="Times New Roman" w:hAnsi="Times New Roman"/>
        </w:rPr>
      </w:pPr>
      <w:r>
        <w:rPr>
          <w:rFonts w:ascii="Times New Roman" w:hAnsi="Times New Roman"/>
        </w:rPr>
        <w:t>井站内设置1台加热炉，用于原料气进行加热。设置1台气田水罐，用于气液分输之后，液相的存储和拉运转输。罐内液体达到一定液位后通过装车拉运，闪蒸气密闭输送至放空火炬燃烧。在气田水罐的上游设置脱硫药剂加注预留口，以降低气田水拉运、回注风险。</w:t>
      </w:r>
    </w:p>
    <w:p>
      <w:pPr>
        <w:ind w:firstLine="480"/>
        <w:rPr>
          <w:rFonts w:ascii="Times New Roman" w:hAnsi="Times New Roman"/>
        </w:rPr>
      </w:pPr>
      <w:r>
        <w:rPr>
          <w:rFonts w:ascii="Times New Roman" w:hAnsi="Times New Roman"/>
        </w:rPr>
        <w:t>站内设置总计量2套，用于与中石化的交接计量，考虑一用一备，选择孔板计量装置，计量信号远传进入中石化系统。</w:t>
      </w:r>
    </w:p>
    <w:p>
      <w:pPr>
        <w:ind w:firstLine="480"/>
        <w:rPr>
          <w:rFonts w:ascii="Times New Roman" w:hAnsi="Times New Roman"/>
        </w:rPr>
      </w:pPr>
      <w:r>
        <w:rPr>
          <w:rFonts w:ascii="Times New Roman" w:hAnsi="Times New Roman"/>
        </w:rPr>
        <w:t>在出站处设有清管器发送装置，可对集气干线进行清管检测作业。在进站处设有清管器接收装置，可对集气支线进行清管检测作业。在出站处设有远程控制的线路放空阀门，可在事故工况下，通过远程控制主动对线路管道利用站内火炬进行放空燃烧，减少线路部分有毒有害其他的泄漏量。井口设置防冻剂一套，用于开井或停输工况下水合物防止，同时预留溶硫剂加注系统一套，在发生硫单质沉积堵塞时使用。出站设置缓蚀剂加注橇一套，用于宣探集气干线的24小时缓蚀剂连续加注和预膜缓蚀剂加注。井口设置缓蚀剂加注橇一套，用于宣兴1井站内24小时缓蚀剂连续加注。</w:t>
      </w:r>
    </w:p>
    <w:p>
      <w:pPr>
        <w:ind w:firstLine="480"/>
        <w:rPr>
          <w:rFonts w:ascii="Times New Roman" w:hAnsi="Times New Roman"/>
        </w:rPr>
      </w:pPr>
      <w:r>
        <w:rPr>
          <w:rFonts w:ascii="Times New Roman" w:hAnsi="Times New Roman"/>
        </w:rPr>
        <w:t>站内设置放空系统用于站内和线路放空，放空分液罐内液体达到一定液位后通过装车拉运，放空火炬设置长明火。</w:t>
      </w:r>
    </w:p>
    <w:p>
      <w:pPr>
        <w:ind w:firstLine="480"/>
        <w:rPr>
          <w:rFonts w:ascii="Times New Roman" w:hAnsi="Times New Roman"/>
        </w:rPr>
      </w:pPr>
      <w:r>
        <w:rPr>
          <w:rFonts w:ascii="Times New Roman" w:hAnsi="Times New Roman"/>
        </w:rPr>
        <w:t>站内设置仪表风橇1套，用于站内仪表风和火炬的仪表风用气。</w:t>
      </w:r>
    </w:p>
    <w:p>
      <w:pPr>
        <w:pStyle w:val="4"/>
        <w:rPr>
          <w:rFonts w:ascii="Times New Roman" w:hAnsi="Times New Roman" w:cs="Times New Roman"/>
        </w:rPr>
      </w:pPr>
      <w:r>
        <w:rPr>
          <w:rFonts w:ascii="Times New Roman" w:hAnsi="Times New Roman" w:cs="Times New Roman"/>
        </w:rPr>
        <w:t>清管站</w:t>
      </w:r>
    </w:p>
    <w:p>
      <w:pPr>
        <w:ind w:firstLine="480"/>
        <w:rPr>
          <w:rFonts w:ascii="Times New Roman" w:hAnsi="Times New Roman"/>
        </w:rPr>
      </w:pPr>
      <w:r>
        <w:rPr>
          <w:rFonts w:ascii="Times New Roman" w:hAnsi="Times New Roman"/>
        </w:rPr>
        <w:t>本项目设有1座清管站，即宣探清管站，位于达州市宣汉</w:t>
      </w:r>
      <w:r>
        <w:rPr>
          <w:rFonts w:ascii="Times New Roman" w:hAnsi="Times New Roman"/>
          <w:highlight w:val="black"/>
        </w:rPr>
        <w:t>县普光镇千河村，</w:t>
      </w:r>
      <w:r>
        <w:rPr>
          <w:rFonts w:ascii="Times New Roman" w:hAnsi="Times New Roman"/>
        </w:rPr>
        <w:t>新征永久占地10.61亩，包括站场区、放空区及边波截水沟等用地。宣探清管站可对集气干线进行清管检测作业。</w:t>
      </w:r>
    </w:p>
    <w:p>
      <w:pPr>
        <w:ind w:firstLine="480"/>
        <w:rPr>
          <w:rFonts w:ascii="Times New Roman" w:hAnsi="Times New Roman"/>
        </w:rPr>
      </w:pPr>
      <w:r>
        <w:rPr>
          <w:rFonts w:ascii="Times New Roman" w:hAnsi="Times New Roman"/>
        </w:rPr>
        <w:t>站内包括1台清管收球装置，1台放空分液罐，放空火炬。</w:t>
      </w:r>
    </w:p>
    <w:p>
      <w:pPr>
        <w:ind w:firstLine="480"/>
        <w:rPr>
          <w:rFonts w:ascii="Times New Roman" w:hAnsi="Times New Roman"/>
        </w:rPr>
      </w:pPr>
      <w:r>
        <w:rPr>
          <w:rFonts w:ascii="Times New Roman" w:hAnsi="Times New Roman"/>
        </w:rPr>
        <w:t>出站设置缓蚀剂加注橇一套，用于清管站至P304集气站联络管道的24小时缓蚀剂连续加注，进行内腐蚀防护。在井站、出站处各自设有远程控制的线路放空阀门，可在事故工况下，通过远程控制主动对线路管道利用站内火炬进行放空燃烧，减少线路部分有毒有害其他的泄漏量。站内设置燃料气调压计量橇1座，接收中石化来燃料气供给宣探区块使用。</w:t>
      </w:r>
    </w:p>
    <w:p>
      <w:pPr>
        <w:pStyle w:val="4"/>
        <w:rPr>
          <w:rFonts w:ascii="Times New Roman" w:hAnsi="Times New Roman" w:cs="Times New Roman"/>
        </w:rPr>
      </w:pPr>
      <w:r>
        <w:rPr>
          <w:rFonts w:ascii="Times New Roman" w:hAnsi="Times New Roman" w:cs="Times New Roman"/>
        </w:rPr>
        <w:t>阀室</w:t>
      </w:r>
    </w:p>
    <w:p>
      <w:pPr>
        <w:ind w:firstLine="480"/>
        <w:rPr>
          <w:rFonts w:ascii="Times New Roman" w:hAnsi="Times New Roman"/>
        </w:rPr>
      </w:pPr>
      <w:r>
        <w:rPr>
          <w:rFonts w:ascii="Times New Roman" w:hAnsi="Times New Roman"/>
        </w:rPr>
        <w:t>本项目在集气干线设置1座线路截断阀室（RTU监控阀室），即宣探阀室，位于老君乡古楼村、新征永久占地2亩。</w:t>
      </w:r>
    </w:p>
    <w:p>
      <w:pPr>
        <w:ind w:firstLine="480"/>
        <w:rPr>
          <w:rFonts w:ascii="Times New Roman" w:hAnsi="Times New Roman"/>
        </w:rPr>
      </w:pPr>
      <w:r>
        <w:rPr>
          <w:rFonts w:ascii="Times New Roman" w:hAnsi="Times New Roman"/>
        </w:rPr>
        <w:t>阀室设置紧急切断，阀室内预留的老君701 来气的截断球阀具备远程截断功能。</w:t>
      </w:r>
    </w:p>
    <w:p>
      <w:pPr>
        <w:pStyle w:val="4"/>
        <w:rPr>
          <w:rFonts w:ascii="Times New Roman" w:hAnsi="Times New Roman" w:cs="Times New Roman"/>
        </w:rPr>
      </w:pPr>
      <w:r>
        <w:rPr>
          <w:rFonts w:ascii="Times New Roman" w:hAnsi="Times New Roman" w:cs="Times New Roman"/>
        </w:rPr>
        <w:t>线路工程</w:t>
      </w:r>
    </w:p>
    <w:p>
      <w:pPr>
        <w:pStyle w:val="5"/>
        <w:rPr>
          <w:rFonts w:ascii="Times New Roman" w:hAnsi="Times New Roman"/>
        </w:rPr>
      </w:pPr>
      <w:r>
        <w:rPr>
          <w:rFonts w:ascii="Times New Roman" w:hAnsi="Times New Roman"/>
        </w:rPr>
        <w:t>路由走向</w:t>
      </w:r>
    </w:p>
    <w:p>
      <w:pPr>
        <w:ind w:firstLine="480"/>
        <w:rPr>
          <w:rFonts w:ascii="Times New Roman" w:hAnsi="Times New Roman"/>
        </w:rPr>
      </w:pPr>
      <w:r>
        <w:rPr>
          <w:rFonts w:ascii="Times New Roman" w:hAnsi="Times New Roman"/>
        </w:rPr>
        <w:t>本项目共新建集气管道3条，燃料气管道3条。</w:t>
      </w:r>
    </w:p>
    <w:p>
      <w:pPr>
        <w:ind w:firstLine="480"/>
        <w:rPr>
          <w:rFonts w:ascii="Times New Roman" w:hAnsi="Times New Roman"/>
        </w:rPr>
      </w:pPr>
      <w:r>
        <w:rPr>
          <w:rFonts w:ascii="Times New Roman" w:hAnsi="Times New Roman"/>
        </w:rPr>
        <w:t>1）宣探集气干线，起于宣兴1井，止于宣探清管站，管径DN200，设计压力13MPa，线路长度为14.6km。宣探集气干线、燃料气管道、通信光缆同沟敷设，沿线设置线路截断阀室1座。</w:t>
      </w:r>
    </w:p>
    <w:p>
      <w:pPr>
        <w:ind w:firstLine="480"/>
        <w:rPr>
          <w:rFonts w:ascii="Times New Roman" w:hAnsi="Times New Roman"/>
        </w:rPr>
      </w:pPr>
      <w:r>
        <w:rPr>
          <w:rFonts w:ascii="Times New Roman" w:hAnsi="Times New Roman"/>
        </w:rPr>
        <w:t>2）宣探集气支线，起于宣探1井，止于宣兴1井，管径DN150，设计压力13MPa，线路长度为3.5km。宣探集气支线、燃料气管道、通信光缆同沟敷设。</w:t>
      </w:r>
    </w:p>
    <w:p>
      <w:pPr>
        <w:ind w:firstLine="480"/>
        <w:rPr>
          <w:rFonts w:ascii="Times New Roman" w:hAnsi="Times New Roman"/>
        </w:rPr>
      </w:pPr>
      <w:r>
        <w:rPr>
          <w:rFonts w:ascii="Times New Roman" w:hAnsi="Times New Roman"/>
        </w:rPr>
        <w:t>3）宣探联络线，起于宣探清管站，止于P304集气站，管径DN200，设计压力13MPa，线路长度为1.2km。宣探联络线、燃料气管道、通信光缆同沟敷设。</w:t>
      </w:r>
    </w:p>
    <w:p>
      <w:pPr>
        <w:ind w:firstLine="480"/>
        <w:rPr>
          <w:rFonts w:ascii="Times New Roman" w:hAnsi="Times New Roman"/>
        </w:rPr>
      </w:pPr>
      <w:r>
        <w:rPr>
          <w:rFonts w:ascii="Times New Roman" w:hAnsi="Times New Roman"/>
        </w:rPr>
        <w:t>4）宣兴1井燃料气管线，起于宣探阀室，止于宣兴1井，管径DN80，设计压力4MPa，线路长度为4.1km。</w:t>
      </w:r>
    </w:p>
    <w:p>
      <w:pPr>
        <w:ind w:firstLine="480"/>
        <w:rPr>
          <w:rFonts w:ascii="Times New Roman" w:hAnsi="Times New Roman"/>
        </w:rPr>
      </w:pPr>
      <w:r>
        <w:rPr>
          <w:rFonts w:ascii="Times New Roman" w:hAnsi="Times New Roman"/>
        </w:rPr>
        <w:t>5）宣探1井燃料气管线，起于宣兴1井燃料气管道T接点，止于宣探1井站，管径DN80，设计压力4MPa，线路长度为2.3km。</w:t>
      </w:r>
    </w:p>
    <w:p>
      <w:pPr>
        <w:ind w:firstLine="480"/>
        <w:rPr>
          <w:rFonts w:ascii="Times New Roman" w:hAnsi="Times New Roman"/>
        </w:rPr>
      </w:pPr>
      <w:r>
        <w:rPr>
          <w:rFonts w:ascii="Times New Roman" w:hAnsi="Times New Roman"/>
        </w:rPr>
        <w:t>6）宣探清管站燃料气管道，起于P304集气站，止于宣探清管站，管径DN50，设计压力4MPa，线路长度为1.2km。</w:t>
      </w:r>
    </w:p>
    <w:p>
      <w:pPr>
        <w:ind w:firstLine="480"/>
        <w:rPr>
          <w:rFonts w:ascii="Times New Roman" w:hAnsi="Times New Roman"/>
        </w:rPr>
      </w:pPr>
      <w:r>
        <w:rPr>
          <w:rFonts w:ascii="Times New Roman" w:hAnsi="Times New Roman"/>
        </w:rPr>
        <w:t>各条管道统计详见下表。具体线路走向见附图15。</w:t>
      </w:r>
    </w:p>
    <w:p>
      <w:pPr>
        <w:pStyle w:val="37"/>
        <w:rPr>
          <w:rFonts w:ascii="Times New Roman" w:hAnsi="Times New Roman" w:cs="Times New Roman"/>
        </w:rPr>
      </w:pPr>
      <w:bookmarkStart w:id="57" w:name="_Hlk160714194"/>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t xml:space="preserve">  本项目新建管道统计表</w:t>
      </w:r>
    </w:p>
    <w:tbl>
      <w:tblPr>
        <w:tblStyle w:val="28"/>
        <w:tblW w:w="590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4"/>
        <w:gridCol w:w="2387"/>
        <w:gridCol w:w="1551"/>
        <w:gridCol w:w="1549"/>
        <w:gridCol w:w="894"/>
        <w:gridCol w:w="1100"/>
        <w:gridCol w:w="1029"/>
        <w:gridCol w:w="8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pStyle w:val="39"/>
              <w:rPr>
                <w:rFonts w:ascii="Times New Roman" w:hAnsi="Times New Roman"/>
              </w:rPr>
            </w:pPr>
            <w:r>
              <w:rPr>
                <w:rFonts w:ascii="Times New Roman" w:hAnsi="Times New Roman"/>
              </w:rPr>
              <w:t>序号</w:t>
            </w:r>
          </w:p>
        </w:tc>
        <w:tc>
          <w:tcPr>
            <w:tcW w:w="1185" w:type="pct"/>
            <w:vAlign w:val="center"/>
          </w:tcPr>
          <w:p>
            <w:pPr>
              <w:pStyle w:val="39"/>
              <w:rPr>
                <w:rFonts w:ascii="Times New Roman" w:hAnsi="Times New Roman"/>
              </w:rPr>
            </w:pPr>
            <w:r>
              <w:rPr>
                <w:rFonts w:ascii="Times New Roman" w:hAnsi="Times New Roman"/>
              </w:rPr>
              <w:t>管道名称</w:t>
            </w:r>
          </w:p>
        </w:tc>
        <w:tc>
          <w:tcPr>
            <w:tcW w:w="770" w:type="pct"/>
            <w:vAlign w:val="center"/>
          </w:tcPr>
          <w:p>
            <w:pPr>
              <w:pStyle w:val="39"/>
              <w:rPr>
                <w:rFonts w:ascii="Times New Roman" w:hAnsi="Times New Roman"/>
              </w:rPr>
            </w:pPr>
            <w:r>
              <w:rPr>
                <w:rFonts w:ascii="Times New Roman" w:hAnsi="Times New Roman"/>
              </w:rPr>
              <w:t>起点</w:t>
            </w:r>
          </w:p>
        </w:tc>
        <w:tc>
          <w:tcPr>
            <w:tcW w:w="769" w:type="pct"/>
            <w:vAlign w:val="center"/>
          </w:tcPr>
          <w:p>
            <w:pPr>
              <w:pStyle w:val="39"/>
              <w:rPr>
                <w:rFonts w:ascii="Times New Roman" w:hAnsi="Times New Roman"/>
              </w:rPr>
            </w:pPr>
            <w:r>
              <w:rPr>
                <w:rFonts w:ascii="Times New Roman" w:hAnsi="Times New Roman"/>
              </w:rPr>
              <w:t>终点</w:t>
            </w:r>
          </w:p>
        </w:tc>
        <w:tc>
          <w:tcPr>
            <w:tcW w:w="444" w:type="pct"/>
            <w:vAlign w:val="center"/>
          </w:tcPr>
          <w:p>
            <w:pPr>
              <w:pStyle w:val="39"/>
              <w:rPr>
                <w:rFonts w:ascii="Times New Roman" w:hAnsi="Times New Roman"/>
              </w:rPr>
            </w:pPr>
            <w:r>
              <w:rPr>
                <w:rFonts w:ascii="Times New Roman" w:hAnsi="Times New Roman"/>
              </w:rPr>
              <w:t>管径</w:t>
            </w:r>
          </w:p>
        </w:tc>
        <w:tc>
          <w:tcPr>
            <w:tcW w:w="546" w:type="pct"/>
            <w:vAlign w:val="center"/>
          </w:tcPr>
          <w:p>
            <w:pPr>
              <w:pStyle w:val="39"/>
              <w:rPr>
                <w:rFonts w:ascii="Times New Roman" w:hAnsi="Times New Roman"/>
              </w:rPr>
            </w:pPr>
            <w:r>
              <w:rPr>
                <w:rFonts w:ascii="Times New Roman" w:hAnsi="Times New Roman"/>
              </w:rPr>
              <w:t>设计压力（MPa）</w:t>
            </w:r>
          </w:p>
        </w:tc>
        <w:tc>
          <w:tcPr>
            <w:tcW w:w="511" w:type="pct"/>
            <w:vAlign w:val="center"/>
          </w:tcPr>
          <w:p>
            <w:pPr>
              <w:pStyle w:val="39"/>
              <w:rPr>
                <w:rFonts w:ascii="Times New Roman" w:hAnsi="Times New Roman"/>
              </w:rPr>
            </w:pPr>
            <w:r>
              <w:rPr>
                <w:rFonts w:ascii="Times New Roman" w:hAnsi="Times New Roman"/>
              </w:rPr>
              <w:t>长度(km)</w:t>
            </w:r>
          </w:p>
        </w:tc>
        <w:tc>
          <w:tcPr>
            <w:tcW w:w="445" w:type="pct"/>
            <w:vAlign w:val="center"/>
          </w:tcPr>
          <w:p>
            <w:pPr>
              <w:pStyle w:val="39"/>
              <w:rPr>
                <w:rFonts w:ascii="Times New Roman" w:hAnsi="Times New Roman"/>
              </w:rPr>
            </w:pPr>
            <w:r>
              <w:rPr>
                <w:rFonts w:ascii="Times New Roman" w:hAnsi="Times New Roman"/>
              </w:rPr>
              <w:t>合计</w:t>
            </w:r>
          </w:p>
          <w:p>
            <w:pPr>
              <w:pStyle w:val="39"/>
              <w:rPr>
                <w:rFonts w:ascii="Times New Roman" w:hAnsi="Times New Roman"/>
              </w:rPr>
            </w:pPr>
            <w:r>
              <w:rPr>
                <w:rFonts w:ascii="Times New Roman" w:hAnsi="Times New Roman"/>
              </w:rPr>
              <w:t>长度（km）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pStyle w:val="39"/>
              <w:rPr>
                <w:rFonts w:ascii="Times New Roman" w:hAnsi="Times New Roman"/>
                <w:lang w:eastAsia="en-US"/>
              </w:rPr>
            </w:pPr>
            <w:r>
              <w:rPr>
                <w:rFonts w:ascii="Times New Roman" w:hAnsi="Times New Roman"/>
                <w:lang w:eastAsia="en-US"/>
              </w:rPr>
              <w:t>1</w:t>
            </w:r>
          </w:p>
        </w:tc>
        <w:tc>
          <w:tcPr>
            <w:tcW w:w="1185" w:type="pct"/>
            <w:vAlign w:val="center"/>
          </w:tcPr>
          <w:p>
            <w:pPr>
              <w:pStyle w:val="39"/>
              <w:rPr>
                <w:rFonts w:ascii="Times New Roman" w:hAnsi="Times New Roman"/>
              </w:rPr>
            </w:pPr>
            <w:r>
              <w:rPr>
                <w:rFonts w:ascii="Times New Roman" w:hAnsi="Times New Roman"/>
              </w:rPr>
              <w:t>宣探集气干线</w:t>
            </w:r>
          </w:p>
        </w:tc>
        <w:tc>
          <w:tcPr>
            <w:tcW w:w="770" w:type="pct"/>
            <w:vAlign w:val="center"/>
          </w:tcPr>
          <w:p>
            <w:pPr>
              <w:pStyle w:val="39"/>
              <w:rPr>
                <w:rFonts w:ascii="Times New Roman" w:hAnsi="Times New Roman"/>
              </w:rPr>
            </w:pPr>
            <w:r>
              <w:rPr>
                <w:rFonts w:ascii="Times New Roman" w:hAnsi="Times New Roman"/>
              </w:rPr>
              <w:t>宣兴1井站</w:t>
            </w:r>
          </w:p>
        </w:tc>
        <w:tc>
          <w:tcPr>
            <w:tcW w:w="769" w:type="pct"/>
            <w:vAlign w:val="center"/>
          </w:tcPr>
          <w:p>
            <w:pPr>
              <w:pStyle w:val="39"/>
              <w:rPr>
                <w:rFonts w:ascii="Times New Roman" w:hAnsi="Times New Roman"/>
              </w:rPr>
            </w:pPr>
            <w:r>
              <w:rPr>
                <w:rFonts w:ascii="Times New Roman" w:hAnsi="Times New Roman"/>
              </w:rPr>
              <w:t>宣探清管站</w:t>
            </w:r>
          </w:p>
        </w:tc>
        <w:tc>
          <w:tcPr>
            <w:tcW w:w="444" w:type="pct"/>
            <w:vAlign w:val="center"/>
          </w:tcPr>
          <w:p>
            <w:pPr>
              <w:pStyle w:val="39"/>
              <w:rPr>
                <w:rFonts w:ascii="Times New Roman" w:hAnsi="Times New Roman"/>
              </w:rPr>
            </w:pPr>
            <w:r>
              <w:rPr>
                <w:rFonts w:ascii="Times New Roman" w:hAnsi="Times New Roman"/>
              </w:rPr>
              <w:t>DN200</w:t>
            </w:r>
          </w:p>
        </w:tc>
        <w:tc>
          <w:tcPr>
            <w:tcW w:w="546" w:type="pct"/>
            <w:vAlign w:val="center"/>
          </w:tcPr>
          <w:p>
            <w:pPr>
              <w:pStyle w:val="39"/>
              <w:rPr>
                <w:rFonts w:ascii="Times New Roman" w:hAnsi="Times New Roman"/>
              </w:rPr>
            </w:pPr>
            <w:r>
              <w:rPr>
                <w:rFonts w:ascii="Times New Roman" w:hAnsi="Times New Roman"/>
              </w:rPr>
              <w:t>13</w:t>
            </w:r>
          </w:p>
        </w:tc>
        <w:tc>
          <w:tcPr>
            <w:tcW w:w="511" w:type="pct"/>
            <w:vAlign w:val="center"/>
          </w:tcPr>
          <w:p>
            <w:pPr>
              <w:pStyle w:val="39"/>
              <w:rPr>
                <w:rFonts w:ascii="Times New Roman" w:hAnsi="Times New Roman"/>
              </w:rPr>
            </w:pPr>
            <w:r>
              <w:rPr>
                <w:rFonts w:ascii="Times New Roman" w:hAnsi="Times New Roman"/>
              </w:rPr>
              <w:t>14.6</w:t>
            </w:r>
          </w:p>
        </w:tc>
        <w:tc>
          <w:tcPr>
            <w:tcW w:w="445" w:type="pct"/>
            <w:vMerge w:val="restart"/>
            <w:vAlign w:val="center"/>
          </w:tcPr>
          <w:p>
            <w:pPr>
              <w:pStyle w:val="39"/>
              <w:rPr>
                <w:rFonts w:ascii="Times New Roman" w:hAnsi="Times New Roman"/>
              </w:rPr>
            </w:pPr>
            <w:r>
              <w:rPr>
                <w:rFonts w:ascii="Times New Roman" w:hAnsi="Times New Roman"/>
              </w:rPr>
              <w:t>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pStyle w:val="39"/>
              <w:rPr>
                <w:rFonts w:ascii="Times New Roman" w:hAnsi="Times New Roman"/>
              </w:rPr>
            </w:pPr>
            <w:r>
              <w:rPr>
                <w:rFonts w:ascii="Times New Roman" w:hAnsi="Times New Roman"/>
              </w:rPr>
              <w:t>2</w:t>
            </w:r>
          </w:p>
        </w:tc>
        <w:tc>
          <w:tcPr>
            <w:tcW w:w="1185" w:type="pct"/>
            <w:vAlign w:val="center"/>
          </w:tcPr>
          <w:p>
            <w:pPr>
              <w:pStyle w:val="39"/>
              <w:rPr>
                <w:rFonts w:ascii="Times New Roman" w:hAnsi="Times New Roman"/>
              </w:rPr>
            </w:pPr>
            <w:r>
              <w:rPr>
                <w:rFonts w:ascii="Times New Roman" w:hAnsi="Times New Roman"/>
              </w:rPr>
              <w:t>宣探集气支线</w:t>
            </w:r>
          </w:p>
        </w:tc>
        <w:tc>
          <w:tcPr>
            <w:tcW w:w="770" w:type="pct"/>
            <w:vAlign w:val="center"/>
          </w:tcPr>
          <w:p>
            <w:pPr>
              <w:pStyle w:val="39"/>
              <w:rPr>
                <w:rFonts w:ascii="Times New Roman" w:hAnsi="Times New Roman"/>
              </w:rPr>
            </w:pPr>
            <w:r>
              <w:rPr>
                <w:rFonts w:ascii="Times New Roman" w:hAnsi="Times New Roman"/>
              </w:rPr>
              <w:t>宣探1井站</w:t>
            </w:r>
          </w:p>
        </w:tc>
        <w:tc>
          <w:tcPr>
            <w:tcW w:w="769" w:type="pct"/>
            <w:vAlign w:val="center"/>
          </w:tcPr>
          <w:p>
            <w:pPr>
              <w:pStyle w:val="39"/>
              <w:rPr>
                <w:rFonts w:ascii="Times New Roman" w:hAnsi="Times New Roman"/>
              </w:rPr>
            </w:pPr>
            <w:r>
              <w:rPr>
                <w:rFonts w:ascii="Times New Roman" w:hAnsi="Times New Roman"/>
              </w:rPr>
              <w:t>宣兴1井站</w:t>
            </w:r>
          </w:p>
        </w:tc>
        <w:tc>
          <w:tcPr>
            <w:tcW w:w="444" w:type="pct"/>
            <w:vAlign w:val="center"/>
          </w:tcPr>
          <w:p>
            <w:pPr>
              <w:pStyle w:val="39"/>
              <w:rPr>
                <w:rFonts w:ascii="Times New Roman" w:hAnsi="Times New Roman"/>
              </w:rPr>
            </w:pPr>
            <w:r>
              <w:rPr>
                <w:rFonts w:ascii="Times New Roman" w:hAnsi="Times New Roman"/>
              </w:rPr>
              <w:t>DN150</w:t>
            </w:r>
          </w:p>
        </w:tc>
        <w:tc>
          <w:tcPr>
            <w:tcW w:w="546" w:type="pct"/>
            <w:vAlign w:val="center"/>
          </w:tcPr>
          <w:p>
            <w:pPr>
              <w:pStyle w:val="39"/>
              <w:rPr>
                <w:rFonts w:ascii="Times New Roman" w:hAnsi="Times New Roman"/>
              </w:rPr>
            </w:pPr>
            <w:r>
              <w:rPr>
                <w:rFonts w:ascii="Times New Roman" w:hAnsi="Times New Roman"/>
              </w:rPr>
              <w:t>13</w:t>
            </w:r>
          </w:p>
        </w:tc>
        <w:tc>
          <w:tcPr>
            <w:tcW w:w="511" w:type="pct"/>
            <w:vAlign w:val="center"/>
          </w:tcPr>
          <w:p>
            <w:pPr>
              <w:pStyle w:val="39"/>
              <w:rPr>
                <w:rFonts w:ascii="Times New Roman" w:hAnsi="Times New Roman"/>
              </w:rPr>
            </w:pPr>
            <w:r>
              <w:rPr>
                <w:rFonts w:ascii="Times New Roman" w:hAnsi="Times New Roman"/>
              </w:rPr>
              <w:t>3.5</w:t>
            </w:r>
          </w:p>
        </w:tc>
        <w:tc>
          <w:tcPr>
            <w:tcW w:w="445" w:type="pct"/>
            <w:vMerge w:val="continue"/>
            <w:vAlign w:val="center"/>
          </w:tcPr>
          <w:p>
            <w:pPr>
              <w:pStyle w:val="39"/>
              <w:rPr>
                <w:rFonts w:ascii="Times New Roman" w:hAnsi="Times New Roman"/>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pStyle w:val="39"/>
              <w:rPr>
                <w:rFonts w:ascii="Times New Roman" w:hAnsi="Times New Roman"/>
                <w:lang w:eastAsia="en-US"/>
              </w:rPr>
            </w:pPr>
            <w:r>
              <w:rPr>
                <w:rFonts w:ascii="Times New Roman" w:hAnsi="Times New Roman"/>
                <w:lang w:eastAsia="en-US"/>
              </w:rPr>
              <w:t>3</w:t>
            </w:r>
          </w:p>
        </w:tc>
        <w:tc>
          <w:tcPr>
            <w:tcW w:w="1185" w:type="pct"/>
            <w:vAlign w:val="center"/>
          </w:tcPr>
          <w:p>
            <w:pPr>
              <w:pStyle w:val="39"/>
              <w:rPr>
                <w:rFonts w:ascii="Times New Roman" w:hAnsi="Times New Roman"/>
              </w:rPr>
            </w:pPr>
            <w:r>
              <w:rPr>
                <w:rFonts w:ascii="Times New Roman" w:hAnsi="Times New Roman"/>
              </w:rPr>
              <w:t>宣探联络线</w:t>
            </w:r>
          </w:p>
        </w:tc>
        <w:tc>
          <w:tcPr>
            <w:tcW w:w="770" w:type="pct"/>
            <w:vAlign w:val="center"/>
          </w:tcPr>
          <w:p>
            <w:pPr>
              <w:pStyle w:val="39"/>
              <w:rPr>
                <w:rFonts w:ascii="Times New Roman" w:hAnsi="Times New Roman"/>
              </w:rPr>
            </w:pPr>
            <w:r>
              <w:rPr>
                <w:rFonts w:ascii="Times New Roman" w:hAnsi="Times New Roman"/>
              </w:rPr>
              <w:t>宣探清管站</w:t>
            </w:r>
          </w:p>
        </w:tc>
        <w:tc>
          <w:tcPr>
            <w:tcW w:w="769" w:type="pct"/>
            <w:vAlign w:val="center"/>
          </w:tcPr>
          <w:p>
            <w:pPr>
              <w:pStyle w:val="39"/>
              <w:rPr>
                <w:rFonts w:ascii="Times New Roman" w:hAnsi="Times New Roman"/>
              </w:rPr>
            </w:pPr>
            <w:r>
              <w:rPr>
                <w:rFonts w:ascii="Times New Roman" w:hAnsi="Times New Roman"/>
              </w:rPr>
              <w:t>P304集气站</w:t>
            </w:r>
          </w:p>
        </w:tc>
        <w:tc>
          <w:tcPr>
            <w:tcW w:w="444" w:type="pct"/>
            <w:vAlign w:val="center"/>
          </w:tcPr>
          <w:p>
            <w:pPr>
              <w:pStyle w:val="39"/>
              <w:rPr>
                <w:rFonts w:ascii="Times New Roman" w:hAnsi="Times New Roman"/>
              </w:rPr>
            </w:pPr>
            <w:r>
              <w:rPr>
                <w:rFonts w:ascii="Times New Roman" w:hAnsi="Times New Roman"/>
              </w:rPr>
              <w:t>DN200</w:t>
            </w:r>
          </w:p>
        </w:tc>
        <w:tc>
          <w:tcPr>
            <w:tcW w:w="546" w:type="pct"/>
            <w:vAlign w:val="center"/>
          </w:tcPr>
          <w:p>
            <w:pPr>
              <w:pStyle w:val="39"/>
              <w:rPr>
                <w:rFonts w:ascii="Times New Roman" w:hAnsi="Times New Roman"/>
              </w:rPr>
            </w:pPr>
            <w:r>
              <w:rPr>
                <w:rFonts w:ascii="Times New Roman" w:hAnsi="Times New Roman"/>
              </w:rPr>
              <w:t>13</w:t>
            </w:r>
          </w:p>
        </w:tc>
        <w:tc>
          <w:tcPr>
            <w:tcW w:w="511" w:type="pct"/>
            <w:vAlign w:val="center"/>
          </w:tcPr>
          <w:p>
            <w:pPr>
              <w:pStyle w:val="39"/>
              <w:rPr>
                <w:rFonts w:ascii="Times New Roman" w:hAnsi="Times New Roman"/>
              </w:rPr>
            </w:pPr>
            <w:r>
              <w:rPr>
                <w:rFonts w:ascii="Times New Roman" w:hAnsi="Times New Roman"/>
              </w:rPr>
              <w:t>1.2</w:t>
            </w:r>
          </w:p>
        </w:tc>
        <w:tc>
          <w:tcPr>
            <w:tcW w:w="445" w:type="pct"/>
            <w:vMerge w:val="continue"/>
            <w:vAlign w:val="center"/>
          </w:tcPr>
          <w:p>
            <w:pPr>
              <w:pStyle w:val="39"/>
              <w:rPr>
                <w:rFonts w:ascii="Times New Roman" w:hAnsi="Times New Roman"/>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pStyle w:val="39"/>
              <w:rPr>
                <w:rFonts w:ascii="Times New Roman" w:hAnsi="Times New Roman"/>
              </w:rPr>
            </w:pPr>
            <w:r>
              <w:rPr>
                <w:rFonts w:ascii="Times New Roman" w:hAnsi="Times New Roman"/>
              </w:rPr>
              <w:t>4</w:t>
            </w:r>
          </w:p>
        </w:tc>
        <w:tc>
          <w:tcPr>
            <w:tcW w:w="1185" w:type="pct"/>
            <w:vAlign w:val="center"/>
          </w:tcPr>
          <w:p>
            <w:pPr>
              <w:pStyle w:val="39"/>
              <w:rPr>
                <w:rFonts w:ascii="Times New Roman" w:hAnsi="Times New Roman"/>
              </w:rPr>
            </w:pPr>
            <w:r>
              <w:rPr>
                <w:rFonts w:ascii="Times New Roman" w:hAnsi="Times New Roman"/>
              </w:rPr>
              <w:t>宣兴1井站燃料气管线</w:t>
            </w:r>
          </w:p>
        </w:tc>
        <w:tc>
          <w:tcPr>
            <w:tcW w:w="770" w:type="pct"/>
            <w:vAlign w:val="center"/>
          </w:tcPr>
          <w:p>
            <w:pPr>
              <w:pStyle w:val="39"/>
              <w:rPr>
                <w:rFonts w:ascii="Times New Roman" w:hAnsi="Times New Roman"/>
              </w:rPr>
            </w:pPr>
            <w:r>
              <w:rPr>
                <w:rFonts w:ascii="Times New Roman" w:hAnsi="Times New Roman"/>
              </w:rPr>
              <w:t>宣探阀室</w:t>
            </w:r>
          </w:p>
        </w:tc>
        <w:tc>
          <w:tcPr>
            <w:tcW w:w="769" w:type="pct"/>
            <w:vAlign w:val="center"/>
          </w:tcPr>
          <w:p>
            <w:pPr>
              <w:pStyle w:val="39"/>
              <w:rPr>
                <w:rFonts w:ascii="Times New Roman" w:hAnsi="Times New Roman"/>
              </w:rPr>
            </w:pPr>
            <w:r>
              <w:rPr>
                <w:rFonts w:ascii="Times New Roman" w:hAnsi="Times New Roman"/>
              </w:rPr>
              <w:t>宣兴1井站</w:t>
            </w:r>
          </w:p>
        </w:tc>
        <w:tc>
          <w:tcPr>
            <w:tcW w:w="444" w:type="pct"/>
            <w:vAlign w:val="center"/>
          </w:tcPr>
          <w:p>
            <w:pPr>
              <w:pStyle w:val="39"/>
              <w:rPr>
                <w:rFonts w:ascii="Times New Roman" w:hAnsi="Times New Roman"/>
              </w:rPr>
            </w:pPr>
            <w:r>
              <w:rPr>
                <w:rFonts w:ascii="Times New Roman" w:hAnsi="Times New Roman"/>
              </w:rPr>
              <w:t>DN80</w:t>
            </w:r>
          </w:p>
        </w:tc>
        <w:tc>
          <w:tcPr>
            <w:tcW w:w="546" w:type="pct"/>
            <w:vAlign w:val="center"/>
          </w:tcPr>
          <w:p>
            <w:pPr>
              <w:pStyle w:val="39"/>
              <w:rPr>
                <w:rFonts w:ascii="Times New Roman" w:hAnsi="Times New Roman"/>
              </w:rPr>
            </w:pPr>
            <w:r>
              <w:rPr>
                <w:rFonts w:ascii="Times New Roman" w:hAnsi="Times New Roman"/>
              </w:rPr>
              <w:t>4</w:t>
            </w:r>
          </w:p>
        </w:tc>
        <w:tc>
          <w:tcPr>
            <w:tcW w:w="511" w:type="pct"/>
            <w:vAlign w:val="center"/>
          </w:tcPr>
          <w:p>
            <w:pPr>
              <w:pStyle w:val="39"/>
              <w:rPr>
                <w:rFonts w:ascii="Times New Roman" w:hAnsi="Times New Roman"/>
              </w:rPr>
            </w:pPr>
            <w:r>
              <w:rPr>
                <w:rFonts w:ascii="Times New Roman" w:hAnsi="Times New Roman"/>
              </w:rPr>
              <w:t>4.1</w:t>
            </w:r>
          </w:p>
        </w:tc>
        <w:tc>
          <w:tcPr>
            <w:tcW w:w="445" w:type="pct"/>
            <w:vMerge w:val="restart"/>
            <w:vAlign w:val="center"/>
          </w:tcPr>
          <w:p>
            <w:pPr>
              <w:pStyle w:val="39"/>
              <w:rPr>
                <w:rFonts w:ascii="Times New Roman" w:hAnsi="Times New Roman"/>
              </w:rPr>
            </w:pPr>
            <w:r>
              <w:rPr>
                <w:rFonts w:ascii="Times New Roman" w:hAnsi="Times New Roman"/>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pStyle w:val="39"/>
              <w:rPr>
                <w:rFonts w:ascii="Times New Roman" w:hAnsi="Times New Roman"/>
              </w:rPr>
            </w:pPr>
            <w:r>
              <w:rPr>
                <w:rFonts w:ascii="Times New Roman" w:hAnsi="Times New Roman"/>
              </w:rPr>
              <w:t>5</w:t>
            </w:r>
          </w:p>
        </w:tc>
        <w:tc>
          <w:tcPr>
            <w:tcW w:w="1185" w:type="pct"/>
            <w:vAlign w:val="center"/>
          </w:tcPr>
          <w:p>
            <w:pPr>
              <w:pStyle w:val="39"/>
              <w:rPr>
                <w:rFonts w:ascii="Times New Roman" w:hAnsi="Times New Roman"/>
              </w:rPr>
            </w:pPr>
            <w:r>
              <w:rPr>
                <w:rFonts w:ascii="Times New Roman" w:hAnsi="Times New Roman"/>
              </w:rPr>
              <w:t>宣探1井站燃料气管线</w:t>
            </w:r>
          </w:p>
        </w:tc>
        <w:tc>
          <w:tcPr>
            <w:tcW w:w="770" w:type="pct"/>
            <w:vAlign w:val="center"/>
          </w:tcPr>
          <w:p>
            <w:pPr>
              <w:pStyle w:val="39"/>
              <w:rPr>
                <w:rFonts w:ascii="Times New Roman" w:hAnsi="Times New Roman"/>
              </w:rPr>
            </w:pPr>
            <w:r>
              <w:rPr>
                <w:rFonts w:ascii="Times New Roman" w:hAnsi="Times New Roman"/>
              </w:rPr>
              <w:t>宣兴1井燃料气管线T接点</w:t>
            </w:r>
          </w:p>
        </w:tc>
        <w:tc>
          <w:tcPr>
            <w:tcW w:w="769" w:type="pct"/>
            <w:vAlign w:val="center"/>
          </w:tcPr>
          <w:p>
            <w:pPr>
              <w:pStyle w:val="39"/>
              <w:rPr>
                <w:rFonts w:ascii="Times New Roman" w:hAnsi="Times New Roman"/>
              </w:rPr>
            </w:pPr>
            <w:r>
              <w:rPr>
                <w:rFonts w:ascii="Times New Roman" w:hAnsi="Times New Roman"/>
              </w:rPr>
              <w:t>宣探1井站</w:t>
            </w:r>
          </w:p>
        </w:tc>
        <w:tc>
          <w:tcPr>
            <w:tcW w:w="444" w:type="pct"/>
            <w:vAlign w:val="center"/>
          </w:tcPr>
          <w:p>
            <w:pPr>
              <w:pStyle w:val="39"/>
              <w:rPr>
                <w:rFonts w:ascii="Times New Roman" w:hAnsi="Times New Roman"/>
              </w:rPr>
            </w:pPr>
            <w:r>
              <w:rPr>
                <w:rFonts w:ascii="Times New Roman" w:hAnsi="Times New Roman"/>
              </w:rPr>
              <w:t>DN80</w:t>
            </w:r>
          </w:p>
        </w:tc>
        <w:tc>
          <w:tcPr>
            <w:tcW w:w="546" w:type="pct"/>
            <w:vAlign w:val="center"/>
          </w:tcPr>
          <w:p>
            <w:pPr>
              <w:pStyle w:val="39"/>
              <w:rPr>
                <w:rFonts w:ascii="Times New Roman" w:hAnsi="Times New Roman"/>
              </w:rPr>
            </w:pPr>
            <w:r>
              <w:rPr>
                <w:rFonts w:ascii="Times New Roman" w:hAnsi="Times New Roman"/>
              </w:rPr>
              <w:t>4</w:t>
            </w:r>
          </w:p>
        </w:tc>
        <w:tc>
          <w:tcPr>
            <w:tcW w:w="511" w:type="pct"/>
            <w:vAlign w:val="center"/>
          </w:tcPr>
          <w:p>
            <w:pPr>
              <w:pStyle w:val="39"/>
              <w:rPr>
                <w:rFonts w:ascii="Times New Roman" w:hAnsi="Times New Roman"/>
              </w:rPr>
            </w:pPr>
            <w:r>
              <w:rPr>
                <w:rFonts w:ascii="Times New Roman" w:hAnsi="Times New Roman"/>
              </w:rPr>
              <w:t>2.3</w:t>
            </w:r>
          </w:p>
        </w:tc>
        <w:tc>
          <w:tcPr>
            <w:tcW w:w="445" w:type="pct"/>
            <w:vMerge w:val="continue"/>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pStyle w:val="39"/>
              <w:rPr>
                <w:rFonts w:ascii="Times New Roman" w:hAnsi="Times New Roman"/>
              </w:rPr>
            </w:pPr>
            <w:r>
              <w:rPr>
                <w:rFonts w:ascii="Times New Roman" w:hAnsi="Times New Roman"/>
              </w:rPr>
              <w:t>6</w:t>
            </w:r>
          </w:p>
        </w:tc>
        <w:tc>
          <w:tcPr>
            <w:tcW w:w="1185" w:type="pct"/>
            <w:vAlign w:val="center"/>
          </w:tcPr>
          <w:p>
            <w:pPr>
              <w:pStyle w:val="39"/>
              <w:rPr>
                <w:rFonts w:ascii="Times New Roman" w:hAnsi="Times New Roman"/>
              </w:rPr>
            </w:pPr>
            <w:r>
              <w:rPr>
                <w:rFonts w:ascii="Times New Roman" w:hAnsi="Times New Roman"/>
              </w:rPr>
              <w:t>宣探清管站燃料气管线</w:t>
            </w:r>
          </w:p>
        </w:tc>
        <w:tc>
          <w:tcPr>
            <w:tcW w:w="770" w:type="pct"/>
            <w:vAlign w:val="center"/>
          </w:tcPr>
          <w:p>
            <w:pPr>
              <w:pStyle w:val="39"/>
              <w:rPr>
                <w:rFonts w:ascii="Times New Roman" w:hAnsi="Times New Roman"/>
              </w:rPr>
            </w:pPr>
            <w:r>
              <w:rPr>
                <w:rFonts w:ascii="Times New Roman" w:hAnsi="Times New Roman"/>
              </w:rPr>
              <w:t>P304集气站</w:t>
            </w:r>
          </w:p>
        </w:tc>
        <w:tc>
          <w:tcPr>
            <w:tcW w:w="769" w:type="pct"/>
            <w:vAlign w:val="center"/>
          </w:tcPr>
          <w:p>
            <w:pPr>
              <w:pStyle w:val="39"/>
              <w:rPr>
                <w:rFonts w:ascii="Times New Roman" w:hAnsi="Times New Roman"/>
              </w:rPr>
            </w:pPr>
            <w:r>
              <w:rPr>
                <w:rFonts w:ascii="Times New Roman" w:hAnsi="Times New Roman"/>
              </w:rPr>
              <w:t>宣探清管站</w:t>
            </w:r>
          </w:p>
        </w:tc>
        <w:tc>
          <w:tcPr>
            <w:tcW w:w="444" w:type="pct"/>
            <w:vAlign w:val="center"/>
          </w:tcPr>
          <w:p>
            <w:pPr>
              <w:pStyle w:val="39"/>
              <w:rPr>
                <w:rFonts w:ascii="Times New Roman" w:hAnsi="Times New Roman"/>
              </w:rPr>
            </w:pPr>
            <w:r>
              <w:rPr>
                <w:rFonts w:ascii="Times New Roman" w:hAnsi="Times New Roman"/>
              </w:rPr>
              <w:t>DN50</w:t>
            </w:r>
          </w:p>
        </w:tc>
        <w:tc>
          <w:tcPr>
            <w:tcW w:w="546" w:type="pct"/>
            <w:vAlign w:val="center"/>
          </w:tcPr>
          <w:p>
            <w:pPr>
              <w:pStyle w:val="39"/>
              <w:rPr>
                <w:rFonts w:ascii="Times New Roman" w:hAnsi="Times New Roman"/>
              </w:rPr>
            </w:pPr>
            <w:r>
              <w:rPr>
                <w:rFonts w:ascii="Times New Roman" w:hAnsi="Times New Roman"/>
              </w:rPr>
              <w:t>4</w:t>
            </w:r>
          </w:p>
        </w:tc>
        <w:tc>
          <w:tcPr>
            <w:tcW w:w="511" w:type="pct"/>
            <w:vAlign w:val="center"/>
          </w:tcPr>
          <w:p>
            <w:pPr>
              <w:pStyle w:val="39"/>
              <w:rPr>
                <w:rFonts w:ascii="Times New Roman" w:hAnsi="Times New Roman"/>
              </w:rPr>
            </w:pPr>
            <w:r>
              <w:rPr>
                <w:rFonts w:ascii="Times New Roman" w:hAnsi="Times New Roman"/>
              </w:rPr>
              <w:t>1.2</w:t>
            </w:r>
          </w:p>
        </w:tc>
        <w:tc>
          <w:tcPr>
            <w:tcW w:w="445" w:type="pct"/>
            <w:vMerge w:val="continue"/>
          </w:tcPr>
          <w:p>
            <w:pPr>
              <w:pStyle w:val="39"/>
              <w:rPr>
                <w:rFonts w:ascii="Times New Roman" w:hAnsi="Times New Roman"/>
              </w:rPr>
            </w:pPr>
          </w:p>
        </w:tc>
      </w:tr>
      <w:bookmarkEnd w:id="57"/>
    </w:tbl>
    <w:p>
      <w:pPr>
        <w:ind w:firstLine="0" w:firstLineChars="0"/>
        <w:rPr>
          <w:rFonts w:ascii="Times New Roman" w:hAnsi="Times New Roman"/>
        </w:rPr>
        <w:sectPr>
          <w:footerReference r:id="rId14" w:type="default"/>
          <w:pgSz w:w="11906" w:h="16838"/>
          <w:pgMar w:top="1440" w:right="1800" w:bottom="1440" w:left="1800" w:header="851" w:footer="992" w:gutter="0"/>
          <w:cols w:space="425" w:num="1"/>
          <w:docGrid w:type="lines" w:linePitch="312" w:charSpace="0"/>
        </w:sectPr>
      </w:pPr>
    </w:p>
    <w:p>
      <w:pPr>
        <w:pStyle w:val="5"/>
        <w:rPr>
          <w:rFonts w:ascii="Times New Roman" w:hAnsi="Times New Roman"/>
        </w:rPr>
      </w:pPr>
      <w:r>
        <w:rPr>
          <w:rFonts w:ascii="Times New Roman" w:hAnsi="Times New Roman"/>
        </w:rPr>
        <w:t>线路用管类型、材质及壁厚</w:t>
      </w:r>
    </w:p>
    <w:p>
      <w:pPr>
        <w:ind w:firstLine="480"/>
        <w:rPr>
          <w:rFonts w:ascii="Times New Roman" w:hAnsi="Times New Roman"/>
        </w:rPr>
      </w:pPr>
      <w:r>
        <w:rPr>
          <w:rFonts w:ascii="Times New Roman" w:hAnsi="Times New Roman"/>
        </w:rPr>
        <w:t>本项目集气干线、集气支线及联络线管道采用 L360QS 材质的钢管，燃料气管道采用 L245N 材质的钢管。</w:t>
      </w:r>
    </w:p>
    <w:p>
      <w:pPr>
        <w:ind w:firstLine="480"/>
        <w:rPr>
          <w:rFonts w:ascii="Times New Roman" w:hAnsi="Times New Roman"/>
        </w:rPr>
      </w:pPr>
      <w:r>
        <w:rPr>
          <w:rFonts w:ascii="Times New Roman" w:hAnsi="Times New Roman"/>
        </w:rPr>
        <w:t>具体用管类型及壁厚见</w:t>
      </w:r>
      <w:r>
        <w:rPr>
          <w:rFonts w:ascii="Times New Roman" w:hAnsi="Times New Roman"/>
        </w:rPr>
        <w:fldChar w:fldCharType="begin"/>
      </w:r>
      <w:r>
        <w:rPr>
          <w:rFonts w:ascii="Times New Roman" w:hAnsi="Times New Roman"/>
        </w:rPr>
        <w:instrText xml:space="preserve"> REF _Ref153897307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8</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58" w:name="_Ref15389730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bookmarkEnd w:id="58"/>
      <w:r>
        <w:rPr>
          <w:rFonts w:ascii="Times New Roman" w:hAnsi="Times New Roman" w:cs="Times New Roman"/>
        </w:rPr>
        <w:t xml:space="preserve">  本项目线路用管类型、壁厚一览表</w:t>
      </w:r>
    </w:p>
    <w:tbl>
      <w:tblPr>
        <w:tblStyle w:val="28"/>
        <w:tblW w:w="528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99"/>
        <w:gridCol w:w="1101"/>
        <w:gridCol w:w="1099"/>
        <w:gridCol w:w="1378"/>
        <w:gridCol w:w="1018"/>
        <w:gridCol w:w="23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6" w:type="pct"/>
            <w:vAlign w:val="center"/>
          </w:tcPr>
          <w:p>
            <w:pPr>
              <w:pStyle w:val="39"/>
              <w:rPr>
                <w:rFonts w:ascii="Times New Roman" w:hAnsi="Times New Roman"/>
              </w:rPr>
            </w:pPr>
            <w:r>
              <w:rPr>
                <w:rFonts w:ascii="Times New Roman" w:hAnsi="Times New Roman"/>
              </w:rPr>
              <w:t>管道名称</w:t>
            </w:r>
          </w:p>
        </w:tc>
        <w:tc>
          <w:tcPr>
            <w:tcW w:w="611" w:type="pct"/>
            <w:vAlign w:val="center"/>
          </w:tcPr>
          <w:p>
            <w:pPr>
              <w:pStyle w:val="39"/>
              <w:rPr>
                <w:rFonts w:ascii="Times New Roman" w:hAnsi="Times New Roman"/>
              </w:rPr>
            </w:pPr>
            <w:r>
              <w:rPr>
                <w:rFonts w:ascii="Times New Roman" w:hAnsi="Times New Roman"/>
              </w:rPr>
              <w:t>钢级</w:t>
            </w:r>
          </w:p>
        </w:tc>
        <w:tc>
          <w:tcPr>
            <w:tcW w:w="610" w:type="pct"/>
            <w:vAlign w:val="center"/>
          </w:tcPr>
          <w:p>
            <w:pPr>
              <w:pStyle w:val="39"/>
              <w:rPr>
                <w:rFonts w:ascii="Times New Roman" w:hAnsi="Times New Roman"/>
              </w:rPr>
            </w:pPr>
            <w:r>
              <w:rPr>
                <w:rFonts w:ascii="Times New Roman" w:hAnsi="Times New Roman"/>
              </w:rPr>
              <w:t>设计压力（MPa）</w:t>
            </w:r>
          </w:p>
        </w:tc>
        <w:tc>
          <w:tcPr>
            <w:tcW w:w="765" w:type="pct"/>
            <w:vAlign w:val="center"/>
          </w:tcPr>
          <w:p>
            <w:pPr>
              <w:pStyle w:val="39"/>
              <w:rPr>
                <w:rFonts w:ascii="Times New Roman" w:hAnsi="Times New Roman"/>
              </w:rPr>
            </w:pPr>
            <w:r>
              <w:rPr>
                <w:rFonts w:ascii="Times New Roman" w:hAnsi="Times New Roman"/>
              </w:rPr>
              <w:t>钢管外径</w:t>
            </w:r>
          </w:p>
          <w:p>
            <w:pPr>
              <w:pStyle w:val="39"/>
              <w:rPr>
                <w:rFonts w:ascii="Times New Roman" w:hAnsi="Times New Roman"/>
              </w:rPr>
            </w:pPr>
            <w:r>
              <w:rPr>
                <w:rFonts w:ascii="Times New Roman" w:hAnsi="Times New Roman"/>
              </w:rPr>
              <w:t>（mm）</w:t>
            </w:r>
          </w:p>
        </w:tc>
        <w:tc>
          <w:tcPr>
            <w:tcW w:w="565" w:type="pct"/>
            <w:vAlign w:val="center"/>
          </w:tcPr>
          <w:p>
            <w:pPr>
              <w:pStyle w:val="39"/>
              <w:rPr>
                <w:rFonts w:ascii="Times New Roman" w:hAnsi="Times New Roman"/>
              </w:rPr>
            </w:pPr>
            <w:r>
              <w:rPr>
                <w:rFonts w:ascii="Times New Roman" w:hAnsi="Times New Roman"/>
              </w:rPr>
              <w:t>壁厚（mm）</w:t>
            </w:r>
          </w:p>
        </w:tc>
        <w:tc>
          <w:tcPr>
            <w:tcW w:w="1284" w:type="pct"/>
            <w:vAlign w:val="center"/>
          </w:tcPr>
          <w:p>
            <w:pPr>
              <w:pStyle w:val="39"/>
              <w:rPr>
                <w:rFonts w:ascii="Times New Roman" w:hAnsi="Times New Roman"/>
              </w:rPr>
            </w:pPr>
            <w:r>
              <w:rPr>
                <w:rFonts w:ascii="Times New Roman" w:hAnsi="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6" w:type="pct"/>
            <w:vMerge w:val="restart"/>
            <w:vAlign w:val="center"/>
          </w:tcPr>
          <w:p>
            <w:pPr>
              <w:pStyle w:val="39"/>
              <w:rPr>
                <w:rFonts w:ascii="Times New Roman" w:hAnsi="Times New Roman"/>
              </w:rPr>
            </w:pPr>
            <w:r>
              <w:rPr>
                <w:rFonts w:ascii="Times New Roman" w:hAnsi="Times New Roman"/>
              </w:rPr>
              <w:t>DN200集气干线及联络线管道</w:t>
            </w:r>
          </w:p>
        </w:tc>
        <w:tc>
          <w:tcPr>
            <w:tcW w:w="611" w:type="pct"/>
            <w:vMerge w:val="restart"/>
            <w:vAlign w:val="center"/>
          </w:tcPr>
          <w:p>
            <w:pPr>
              <w:pStyle w:val="39"/>
              <w:rPr>
                <w:rFonts w:ascii="Times New Roman" w:hAnsi="Times New Roman"/>
              </w:rPr>
            </w:pPr>
            <w:r>
              <w:rPr>
                <w:rFonts w:ascii="Times New Roman" w:hAnsi="Times New Roman"/>
              </w:rPr>
              <w:t>L360QS</w:t>
            </w:r>
          </w:p>
        </w:tc>
        <w:tc>
          <w:tcPr>
            <w:tcW w:w="610" w:type="pct"/>
            <w:vMerge w:val="restart"/>
            <w:vAlign w:val="center"/>
          </w:tcPr>
          <w:p>
            <w:pPr>
              <w:pStyle w:val="39"/>
              <w:rPr>
                <w:rFonts w:ascii="Times New Roman" w:hAnsi="Times New Roman"/>
              </w:rPr>
            </w:pPr>
            <w:r>
              <w:rPr>
                <w:rFonts w:ascii="Times New Roman" w:hAnsi="Times New Roman"/>
              </w:rPr>
              <w:t>13</w:t>
            </w:r>
          </w:p>
        </w:tc>
        <w:tc>
          <w:tcPr>
            <w:tcW w:w="765" w:type="pct"/>
            <w:vAlign w:val="center"/>
          </w:tcPr>
          <w:p>
            <w:pPr>
              <w:pStyle w:val="39"/>
              <w:rPr>
                <w:rFonts w:ascii="Times New Roman" w:hAnsi="Times New Roman"/>
              </w:rPr>
            </w:pPr>
            <w:r>
              <w:rPr>
                <w:rFonts w:ascii="Times New Roman" w:hAnsi="Times New Roman"/>
              </w:rPr>
              <w:t>219.1</w:t>
            </w:r>
          </w:p>
        </w:tc>
        <w:tc>
          <w:tcPr>
            <w:tcW w:w="565" w:type="pct"/>
            <w:vAlign w:val="center"/>
          </w:tcPr>
          <w:p>
            <w:pPr>
              <w:pStyle w:val="39"/>
              <w:rPr>
                <w:rFonts w:ascii="Times New Roman" w:hAnsi="Times New Roman"/>
              </w:rPr>
            </w:pPr>
            <w:r>
              <w:rPr>
                <w:rFonts w:ascii="Times New Roman" w:hAnsi="Times New Roman"/>
              </w:rPr>
              <w:t>14.0</w:t>
            </w:r>
          </w:p>
        </w:tc>
        <w:tc>
          <w:tcPr>
            <w:tcW w:w="1284" w:type="pct"/>
            <w:vMerge w:val="restart"/>
            <w:vAlign w:val="center"/>
          </w:tcPr>
          <w:p>
            <w:pPr>
              <w:pStyle w:val="39"/>
              <w:rPr>
                <w:rFonts w:ascii="Times New Roman" w:hAnsi="Times New Roman"/>
              </w:rPr>
            </w:pPr>
            <w:r>
              <w:rPr>
                <w:rFonts w:ascii="Times New Roman" w:hAnsi="Times New Roman"/>
              </w:rPr>
              <w:t>一般段选取壁厚为12mm，进出站段、进出阀室段选取壁厚为14mm。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6" w:type="pct"/>
            <w:vMerge w:val="continue"/>
            <w:vAlign w:val="center"/>
          </w:tcPr>
          <w:p>
            <w:pPr>
              <w:pStyle w:val="39"/>
              <w:rPr>
                <w:rFonts w:ascii="Times New Roman" w:hAnsi="Times New Roman"/>
              </w:rPr>
            </w:pPr>
          </w:p>
        </w:tc>
        <w:tc>
          <w:tcPr>
            <w:tcW w:w="611" w:type="pct"/>
            <w:vMerge w:val="continue"/>
            <w:vAlign w:val="center"/>
          </w:tcPr>
          <w:p>
            <w:pPr>
              <w:pStyle w:val="39"/>
              <w:rPr>
                <w:rFonts w:ascii="Times New Roman" w:hAnsi="Times New Roman"/>
              </w:rPr>
            </w:pPr>
          </w:p>
        </w:tc>
        <w:tc>
          <w:tcPr>
            <w:tcW w:w="610" w:type="pct"/>
            <w:vMerge w:val="continue"/>
            <w:vAlign w:val="center"/>
          </w:tcPr>
          <w:p>
            <w:pPr>
              <w:pStyle w:val="39"/>
              <w:rPr>
                <w:rFonts w:ascii="Times New Roman" w:hAnsi="Times New Roman"/>
              </w:rPr>
            </w:pPr>
          </w:p>
        </w:tc>
        <w:tc>
          <w:tcPr>
            <w:tcW w:w="765" w:type="pct"/>
            <w:vAlign w:val="center"/>
          </w:tcPr>
          <w:p>
            <w:pPr>
              <w:pStyle w:val="39"/>
              <w:rPr>
                <w:rFonts w:ascii="Times New Roman" w:hAnsi="Times New Roman"/>
              </w:rPr>
            </w:pPr>
            <w:r>
              <w:rPr>
                <w:rFonts w:ascii="Times New Roman" w:hAnsi="Times New Roman"/>
              </w:rPr>
              <w:t>219.1</w:t>
            </w:r>
          </w:p>
        </w:tc>
        <w:tc>
          <w:tcPr>
            <w:tcW w:w="565" w:type="pct"/>
            <w:vAlign w:val="center"/>
          </w:tcPr>
          <w:p>
            <w:pPr>
              <w:pStyle w:val="39"/>
              <w:rPr>
                <w:rFonts w:ascii="Times New Roman" w:hAnsi="Times New Roman"/>
              </w:rPr>
            </w:pPr>
            <w:r>
              <w:rPr>
                <w:rFonts w:ascii="Times New Roman" w:hAnsi="Times New Roman"/>
              </w:rPr>
              <w:t>12.0</w:t>
            </w:r>
          </w:p>
        </w:tc>
        <w:tc>
          <w:tcPr>
            <w:tcW w:w="1284" w:type="pct"/>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6" w:type="pct"/>
            <w:vMerge w:val="restart"/>
            <w:vAlign w:val="center"/>
          </w:tcPr>
          <w:p>
            <w:pPr>
              <w:pStyle w:val="39"/>
              <w:rPr>
                <w:rFonts w:ascii="Times New Roman" w:hAnsi="Times New Roman"/>
              </w:rPr>
            </w:pPr>
            <w:r>
              <w:rPr>
                <w:rFonts w:ascii="Times New Roman" w:hAnsi="Times New Roman"/>
              </w:rPr>
              <w:t>DN150集气支线管道</w:t>
            </w:r>
          </w:p>
        </w:tc>
        <w:tc>
          <w:tcPr>
            <w:tcW w:w="611" w:type="pct"/>
            <w:vMerge w:val="restart"/>
            <w:vAlign w:val="center"/>
          </w:tcPr>
          <w:p>
            <w:pPr>
              <w:pStyle w:val="39"/>
              <w:rPr>
                <w:rFonts w:ascii="Times New Roman" w:hAnsi="Times New Roman"/>
              </w:rPr>
            </w:pPr>
            <w:r>
              <w:rPr>
                <w:rFonts w:ascii="Times New Roman" w:hAnsi="Times New Roman"/>
              </w:rPr>
              <w:t>L360QS</w:t>
            </w:r>
          </w:p>
        </w:tc>
        <w:tc>
          <w:tcPr>
            <w:tcW w:w="610" w:type="pct"/>
            <w:vMerge w:val="restart"/>
            <w:vAlign w:val="center"/>
          </w:tcPr>
          <w:p>
            <w:pPr>
              <w:pStyle w:val="39"/>
              <w:rPr>
                <w:rFonts w:ascii="Times New Roman" w:hAnsi="Times New Roman"/>
              </w:rPr>
            </w:pPr>
            <w:r>
              <w:rPr>
                <w:rFonts w:ascii="Times New Roman" w:hAnsi="Times New Roman"/>
              </w:rPr>
              <w:t>13</w:t>
            </w:r>
          </w:p>
        </w:tc>
        <w:tc>
          <w:tcPr>
            <w:tcW w:w="765" w:type="pct"/>
            <w:vAlign w:val="center"/>
          </w:tcPr>
          <w:p>
            <w:pPr>
              <w:pStyle w:val="39"/>
              <w:rPr>
                <w:rFonts w:ascii="Times New Roman" w:hAnsi="Times New Roman"/>
              </w:rPr>
            </w:pPr>
            <w:r>
              <w:rPr>
                <w:rFonts w:ascii="Times New Roman" w:hAnsi="Times New Roman"/>
              </w:rPr>
              <w:t>168.3</w:t>
            </w:r>
          </w:p>
        </w:tc>
        <w:tc>
          <w:tcPr>
            <w:tcW w:w="565" w:type="pct"/>
            <w:vAlign w:val="center"/>
          </w:tcPr>
          <w:p>
            <w:pPr>
              <w:pStyle w:val="39"/>
              <w:rPr>
                <w:rFonts w:ascii="Times New Roman" w:hAnsi="Times New Roman"/>
              </w:rPr>
            </w:pPr>
            <w:r>
              <w:rPr>
                <w:rFonts w:ascii="Times New Roman" w:hAnsi="Times New Roman"/>
              </w:rPr>
              <w:t>12.0</w:t>
            </w:r>
          </w:p>
        </w:tc>
        <w:tc>
          <w:tcPr>
            <w:tcW w:w="1284" w:type="pct"/>
            <w:vMerge w:val="restart"/>
            <w:vAlign w:val="center"/>
          </w:tcPr>
          <w:p>
            <w:pPr>
              <w:pStyle w:val="39"/>
              <w:rPr>
                <w:rFonts w:ascii="Times New Roman" w:hAnsi="Times New Roman"/>
              </w:rPr>
            </w:pPr>
            <w:r>
              <w:rPr>
                <w:rFonts w:ascii="Times New Roman" w:hAnsi="Times New Roman"/>
              </w:rPr>
              <w:t>一般段选取壁厚为10.5mm，进出站段选取壁厚为12mm。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6" w:type="pct"/>
            <w:vMerge w:val="continue"/>
            <w:vAlign w:val="center"/>
          </w:tcPr>
          <w:p>
            <w:pPr>
              <w:pStyle w:val="39"/>
              <w:rPr>
                <w:rFonts w:ascii="Times New Roman" w:hAnsi="Times New Roman"/>
              </w:rPr>
            </w:pPr>
          </w:p>
        </w:tc>
        <w:tc>
          <w:tcPr>
            <w:tcW w:w="611" w:type="pct"/>
            <w:vMerge w:val="continue"/>
            <w:vAlign w:val="center"/>
          </w:tcPr>
          <w:p>
            <w:pPr>
              <w:pStyle w:val="39"/>
              <w:rPr>
                <w:rFonts w:ascii="Times New Roman" w:hAnsi="Times New Roman"/>
              </w:rPr>
            </w:pPr>
          </w:p>
        </w:tc>
        <w:tc>
          <w:tcPr>
            <w:tcW w:w="610" w:type="pct"/>
            <w:vMerge w:val="continue"/>
            <w:vAlign w:val="center"/>
          </w:tcPr>
          <w:p>
            <w:pPr>
              <w:pStyle w:val="39"/>
              <w:rPr>
                <w:rFonts w:ascii="Times New Roman" w:hAnsi="Times New Roman"/>
              </w:rPr>
            </w:pPr>
          </w:p>
        </w:tc>
        <w:tc>
          <w:tcPr>
            <w:tcW w:w="765" w:type="pct"/>
            <w:vAlign w:val="center"/>
          </w:tcPr>
          <w:p>
            <w:pPr>
              <w:pStyle w:val="39"/>
              <w:rPr>
                <w:rFonts w:ascii="Times New Roman" w:hAnsi="Times New Roman"/>
              </w:rPr>
            </w:pPr>
            <w:r>
              <w:rPr>
                <w:rFonts w:ascii="Times New Roman" w:hAnsi="Times New Roman"/>
              </w:rPr>
              <w:t>168.3</w:t>
            </w:r>
          </w:p>
        </w:tc>
        <w:tc>
          <w:tcPr>
            <w:tcW w:w="565" w:type="pct"/>
            <w:vAlign w:val="center"/>
          </w:tcPr>
          <w:p>
            <w:pPr>
              <w:pStyle w:val="39"/>
              <w:rPr>
                <w:rFonts w:ascii="Times New Roman" w:hAnsi="Times New Roman"/>
              </w:rPr>
            </w:pPr>
            <w:r>
              <w:rPr>
                <w:rFonts w:ascii="Times New Roman" w:hAnsi="Times New Roman"/>
              </w:rPr>
              <w:t>10.5</w:t>
            </w:r>
          </w:p>
        </w:tc>
        <w:tc>
          <w:tcPr>
            <w:tcW w:w="1284" w:type="pct"/>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6" w:type="pct"/>
            <w:vAlign w:val="center"/>
          </w:tcPr>
          <w:p>
            <w:pPr>
              <w:pStyle w:val="39"/>
              <w:rPr>
                <w:rFonts w:ascii="Times New Roman" w:hAnsi="Times New Roman"/>
              </w:rPr>
            </w:pPr>
            <w:r>
              <w:rPr>
                <w:rFonts w:ascii="Times New Roman" w:hAnsi="Times New Roman"/>
              </w:rPr>
              <w:t>DN80燃料气管道</w:t>
            </w:r>
          </w:p>
        </w:tc>
        <w:tc>
          <w:tcPr>
            <w:tcW w:w="611" w:type="pct"/>
            <w:vAlign w:val="center"/>
          </w:tcPr>
          <w:p>
            <w:pPr>
              <w:pStyle w:val="39"/>
              <w:rPr>
                <w:rFonts w:ascii="Times New Roman" w:hAnsi="Times New Roman"/>
              </w:rPr>
            </w:pPr>
            <w:r>
              <w:rPr>
                <w:rFonts w:ascii="Times New Roman" w:hAnsi="Times New Roman"/>
              </w:rPr>
              <w:t>L245N</w:t>
            </w:r>
          </w:p>
        </w:tc>
        <w:tc>
          <w:tcPr>
            <w:tcW w:w="610" w:type="pct"/>
            <w:vAlign w:val="center"/>
          </w:tcPr>
          <w:p>
            <w:pPr>
              <w:pStyle w:val="39"/>
              <w:rPr>
                <w:rFonts w:ascii="Times New Roman" w:hAnsi="Times New Roman"/>
              </w:rPr>
            </w:pPr>
            <w:r>
              <w:rPr>
                <w:rFonts w:ascii="Times New Roman" w:hAnsi="Times New Roman"/>
              </w:rPr>
              <w:t>4</w:t>
            </w:r>
          </w:p>
        </w:tc>
        <w:tc>
          <w:tcPr>
            <w:tcW w:w="765" w:type="pct"/>
            <w:vAlign w:val="center"/>
          </w:tcPr>
          <w:p>
            <w:pPr>
              <w:pStyle w:val="39"/>
              <w:rPr>
                <w:rFonts w:ascii="Times New Roman" w:hAnsi="Times New Roman"/>
              </w:rPr>
            </w:pPr>
            <w:r>
              <w:rPr>
                <w:rFonts w:ascii="Times New Roman" w:hAnsi="Times New Roman"/>
              </w:rPr>
              <w:t>88.9</w:t>
            </w:r>
          </w:p>
        </w:tc>
        <w:tc>
          <w:tcPr>
            <w:tcW w:w="565" w:type="pct"/>
            <w:vAlign w:val="center"/>
          </w:tcPr>
          <w:p>
            <w:pPr>
              <w:pStyle w:val="39"/>
              <w:rPr>
                <w:rFonts w:ascii="Times New Roman" w:hAnsi="Times New Roman"/>
              </w:rPr>
            </w:pPr>
            <w:r>
              <w:rPr>
                <w:rFonts w:ascii="Times New Roman" w:hAnsi="Times New Roman"/>
              </w:rPr>
              <w:t>5</w:t>
            </w:r>
          </w:p>
        </w:tc>
        <w:tc>
          <w:tcPr>
            <w:tcW w:w="1284" w:type="pct"/>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6" w:type="pct"/>
            <w:vAlign w:val="center"/>
          </w:tcPr>
          <w:p>
            <w:pPr>
              <w:pStyle w:val="39"/>
              <w:rPr>
                <w:rFonts w:ascii="Times New Roman" w:hAnsi="Times New Roman"/>
              </w:rPr>
            </w:pPr>
            <w:r>
              <w:rPr>
                <w:rFonts w:ascii="Times New Roman" w:hAnsi="Times New Roman"/>
              </w:rPr>
              <w:t>DN50 燃料气管道</w:t>
            </w:r>
          </w:p>
        </w:tc>
        <w:tc>
          <w:tcPr>
            <w:tcW w:w="611" w:type="pct"/>
            <w:vAlign w:val="center"/>
          </w:tcPr>
          <w:p>
            <w:pPr>
              <w:pStyle w:val="39"/>
              <w:rPr>
                <w:rFonts w:ascii="Times New Roman" w:hAnsi="Times New Roman"/>
              </w:rPr>
            </w:pPr>
            <w:r>
              <w:rPr>
                <w:rFonts w:ascii="Times New Roman" w:hAnsi="Times New Roman"/>
              </w:rPr>
              <w:t>L245N</w:t>
            </w:r>
          </w:p>
        </w:tc>
        <w:tc>
          <w:tcPr>
            <w:tcW w:w="610" w:type="pct"/>
            <w:vAlign w:val="center"/>
          </w:tcPr>
          <w:p>
            <w:pPr>
              <w:pStyle w:val="39"/>
              <w:rPr>
                <w:rFonts w:ascii="Times New Roman" w:hAnsi="Times New Roman"/>
              </w:rPr>
            </w:pPr>
            <w:r>
              <w:rPr>
                <w:rFonts w:ascii="Times New Roman" w:hAnsi="Times New Roman"/>
              </w:rPr>
              <w:t>4</w:t>
            </w:r>
          </w:p>
        </w:tc>
        <w:tc>
          <w:tcPr>
            <w:tcW w:w="765" w:type="pct"/>
            <w:vAlign w:val="center"/>
          </w:tcPr>
          <w:p>
            <w:pPr>
              <w:pStyle w:val="39"/>
              <w:rPr>
                <w:rFonts w:ascii="Times New Roman" w:hAnsi="Times New Roman"/>
              </w:rPr>
            </w:pPr>
            <w:r>
              <w:rPr>
                <w:rFonts w:ascii="Times New Roman" w:hAnsi="Times New Roman"/>
              </w:rPr>
              <w:t>60.3</w:t>
            </w:r>
          </w:p>
        </w:tc>
        <w:tc>
          <w:tcPr>
            <w:tcW w:w="565" w:type="pct"/>
            <w:vAlign w:val="center"/>
          </w:tcPr>
          <w:p>
            <w:pPr>
              <w:pStyle w:val="39"/>
              <w:rPr>
                <w:rFonts w:ascii="Times New Roman" w:hAnsi="Times New Roman"/>
              </w:rPr>
            </w:pPr>
            <w:r>
              <w:rPr>
                <w:rFonts w:ascii="Times New Roman" w:hAnsi="Times New Roman"/>
              </w:rPr>
              <w:t>5</w:t>
            </w:r>
          </w:p>
        </w:tc>
        <w:tc>
          <w:tcPr>
            <w:tcW w:w="1284" w:type="pct"/>
            <w:vAlign w:val="center"/>
          </w:tcPr>
          <w:p>
            <w:pPr>
              <w:pStyle w:val="39"/>
              <w:rPr>
                <w:rFonts w:ascii="Times New Roman" w:hAnsi="Times New Roman"/>
              </w:rPr>
            </w:pPr>
            <w:r>
              <w:rPr>
                <w:rFonts w:ascii="Times New Roman" w:hAnsi="Times New Roman"/>
              </w:rPr>
              <w:t>/</w:t>
            </w:r>
          </w:p>
        </w:tc>
      </w:tr>
    </w:tbl>
    <w:p>
      <w:pPr>
        <w:pStyle w:val="5"/>
        <w:rPr>
          <w:rFonts w:ascii="Times New Roman" w:hAnsi="Times New Roman"/>
        </w:rPr>
      </w:pPr>
      <w:r>
        <w:rPr>
          <w:rFonts w:ascii="Times New Roman" w:hAnsi="Times New Roman"/>
        </w:rPr>
        <w:t>管道敷设</w:t>
      </w:r>
    </w:p>
    <w:p>
      <w:pPr>
        <w:ind w:firstLine="480"/>
        <w:rPr>
          <w:rFonts w:ascii="Times New Roman" w:hAnsi="Times New Roman"/>
        </w:rPr>
      </w:pPr>
      <w:r>
        <w:rPr>
          <w:rFonts w:ascii="Times New Roman" w:hAnsi="Times New Roman"/>
        </w:rPr>
        <w:t>（1）敷设方式</w:t>
      </w:r>
    </w:p>
    <w:p>
      <w:pPr>
        <w:ind w:firstLine="480"/>
        <w:rPr>
          <w:rFonts w:ascii="Times New Roman" w:hAnsi="Times New Roman"/>
        </w:rPr>
      </w:pPr>
      <w:r>
        <w:rPr>
          <w:rFonts w:ascii="Times New Roman" w:hAnsi="Times New Roman"/>
        </w:rPr>
        <w:t>工程管线全线采用沟埋敷设，燃料气管道和与集气管道、通信光缆同沟敷设，管道安装完毕后，立即进行地面和路面的植被恢复。</w:t>
      </w:r>
    </w:p>
    <w:p>
      <w:pPr>
        <w:ind w:firstLine="480"/>
        <w:rPr>
          <w:rFonts w:ascii="Times New Roman" w:hAnsi="Times New Roman"/>
        </w:rPr>
      </w:pPr>
      <w:r>
        <w:rPr>
          <w:rFonts w:ascii="Times New Roman" w:hAnsi="Times New Roman"/>
        </w:rPr>
        <w:t>（2）管沟埋深</w:t>
      </w:r>
    </w:p>
    <w:p>
      <w:pPr>
        <w:ind w:firstLine="480"/>
        <w:rPr>
          <w:rFonts w:ascii="Times New Roman" w:hAnsi="Times New Roman"/>
        </w:rPr>
      </w:pPr>
      <w:r>
        <w:rPr>
          <w:rFonts w:ascii="Times New Roman" w:hAnsi="Times New Roman"/>
        </w:rPr>
        <w:t>本工程管顶覆土厚度一般不小于1.5m。对于石方段，管沟开挖须超挖0.3m，并回填细土，细土回填之后要压实，并测量记录，保证管道下方的细土层压实之后的厚度不小于0.3m，以免防腐层受损。</w:t>
      </w:r>
    </w:p>
    <w:p>
      <w:pPr>
        <w:ind w:firstLine="480"/>
        <w:rPr>
          <w:rFonts w:ascii="Times New Roman" w:hAnsi="Times New Roman"/>
        </w:rPr>
      </w:pPr>
      <w:r>
        <w:rPr>
          <w:rFonts w:ascii="Times New Roman" w:hAnsi="Times New Roman"/>
        </w:rPr>
        <w:t>高后果区管道埋深，土方段埋深不小于1.2m，岩石段埋深不小于1m；</w:t>
      </w:r>
    </w:p>
    <w:p>
      <w:pPr>
        <w:ind w:firstLine="480"/>
        <w:rPr>
          <w:rFonts w:ascii="Times New Roman" w:hAnsi="Times New Roman"/>
        </w:rPr>
      </w:pPr>
      <w:r>
        <w:rPr>
          <w:rFonts w:ascii="Times New Roman" w:hAnsi="Times New Roman"/>
        </w:rPr>
        <w:t>（3）施工作业带</w:t>
      </w:r>
    </w:p>
    <w:p>
      <w:pPr>
        <w:ind w:firstLine="480"/>
        <w:rPr>
          <w:rFonts w:ascii="Times New Roman" w:hAnsi="Times New Roman"/>
        </w:rPr>
      </w:pPr>
      <w:r>
        <w:rPr>
          <w:rFonts w:ascii="Times New Roman" w:hAnsi="Times New Roman"/>
        </w:rPr>
        <w:t>本项目施工作业带宽度约8～16m，穿越林地施工时，尽量减小施工作业带宽度。本项目施工作业带宽度见</w:t>
      </w:r>
      <w:r>
        <w:rPr>
          <w:rFonts w:ascii="Times New Roman" w:hAnsi="Times New Roman"/>
        </w:rPr>
        <w:fldChar w:fldCharType="begin"/>
      </w:r>
      <w:r>
        <w:rPr>
          <w:rFonts w:ascii="Times New Roman" w:hAnsi="Times New Roman"/>
        </w:rPr>
        <w:instrText xml:space="preserve"> REF _Ref153545605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9</w:t>
      </w:r>
      <w:r>
        <w:rPr>
          <w:rFonts w:ascii="Times New Roman" w:hAnsi="Times New Roman"/>
        </w:rPr>
        <w:fldChar w:fldCharType="end"/>
      </w:r>
    </w:p>
    <w:p>
      <w:pPr>
        <w:ind w:firstLine="480"/>
        <w:rPr>
          <w:rFonts w:ascii="Times New Roman" w:hAnsi="Times New Roman"/>
        </w:rPr>
      </w:pPr>
    </w:p>
    <w:p>
      <w:pPr>
        <w:ind w:firstLine="480"/>
        <w:rPr>
          <w:rFonts w:ascii="Times New Roman" w:hAnsi="Times New Roman"/>
        </w:rPr>
      </w:pPr>
    </w:p>
    <w:p>
      <w:pPr>
        <w:pStyle w:val="37"/>
        <w:rPr>
          <w:rFonts w:ascii="Times New Roman" w:hAnsi="Times New Roman" w:cs="Times New Roman"/>
        </w:rPr>
      </w:pPr>
      <w:bookmarkStart w:id="59" w:name="_Ref153545605"/>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bookmarkEnd w:id="59"/>
      <w:r>
        <w:rPr>
          <w:rFonts w:ascii="Times New Roman" w:hAnsi="Times New Roman" w:cs="Times New Roman"/>
        </w:rPr>
        <w:t xml:space="preserve">  本项目施工作业宽度一览表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6"/>
        <w:gridCol w:w="884"/>
        <w:gridCol w:w="1105"/>
        <w:gridCol w:w="992"/>
        <w:gridCol w:w="1305"/>
        <w:gridCol w:w="29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vMerge w:val="restart"/>
            <w:vAlign w:val="center"/>
          </w:tcPr>
          <w:p>
            <w:pPr>
              <w:pStyle w:val="39"/>
              <w:rPr>
                <w:rFonts w:ascii="Times New Roman" w:hAnsi="Times New Roman"/>
              </w:rPr>
            </w:pPr>
            <w:bookmarkStart w:id="60" w:name="_Hlk155948624"/>
            <w:r>
              <w:rPr>
                <w:rFonts w:ascii="Times New Roman" w:hAnsi="Times New Roman"/>
              </w:rPr>
              <w:t>管道名称</w:t>
            </w:r>
          </w:p>
        </w:tc>
        <w:tc>
          <w:tcPr>
            <w:tcW w:w="884" w:type="dxa"/>
            <w:vMerge w:val="restart"/>
            <w:vAlign w:val="center"/>
          </w:tcPr>
          <w:p>
            <w:pPr>
              <w:pStyle w:val="39"/>
              <w:rPr>
                <w:rFonts w:ascii="Times New Roman" w:hAnsi="Times New Roman"/>
              </w:rPr>
            </w:pPr>
            <w:r>
              <w:rPr>
                <w:rFonts w:ascii="Times New Roman" w:hAnsi="Times New Roman"/>
              </w:rPr>
              <w:t>管径</w:t>
            </w:r>
          </w:p>
        </w:tc>
        <w:tc>
          <w:tcPr>
            <w:tcW w:w="3402" w:type="dxa"/>
            <w:gridSpan w:val="3"/>
            <w:vAlign w:val="center"/>
          </w:tcPr>
          <w:p>
            <w:pPr>
              <w:pStyle w:val="39"/>
              <w:rPr>
                <w:rFonts w:ascii="Times New Roman" w:hAnsi="Times New Roman"/>
              </w:rPr>
            </w:pPr>
            <w:r>
              <w:rPr>
                <w:rFonts w:ascii="Times New Roman" w:hAnsi="Times New Roman"/>
              </w:rPr>
              <w:t>作业带宽度（m）</w:t>
            </w:r>
          </w:p>
        </w:tc>
        <w:tc>
          <w:tcPr>
            <w:tcW w:w="2914" w:type="dxa"/>
            <w:vMerge w:val="restart"/>
            <w:vAlign w:val="center"/>
          </w:tcPr>
          <w:p>
            <w:pPr>
              <w:pStyle w:val="39"/>
              <w:rPr>
                <w:rFonts w:ascii="Times New Roman" w:hAnsi="Times New Roman"/>
              </w:rPr>
            </w:pPr>
            <w:r>
              <w:rPr>
                <w:rFonts w:ascii="Times New Roman" w:hAnsi="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vMerge w:val="continue"/>
            <w:vAlign w:val="center"/>
          </w:tcPr>
          <w:p>
            <w:pPr>
              <w:pStyle w:val="39"/>
              <w:rPr>
                <w:rFonts w:ascii="Times New Roman" w:hAnsi="Times New Roman"/>
              </w:rPr>
            </w:pPr>
          </w:p>
        </w:tc>
        <w:tc>
          <w:tcPr>
            <w:tcW w:w="884" w:type="dxa"/>
            <w:vMerge w:val="continue"/>
            <w:vAlign w:val="center"/>
          </w:tcPr>
          <w:p>
            <w:pPr>
              <w:pStyle w:val="39"/>
              <w:rPr>
                <w:rFonts w:ascii="Times New Roman" w:hAnsi="Times New Roman"/>
              </w:rPr>
            </w:pPr>
          </w:p>
        </w:tc>
        <w:tc>
          <w:tcPr>
            <w:tcW w:w="1105" w:type="dxa"/>
            <w:vAlign w:val="center"/>
          </w:tcPr>
          <w:p>
            <w:pPr>
              <w:pStyle w:val="39"/>
              <w:rPr>
                <w:rFonts w:ascii="Times New Roman" w:hAnsi="Times New Roman"/>
              </w:rPr>
            </w:pPr>
            <w:r>
              <w:rPr>
                <w:rFonts w:ascii="Times New Roman" w:hAnsi="Times New Roman"/>
              </w:rPr>
              <w:t>水田</w:t>
            </w:r>
          </w:p>
        </w:tc>
        <w:tc>
          <w:tcPr>
            <w:tcW w:w="992" w:type="dxa"/>
            <w:vAlign w:val="center"/>
          </w:tcPr>
          <w:p>
            <w:pPr>
              <w:pStyle w:val="39"/>
              <w:rPr>
                <w:rFonts w:ascii="Times New Roman" w:hAnsi="Times New Roman"/>
              </w:rPr>
            </w:pPr>
            <w:r>
              <w:rPr>
                <w:rFonts w:ascii="Times New Roman" w:hAnsi="Times New Roman"/>
              </w:rPr>
              <w:t>旱地</w:t>
            </w:r>
          </w:p>
        </w:tc>
        <w:tc>
          <w:tcPr>
            <w:tcW w:w="1305" w:type="dxa"/>
            <w:vAlign w:val="center"/>
          </w:tcPr>
          <w:p>
            <w:pPr>
              <w:pStyle w:val="39"/>
              <w:rPr>
                <w:rFonts w:ascii="Times New Roman" w:hAnsi="Times New Roman"/>
              </w:rPr>
            </w:pPr>
            <w:r>
              <w:rPr>
                <w:rFonts w:ascii="Times New Roman" w:hAnsi="Times New Roman"/>
              </w:rPr>
              <w:t>林地</w:t>
            </w:r>
          </w:p>
        </w:tc>
        <w:tc>
          <w:tcPr>
            <w:tcW w:w="2914"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vMerge w:val="restart"/>
            <w:vAlign w:val="center"/>
          </w:tcPr>
          <w:p>
            <w:pPr>
              <w:pStyle w:val="39"/>
              <w:rPr>
                <w:rFonts w:ascii="Times New Roman" w:hAnsi="Times New Roman"/>
              </w:rPr>
            </w:pPr>
            <w:r>
              <w:rPr>
                <w:rFonts w:ascii="Times New Roman" w:hAnsi="Times New Roman"/>
              </w:rPr>
              <w:t>集气干线</w:t>
            </w:r>
          </w:p>
        </w:tc>
        <w:tc>
          <w:tcPr>
            <w:tcW w:w="884" w:type="dxa"/>
            <w:vMerge w:val="restart"/>
            <w:vAlign w:val="center"/>
          </w:tcPr>
          <w:p>
            <w:pPr>
              <w:pStyle w:val="39"/>
              <w:rPr>
                <w:rFonts w:ascii="Times New Roman" w:hAnsi="Times New Roman"/>
              </w:rPr>
            </w:pPr>
            <w:r>
              <w:rPr>
                <w:rFonts w:ascii="Times New Roman" w:hAnsi="Times New Roman"/>
              </w:rPr>
              <w:t>DN200</w:t>
            </w:r>
          </w:p>
        </w:tc>
        <w:tc>
          <w:tcPr>
            <w:tcW w:w="1105" w:type="dxa"/>
            <w:vAlign w:val="center"/>
          </w:tcPr>
          <w:p>
            <w:pPr>
              <w:pStyle w:val="39"/>
              <w:rPr>
                <w:rFonts w:ascii="Times New Roman" w:hAnsi="Times New Roman"/>
              </w:rPr>
            </w:pPr>
            <w:r>
              <w:rPr>
                <w:rFonts w:ascii="Times New Roman" w:hAnsi="Times New Roman"/>
              </w:rPr>
              <w:t>16</w:t>
            </w:r>
          </w:p>
        </w:tc>
        <w:tc>
          <w:tcPr>
            <w:tcW w:w="992" w:type="dxa"/>
            <w:vAlign w:val="center"/>
          </w:tcPr>
          <w:p>
            <w:pPr>
              <w:pStyle w:val="39"/>
              <w:rPr>
                <w:rFonts w:ascii="Times New Roman" w:hAnsi="Times New Roman"/>
              </w:rPr>
            </w:pPr>
            <w:r>
              <w:rPr>
                <w:rFonts w:ascii="Times New Roman" w:hAnsi="Times New Roman"/>
              </w:rPr>
              <w:t>14</w:t>
            </w:r>
          </w:p>
        </w:tc>
        <w:tc>
          <w:tcPr>
            <w:tcW w:w="1305" w:type="dxa"/>
            <w:vAlign w:val="center"/>
          </w:tcPr>
          <w:p>
            <w:pPr>
              <w:pStyle w:val="39"/>
              <w:rPr>
                <w:rFonts w:ascii="Times New Roman" w:hAnsi="Times New Roman"/>
              </w:rPr>
            </w:pPr>
            <w:r>
              <w:rPr>
                <w:rFonts w:ascii="Times New Roman" w:hAnsi="Times New Roman"/>
              </w:rPr>
              <w:t>14</w:t>
            </w:r>
          </w:p>
        </w:tc>
        <w:tc>
          <w:tcPr>
            <w:tcW w:w="2914" w:type="dxa"/>
            <w:vAlign w:val="center"/>
          </w:tcPr>
          <w:p>
            <w:pPr>
              <w:pStyle w:val="39"/>
              <w:rPr>
                <w:rFonts w:ascii="Times New Roman" w:hAnsi="Times New Roman"/>
              </w:rPr>
            </w:pPr>
            <w:r>
              <w:rPr>
                <w:rFonts w:ascii="Times New Roman" w:hAnsi="Times New Roman"/>
              </w:rPr>
              <w:t>DN200+DN150+DN80+光缆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vMerge w:val="continue"/>
            <w:vAlign w:val="center"/>
          </w:tcPr>
          <w:p>
            <w:pPr>
              <w:pStyle w:val="39"/>
              <w:rPr>
                <w:rFonts w:ascii="Times New Roman" w:hAnsi="Times New Roman"/>
              </w:rPr>
            </w:pPr>
          </w:p>
        </w:tc>
        <w:tc>
          <w:tcPr>
            <w:tcW w:w="884" w:type="dxa"/>
            <w:vMerge w:val="continue"/>
            <w:vAlign w:val="center"/>
          </w:tcPr>
          <w:p>
            <w:pPr>
              <w:pStyle w:val="39"/>
              <w:rPr>
                <w:rFonts w:ascii="Times New Roman" w:hAnsi="Times New Roman"/>
              </w:rPr>
            </w:pPr>
          </w:p>
        </w:tc>
        <w:tc>
          <w:tcPr>
            <w:tcW w:w="1105" w:type="dxa"/>
            <w:vAlign w:val="center"/>
          </w:tcPr>
          <w:p>
            <w:pPr>
              <w:pStyle w:val="39"/>
              <w:rPr>
                <w:rFonts w:ascii="Times New Roman" w:hAnsi="Times New Roman"/>
              </w:rPr>
            </w:pPr>
            <w:r>
              <w:rPr>
                <w:rFonts w:ascii="Times New Roman" w:hAnsi="Times New Roman"/>
              </w:rPr>
              <w:t>14</w:t>
            </w:r>
          </w:p>
        </w:tc>
        <w:tc>
          <w:tcPr>
            <w:tcW w:w="992" w:type="dxa"/>
            <w:vAlign w:val="center"/>
          </w:tcPr>
          <w:p>
            <w:pPr>
              <w:pStyle w:val="39"/>
              <w:rPr>
                <w:rFonts w:ascii="Times New Roman" w:hAnsi="Times New Roman"/>
              </w:rPr>
            </w:pPr>
            <w:r>
              <w:rPr>
                <w:rFonts w:ascii="Times New Roman" w:hAnsi="Times New Roman"/>
              </w:rPr>
              <w:t>12</w:t>
            </w:r>
          </w:p>
        </w:tc>
        <w:tc>
          <w:tcPr>
            <w:tcW w:w="1305" w:type="dxa"/>
            <w:vAlign w:val="center"/>
          </w:tcPr>
          <w:p>
            <w:pPr>
              <w:pStyle w:val="39"/>
              <w:rPr>
                <w:rFonts w:ascii="Times New Roman" w:hAnsi="Times New Roman"/>
              </w:rPr>
            </w:pPr>
            <w:r>
              <w:rPr>
                <w:rFonts w:ascii="Times New Roman" w:hAnsi="Times New Roman"/>
              </w:rPr>
              <w:t>12</w:t>
            </w:r>
          </w:p>
        </w:tc>
        <w:tc>
          <w:tcPr>
            <w:tcW w:w="2914" w:type="dxa"/>
            <w:vAlign w:val="center"/>
          </w:tcPr>
          <w:p>
            <w:pPr>
              <w:pStyle w:val="39"/>
              <w:rPr>
                <w:rFonts w:ascii="Times New Roman" w:hAnsi="Times New Roman"/>
              </w:rPr>
            </w:pPr>
            <w:r>
              <w:rPr>
                <w:rFonts w:ascii="Times New Roman" w:hAnsi="Times New Roman"/>
              </w:rPr>
              <w:t>DN200+ DN80+光缆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vMerge w:val="continue"/>
            <w:vAlign w:val="center"/>
          </w:tcPr>
          <w:p>
            <w:pPr>
              <w:pStyle w:val="39"/>
              <w:rPr>
                <w:rFonts w:ascii="Times New Roman" w:hAnsi="Times New Roman"/>
              </w:rPr>
            </w:pPr>
          </w:p>
        </w:tc>
        <w:tc>
          <w:tcPr>
            <w:tcW w:w="884" w:type="dxa"/>
            <w:vMerge w:val="continue"/>
            <w:vAlign w:val="center"/>
          </w:tcPr>
          <w:p>
            <w:pPr>
              <w:pStyle w:val="39"/>
              <w:rPr>
                <w:rFonts w:ascii="Times New Roman" w:hAnsi="Times New Roman"/>
              </w:rPr>
            </w:pPr>
          </w:p>
        </w:tc>
        <w:tc>
          <w:tcPr>
            <w:tcW w:w="1105" w:type="dxa"/>
            <w:vAlign w:val="center"/>
          </w:tcPr>
          <w:p>
            <w:pPr>
              <w:pStyle w:val="39"/>
              <w:rPr>
                <w:rFonts w:ascii="Times New Roman" w:hAnsi="Times New Roman"/>
              </w:rPr>
            </w:pPr>
            <w:r>
              <w:rPr>
                <w:rFonts w:ascii="Times New Roman" w:hAnsi="Times New Roman"/>
              </w:rPr>
              <w:t>12</w:t>
            </w:r>
          </w:p>
        </w:tc>
        <w:tc>
          <w:tcPr>
            <w:tcW w:w="992" w:type="dxa"/>
            <w:vAlign w:val="center"/>
          </w:tcPr>
          <w:p>
            <w:pPr>
              <w:pStyle w:val="39"/>
              <w:rPr>
                <w:rFonts w:ascii="Times New Roman" w:hAnsi="Times New Roman"/>
              </w:rPr>
            </w:pPr>
            <w:r>
              <w:rPr>
                <w:rFonts w:ascii="Times New Roman" w:hAnsi="Times New Roman"/>
              </w:rPr>
              <w:t>10</w:t>
            </w:r>
          </w:p>
        </w:tc>
        <w:tc>
          <w:tcPr>
            <w:tcW w:w="1305" w:type="dxa"/>
            <w:vAlign w:val="center"/>
          </w:tcPr>
          <w:p>
            <w:pPr>
              <w:pStyle w:val="39"/>
              <w:rPr>
                <w:rFonts w:ascii="Times New Roman" w:hAnsi="Times New Roman"/>
              </w:rPr>
            </w:pPr>
            <w:r>
              <w:rPr>
                <w:rFonts w:ascii="Times New Roman" w:hAnsi="Times New Roman"/>
              </w:rPr>
              <w:t>10</w:t>
            </w:r>
          </w:p>
        </w:tc>
        <w:tc>
          <w:tcPr>
            <w:tcW w:w="2914" w:type="dxa"/>
            <w:vAlign w:val="center"/>
          </w:tcPr>
          <w:p>
            <w:pPr>
              <w:pStyle w:val="39"/>
              <w:rPr>
                <w:rFonts w:ascii="Times New Roman" w:hAnsi="Times New Roman"/>
              </w:rPr>
            </w:pPr>
            <w:r>
              <w:rPr>
                <w:rFonts w:ascii="Times New Roman" w:hAnsi="Times New Roman"/>
              </w:rPr>
              <w:t>DN200 +光缆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vAlign w:val="center"/>
          </w:tcPr>
          <w:p>
            <w:pPr>
              <w:pStyle w:val="39"/>
              <w:rPr>
                <w:rFonts w:ascii="Times New Roman" w:hAnsi="Times New Roman"/>
              </w:rPr>
            </w:pPr>
            <w:r>
              <w:rPr>
                <w:rFonts w:ascii="Times New Roman" w:hAnsi="Times New Roman"/>
              </w:rPr>
              <w:t>集气支线</w:t>
            </w:r>
          </w:p>
        </w:tc>
        <w:tc>
          <w:tcPr>
            <w:tcW w:w="884" w:type="dxa"/>
            <w:vAlign w:val="center"/>
          </w:tcPr>
          <w:p>
            <w:pPr>
              <w:pStyle w:val="39"/>
              <w:rPr>
                <w:rFonts w:ascii="Times New Roman" w:hAnsi="Times New Roman"/>
              </w:rPr>
            </w:pPr>
            <w:r>
              <w:rPr>
                <w:rFonts w:ascii="Times New Roman" w:hAnsi="Times New Roman"/>
              </w:rPr>
              <w:t>DN150</w:t>
            </w:r>
          </w:p>
        </w:tc>
        <w:tc>
          <w:tcPr>
            <w:tcW w:w="1105" w:type="dxa"/>
            <w:vAlign w:val="center"/>
          </w:tcPr>
          <w:p>
            <w:pPr>
              <w:pStyle w:val="39"/>
              <w:rPr>
                <w:rFonts w:ascii="Times New Roman" w:hAnsi="Times New Roman"/>
              </w:rPr>
            </w:pPr>
            <w:r>
              <w:rPr>
                <w:rFonts w:ascii="Times New Roman" w:hAnsi="Times New Roman"/>
              </w:rPr>
              <w:t>14</w:t>
            </w:r>
          </w:p>
        </w:tc>
        <w:tc>
          <w:tcPr>
            <w:tcW w:w="992" w:type="dxa"/>
            <w:vAlign w:val="center"/>
          </w:tcPr>
          <w:p>
            <w:pPr>
              <w:pStyle w:val="39"/>
              <w:rPr>
                <w:rFonts w:ascii="Times New Roman" w:hAnsi="Times New Roman"/>
              </w:rPr>
            </w:pPr>
            <w:r>
              <w:rPr>
                <w:rFonts w:ascii="Times New Roman" w:hAnsi="Times New Roman"/>
              </w:rPr>
              <w:t>12</w:t>
            </w:r>
          </w:p>
        </w:tc>
        <w:tc>
          <w:tcPr>
            <w:tcW w:w="1305" w:type="dxa"/>
            <w:vAlign w:val="center"/>
          </w:tcPr>
          <w:p>
            <w:pPr>
              <w:pStyle w:val="39"/>
              <w:rPr>
                <w:rFonts w:ascii="Times New Roman" w:hAnsi="Times New Roman"/>
              </w:rPr>
            </w:pPr>
            <w:r>
              <w:rPr>
                <w:rFonts w:ascii="Times New Roman" w:hAnsi="Times New Roman"/>
              </w:rPr>
              <w:t>12</w:t>
            </w:r>
          </w:p>
        </w:tc>
        <w:tc>
          <w:tcPr>
            <w:tcW w:w="2914" w:type="dxa"/>
            <w:vAlign w:val="center"/>
          </w:tcPr>
          <w:p>
            <w:pPr>
              <w:pStyle w:val="39"/>
              <w:rPr>
                <w:rFonts w:ascii="Times New Roman" w:hAnsi="Times New Roman"/>
              </w:rPr>
            </w:pPr>
            <w:r>
              <w:rPr>
                <w:rFonts w:ascii="Times New Roman" w:hAnsi="Times New Roman"/>
              </w:rPr>
              <w:t>DN150+DN80+光缆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6" w:type="dxa"/>
            <w:vAlign w:val="center"/>
          </w:tcPr>
          <w:p>
            <w:pPr>
              <w:pStyle w:val="39"/>
              <w:rPr>
                <w:rFonts w:ascii="Times New Roman" w:hAnsi="Times New Roman"/>
              </w:rPr>
            </w:pPr>
            <w:r>
              <w:rPr>
                <w:rFonts w:ascii="Times New Roman" w:hAnsi="Times New Roman"/>
              </w:rPr>
              <w:t>联络线</w:t>
            </w:r>
          </w:p>
        </w:tc>
        <w:tc>
          <w:tcPr>
            <w:tcW w:w="884" w:type="dxa"/>
            <w:vAlign w:val="center"/>
          </w:tcPr>
          <w:p>
            <w:pPr>
              <w:pStyle w:val="39"/>
              <w:rPr>
                <w:rFonts w:ascii="Times New Roman" w:hAnsi="Times New Roman"/>
              </w:rPr>
            </w:pPr>
            <w:r>
              <w:rPr>
                <w:rFonts w:ascii="Times New Roman" w:hAnsi="Times New Roman"/>
              </w:rPr>
              <w:t>DN200</w:t>
            </w:r>
          </w:p>
        </w:tc>
        <w:tc>
          <w:tcPr>
            <w:tcW w:w="1105" w:type="dxa"/>
            <w:vAlign w:val="center"/>
          </w:tcPr>
          <w:p>
            <w:pPr>
              <w:pStyle w:val="39"/>
              <w:rPr>
                <w:rFonts w:ascii="Times New Roman" w:hAnsi="Times New Roman"/>
              </w:rPr>
            </w:pPr>
            <w:r>
              <w:rPr>
                <w:rFonts w:ascii="Times New Roman" w:hAnsi="Times New Roman"/>
              </w:rPr>
              <w:t>14</w:t>
            </w:r>
          </w:p>
        </w:tc>
        <w:tc>
          <w:tcPr>
            <w:tcW w:w="992" w:type="dxa"/>
            <w:vAlign w:val="center"/>
          </w:tcPr>
          <w:p>
            <w:pPr>
              <w:pStyle w:val="39"/>
              <w:rPr>
                <w:rFonts w:ascii="Times New Roman" w:hAnsi="Times New Roman"/>
              </w:rPr>
            </w:pPr>
            <w:r>
              <w:rPr>
                <w:rFonts w:ascii="Times New Roman" w:hAnsi="Times New Roman"/>
              </w:rPr>
              <w:t>12</w:t>
            </w:r>
          </w:p>
        </w:tc>
        <w:tc>
          <w:tcPr>
            <w:tcW w:w="1305" w:type="dxa"/>
            <w:vAlign w:val="center"/>
          </w:tcPr>
          <w:p>
            <w:pPr>
              <w:pStyle w:val="39"/>
              <w:rPr>
                <w:rFonts w:ascii="Times New Roman" w:hAnsi="Times New Roman"/>
              </w:rPr>
            </w:pPr>
            <w:r>
              <w:rPr>
                <w:rFonts w:ascii="Times New Roman" w:hAnsi="Times New Roman"/>
              </w:rPr>
              <w:t>12</w:t>
            </w:r>
          </w:p>
        </w:tc>
        <w:tc>
          <w:tcPr>
            <w:tcW w:w="2914" w:type="dxa"/>
            <w:vAlign w:val="center"/>
          </w:tcPr>
          <w:p>
            <w:pPr>
              <w:pStyle w:val="39"/>
              <w:rPr>
                <w:rFonts w:ascii="Times New Roman" w:hAnsi="Times New Roman"/>
              </w:rPr>
            </w:pPr>
            <w:r>
              <w:rPr>
                <w:rFonts w:ascii="Times New Roman" w:hAnsi="Times New Roman"/>
              </w:rPr>
              <w:t>DN200+DN50+光缆</w:t>
            </w:r>
          </w:p>
        </w:tc>
      </w:tr>
      <w:bookmarkEnd w:id="60"/>
    </w:tbl>
    <w:p>
      <w:pPr>
        <w:ind w:firstLine="480"/>
        <w:rPr>
          <w:rFonts w:ascii="Times New Roman" w:hAnsi="Times New Roman"/>
        </w:rPr>
      </w:pPr>
    </w:p>
    <w:p>
      <w:pPr>
        <w:pStyle w:val="5"/>
        <w:rPr>
          <w:rFonts w:ascii="Times New Roman" w:hAnsi="Times New Roman"/>
        </w:rPr>
      </w:pPr>
      <w:r>
        <w:rPr>
          <w:rFonts w:ascii="Times New Roman" w:hAnsi="Times New Roman"/>
        </w:rPr>
        <w:t>穿越工程</w:t>
      </w:r>
    </w:p>
    <w:p>
      <w:pPr>
        <w:ind w:firstLine="480"/>
        <w:rPr>
          <w:rFonts w:ascii="Times New Roman" w:hAnsi="Times New Roman"/>
        </w:rPr>
      </w:pPr>
      <w:r>
        <w:rPr>
          <w:rFonts w:ascii="Times New Roman" w:hAnsi="Times New Roman"/>
        </w:rPr>
        <w:t>本项目管线沿线共计穿越河流1处、县道1处、乡村水泥路12处，机耕道路13处，沿线穿越统计情况见</w:t>
      </w:r>
      <w:r>
        <w:rPr>
          <w:rFonts w:ascii="Times New Roman" w:hAnsi="Times New Roman"/>
        </w:rPr>
        <w:fldChar w:fldCharType="begin"/>
      </w:r>
      <w:r>
        <w:rPr>
          <w:rFonts w:ascii="Times New Roman" w:hAnsi="Times New Roman"/>
        </w:rPr>
        <w:instrText xml:space="preserve"> REF _Ref151973860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10</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61" w:name="_Ref151973860"/>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bookmarkEnd w:id="61"/>
      <w:r>
        <w:rPr>
          <w:rFonts w:ascii="Times New Roman" w:hAnsi="Times New Roman" w:cs="Times New Roman"/>
        </w:rPr>
        <w:t xml:space="preserve">  沿线穿越统计表</w:t>
      </w:r>
    </w:p>
    <w:tbl>
      <w:tblPr>
        <w:tblStyle w:val="28"/>
        <w:tblW w:w="8762" w:type="dxa"/>
        <w:jc w:val="center"/>
        <w:tblLayout w:type="fixed"/>
        <w:tblCellMar>
          <w:top w:w="0" w:type="dxa"/>
          <w:left w:w="108" w:type="dxa"/>
          <w:bottom w:w="0" w:type="dxa"/>
          <w:right w:w="108" w:type="dxa"/>
        </w:tblCellMar>
      </w:tblPr>
      <w:tblGrid>
        <w:gridCol w:w="704"/>
        <w:gridCol w:w="2977"/>
        <w:gridCol w:w="1559"/>
        <w:gridCol w:w="1701"/>
        <w:gridCol w:w="1821"/>
      </w:tblGrid>
      <w:tr>
        <w:tblPrEx>
          <w:tblCellMar>
            <w:top w:w="0" w:type="dxa"/>
            <w:left w:w="108" w:type="dxa"/>
            <w:bottom w:w="0" w:type="dxa"/>
            <w:right w:w="108" w:type="dxa"/>
          </w:tblCellMar>
        </w:tblPrEx>
        <w:trPr>
          <w:trHeight w:val="312" w:hRule="atLeast"/>
          <w:tblHeader/>
          <w:jc w:val="center"/>
        </w:trPr>
        <w:tc>
          <w:tcPr>
            <w:tcW w:w="704" w:type="dxa"/>
            <w:tcBorders>
              <w:top w:val="single" w:color="000000" w:sz="4" w:space="0"/>
              <w:left w:val="single" w:color="000000" w:sz="4" w:space="0"/>
              <w:bottom w:val="single" w:color="000000" w:sz="4" w:space="0"/>
              <w:right w:val="single" w:color="000000" w:sz="4" w:space="0"/>
            </w:tcBorders>
            <w:vAlign w:val="center"/>
          </w:tcPr>
          <w:p>
            <w:pPr>
              <w:pStyle w:val="39"/>
              <w:rPr>
                <w:rFonts w:ascii="Times New Roman" w:hAnsi="Times New Roman"/>
                <w:lang w:eastAsia="en-US"/>
              </w:rPr>
            </w:pPr>
            <w:r>
              <w:rPr>
                <w:rFonts w:ascii="Times New Roman" w:hAnsi="Times New Roman"/>
              </w:rPr>
              <w:t>序号</w:t>
            </w:r>
          </w:p>
        </w:tc>
        <w:tc>
          <w:tcPr>
            <w:tcW w:w="2977"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lang w:eastAsia="en-US"/>
              </w:rPr>
            </w:pPr>
            <w:r>
              <w:rPr>
                <w:rFonts w:ascii="Times New Roman" w:hAnsi="Times New Roman"/>
              </w:rPr>
              <w:t>工程量名称</w:t>
            </w:r>
          </w:p>
        </w:tc>
        <w:tc>
          <w:tcPr>
            <w:tcW w:w="1559"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lang w:eastAsia="en-US"/>
              </w:rPr>
            </w:pPr>
            <w:r>
              <w:rPr>
                <w:rFonts w:ascii="Times New Roman" w:hAnsi="Times New Roman"/>
              </w:rPr>
              <w:t>单位</w:t>
            </w:r>
          </w:p>
        </w:tc>
        <w:tc>
          <w:tcPr>
            <w:tcW w:w="1701"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lang w:eastAsia="en-US"/>
              </w:rPr>
            </w:pPr>
            <w:r>
              <w:rPr>
                <w:rFonts w:ascii="Times New Roman" w:hAnsi="Times New Roman"/>
              </w:rPr>
              <w:t>数量</w:t>
            </w:r>
          </w:p>
        </w:tc>
        <w:tc>
          <w:tcPr>
            <w:tcW w:w="1821"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lang w:eastAsia="en-US"/>
              </w:rPr>
            </w:pPr>
            <w:r>
              <w:rPr>
                <w:rFonts w:ascii="Times New Roman" w:hAnsi="Times New Roman"/>
              </w:rPr>
              <w:t>备注</w:t>
            </w:r>
          </w:p>
        </w:tc>
      </w:tr>
      <w:tr>
        <w:tblPrEx>
          <w:tblCellMar>
            <w:top w:w="0" w:type="dxa"/>
            <w:left w:w="108" w:type="dxa"/>
            <w:bottom w:w="0" w:type="dxa"/>
            <w:right w:w="108" w:type="dxa"/>
          </w:tblCellMar>
        </w:tblPrEx>
        <w:trPr>
          <w:trHeight w:val="312" w:hRule="atLeast"/>
          <w:tblHeader/>
          <w:jc w:val="center"/>
        </w:trPr>
        <w:tc>
          <w:tcPr>
            <w:tcW w:w="704" w:type="dxa"/>
            <w:tcBorders>
              <w:top w:val="single" w:color="000000" w:sz="4" w:space="0"/>
              <w:left w:val="single" w:color="000000" w:sz="4" w:space="0"/>
              <w:bottom w:val="single" w:color="000000" w:sz="4" w:space="0"/>
              <w:right w:val="single" w:color="000000" w:sz="4" w:space="0"/>
            </w:tcBorders>
            <w:vAlign w:val="center"/>
          </w:tcPr>
          <w:p>
            <w:pPr>
              <w:pStyle w:val="39"/>
              <w:rPr>
                <w:rFonts w:ascii="Times New Roman" w:hAnsi="Times New Roman"/>
              </w:rPr>
            </w:pPr>
            <w:r>
              <w:rPr>
                <w:rFonts w:ascii="Times New Roman" w:hAnsi="Times New Roman"/>
                <w:lang w:eastAsia="en-US"/>
              </w:rPr>
              <w:t>1</w:t>
            </w:r>
          </w:p>
        </w:tc>
        <w:tc>
          <w:tcPr>
            <w:tcW w:w="2977"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rPr>
            </w:pPr>
            <w:r>
              <w:rPr>
                <w:rFonts w:ascii="Times New Roman" w:hAnsi="Times New Roman"/>
              </w:rPr>
              <w:t>清溪河穿越</w:t>
            </w:r>
          </w:p>
        </w:tc>
        <w:tc>
          <w:tcPr>
            <w:tcW w:w="1559"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rPr>
            </w:pPr>
            <w:r>
              <w:rPr>
                <w:rFonts w:ascii="Times New Roman" w:hAnsi="Times New Roman"/>
              </w:rPr>
              <w:t>35</w:t>
            </w:r>
            <w:r>
              <w:rPr>
                <w:rFonts w:ascii="Times New Roman" w:hAnsi="Times New Roman"/>
                <w:lang w:eastAsia="en-US"/>
              </w:rPr>
              <w:t>m/处</w:t>
            </w:r>
          </w:p>
        </w:tc>
        <w:tc>
          <w:tcPr>
            <w:tcW w:w="1701"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rPr>
            </w:pPr>
            <w:r>
              <w:rPr>
                <w:rFonts w:ascii="Times New Roman" w:hAnsi="Times New Roman"/>
              </w:rPr>
              <w:t>1</w:t>
            </w:r>
          </w:p>
        </w:tc>
        <w:tc>
          <w:tcPr>
            <w:tcW w:w="1821"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rPr>
            </w:pPr>
            <w:r>
              <w:rPr>
                <w:rFonts w:ascii="Times New Roman" w:hAnsi="Times New Roman"/>
                <w:lang w:eastAsia="en-US"/>
              </w:rPr>
              <w:t>开挖</w:t>
            </w:r>
          </w:p>
        </w:tc>
      </w:tr>
      <w:tr>
        <w:tblPrEx>
          <w:tblCellMar>
            <w:top w:w="0" w:type="dxa"/>
            <w:left w:w="108" w:type="dxa"/>
            <w:bottom w:w="0" w:type="dxa"/>
            <w:right w:w="108" w:type="dxa"/>
          </w:tblCellMar>
        </w:tblPrEx>
        <w:trPr>
          <w:trHeight w:val="275" w:hRule="atLeast"/>
          <w:jc w:val="center"/>
        </w:trPr>
        <w:tc>
          <w:tcPr>
            <w:tcW w:w="704" w:type="dxa"/>
            <w:tcBorders>
              <w:top w:val="single" w:color="000000" w:sz="4" w:space="0"/>
              <w:left w:val="single" w:color="000000" w:sz="4" w:space="0"/>
              <w:bottom w:val="single" w:color="000000" w:sz="4" w:space="0"/>
              <w:right w:val="single" w:color="000000" w:sz="4" w:space="0"/>
            </w:tcBorders>
            <w:vAlign w:val="center"/>
          </w:tcPr>
          <w:p>
            <w:pPr>
              <w:pStyle w:val="39"/>
              <w:rPr>
                <w:rFonts w:ascii="Times New Roman" w:hAnsi="Times New Roman"/>
                <w:lang w:eastAsia="en-US"/>
              </w:rPr>
            </w:pPr>
            <w:r>
              <w:rPr>
                <w:rFonts w:ascii="Times New Roman" w:hAnsi="Times New Roman"/>
                <w:lang w:eastAsia="en-US"/>
              </w:rPr>
              <w:t>2</w:t>
            </w:r>
          </w:p>
        </w:tc>
        <w:tc>
          <w:tcPr>
            <w:tcW w:w="2977"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rPr>
            </w:pPr>
            <w:r>
              <w:rPr>
                <w:rFonts w:ascii="Times New Roman" w:hAnsi="Times New Roman"/>
                <w:lang w:eastAsia="en-US"/>
              </w:rPr>
              <w:t>县道穿越（</w:t>
            </w:r>
            <w:r>
              <w:rPr>
                <w:rFonts w:ascii="Times New Roman" w:hAnsi="Times New Roman"/>
              </w:rPr>
              <w:t>XS37）</w:t>
            </w:r>
          </w:p>
        </w:tc>
        <w:tc>
          <w:tcPr>
            <w:tcW w:w="1559"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lang w:eastAsia="en-US"/>
              </w:rPr>
            </w:pPr>
            <w:r>
              <w:rPr>
                <w:rFonts w:ascii="Times New Roman" w:hAnsi="Times New Roman"/>
              </w:rPr>
              <w:t>30</w:t>
            </w:r>
            <w:r>
              <w:rPr>
                <w:rFonts w:ascii="Times New Roman" w:hAnsi="Times New Roman"/>
                <w:lang w:eastAsia="en-US"/>
              </w:rPr>
              <w:t>m/处</w:t>
            </w:r>
          </w:p>
        </w:tc>
        <w:tc>
          <w:tcPr>
            <w:tcW w:w="1701"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rPr>
            </w:pPr>
            <w:r>
              <w:rPr>
                <w:rFonts w:ascii="Times New Roman" w:hAnsi="Times New Roman"/>
              </w:rPr>
              <w:t>1</w:t>
            </w:r>
          </w:p>
        </w:tc>
        <w:tc>
          <w:tcPr>
            <w:tcW w:w="1821"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lang w:eastAsia="en-US"/>
              </w:rPr>
            </w:pPr>
            <w:r>
              <w:rPr>
                <w:rFonts w:ascii="Times New Roman" w:hAnsi="Times New Roman"/>
                <w:lang w:eastAsia="en-US"/>
              </w:rPr>
              <w:t>顶管</w:t>
            </w:r>
          </w:p>
        </w:tc>
      </w:tr>
      <w:tr>
        <w:tblPrEx>
          <w:tblCellMar>
            <w:top w:w="0" w:type="dxa"/>
            <w:left w:w="108" w:type="dxa"/>
            <w:bottom w:w="0" w:type="dxa"/>
            <w:right w:w="108" w:type="dxa"/>
          </w:tblCellMar>
        </w:tblPrEx>
        <w:trPr>
          <w:trHeight w:val="379" w:hRule="atLeast"/>
          <w:jc w:val="center"/>
        </w:trPr>
        <w:tc>
          <w:tcPr>
            <w:tcW w:w="704" w:type="dxa"/>
            <w:tcBorders>
              <w:top w:val="single" w:color="000000" w:sz="4" w:space="0"/>
              <w:left w:val="single" w:color="000000" w:sz="4" w:space="0"/>
              <w:bottom w:val="single" w:color="000000" w:sz="4" w:space="0"/>
              <w:right w:val="single" w:color="000000" w:sz="4" w:space="0"/>
            </w:tcBorders>
            <w:vAlign w:val="center"/>
          </w:tcPr>
          <w:p>
            <w:pPr>
              <w:pStyle w:val="39"/>
              <w:rPr>
                <w:rFonts w:ascii="Times New Roman" w:hAnsi="Times New Roman"/>
                <w:lang w:eastAsia="en-US"/>
              </w:rPr>
            </w:pPr>
            <w:r>
              <w:rPr>
                <w:rFonts w:ascii="Times New Roman" w:hAnsi="Times New Roman"/>
                <w:lang w:eastAsia="en-US"/>
              </w:rPr>
              <w:t>3</w:t>
            </w:r>
          </w:p>
        </w:tc>
        <w:tc>
          <w:tcPr>
            <w:tcW w:w="2977"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lang w:eastAsia="en-US"/>
              </w:rPr>
            </w:pPr>
            <w:r>
              <w:rPr>
                <w:rFonts w:ascii="Times New Roman" w:hAnsi="Times New Roman"/>
                <w:lang w:eastAsia="en-US"/>
              </w:rPr>
              <w:t>乡村</w:t>
            </w:r>
            <w:r>
              <w:rPr>
                <w:rFonts w:ascii="Times New Roman" w:hAnsi="Times New Roman"/>
              </w:rPr>
              <w:t>水泥</w:t>
            </w:r>
            <w:r>
              <w:rPr>
                <w:rFonts w:ascii="Times New Roman" w:hAnsi="Times New Roman"/>
                <w:lang w:eastAsia="en-US"/>
              </w:rPr>
              <w:t>路穿越</w:t>
            </w:r>
          </w:p>
        </w:tc>
        <w:tc>
          <w:tcPr>
            <w:tcW w:w="1559"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lang w:eastAsia="en-US"/>
              </w:rPr>
            </w:pPr>
            <w:r>
              <w:rPr>
                <w:rFonts w:ascii="Times New Roman" w:hAnsi="Times New Roman"/>
              </w:rPr>
              <w:t>10</w:t>
            </w:r>
            <w:r>
              <w:rPr>
                <w:rFonts w:ascii="Times New Roman" w:hAnsi="Times New Roman"/>
                <w:lang w:eastAsia="en-US"/>
              </w:rPr>
              <w:t>m/处</w:t>
            </w:r>
          </w:p>
        </w:tc>
        <w:tc>
          <w:tcPr>
            <w:tcW w:w="1701"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rPr>
            </w:pPr>
            <w:r>
              <w:rPr>
                <w:rFonts w:ascii="Times New Roman" w:hAnsi="Times New Roman"/>
              </w:rPr>
              <w:t>14</w:t>
            </w:r>
          </w:p>
        </w:tc>
        <w:tc>
          <w:tcPr>
            <w:tcW w:w="1821"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lang w:eastAsia="en-US"/>
              </w:rPr>
            </w:pPr>
            <w:r>
              <w:rPr>
                <w:rFonts w:ascii="Times New Roman" w:hAnsi="Times New Roman"/>
                <w:lang w:eastAsia="en-US"/>
              </w:rPr>
              <w:t>顶管</w:t>
            </w:r>
          </w:p>
        </w:tc>
      </w:tr>
      <w:tr>
        <w:tblPrEx>
          <w:tblCellMar>
            <w:top w:w="0" w:type="dxa"/>
            <w:left w:w="108" w:type="dxa"/>
            <w:bottom w:w="0" w:type="dxa"/>
            <w:right w:w="108" w:type="dxa"/>
          </w:tblCellMar>
        </w:tblPrEx>
        <w:trPr>
          <w:trHeight w:val="379" w:hRule="atLeast"/>
          <w:jc w:val="center"/>
        </w:trPr>
        <w:tc>
          <w:tcPr>
            <w:tcW w:w="704" w:type="dxa"/>
            <w:tcBorders>
              <w:top w:val="single" w:color="000000" w:sz="4" w:space="0"/>
              <w:left w:val="single" w:color="000000" w:sz="4" w:space="0"/>
              <w:bottom w:val="single" w:color="000000" w:sz="4" w:space="0"/>
              <w:right w:val="single" w:color="000000" w:sz="4" w:space="0"/>
            </w:tcBorders>
            <w:vAlign w:val="center"/>
          </w:tcPr>
          <w:p>
            <w:pPr>
              <w:pStyle w:val="39"/>
              <w:rPr>
                <w:rFonts w:ascii="Times New Roman" w:hAnsi="Times New Roman"/>
              </w:rPr>
            </w:pPr>
            <w:r>
              <w:rPr>
                <w:rFonts w:ascii="Times New Roman" w:hAnsi="Times New Roman"/>
              </w:rPr>
              <w:t>4</w:t>
            </w:r>
          </w:p>
        </w:tc>
        <w:tc>
          <w:tcPr>
            <w:tcW w:w="2977"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lang w:eastAsia="en-US"/>
              </w:rPr>
            </w:pPr>
            <w:r>
              <w:rPr>
                <w:rFonts w:ascii="Times New Roman" w:hAnsi="Times New Roman"/>
              </w:rPr>
              <w:t>机耕道穿越</w:t>
            </w:r>
          </w:p>
        </w:tc>
        <w:tc>
          <w:tcPr>
            <w:tcW w:w="1559"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rPr>
            </w:pPr>
            <w:r>
              <w:rPr>
                <w:rFonts w:ascii="Times New Roman" w:hAnsi="Times New Roman"/>
              </w:rPr>
              <w:t>18</w:t>
            </w:r>
            <w:r>
              <w:rPr>
                <w:rFonts w:ascii="Times New Roman" w:hAnsi="Times New Roman"/>
                <w:lang w:eastAsia="en-US"/>
              </w:rPr>
              <w:t>m/处</w:t>
            </w:r>
          </w:p>
        </w:tc>
        <w:tc>
          <w:tcPr>
            <w:tcW w:w="1701"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rPr>
            </w:pPr>
            <w:r>
              <w:rPr>
                <w:rFonts w:ascii="Times New Roman" w:hAnsi="Times New Roman"/>
              </w:rPr>
              <w:t>11</w:t>
            </w:r>
          </w:p>
        </w:tc>
        <w:tc>
          <w:tcPr>
            <w:tcW w:w="1821" w:type="dxa"/>
            <w:tcBorders>
              <w:top w:val="single" w:color="000000" w:sz="4" w:space="0"/>
              <w:left w:val="nil"/>
              <w:bottom w:val="single" w:color="000000" w:sz="4" w:space="0"/>
              <w:right w:val="single" w:color="000000" w:sz="4" w:space="0"/>
            </w:tcBorders>
            <w:vAlign w:val="center"/>
          </w:tcPr>
          <w:p>
            <w:pPr>
              <w:pStyle w:val="39"/>
              <w:rPr>
                <w:rFonts w:ascii="Times New Roman" w:hAnsi="Times New Roman"/>
              </w:rPr>
            </w:pPr>
            <w:r>
              <w:rPr>
                <w:rFonts w:ascii="Times New Roman" w:hAnsi="Times New Roman"/>
              </w:rPr>
              <w:t>开挖+套管</w:t>
            </w:r>
          </w:p>
        </w:tc>
      </w:tr>
    </w:tbl>
    <w:p>
      <w:pPr>
        <w:pStyle w:val="5"/>
        <w:rPr>
          <w:rFonts w:ascii="Times New Roman" w:hAnsi="Times New Roman"/>
        </w:rPr>
      </w:pPr>
      <w:r>
        <w:rPr>
          <w:rFonts w:ascii="Times New Roman" w:hAnsi="Times New Roman"/>
        </w:rPr>
        <w:t>管道防腐</w:t>
      </w:r>
    </w:p>
    <w:p>
      <w:pPr>
        <w:ind w:firstLine="480"/>
        <w:rPr>
          <w:rFonts w:ascii="Times New Roman" w:hAnsi="Times New Roman"/>
        </w:rPr>
      </w:pPr>
      <w:r>
        <w:rPr>
          <w:rFonts w:ascii="Times New Roman" w:hAnsi="Times New Roman"/>
        </w:rPr>
        <w:t>集气支线、集气干线及联络线、燃料气管道均采用三层PE常温型外防腐层。</w:t>
      </w:r>
    </w:p>
    <w:p>
      <w:pPr>
        <w:ind w:firstLine="480"/>
        <w:rPr>
          <w:rFonts w:ascii="Times New Roman" w:hAnsi="Times New Roman"/>
        </w:rPr>
      </w:pPr>
      <w:r>
        <w:rPr>
          <w:rFonts w:ascii="Times New Roman" w:hAnsi="Times New Roman"/>
        </w:rPr>
        <w:t>另外采用强制电流阴极保护方式，在宣兴1井站内新建1座阴极保护站。</w:t>
      </w:r>
    </w:p>
    <w:p>
      <w:pPr>
        <w:pStyle w:val="4"/>
        <w:rPr>
          <w:rFonts w:ascii="Times New Roman" w:hAnsi="Times New Roman" w:cs="Times New Roman"/>
        </w:rPr>
      </w:pPr>
      <w:r>
        <w:rPr>
          <w:rFonts w:ascii="Times New Roman" w:hAnsi="Times New Roman" w:cs="Times New Roman"/>
        </w:rPr>
        <w:t>自动控制</w:t>
      </w:r>
    </w:p>
    <w:p>
      <w:pPr>
        <w:ind w:firstLine="480"/>
        <w:rPr>
          <w:rFonts w:ascii="Times New Roman" w:hAnsi="Times New Roman"/>
        </w:rPr>
      </w:pPr>
      <w:r>
        <w:rPr>
          <w:rFonts w:ascii="Times New Roman" w:hAnsi="Times New Roman"/>
        </w:rPr>
        <w:t>本项目SCADA系统将通过光纤通信系统与已建的川东北气矿调度管理中心相连，接受气矿调度管理中心、西南油气田分公司主/备调度管理中心的管理和远程监视。</w:t>
      </w:r>
    </w:p>
    <w:p>
      <w:pPr>
        <w:ind w:firstLine="480"/>
        <w:rPr>
          <w:rFonts w:ascii="Times New Roman" w:hAnsi="Times New Roman"/>
        </w:rPr>
      </w:pPr>
      <w:r>
        <w:rPr>
          <w:rFonts w:ascii="Times New Roman" w:hAnsi="Times New Roman"/>
        </w:rPr>
        <w:t>根据气田井站物理位置分布，集气管道走向以及生产调度管理的需要，计算机控制系统采用四级网络结构：</w:t>
      </w:r>
    </w:p>
    <w:p>
      <w:pPr>
        <w:ind w:firstLine="480"/>
        <w:rPr>
          <w:rFonts w:ascii="Times New Roman" w:hAnsi="Times New Roman"/>
        </w:rPr>
      </w:pPr>
      <w:r>
        <w:rPr>
          <w:rFonts w:ascii="Times New Roman" w:hAnsi="Times New Roman"/>
        </w:rPr>
        <w:t>第一级、第二级、第三级系统及网络依托已建SCADA系统及网络，根据本工程的需要对其进行组态扩容。第二级气矿调度管理中心（DCC）为渡口河气田SCADA系统的应急管理中心，具备紧急情况下关井的权限。</w:t>
      </w:r>
    </w:p>
    <w:p>
      <w:pPr>
        <w:ind w:firstLine="480"/>
        <w:rPr>
          <w:rFonts w:ascii="Times New Roman" w:hAnsi="Times New Roman"/>
        </w:rPr>
      </w:pPr>
      <w:r>
        <w:rPr>
          <w:rFonts w:ascii="Times New Roman" w:hAnsi="Times New Roman"/>
        </w:rPr>
        <w:t>第四级为新建站场控制级，在各井站、宣探清管站、各阀室等相关工艺设施处设置计算机控制系统。在宣兴1井、宣探1井设置站控计算机控制系统，实现井口、加热炉、放空火炬、空压机等工艺设施过程的数据采集与监控，完成自动控制、安全联锁、站内可燃/有毒气体泄漏监测报警。满足自动控制、无人操作的作业方式，其数据上传至渡口河天然气净化厂中央控制室。</w:t>
      </w:r>
    </w:p>
    <w:p>
      <w:pPr>
        <w:pStyle w:val="3"/>
        <w:rPr>
          <w:rFonts w:ascii="Times New Roman" w:hAnsi="Times New Roman" w:cs="Times New Roman"/>
        </w:rPr>
      </w:pPr>
      <w:bookmarkStart w:id="62" w:name="_Toc162339395"/>
      <w:r>
        <w:rPr>
          <w:rFonts w:ascii="Times New Roman" w:hAnsi="Times New Roman" w:cs="Times New Roman"/>
        </w:rPr>
        <w:t>公用工程</w:t>
      </w:r>
      <w:bookmarkEnd w:id="62"/>
    </w:p>
    <w:p>
      <w:pPr>
        <w:pStyle w:val="4"/>
        <w:rPr>
          <w:rFonts w:ascii="Times New Roman" w:hAnsi="Times New Roman" w:cs="Times New Roman"/>
        </w:rPr>
      </w:pPr>
      <w:r>
        <w:rPr>
          <w:rFonts w:ascii="Times New Roman" w:hAnsi="Times New Roman" w:cs="Times New Roman"/>
        </w:rPr>
        <w:t>给水工程</w:t>
      </w:r>
    </w:p>
    <w:p>
      <w:pPr>
        <w:ind w:firstLine="480"/>
        <w:rPr>
          <w:rFonts w:ascii="Times New Roman" w:hAnsi="Times New Roman"/>
        </w:rPr>
      </w:pPr>
      <w:r>
        <w:rPr>
          <w:rFonts w:ascii="Times New Roman" w:hAnsi="Times New Roman"/>
        </w:rPr>
        <w:t>本项目宣探1井、宣兴1井和宣探清管站周围均无可依托的给水管网。考虑各井站的用水量较少，均考虑由清水罐车拉运供给。</w:t>
      </w:r>
    </w:p>
    <w:p>
      <w:pPr>
        <w:pStyle w:val="4"/>
        <w:rPr>
          <w:rFonts w:ascii="Times New Roman" w:hAnsi="Times New Roman" w:cs="Times New Roman"/>
        </w:rPr>
      </w:pPr>
      <w:r>
        <w:rPr>
          <w:rFonts w:ascii="Times New Roman" w:hAnsi="Times New Roman" w:cs="Times New Roman"/>
        </w:rPr>
        <w:t>消防工程</w:t>
      </w:r>
    </w:p>
    <w:p>
      <w:pPr>
        <w:ind w:firstLine="480"/>
        <w:rPr>
          <w:rFonts w:ascii="Times New Roman" w:hAnsi="Times New Roman"/>
        </w:rPr>
      </w:pPr>
      <w:r>
        <w:rPr>
          <w:rFonts w:ascii="Times New Roman" w:hAnsi="Times New Roman"/>
        </w:rPr>
        <w:t>宣探1井、宣兴1井和宣探清管站为五级站，阀室等级低于五级站；均不设置消防给水系统。</w:t>
      </w:r>
    </w:p>
    <w:p>
      <w:pPr>
        <w:ind w:firstLine="480"/>
        <w:rPr>
          <w:rFonts w:ascii="Times New Roman" w:hAnsi="Times New Roman"/>
        </w:rPr>
      </w:pPr>
      <w:r>
        <w:rPr>
          <w:rFonts w:ascii="Times New Roman" w:hAnsi="Times New Roman"/>
        </w:rPr>
        <w:t>依据《建筑灭火器配置设计规范》（GB 50140-2005），在不同地点根据燃烧物的性质及火灾危险性配备一定数量不同类型的移动式灭火器材，以扑灭初期零星火灾。</w:t>
      </w:r>
    </w:p>
    <w:p>
      <w:pPr>
        <w:pStyle w:val="4"/>
        <w:rPr>
          <w:rFonts w:ascii="Times New Roman" w:hAnsi="Times New Roman" w:cs="Times New Roman"/>
        </w:rPr>
      </w:pPr>
      <w:r>
        <w:rPr>
          <w:rFonts w:ascii="Times New Roman" w:hAnsi="Times New Roman" w:cs="Times New Roman"/>
        </w:rPr>
        <w:t>供配电</w:t>
      </w:r>
    </w:p>
    <w:p>
      <w:pPr>
        <w:ind w:firstLine="480"/>
        <w:rPr>
          <w:rFonts w:ascii="Times New Roman" w:hAnsi="Times New Roman"/>
        </w:rPr>
      </w:pPr>
      <w:r>
        <w:rPr>
          <w:rFonts w:ascii="Times New Roman" w:hAnsi="Times New Roman"/>
        </w:rPr>
        <w:t>（1）井站</w:t>
      </w:r>
    </w:p>
    <w:p>
      <w:pPr>
        <w:ind w:firstLine="480"/>
        <w:rPr>
          <w:rFonts w:ascii="Times New Roman" w:hAnsi="Times New Roman"/>
        </w:rPr>
      </w:pPr>
      <w:r>
        <w:rPr>
          <w:rFonts w:ascii="Times New Roman" w:hAnsi="Times New Roman"/>
        </w:rPr>
        <w:t>各井站内分别设预装式变电站一座，包括35kV环网柜2台，35/0.4kV 50kVA干式变压器1台，低压配电柜4台。另外设置1套80kW快速启动橇装柴油发电机组作为备用电源。同时站内设置1×10kVA单机在线UPS系统为自控和通信等重要负荷供电，UPS蓄电池后备时间1h。</w:t>
      </w:r>
    </w:p>
    <w:p>
      <w:pPr>
        <w:ind w:firstLine="480"/>
        <w:rPr>
          <w:rFonts w:ascii="Times New Roman" w:hAnsi="Times New Roman"/>
        </w:rPr>
      </w:pPr>
      <w:r>
        <w:rPr>
          <w:rFonts w:ascii="Times New Roman" w:hAnsi="Times New Roman"/>
        </w:rPr>
        <w:t>（2）阀室</w:t>
      </w:r>
    </w:p>
    <w:p>
      <w:pPr>
        <w:ind w:firstLine="480"/>
        <w:rPr>
          <w:rFonts w:ascii="Times New Roman" w:hAnsi="Times New Roman"/>
        </w:rPr>
      </w:pPr>
      <w:r>
        <w:rPr>
          <w:rFonts w:ascii="Times New Roman" w:hAnsi="Times New Roman"/>
        </w:rPr>
        <w:t>阀室设置35/0.4kV 20kVA杆上变压器1台，同时设置1×3kVA单机在线UPS系统为自控和通信等重要负荷供电，UPS蓄电池后备时间4h。</w:t>
      </w:r>
    </w:p>
    <w:p>
      <w:pPr>
        <w:ind w:firstLine="480"/>
        <w:rPr>
          <w:rFonts w:ascii="Times New Roman" w:hAnsi="Times New Roman"/>
        </w:rPr>
      </w:pPr>
      <w:r>
        <w:rPr>
          <w:rFonts w:ascii="Times New Roman" w:hAnsi="Times New Roman"/>
        </w:rPr>
        <w:t>（3）清管站</w:t>
      </w:r>
    </w:p>
    <w:p>
      <w:pPr>
        <w:ind w:firstLine="480"/>
        <w:rPr>
          <w:rFonts w:ascii="Times New Roman" w:hAnsi="Times New Roman"/>
        </w:rPr>
      </w:pPr>
      <w:r>
        <w:rPr>
          <w:rFonts w:ascii="Times New Roman" w:hAnsi="Times New Roman"/>
        </w:rPr>
        <w:t>电源引自中石化低压柜备用回路，同时设置1×3kVA单机在线UPS系统为自控仪表供电，UPS蓄电池后备时间4h。</w:t>
      </w:r>
    </w:p>
    <w:p>
      <w:pPr>
        <w:pStyle w:val="4"/>
        <w:rPr>
          <w:rFonts w:ascii="Times New Roman" w:hAnsi="Times New Roman" w:cs="Times New Roman"/>
        </w:rPr>
      </w:pPr>
      <w:r>
        <w:rPr>
          <w:rFonts w:ascii="Times New Roman" w:hAnsi="Times New Roman" w:cs="Times New Roman"/>
        </w:rPr>
        <w:t>供热工程</w:t>
      </w:r>
    </w:p>
    <w:p>
      <w:pPr>
        <w:ind w:firstLine="480"/>
        <w:rPr>
          <w:rFonts w:ascii="Times New Roman" w:hAnsi="Times New Roman"/>
        </w:rPr>
      </w:pPr>
      <w:r>
        <w:rPr>
          <w:rFonts w:ascii="Times New Roman" w:hAnsi="Times New Roman"/>
        </w:rPr>
        <w:t>本项目供热有水套炉提供。该方式是对炉内水加热，由炉水传给进入水套炉盘管的天然气，使天然气温度达到工艺所要求的温度。</w:t>
      </w:r>
    </w:p>
    <w:p>
      <w:pPr>
        <w:ind w:firstLine="480"/>
        <w:rPr>
          <w:rFonts w:ascii="Times New Roman" w:hAnsi="Times New Roman"/>
        </w:rPr>
      </w:pPr>
      <w:r>
        <w:rPr>
          <w:rFonts w:ascii="Times New Roman" w:hAnsi="Times New Roman"/>
        </w:rPr>
        <w:t>宣探1井水套加热炉功率400kW，井站采用两级节流两级加热工艺。</w:t>
      </w:r>
    </w:p>
    <w:p>
      <w:pPr>
        <w:ind w:firstLine="480"/>
        <w:rPr>
          <w:rFonts w:ascii="Times New Roman" w:hAnsi="Times New Roman"/>
        </w:rPr>
      </w:pPr>
      <w:r>
        <w:rPr>
          <w:rFonts w:ascii="Times New Roman" w:hAnsi="Times New Roman"/>
        </w:rPr>
        <w:t>宣兴1井水套加热炉功率1180kW，井站采用两级节流两级加热工艺。</w:t>
      </w:r>
    </w:p>
    <w:p>
      <w:pPr>
        <w:pStyle w:val="3"/>
        <w:rPr>
          <w:rFonts w:ascii="Times New Roman" w:hAnsi="Times New Roman" w:cs="Times New Roman"/>
        </w:rPr>
      </w:pPr>
      <w:bookmarkStart w:id="63" w:name="_Toc162339396"/>
      <w:r>
        <w:rPr>
          <w:rFonts w:ascii="Times New Roman" w:hAnsi="Times New Roman" w:cs="Times New Roman"/>
        </w:rPr>
        <w:t>环保工程</w:t>
      </w:r>
      <w:bookmarkEnd w:id="63"/>
    </w:p>
    <w:p>
      <w:pPr>
        <w:pStyle w:val="4"/>
        <w:rPr>
          <w:rFonts w:ascii="Times New Roman" w:hAnsi="Times New Roman" w:cs="Times New Roman"/>
        </w:rPr>
      </w:pPr>
      <w:r>
        <w:rPr>
          <w:rFonts w:ascii="Times New Roman" w:hAnsi="Times New Roman" w:cs="Times New Roman"/>
        </w:rPr>
        <w:t>废水</w:t>
      </w:r>
    </w:p>
    <w:p>
      <w:pPr>
        <w:ind w:firstLine="480"/>
        <w:rPr>
          <w:rFonts w:ascii="Times New Roman" w:hAnsi="Times New Roman"/>
        </w:rPr>
      </w:pPr>
      <w:r>
        <w:rPr>
          <w:rFonts w:ascii="Times New Roman" w:hAnsi="Times New Roman"/>
        </w:rPr>
        <w:t>（1）排水系统</w:t>
      </w:r>
    </w:p>
    <w:p>
      <w:pPr>
        <w:ind w:firstLine="480"/>
        <w:rPr>
          <w:rFonts w:ascii="Times New Roman" w:hAnsi="Times New Roman"/>
        </w:rPr>
      </w:pPr>
      <w:r>
        <w:rPr>
          <w:rFonts w:ascii="Times New Roman" w:hAnsi="Times New Roman"/>
        </w:rPr>
        <w:t>井站内排水主要为外壁擦洗废水、设备检修废水，根据所排废水性质不同，设计采取清污分流的措施分别处置。</w:t>
      </w:r>
    </w:p>
    <w:p>
      <w:pPr>
        <w:ind w:firstLine="480"/>
        <w:rPr>
          <w:rFonts w:ascii="Times New Roman" w:hAnsi="Times New Roman"/>
        </w:rPr>
      </w:pPr>
      <w:r>
        <w:rPr>
          <w:rFonts w:ascii="Times New Roman" w:hAnsi="Times New Roman"/>
        </w:rPr>
        <w:t>井站内雨水随雨水边沟或站内道路散排至站外，</w:t>
      </w:r>
    </w:p>
    <w:p>
      <w:pPr>
        <w:ind w:firstLine="480"/>
        <w:rPr>
          <w:rFonts w:ascii="Times New Roman" w:hAnsi="Times New Roman"/>
        </w:rPr>
      </w:pPr>
      <w:r>
        <w:rPr>
          <w:rFonts w:ascii="Times New Roman" w:hAnsi="Times New Roman"/>
        </w:rPr>
        <w:t>（2）气田水处置</w:t>
      </w:r>
    </w:p>
    <w:p>
      <w:pPr>
        <w:ind w:firstLine="480"/>
        <w:rPr>
          <w:rFonts w:ascii="Times New Roman" w:hAnsi="Times New Roman"/>
        </w:rPr>
      </w:pPr>
      <w:r>
        <w:rPr>
          <w:rFonts w:ascii="Times New Roman" w:hAnsi="Times New Roman"/>
        </w:rPr>
        <w:t>宣探1井站和宣兴1井站各设有1座气田水罐（DN2800×8400，容积为52m</w:t>
      </w:r>
      <w:r>
        <w:rPr>
          <w:rFonts w:ascii="Times New Roman" w:hAnsi="Times New Roman"/>
          <w:vertAlign w:val="superscript"/>
        </w:rPr>
        <w:t>3</w:t>
      </w:r>
      <w:r>
        <w:rPr>
          <w:rFonts w:ascii="Times New Roman" w:hAnsi="Times New Roman"/>
        </w:rPr>
        <w:t>），用于收集原料气气液分离出来的气田水；另外宣探1井站、宣兴1井站和宣探清管站各设有一座放空分液罐用于收集放空管道凝液。</w:t>
      </w:r>
    </w:p>
    <w:p>
      <w:pPr>
        <w:ind w:firstLine="480"/>
        <w:rPr>
          <w:rFonts w:ascii="Times New Roman" w:hAnsi="Times New Roman"/>
        </w:rPr>
      </w:pPr>
      <w:r>
        <w:rPr>
          <w:rFonts w:ascii="Times New Roman" w:hAnsi="Times New Roman"/>
        </w:rPr>
        <w:t>放空分液罐内液体达到一定液位后通过装车拉运至宣探1井站或宣兴1井站，宣探1井站和宣兴1井站内储存的气田水，定期用罐车拉运至渡口河净化厂处置达标后管输至黄龙5井等回注。</w:t>
      </w:r>
    </w:p>
    <w:p>
      <w:pPr>
        <w:pStyle w:val="4"/>
        <w:rPr>
          <w:rFonts w:ascii="Times New Roman" w:hAnsi="Times New Roman" w:cs="Times New Roman"/>
        </w:rPr>
      </w:pPr>
      <w:r>
        <w:rPr>
          <w:rFonts w:ascii="Times New Roman" w:hAnsi="Times New Roman" w:cs="Times New Roman"/>
        </w:rPr>
        <w:t>废气</w:t>
      </w:r>
    </w:p>
    <w:p>
      <w:pPr>
        <w:ind w:firstLine="480"/>
        <w:rPr>
          <w:rFonts w:ascii="Times New Roman" w:hAnsi="Times New Roman"/>
        </w:rPr>
      </w:pPr>
      <w:r>
        <w:rPr>
          <w:rFonts w:ascii="Times New Roman" w:hAnsi="Times New Roman"/>
        </w:rPr>
        <w:t>火炬及放空系统是保障工艺装置安全生产的辅助设施，也是减少放空天然气对环境污染的重要手段。本工程在宣探1井站、宣兴1井站、宣探清管站均设有火炬及放空系统。各站场火炬及放空系统主要工程量见</w:t>
      </w:r>
      <w:r>
        <w:rPr>
          <w:rFonts w:ascii="Times New Roman" w:hAnsi="Times New Roman"/>
        </w:rPr>
        <w:fldChar w:fldCharType="begin"/>
      </w:r>
      <w:r>
        <w:rPr>
          <w:rFonts w:ascii="Times New Roman" w:hAnsi="Times New Roman"/>
        </w:rPr>
        <w:instrText xml:space="preserve"> REF _Ref153538882 \h  \* MERGEFORMAT </w:instrText>
      </w:r>
      <w:r>
        <w:rPr>
          <w:rFonts w:ascii="Times New Roman" w:hAnsi="Times New Roman"/>
        </w:rPr>
        <w:fldChar w:fldCharType="separate"/>
      </w:r>
    </w:p>
    <w:p>
      <w:pPr>
        <w:ind w:firstLine="480"/>
        <w:rPr>
          <w:rFonts w:ascii="Times New Roman" w:hAnsi="Times New Roman"/>
        </w:rPr>
      </w:pPr>
      <w:r>
        <w:rPr>
          <w:rFonts w:ascii="Times New Roman" w:hAnsi="Times New Roman"/>
        </w:rPr>
        <w:t>表 2</w:t>
      </w:r>
      <w:r>
        <w:rPr>
          <w:rFonts w:ascii="Times New Roman" w:hAnsi="Times New Roman"/>
        </w:rPr>
        <w:noBreakHyphen/>
      </w:r>
      <w:r>
        <w:rPr>
          <w:rFonts w:ascii="Times New Roman" w:hAnsi="Times New Roman"/>
        </w:rPr>
        <w:t>11</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64" w:name="_Ref153538882"/>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bookmarkEnd w:id="64"/>
      <w:r>
        <w:rPr>
          <w:rFonts w:ascii="Times New Roman" w:hAnsi="Times New Roman" w:cs="Times New Roman"/>
        </w:rPr>
        <w:t xml:space="preserve">  火炬及放空系统主要工程量表</w:t>
      </w:r>
    </w:p>
    <w:tbl>
      <w:tblPr>
        <w:tblStyle w:val="28"/>
        <w:tblW w:w="82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7"/>
        <w:gridCol w:w="3544"/>
        <w:gridCol w:w="23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7" w:type="dxa"/>
            <w:vAlign w:val="center"/>
          </w:tcPr>
          <w:p>
            <w:pPr>
              <w:pStyle w:val="39"/>
              <w:rPr>
                <w:rFonts w:ascii="Times New Roman" w:hAnsi="Times New Roman"/>
              </w:rPr>
            </w:pPr>
            <w:r>
              <w:rPr>
                <w:rFonts w:ascii="Times New Roman" w:hAnsi="Times New Roman"/>
              </w:rPr>
              <w:t>站场</w:t>
            </w:r>
          </w:p>
        </w:tc>
        <w:tc>
          <w:tcPr>
            <w:tcW w:w="3544" w:type="dxa"/>
          </w:tcPr>
          <w:p>
            <w:pPr>
              <w:pStyle w:val="39"/>
              <w:rPr>
                <w:rFonts w:ascii="Times New Roman" w:hAnsi="Times New Roman"/>
              </w:rPr>
            </w:pPr>
            <w:r>
              <w:rPr>
                <w:rFonts w:ascii="Times New Roman" w:hAnsi="Times New Roman"/>
              </w:rPr>
              <w:t>放空分液罐</w:t>
            </w:r>
          </w:p>
        </w:tc>
        <w:tc>
          <w:tcPr>
            <w:tcW w:w="2357" w:type="dxa"/>
            <w:vAlign w:val="center"/>
          </w:tcPr>
          <w:p>
            <w:pPr>
              <w:pStyle w:val="39"/>
              <w:rPr>
                <w:rFonts w:ascii="Times New Roman" w:hAnsi="Times New Roman"/>
              </w:rPr>
            </w:pPr>
            <w:r>
              <w:rPr>
                <w:rFonts w:ascii="Times New Roman" w:hAnsi="Times New Roman"/>
              </w:rPr>
              <w:t>火炬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7" w:type="dxa"/>
            <w:vAlign w:val="center"/>
          </w:tcPr>
          <w:p>
            <w:pPr>
              <w:pStyle w:val="39"/>
              <w:rPr>
                <w:rFonts w:ascii="Times New Roman" w:hAnsi="Times New Roman"/>
              </w:rPr>
            </w:pPr>
            <w:r>
              <w:rPr>
                <w:rFonts w:ascii="Times New Roman" w:hAnsi="Times New Roman"/>
              </w:rPr>
              <w:t>宣探1井</w:t>
            </w:r>
          </w:p>
        </w:tc>
        <w:tc>
          <w:tcPr>
            <w:tcW w:w="3544" w:type="dxa"/>
            <w:vAlign w:val="center"/>
          </w:tcPr>
          <w:p>
            <w:pPr>
              <w:pStyle w:val="39"/>
              <w:rPr>
                <w:rFonts w:ascii="Times New Roman" w:hAnsi="Times New Roman"/>
              </w:rPr>
            </w:pPr>
            <w:r>
              <w:rPr>
                <w:rFonts w:ascii="Times New Roman" w:hAnsi="Times New Roman"/>
              </w:rPr>
              <w:t>P1.6MPa DN2400×7200</w:t>
            </w:r>
          </w:p>
        </w:tc>
        <w:tc>
          <w:tcPr>
            <w:tcW w:w="2357" w:type="dxa"/>
            <w:vAlign w:val="center"/>
          </w:tcPr>
          <w:p>
            <w:pPr>
              <w:pStyle w:val="39"/>
              <w:rPr>
                <w:rFonts w:ascii="Times New Roman" w:hAnsi="Times New Roman"/>
              </w:rPr>
            </w:pPr>
            <w:r>
              <w:rPr>
                <w:rFonts w:ascii="Times New Roman" w:hAnsi="Times New Roman"/>
              </w:rPr>
              <w:t>DN250×30000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7" w:type="dxa"/>
            <w:vAlign w:val="center"/>
          </w:tcPr>
          <w:p>
            <w:pPr>
              <w:pStyle w:val="39"/>
              <w:rPr>
                <w:rFonts w:ascii="Times New Roman" w:hAnsi="Times New Roman"/>
              </w:rPr>
            </w:pPr>
            <w:r>
              <w:rPr>
                <w:rFonts w:ascii="Times New Roman" w:hAnsi="Times New Roman"/>
              </w:rPr>
              <w:t>宣兴1井</w:t>
            </w:r>
          </w:p>
        </w:tc>
        <w:tc>
          <w:tcPr>
            <w:tcW w:w="3544" w:type="dxa"/>
            <w:vAlign w:val="center"/>
          </w:tcPr>
          <w:p>
            <w:pPr>
              <w:pStyle w:val="39"/>
              <w:rPr>
                <w:rFonts w:ascii="Times New Roman" w:hAnsi="Times New Roman"/>
              </w:rPr>
            </w:pPr>
            <w:r>
              <w:rPr>
                <w:rFonts w:ascii="Times New Roman" w:hAnsi="Times New Roman"/>
              </w:rPr>
              <w:t>P1.6MPa DN2400×7200</w:t>
            </w:r>
          </w:p>
        </w:tc>
        <w:tc>
          <w:tcPr>
            <w:tcW w:w="2357" w:type="dxa"/>
            <w:vAlign w:val="center"/>
          </w:tcPr>
          <w:p>
            <w:pPr>
              <w:pStyle w:val="39"/>
              <w:rPr>
                <w:rFonts w:ascii="Times New Roman" w:hAnsi="Times New Roman"/>
              </w:rPr>
            </w:pPr>
            <w:r>
              <w:rPr>
                <w:rFonts w:ascii="Times New Roman" w:hAnsi="Times New Roman"/>
              </w:rPr>
              <w:t>DN250×30000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7" w:type="dxa"/>
            <w:vAlign w:val="center"/>
          </w:tcPr>
          <w:p>
            <w:pPr>
              <w:pStyle w:val="39"/>
              <w:rPr>
                <w:rFonts w:ascii="Times New Roman" w:hAnsi="Times New Roman"/>
              </w:rPr>
            </w:pPr>
            <w:r>
              <w:rPr>
                <w:rFonts w:ascii="Times New Roman" w:hAnsi="Times New Roman"/>
              </w:rPr>
              <w:t>宣探清管站</w:t>
            </w:r>
          </w:p>
        </w:tc>
        <w:tc>
          <w:tcPr>
            <w:tcW w:w="3544" w:type="dxa"/>
            <w:vAlign w:val="center"/>
          </w:tcPr>
          <w:p>
            <w:pPr>
              <w:pStyle w:val="39"/>
              <w:rPr>
                <w:rFonts w:ascii="Times New Roman" w:hAnsi="Times New Roman"/>
              </w:rPr>
            </w:pPr>
            <w:r>
              <w:rPr>
                <w:rFonts w:ascii="Times New Roman" w:hAnsi="Times New Roman"/>
              </w:rPr>
              <w:t>P1.6MPa DN2400×7200</w:t>
            </w:r>
          </w:p>
        </w:tc>
        <w:tc>
          <w:tcPr>
            <w:tcW w:w="2357" w:type="dxa"/>
            <w:vAlign w:val="center"/>
          </w:tcPr>
          <w:p>
            <w:pPr>
              <w:pStyle w:val="39"/>
              <w:rPr>
                <w:rFonts w:ascii="Times New Roman" w:hAnsi="Times New Roman"/>
              </w:rPr>
            </w:pPr>
            <w:r>
              <w:rPr>
                <w:rFonts w:ascii="Times New Roman" w:hAnsi="Times New Roman"/>
              </w:rPr>
              <w:t>DN250×22000</w:t>
            </w:r>
          </w:p>
        </w:tc>
      </w:tr>
    </w:tbl>
    <w:p>
      <w:pPr>
        <w:pStyle w:val="3"/>
        <w:rPr>
          <w:rFonts w:ascii="Times New Roman" w:hAnsi="Times New Roman" w:cs="Times New Roman"/>
        </w:rPr>
      </w:pPr>
      <w:bookmarkStart w:id="65" w:name="_Toc162339397"/>
      <w:r>
        <w:rPr>
          <w:rFonts w:ascii="Times New Roman" w:hAnsi="Times New Roman" w:cs="Times New Roman"/>
        </w:rPr>
        <w:t>主要设备</w:t>
      </w:r>
      <w:bookmarkEnd w:id="65"/>
    </w:p>
    <w:p>
      <w:pPr>
        <w:ind w:firstLine="480"/>
        <w:rPr>
          <w:rFonts w:ascii="Times New Roman" w:hAnsi="Times New Roman"/>
        </w:rPr>
      </w:pPr>
      <w:r>
        <w:rPr>
          <w:rFonts w:ascii="Times New Roman" w:hAnsi="Times New Roman"/>
        </w:rPr>
        <w:t>本项目主要工艺设备及规格见</w:t>
      </w:r>
      <w:r>
        <w:rPr>
          <w:rFonts w:ascii="Times New Roman" w:hAnsi="Times New Roman"/>
        </w:rPr>
        <w:fldChar w:fldCharType="begin"/>
      </w:r>
      <w:r>
        <w:rPr>
          <w:rFonts w:ascii="Times New Roman" w:hAnsi="Times New Roman"/>
        </w:rPr>
        <w:instrText xml:space="preserve"> REF _Ref151972817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12</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66" w:name="_Ref15197281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bookmarkEnd w:id="66"/>
      <w:r>
        <w:rPr>
          <w:rFonts w:ascii="Times New Roman" w:hAnsi="Times New Roman" w:cs="Times New Roman"/>
        </w:rPr>
        <w:t xml:space="preserve">  本项目主要设备一览表</w:t>
      </w:r>
    </w:p>
    <w:tbl>
      <w:tblPr>
        <w:tblStyle w:val="28"/>
        <w:tblW w:w="909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84"/>
        <w:gridCol w:w="2352"/>
        <w:gridCol w:w="3625"/>
        <w:gridCol w:w="984"/>
        <w:gridCol w:w="11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984" w:type="dxa"/>
            <w:tcMar>
              <w:left w:w="11" w:type="dxa"/>
              <w:right w:w="11" w:type="dxa"/>
            </w:tcMar>
            <w:vAlign w:val="center"/>
          </w:tcPr>
          <w:p>
            <w:pPr>
              <w:pStyle w:val="39"/>
              <w:rPr>
                <w:rFonts w:ascii="Times New Roman" w:hAnsi="Times New Roman"/>
                <w:lang w:eastAsia="en-US" w:bidi="en-US"/>
              </w:rPr>
            </w:pPr>
            <w:bookmarkStart w:id="67" w:name="_Hlk155948685"/>
            <w:r>
              <w:rPr>
                <w:rFonts w:ascii="Times New Roman" w:hAnsi="Times New Roman"/>
                <w:lang w:eastAsia="en-US" w:bidi="en-US"/>
              </w:rPr>
              <w:t>序号</w:t>
            </w:r>
          </w:p>
        </w:tc>
        <w:tc>
          <w:tcPr>
            <w:tcW w:w="5977" w:type="dxa"/>
            <w:gridSpan w:val="2"/>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设备名称及规格</w:t>
            </w:r>
          </w:p>
        </w:tc>
        <w:tc>
          <w:tcPr>
            <w:tcW w:w="984"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单位</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数量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eastAsia="en-US" w:bidi="en-US"/>
              </w:rPr>
              <w:t>1</w:t>
            </w:r>
          </w:p>
        </w:tc>
        <w:tc>
          <w:tcPr>
            <w:tcW w:w="2352" w:type="dxa"/>
            <w:tcMar>
              <w:left w:w="11" w:type="dxa"/>
              <w:right w:w="11" w:type="dxa"/>
            </w:tcMar>
            <w:vAlign w:val="center"/>
          </w:tcPr>
          <w:p>
            <w:pPr>
              <w:pStyle w:val="39"/>
              <w:rPr>
                <w:rFonts w:ascii="Times New Roman" w:hAnsi="Times New Roman"/>
                <w:b/>
                <w:bCs/>
                <w:lang w:bidi="en-US"/>
              </w:rPr>
            </w:pPr>
            <w:r>
              <w:rPr>
                <w:rFonts w:ascii="Times New Roman" w:hAnsi="Times New Roman"/>
                <w:b/>
                <w:bCs/>
                <w:lang w:bidi="en-US"/>
              </w:rPr>
              <w:t>宣探1井站</w:t>
            </w:r>
          </w:p>
        </w:tc>
        <w:tc>
          <w:tcPr>
            <w:tcW w:w="3625" w:type="dxa"/>
            <w:tcMar>
              <w:left w:w="11" w:type="dxa"/>
              <w:right w:w="11" w:type="dxa"/>
            </w:tcMar>
            <w:vAlign w:val="center"/>
          </w:tcPr>
          <w:p>
            <w:pPr>
              <w:pStyle w:val="39"/>
              <w:rPr>
                <w:rFonts w:ascii="Times New Roman" w:hAnsi="Times New Roman"/>
                <w:lang w:eastAsia="en-US" w:bidi="en-US"/>
              </w:rPr>
            </w:pPr>
          </w:p>
        </w:tc>
        <w:tc>
          <w:tcPr>
            <w:tcW w:w="984" w:type="dxa"/>
            <w:tcMar>
              <w:left w:w="11" w:type="dxa"/>
              <w:right w:w="11" w:type="dxa"/>
            </w:tcMar>
            <w:vAlign w:val="center"/>
          </w:tcPr>
          <w:p>
            <w:pPr>
              <w:pStyle w:val="39"/>
              <w:rPr>
                <w:rFonts w:ascii="Times New Roman" w:hAnsi="Times New Roman"/>
                <w:lang w:eastAsia="en-US" w:bidi="en-US"/>
              </w:rPr>
            </w:pPr>
          </w:p>
        </w:tc>
        <w:tc>
          <w:tcPr>
            <w:tcW w:w="1147" w:type="dxa"/>
            <w:tcMar>
              <w:left w:w="11" w:type="dxa"/>
              <w:right w:w="11" w:type="dxa"/>
            </w:tcMar>
            <w:vAlign w:val="center"/>
          </w:tcPr>
          <w:p>
            <w:pPr>
              <w:pStyle w:val="39"/>
              <w:rPr>
                <w:rFonts w:ascii="Times New Roman" w:hAnsi="Times New Roman"/>
                <w:lang w:eastAsia="en-US" w:bidi="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1）</w:t>
            </w:r>
          </w:p>
        </w:tc>
        <w:tc>
          <w:tcPr>
            <w:tcW w:w="2352" w:type="dxa"/>
            <w:tcMar>
              <w:left w:w="11" w:type="dxa"/>
              <w:right w:w="11" w:type="dxa"/>
            </w:tcMar>
            <w:vAlign w:val="center"/>
          </w:tcPr>
          <w:p>
            <w:pPr>
              <w:pStyle w:val="39"/>
              <w:rPr>
                <w:rFonts w:ascii="Times New Roman" w:hAnsi="Times New Roman"/>
                <w:lang w:eastAsia="en-US" w:bidi="en-US"/>
              </w:rPr>
            </w:pPr>
            <w:r>
              <w:rPr>
                <w:rFonts w:ascii="Times New Roman" w:hAnsi="Times New Roman"/>
                <w:lang w:bidi="en-US"/>
              </w:rPr>
              <w:t>水套加热炉橇</w:t>
            </w:r>
          </w:p>
        </w:tc>
        <w:tc>
          <w:tcPr>
            <w:tcW w:w="3625"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P</w:t>
            </w:r>
            <w:r>
              <w:rPr>
                <w:rFonts w:ascii="Times New Roman" w:hAnsi="Times New Roman"/>
                <w:lang w:bidi="en-US"/>
              </w:rPr>
              <w:t>33</w:t>
            </w:r>
            <w:r>
              <w:rPr>
                <w:rFonts w:ascii="Times New Roman" w:hAnsi="Times New Roman"/>
                <w:lang w:eastAsia="en-US" w:bidi="en-US"/>
              </w:rPr>
              <w:t>MPa，</w:t>
            </w:r>
            <w:r>
              <w:rPr>
                <w:rFonts w:ascii="Times New Roman" w:hAnsi="Times New Roman"/>
                <w:lang w:bidi="en-US"/>
              </w:rPr>
              <w:t>400</w:t>
            </w:r>
            <w:r>
              <w:rPr>
                <w:rFonts w:ascii="Times New Roman" w:hAnsi="Times New Roman"/>
                <w:lang w:eastAsia="en-US" w:bidi="en-US"/>
              </w:rPr>
              <w:t>kW</w:t>
            </w:r>
          </w:p>
        </w:tc>
        <w:tc>
          <w:tcPr>
            <w:tcW w:w="984"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2）</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抗硫气液分离器</w:t>
            </w:r>
          </w:p>
        </w:tc>
        <w:tc>
          <w:tcPr>
            <w:tcW w:w="3625"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P13MPa，DN1000×5000</w:t>
            </w:r>
          </w:p>
        </w:tc>
        <w:tc>
          <w:tcPr>
            <w:tcW w:w="984"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3）</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抗硫清管器发送装置</w:t>
            </w:r>
          </w:p>
        </w:tc>
        <w:tc>
          <w:tcPr>
            <w:tcW w:w="3625" w:type="dxa"/>
            <w:tcMar>
              <w:left w:w="11" w:type="dxa"/>
              <w:right w:w="11" w:type="dxa"/>
            </w:tcMar>
            <w:vAlign w:val="center"/>
          </w:tcPr>
          <w:p>
            <w:pPr>
              <w:pStyle w:val="39"/>
              <w:rPr>
                <w:rFonts w:ascii="Times New Roman" w:hAnsi="Times New Roman"/>
              </w:rPr>
            </w:pPr>
            <w:r>
              <w:rPr>
                <w:rFonts w:ascii="Times New Roman" w:hAnsi="Times New Roman"/>
              </w:rPr>
              <w:t>P13MPa DN150</w:t>
            </w:r>
          </w:p>
        </w:tc>
        <w:tc>
          <w:tcPr>
            <w:tcW w:w="984"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4）</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抗硫放空分液罐</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lang w:bidi="en-US"/>
              </w:rPr>
              <w:t>P1.6MPa DN2400x7200</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5）</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放空火炬</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常压 DN250x 30000</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6）</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气田水罐</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lang w:bidi="en-US"/>
              </w:rPr>
              <w:t>P1.6MPa DN2800×8400</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7）</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空压机橇</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lang w:bidi="en-US"/>
              </w:rPr>
              <w:t>排量0.21Nm</w:t>
            </w:r>
            <w:r>
              <w:rPr>
                <w:rFonts w:ascii="Times New Roman" w:hAnsi="Times New Roman"/>
                <w:vertAlign w:val="superscript"/>
                <w:lang w:bidi="en-US"/>
              </w:rPr>
              <w:t>3</w:t>
            </w:r>
            <w:r>
              <w:rPr>
                <w:rFonts w:ascii="Times New Roman" w:hAnsi="Times New Roman"/>
                <w:lang w:bidi="en-US"/>
              </w:rPr>
              <w:t>/min</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8）</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防冻剂加注橇</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lang w:bidi="en-US"/>
              </w:rPr>
              <w:t>P33MPa 20L/h</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9）</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燃料气调压橇</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lang w:bidi="en-US"/>
              </w:rPr>
              <w:t>/</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10）</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13MPa缓蚀剂加注橇</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lang w:bidi="en-US"/>
              </w:rPr>
              <w:t>P13MPa 2.2L/h</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eastAsia="en-US" w:bidi="en-US"/>
              </w:rPr>
            </w:pPr>
            <w:r>
              <w:rPr>
                <w:rFonts w:ascii="Times New Roman" w:hAnsi="Times New Roman"/>
                <w:lang w:bidi="en-US"/>
              </w:rPr>
              <w:t>2</w:t>
            </w:r>
          </w:p>
        </w:tc>
        <w:tc>
          <w:tcPr>
            <w:tcW w:w="2352" w:type="dxa"/>
            <w:tcMar>
              <w:left w:w="11" w:type="dxa"/>
              <w:right w:w="11" w:type="dxa"/>
            </w:tcMar>
            <w:vAlign w:val="center"/>
          </w:tcPr>
          <w:p>
            <w:pPr>
              <w:pStyle w:val="39"/>
              <w:rPr>
                <w:rFonts w:ascii="Times New Roman" w:hAnsi="Times New Roman"/>
                <w:b/>
                <w:bCs/>
                <w:lang w:bidi="en-US"/>
              </w:rPr>
            </w:pPr>
            <w:r>
              <w:rPr>
                <w:rFonts w:ascii="Times New Roman" w:hAnsi="Times New Roman"/>
                <w:b/>
                <w:bCs/>
                <w:lang w:bidi="en-US"/>
              </w:rPr>
              <w:t>宣兴1井</w:t>
            </w:r>
          </w:p>
        </w:tc>
        <w:tc>
          <w:tcPr>
            <w:tcW w:w="3625" w:type="dxa"/>
            <w:tcMar>
              <w:left w:w="11" w:type="dxa"/>
              <w:right w:w="11" w:type="dxa"/>
            </w:tcMar>
            <w:vAlign w:val="center"/>
          </w:tcPr>
          <w:p>
            <w:pPr>
              <w:pStyle w:val="39"/>
              <w:rPr>
                <w:rFonts w:ascii="Times New Roman" w:hAnsi="Times New Roman"/>
                <w:lang w:eastAsia="en-US" w:bidi="en-US"/>
              </w:rPr>
            </w:pPr>
          </w:p>
        </w:tc>
        <w:tc>
          <w:tcPr>
            <w:tcW w:w="984" w:type="dxa"/>
            <w:tcMar>
              <w:left w:w="11" w:type="dxa"/>
              <w:right w:w="11" w:type="dxa"/>
            </w:tcMar>
            <w:vAlign w:val="center"/>
          </w:tcPr>
          <w:p>
            <w:pPr>
              <w:pStyle w:val="39"/>
              <w:rPr>
                <w:rFonts w:ascii="Times New Roman" w:hAnsi="Times New Roman"/>
                <w:lang w:eastAsia="en-US" w:bidi="en-US"/>
              </w:rPr>
            </w:pPr>
          </w:p>
        </w:tc>
        <w:tc>
          <w:tcPr>
            <w:tcW w:w="1147" w:type="dxa"/>
            <w:tcMar>
              <w:left w:w="11" w:type="dxa"/>
              <w:right w:w="11" w:type="dxa"/>
            </w:tcMar>
            <w:vAlign w:val="center"/>
          </w:tcPr>
          <w:p>
            <w:pPr>
              <w:pStyle w:val="39"/>
              <w:rPr>
                <w:rFonts w:ascii="Times New Roman" w:hAnsi="Times New Roman"/>
                <w:lang w:eastAsia="en-US" w:bidi="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1）</w:t>
            </w:r>
          </w:p>
        </w:tc>
        <w:tc>
          <w:tcPr>
            <w:tcW w:w="2352" w:type="dxa"/>
            <w:tcMar>
              <w:left w:w="11" w:type="dxa"/>
              <w:right w:w="11" w:type="dxa"/>
            </w:tcMar>
            <w:vAlign w:val="center"/>
          </w:tcPr>
          <w:p>
            <w:pPr>
              <w:pStyle w:val="39"/>
              <w:rPr>
                <w:rFonts w:ascii="Times New Roman" w:hAnsi="Times New Roman"/>
                <w:lang w:eastAsia="en-US" w:bidi="en-US"/>
              </w:rPr>
            </w:pPr>
            <w:r>
              <w:rPr>
                <w:rFonts w:ascii="Times New Roman" w:hAnsi="Times New Roman"/>
                <w:lang w:bidi="en-US"/>
              </w:rPr>
              <w:t>水套加热炉橇</w:t>
            </w:r>
          </w:p>
        </w:tc>
        <w:tc>
          <w:tcPr>
            <w:tcW w:w="3625"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P</w:t>
            </w:r>
            <w:r>
              <w:rPr>
                <w:rFonts w:ascii="Times New Roman" w:hAnsi="Times New Roman"/>
                <w:lang w:bidi="en-US"/>
              </w:rPr>
              <w:t>33</w:t>
            </w:r>
            <w:r>
              <w:rPr>
                <w:rFonts w:ascii="Times New Roman" w:hAnsi="Times New Roman"/>
                <w:lang w:eastAsia="en-US" w:bidi="en-US"/>
              </w:rPr>
              <w:t>MPa，</w:t>
            </w:r>
            <w:r>
              <w:rPr>
                <w:rFonts w:ascii="Times New Roman" w:hAnsi="Times New Roman"/>
                <w:lang w:bidi="en-US"/>
              </w:rPr>
              <w:t>1180</w:t>
            </w:r>
            <w:r>
              <w:rPr>
                <w:rFonts w:ascii="Times New Roman" w:hAnsi="Times New Roman"/>
                <w:lang w:eastAsia="en-US" w:bidi="en-US"/>
              </w:rPr>
              <w:t>kW</w:t>
            </w:r>
          </w:p>
        </w:tc>
        <w:tc>
          <w:tcPr>
            <w:tcW w:w="984"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2）</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抗硫计量分离器</w:t>
            </w:r>
          </w:p>
        </w:tc>
        <w:tc>
          <w:tcPr>
            <w:tcW w:w="3625"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P</w:t>
            </w:r>
            <w:r>
              <w:rPr>
                <w:rFonts w:ascii="Times New Roman" w:hAnsi="Times New Roman"/>
                <w:lang w:bidi="en-US"/>
              </w:rPr>
              <w:t>13</w:t>
            </w:r>
            <w:r>
              <w:rPr>
                <w:rFonts w:ascii="Times New Roman" w:hAnsi="Times New Roman"/>
                <w:lang w:eastAsia="en-US" w:bidi="en-US"/>
              </w:rPr>
              <w:t>MPa，DN</w:t>
            </w:r>
            <w:r>
              <w:rPr>
                <w:rFonts w:ascii="Times New Roman" w:hAnsi="Times New Roman"/>
                <w:lang w:bidi="en-US"/>
              </w:rPr>
              <w:t>10</w:t>
            </w:r>
            <w:r>
              <w:rPr>
                <w:rFonts w:ascii="Times New Roman" w:hAnsi="Times New Roman"/>
                <w:lang w:eastAsia="en-US" w:bidi="en-US"/>
              </w:rPr>
              <w:t>00×</w:t>
            </w:r>
            <w:r>
              <w:rPr>
                <w:rFonts w:ascii="Times New Roman" w:hAnsi="Times New Roman"/>
                <w:lang w:bidi="en-US"/>
              </w:rPr>
              <w:t>5</w:t>
            </w:r>
            <w:r>
              <w:rPr>
                <w:rFonts w:ascii="Times New Roman" w:hAnsi="Times New Roman"/>
                <w:lang w:eastAsia="en-US" w:bidi="en-US"/>
              </w:rPr>
              <w:t>000</w:t>
            </w:r>
          </w:p>
        </w:tc>
        <w:tc>
          <w:tcPr>
            <w:tcW w:w="984"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套</w:t>
            </w:r>
          </w:p>
        </w:tc>
        <w:tc>
          <w:tcPr>
            <w:tcW w:w="1147" w:type="dxa"/>
            <w:tcMar>
              <w:left w:w="11" w:type="dxa"/>
              <w:right w:w="11" w:type="dxa"/>
            </w:tcMar>
            <w:vAlign w:val="center"/>
          </w:tcPr>
          <w:p>
            <w:pPr>
              <w:pStyle w:val="39"/>
              <w:rPr>
                <w:rFonts w:ascii="Times New Roman" w:hAnsi="Times New Roman"/>
                <w:lang w:bidi="en-US"/>
              </w:rPr>
            </w:pPr>
            <w:r>
              <w:rPr>
                <w:rFonts w:ascii="Times New Roman" w:hAnsi="Times New Roman"/>
                <w:lang w:bidi="en-US"/>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3）</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抗硫放空分液罐</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lang w:bidi="en-US"/>
              </w:rPr>
              <w:t>P1.6MPa DN2400x7200</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4）</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放空火炬</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常压 DN250 x30000</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5）</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气田水罐</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lang w:bidi="en-US"/>
              </w:rPr>
              <w:t>P1.6MPa DN2800x8400</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6）</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空压机橇</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lang w:bidi="en-US"/>
              </w:rPr>
              <w:t>排量0.39Nm</w:t>
            </w:r>
            <w:r>
              <w:rPr>
                <w:rFonts w:ascii="Times New Roman" w:hAnsi="Times New Roman"/>
                <w:vertAlign w:val="superscript"/>
                <w:lang w:bidi="en-US"/>
              </w:rPr>
              <w:t>3</w:t>
            </w:r>
            <w:r>
              <w:rPr>
                <w:rFonts w:ascii="Times New Roman" w:hAnsi="Times New Roman"/>
                <w:lang w:bidi="en-US"/>
              </w:rPr>
              <w:t>/min，排气压力0.85MPag</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7）</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燃料气调压橇</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lang w:bidi="en-US"/>
              </w:rPr>
              <w:t>/</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8）</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抗硫清管器接收装置</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rPr>
              <w:t>P13MPa DN150</w:t>
            </w:r>
            <w:r>
              <w:rPr>
                <w:rFonts w:ascii="Times New Roman" w:hAnsi="Times New Roman"/>
                <w:lang w:eastAsia="en-US" w:bidi="en-US"/>
              </w:rPr>
              <w:t>×</w:t>
            </w:r>
            <w:r>
              <w:rPr>
                <w:rFonts w:ascii="Times New Roman" w:hAnsi="Times New Roman"/>
                <w:lang w:bidi="en-US"/>
              </w:rPr>
              <w:t>72</w:t>
            </w:r>
            <w:r>
              <w:rPr>
                <w:rFonts w:ascii="Times New Roman" w:hAnsi="Times New Roman"/>
                <w:lang w:eastAsia="en-US" w:bidi="en-US"/>
              </w:rPr>
              <w:t>00</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eastAsia="en-US"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9）</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抗硫清管器发送装置</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rPr>
              <w:t>P13MPa DN250</w:t>
            </w:r>
            <w:r>
              <w:rPr>
                <w:rFonts w:ascii="Times New Roman" w:hAnsi="Times New Roman"/>
                <w:lang w:eastAsia="en-US" w:bidi="en-US"/>
              </w:rPr>
              <w:t>×</w:t>
            </w:r>
            <w:r>
              <w:rPr>
                <w:rFonts w:ascii="Times New Roman" w:hAnsi="Times New Roman"/>
                <w:lang w:bidi="en-US"/>
              </w:rPr>
              <w:t>6</w:t>
            </w:r>
            <w:r>
              <w:rPr>
                <w:rFonts w:ascii="Times New Roman" w:hAnsi="Times New Roman"/>
                <w:lang w:eastAsia="en-US" w:bidi="en-US"/>
              </w:rPr>
              <w:t>000</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eastAsia="en-US"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10）</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防冻剂加注橇</w:t>
            </w:r>
          </w:p>
        </w:tc>
        <w:tc>
          <w:tcPr>
            <w:tcW w:w="3625" w:type="dxa"/>
            <w:tcMar>
              <w:left w:w="11" w:type="dxa"/>
              <w:right w:w="11" w:type="dxa"/>
            </w:tcMar>
            <w:vAlign w:val="center"/>
          </w:tcPr>
          <w:p>
            <w:pPr>
              <w:pStyle w:val="39"/>
              <w:rPr>
                <w:rFonts w:ascii="Times New Roman" w:hAnsi="Times New Roman"/>
              </w:rPr>
            </w:pPr>
            <w:r>
              <w:rPr>
                <w:rFonts w:ascii="Times New Roman" w:hAnsi="Times New Roman"/>
                <w:lang w:bidi="en-US"/>
              </w:rPr>
              <w:t>P33MPa 20L/h</w:t>
            </w:r>
          </w:p>
        </w:tc>
        <w:tc>
          <w:tcPr>
            <w:tcW w:w="984" w:type="dxa"/>
            <w:tcMar>
              <w:left w:w="11" w:type="dxa"/>
              <w:right w:w="11" w:type="dxa"/>
            </w:tcMar>
            <w:vAlign w:val="center"/>
          </w:tcPr>
          <w:p>
            <w:pPr>
              <w:pStyle w:val="39"/>
              <w:rPr>
                <w:rFonts w:ascii="Times New Roman" w:hAnsi="Times New Roman"/>
                <w:lang w:eastAsia="en-US"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11）</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13MPa缓蚀剂加注橇</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lang w:bidi="en-US"/>
              </w:rPr>
              <w:t>P13MPa 10L/h</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3</w:t>
            </w:r>
          </w:p>
        </w:tc>
        <w:tc>
          <w:tcPr>
            <w:tcW w:w="2352" w:type="dxa"/>
            <w:tcMar>
              <w:left w:w="11" w:type="dxa"/>
              <w:right w:w="11" w:type="dxa"/>
            </w:tcMar>
            <w:vAlign w:val="center"/>
          </w:tcPr>
          <w:p>
            <w:pPr>
              <w:pStyle w:val="39"/>
              <w:rPr>
                <w:rFonts w:ascii="Times New Roman" w:hAnsi="Times New Roman"/>
                <w:b/>
                <w:bCs/>
                <w:lang w:bidi="en-US"/>
              </w:rPr>
            </w:pPr>
            <w:r>
              <w:rPr>
                <w:rFonts w:ascii="Times New Roman" w:hAnsi="Times New Roman"/>
                <w:b/>
                <w:bCs/>
                <w:lang w:bidi="en-US"/>
              </w:rPr>
              <w:t>宣探清管站</w:t>
            </w:r>
          </w:p>
        </w:tc>
        <w:tc>
          <w:tcPr>
            <w:tcW w:w="3625" w:type="dxa"/>
            <w:tcMar>
              <w:left w:w="11" w:type="dxa"/>
              <w:right w:w="11" w:type="dxa"/>
            </w:tcMar>
            <w:vAlign w:val="center"/>
          </w:tcPr>
          <w:p>
            <w:pPr>
              <w:pStyle w:val="39"/>
              <w:rPr>
                <w:rFonts w:ascii="Times New Roman" w:hAnsi="Times New Roman"/>
              </w:rPr>
            </w:pPr>
          </w:p>
        </w:tc>
        <w:tc>
          <w:tcPr>
            <w:tcW w:w="984" w:type="dxa"/>
            <w:tcMar>
              <w:left w:w="11" w:type="dxa"/>
              <w:right w:w="11" w:type="dxa"/>
            </w:tcMar>
            <w:vAlign w:val="center"/>
          </w:tcPr>
          <w:p>
            <w:pPr>
              <w:pStyle w:val="39"/>
              <w:rPr>
                <w:rFonts w:ascii="Times New Roman" w:hAnsi="Times New Roman"/>
                <w:lang w:eastAsia="en-US" w:bidi="en-US"/>
              </w:rPr>
            </w:pPr>
          </w:p>
        </w:tc>
        <w:tc>
          <w:tcPr>
            <w:tcW w:w="1147" w:type="dxa"/>
            <w:tcMar>
              <w:left w:w="11" w:type="dxa"/>
              <w:right w:w="11" w:type="dxa"/>
            </w:tcMar>
            <w:vAlign w:val="center"/>
          </w:tcPr>
          <w:p>
            <w:pPr>
              <w:pStyle w:val="39"/>
              <w:rPr>
                <w:rFonts w:ascii="Times New Roman" w:hAnsi="Times New Roman"/>
                <w:lang w:eastAsia="en-US" w:bidi="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1）</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抗硫清管器接收装置</w:t>
            </w:r>
          </w:p>
        </w:tc>
        <w:tc>
          <w:tcPr>
            <w:tcW w:w="3625" w:type="dxa"/>
            <w:tcMar>
              <w:left w:w="11" w:type="dxa"/>
              <w:right w:w="11" w:type="dxa"/>
            </w:tcMar>
            <w:vAlign w:val="center"/>
          </w:tcPr>
          <w:p>
            <w:pPr>
              <w:pStyle w:val="39"/>
              <w:rPr>
                <w:rFonts w:ascii="Times New Roman" w:hAnsi="Times New Roman"/>
              </w:rPr>
            </w:pPr>
            <w:r>
              <w:rPr>
                <w:rFonts w:ascii="Times New Roman" w:hAnsi="Times New Roman"/>
              </w:rPr>
              <w:t>P13MPa DN250</w:t>
            </w:r>
            <w:r>
              <w:rPr>
                <w:rFonts w:ascii="Times New Roman" w:hAnsi="Times New Roman"/>
                <w:lang w:eastAsia="en-US" w:bidi="en-US"/>
              </w:rPr>
              <w:t>×</w:t>
            </w:r>
            <w:r>
              <w:rPr>
                <w:rFonts w:ascii="Times New Roman" w:hAnsi="Times New Roman"/>
                <w:lang w:bidi="en-US"/>
              </w:rPr>
              <w:t>72</w:t>
            </w:r>
            <w:r>
              <w:rPr>
                <w:rFonts w:ascii="Times New Roman" w:hAnsi="Times New Roman"/>
                <w:lang w:eastAsia="en-US" w:bidi="en-US"/>
              </w:rPr>
              <w:t>00</w:t>
            </w:r>
          </w:p>
        </w:tc>
        <w:tc>
          <w:tcPr>
            <w:tcW w:w="984"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2）</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燃料气调压橇</w:t>
            </w:r>
          </w:p>
        </w:tc>
        <w:tc>
          <w:tcPr>
            <w:tcW w:w="3625" w:type="dxa"/>
            <w:tcMar>
              <w:left w:w="11" w:type="dxa"/>
              <w:right w:w="11" w:type="dxa"/>
            </w:tcMar>
            <w:vAlign w:val="center"/>
          </w:tcPr>
          <w:p>
            <w:pPr>
              <w:pStyle w:val="39"/>
              <w:rPr>
                <w:rFonts w:ascii="Times New Roman" w:hAnsi="Times New Roman"/>
              </w:rPr>
            </w:pPr>
            <w:r>
              <w:rPr>
                <w:rFonts w:ascii="Times New Roman" w:hAnsi="Times New Roman"/>
                <w:lang w:bidi="en-US"/>
              </w:rPr>
              <w:t>/</w:t>
            </w:r>
          </w:p>
        </w:tc>
        <w:tc>
          <w:tcPr>
            <w:tcW w:w="984" w:type="dxa"/>
            <w:tcMar>
              <w:left w:w="11" w:type="dxa"/>
              <w:right w:w="11" w:type="dxa"/>
            </w:tcMar>
            <w:vAlign w:val="center"/>
          </w:tcPr>
          <w:p>
            <w:pPr>
              <w:pStyle w:val="39"/>
              <w:rPr>
                <w:rFonts w:ascii="Times New Roman" w:hAnsi="Times New Roman"/>
                <w:lang w:eastAsia="en-US"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3）</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抗硫放空分液罐</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lang w:bidi="en-US"/>
              </w:rPr>
              <w:t>P1.6MPa DN2400x7200</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4）</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放空火炬</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常压 DN250x 22000</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5）</w:t>
            </w:r>
          </w:p>
        </w:tc>
        <w:tc>
          <w:tcPr>
            <w:tcW w:w="2352" w:type="dxa"/>
            <w:tcMar>
              <w:left w:w="11" w:type="dxa"/>
              <w:right w:w="11" w:type="dxa"/>
            </w:tcMar>
            <w:vAlign w:val="center"/>
          </w:tcPr>
          <w:p>
            <w:pPr>
              <w:pStyle w:val="39"/>
              <w:rPr>
                <w:rFonts w:ascii="Times New Roman" w:hAnsi="Times New Roman"/>
                <w:lang w:bidi="en-US"/>
              </w:rPr>
            </w:pPr>
            <w:r>
              <w:rPr>
                <w:rFonts w:ascii="Times New Roman" w:hAnsi="Times New Roman"/>
                <w:lang w:bidi="en-US"/>
              </w:rPr>
              <w:t>缓蚀剂加注橇</w:t>
            </w:r>
          </w:p>
        </w:tc>
        <w:tc>
          <w:tcPr>
            <w:tcW w:w="3625" w:type="dxa"/>
            <w:tcMar>
              <w:left w:w="11" w:type="dxa"/>
              <w:right w:w="11" w:type="dxa"/>
            </w:tcMar>
            <w:vAlign w:val="center"/>
          </w:tcPr>
          <w:p>
            <w:pPr>
              <w:pStyle w:val="39"/>
              <w:rPr>
                <w:rFonts w:ascii="Times New Roman" w:hAnsi="Times New Roman"/>
                <w:lang w:bidi="en-US"/>
              </w:rPr>
            </w:pPr>
            <w:r>
              <w:rPr>
                <w:rFonts w:ascii="Times New Roman" w:hAnsi="Times New Roman"/>
                <w:lang w:bidi="en-US"/>
              </w:rPr>
              <w:t>P13MPa 10L/h</w:t>
            </w:r>
          </w:p>
        </w:tc>
        <w:tc>
          <w:tcPr>
            <w:tcW w:w="984" w:type="dxa"/>
            <w:tcMar>
              <w:left w:w="11" w:type="dxa"/>
              <w:right w:w="11" w:type="dxa"/>
            </w:tcMar>
            <w:vAlign w:val="center"/>
          </w:tcPr>
          <w:p>
            <w:pPr>
              <w:pStyle w:val="39"/>
              <w:rPr>
                <w:rFonts w:ascii="Times New Roman" w:hAnsi="Times New Roman"/>
                <w:lang w:bidi="en-US"/>
              </w:rPr>
            </w:pPr>
            <w:r>
              <w:rPr>
                <w:rFonts w:ascii="Times New Roman" w:hAnsi="Times New Roman"/>
                <w:lang w:bidi="en-US"/>
              </w:rPr>
              <w:t>套</w:t>
            </w:r>
          </w:p>
        </w:tc>
        <w:tc>
          <w:tcPr>
            <w:tcW w:w="1147" w:type="dxa"/>
            <w:tcMar>
              <w:left w:w="11" w:type="dxa"/>
              <w:right w:w="11" w:type="dxa"/>
            </w:tcMar>
            <w:vAlign w:val="center"/>
          </w:tcPr>
          <w:p>
            <w:pPr>
              <w:pStyle w:val="39"/>
              <w:rPr>
                <w:rFonts w:ascii="Times New Roman" w:hAnsi="Times New Roman"/>
                <w:lang w:eastAsia="en-US" w:bidi="en-US"/>
              </w:rPr>
            </w:pPr>
            <w:r>
              <w:rPr>
                <w:rFonts w:ascii="Times New Roman" w:hAnsi="Times New Roman"/>
                <w:lang w:eastAsia="en-US" w:bidi="en-US"/>
              </w:rPr>
              <w:t>1</w:t>
            </w:r>
          </w:p>
        </w:tc>
      </w:tr>
      <w:bookmarkEnd w:id="67"/>
    </w:tbl>
    <w:p>
      <w:pPr>
        <w:ind w:firstLine="480"/>
        <w:rPr>
          <w:rFonts w:ascii="Times New Roman" w:hAnsi="Times New Roman"/>
        </w:rPr>
      </w:pPr>
    </w:p>
    <w:p>
      <w:pPr>
        <w:pStyle w:val="3"/>
        <w:rPr>
          <w:rFonts w:ascii="Times New Roman" w:hAnsi="Times New Roman" w:cs="Times New Roman"/>
        </w:rPr>
      </w:pPr>
      <w:bookmarkStart w:id="68" w:name="_Toc162339398"/>
      <w:r>
        <w:rPr>
          <w:rFonts w:ascii="Times New Roman" w:hAnsi="Times New Roman" w:cs="Times New Roman"/>
        </w:rPr>
        <w:t>总平面布置</w:t>
      </w:r>
      <w:bookmarkEnd w:id="68"/>
    </w:p>
    <w:p>
      <w:pPr>
        <w:ind w:firstLine="482"/>
        <w:rPr>
          <w:rFonts w:ascii="Times New Roman" w:hAnsi="Times New Roman"/>
          <w:b/>
          <w:bCs/>
        </w:rPr>
      </w:pPr>
      <w:r>
        <w:rPr>
          <w:rFonts w:ascii="Times New Roman" w:hAnsi="Times New Roman"/>
          <w:b/>
          <w:bCs/>
        </w:rPr>
        <w:t>（1）宣探1井站、宣兴1井站</w:t>
      </w:r>
    </w:p>
    <w:p>
      <w:pPr>
        <w:ind w:firstLine="480"/>
        <w:rPr>
          <w:rFonts w:ascii="Times New Roman" w:hAnsi="Times New Roman"/>
        </w:rPr>
      </w:pPr>
      <w:r>
        <w:rPr>
          <w:rFonts w:ascii="Times New Roman" w:hAnsi="Times New Roman"/>
        </w:rPr>
        <w:t>宣探1井站和宣兴1井站的总图布置主要分为站场区和放空区。站场内布置井口区、工艺装置区、空压机撬区、仪控房、预装式变电站、柴油发电机组等。</w:t>
      </w:r>
    </w:p>
    <w:p>
      <w:pPr>
        <w:ind w:firstLine="480"/>
        <w:rPr>
          <w:rFonts w:ascii="Times New Roman" w:hAnsi="Times New Roman"/>
        </w:rPr>
      </w:pPr>
      <w:r>
        <w:rPr>
          <w:rFonts w:ascii="Times New Roman" w:hAnsi="Times New Roman"/>
        </w:rPr>
        <w:t>站场设置4.0m宽的主出入口一处，满足车辆进出站要求。同时在站场与主入口相反方向的围墙上设置1.5m宽的逃生小门，便于紧急情况下人员疏散。</w:t>
      </w:r>
    </w:p>
    <w:p>
      <w:pPr>
        <w:ind w:firstLine="480"/>
        <w:rPr>
          <w:rFonts w:ascii="Times New Roman" w:hAnsi="Times New Roman"/>
        </w:rPr>
      </w:pPr>
      <w:r>
        <w:rPr>
          <w:rFonts w:ascii="Times New Roman" w:hAnsi="Times New Roman"/>
        </w:rPr>
        <w:t>放空火炬区占地20m×20m，位于站场外最小频率风向的上风侧且位于地势较高处。</w:t>
      </w:r>
    </w:p>
    <w:p>
      <w:pPr>
        <w:ind w:firstLine="480"/>
        <w:rPr>
          <w:rFonts w:ascii="Times New Roman" w:hAnsi="Times New Roman"/>
        </w:rPr>
      </w:pPr>
      <w:r>
        <w:rPr>
          <w:rFonts w:ascii="Times New Roman" w:hAnsi="Times New Roman"/>
        </w:rPr>
        <w:t>两井站的平面布置图见附图16和附图17。</w:t>
      </w:r>
    </w:p>
    <w:p>
      <w:pPr>
        <w:ind w:firstLine="482"/>
        <w:rPr>
          <w:rFonts w:ascii="Times New Roman" w:hAnsi="Times New Roman"/>
          <w:b/>
          <w:bCs/>
        </w:rPr>
      </w:pPr>
      <w:r>
        <w:rPr>
          <w:rFonts w:ascii="Times New Roman" w:hAnsi="Times New Roman"/>
          <w:b/>
          <w:bCs/>
        </w:rPr>
        <w:t>（2）宣探清管站</w:t>
      </w:r>
    </w:p>
    <w:p>
      <w:pPr>
        <w:ind w:firstLine="480"/>
        <w:rPr>
          <w:rFonts w:ascii="Times New Roman" w:hAnsi="Times New Roman"/>
        </w:rPr>
      </w:pPr>
      <w:r>
        <w:rPr>
          <w:rFonts w:ascii="Times New Roman" w:hAnsi="Times New Roman"/>
        </w:rPr>
        <w:t>宣探清管站站内布置工艺装置区、仪控房、预装式变电站及加注撬区，站外布置放空区，总平面布置为顺应地形，按长方形进行布置。</w:t>
      </w:r>
    </w:p>
    <w:p>
      <w:pPr>
        <w:ind w:firstLine="480"/>
        <w:rPr>
          <w:rFonts w:ascii="Times New Roman" w:hAnsi="Times New Roman"/>
        </w:rPr>
      </w:pPr>
      <w:r>
        <w:rPr>
          <w:rFonts w:ascii="Times New Roman" w:hAnsi="Times New Roman"/>
        </w:rPr>
        <w:t>站场大门处设15m×15m停回车场，站内利用设施间的防火间距设置15m×15m 尽头式回车场。</w:t>
      </w:r>
    </w:p>
    <w:p>
      <w:pPr>
        <w:ind w:firstLine="480"/>
        <w:rPr>
          <w:rFonts w:ascii="Times New Roman" w:hAnsi="Times New Roman"/>
        </w:rPr>
      </w:pPr>
      <w:r>
        <w:rPr>
          <w:rFonts w:ascii="Times New Roman" w:hAnsi="Times New Roman"/>
        </w:rPr>
        <w:t>放空火炬区占地20m×20m，位于站场外最小频率风向的上风侧且位于地势较高处。</w:t>
      </w:r>
    </w:p>
    <w:p>
      <w:pPr>
        <w:ind w:firstLine="480"/>
        <w:rPr>
          <w:rFonts w:ascii="Times New Roman" w:hAnsi="Times New Roman"/>
        </w:rPr>
      </w:pPr>
      <w:r>
        <w:rPr>
          <w:rFonts w:ascii="Times New Roman" w:hAnsi="Times New Roman"/>
        </w:rPr>
        <w:t>站场设置1处大门、1处逃生门，在大门处、逃生门处分别设置风向标。</w:t>
      </w:r>
    </w:p>
    <w:p>
      <w:pPr>
        <w:ind w:firstLine="480"/>
        <w:rPr>
          <w:rFonts w:ascii="Times New Roman" w:hAnsi="Times New Roman"/>
        </w:rPr>
      </w:pPr>
      <w:r>
        <w:rPr>
          <w:rFonts w:ascii="Times New Roman" w:hAnsi="Times New Roman"/>
        </w:rPr>
        <w:t>宣探清管站的平面布置图见附图18。</w:t>
      </w:r>
    </w:p>
    <w:p>
      <w:pPr>
        <w:ind w:firstLine="482"/>
        <w:rPr>
          <w:rFonts w:ascii="Times New Roman" w:hAnsi="Times New Roman"/>
          <w:b/>
          <w:bCs/>
        </w:rPr>
      </w:pPr>
      <w:r>
        <w:rPr>
          <w:rFonts w:ascii="Times New Roman" w:hAnsi="Times New Roman"/>
          <w:b/>
          <w:bCs/>
        </w:rPr>
        <w:t>（3）阀室</w:t>
      </w:r>
    </w:p>
    <w:p>
      <w:pPr>
        <w:ind w:firstLine="480"/>
        <w:rPr>
          <w:rFonts w:ascii="Times New Roman" w:hAnsi="Times New Roman"/>
        </w:rPr>
      </w:pPr>
      <w:r>
        <w:rPr>
          <w:rFonts w:ascii="Times New Roman" w:hAnsi="Times New Roman"/>
        </w:rPr>
        <w:t>宣探阀室包括阀组区和机柜间。阀室的平面布置见附图19。</w:t>
      </w:r>
    </w:p>
    <w:p>
      <w:pPr>
        <w:pStyle w:val="3"/>
        <w:rPr>
          <w:rFonts w:ascii="Times New Roman" w:hAnsi="Times New Roman" w:cs="Times New Roman"/>
        </w:rPr>
      </w:pPr>
      <w:bookmarkStart w:id="69" w:name="_Toc162339399"/>
      <w:r>
        <w:rPr>
          <w:rFonts w:ascii="Times New Roman" w:hAnsi="Times New Roman" w:cs="Times New Roman"/>
        </w:rPr>
        <w:t>工程占地</w:t>
      </w:r>
      <w:bookmarkEnd w:id="69"/>
    </w:p>
    <w:p>
      <w:pPr>
        <w:ind w:firstLine="480"/>
        <w:rPr>
          <w:rFonts w:ascii="Times New Roman" w:hAnsi="Times New Roman"/>
        </w:rPr>
      </w:pPr>
      <w:r>
        <w:rPr>
          <w:rFonts w:ascii="Times New Roman" w:hAnsi="Times New Roman"/>
        </w:rPr>
        <w:t>本项目占地包括永久占地和临时占地。</w:t>
      </w:r>
    </w:p>
    <w:p>
      <w:pPr>
        <w:pStyle w:val="4"/>
        <w:rPr>
          <w:rFonts w:ascii="Times New Roman" w:hAnsi="Times New Roman" w:cs="Times New Roman"/>
        </w:rPr>
      </w:pPr>
      <w:r>
        <w:rPr>
          <w:rFonts w:ascii="Times New Roman" w:hAnsi="Times New Roman" w:cs="Times New Roman"/>
        </w:rPr>
        <w:t>永久占地</w:t>
      </w:r>
    </w:p>
    <w:p>
      <w:pPr>
        <w:ind w:firstLine="480"/>
        <w:rPr>
          <w:rFonts w:ascii="Times New Roman" w:hAnsi="Times New Roman"/>
        </w:rPr>
      </w:pPr>
      <w:r>
        <w:rPr>
          <w:rFonts w:ascii="Times New Roman" w:hAnsi="Times New Roman"/>
        </w:rPr>
        <w:t>永久占地包括井站、清管站、阀室等占地，具体占地情况见</w:t>
      </w:r>
      <w:r>
        <w:rPr>
          <w:rFonts w:ascii="Times New Roman" w:hAnsi="Times New Roman"/>
        </w:rPr>
        <w:fldChar w:fldCharType="begin"/>
      </w:r>
      <w:r>
        <w:rPr>
          <w:rFonts w:ascii="Times New Roman" w:hAnsi="Times New Roman"/>
        </w:rPr>
        <w:instrText xml:space="preserve"> REF _Ref152081193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13</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70" w:name="_Ref15208119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13</w:t>
      </w:r>
      <w:r>
        <w:rPr>
          <w:rFonts w:ascii="Times New Roman" w:hAnsi="Times New Roman" w:cs="Times New Roman"/>
        </w:rPr>
        <w:fldChar w:fldCharType="end"/>
      </w:r>
      <w:bookmarkEnd w:id="70"/>
      <w:r>
        <w:rPr>
          <w:rFonts w:ascii="Times New Roman" w:hAnsi="Times New Roman" w:cs="Times New Roman"/>
        </w:rPr>
        <w:t xml:space="preserve">  工程永久占地明细表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7"/>
        <w:gridCol w:w="3203"/>
        <w:gridCol w:w="24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pct"/>
          </w:tcPr>
          <w:p>
            <w:pPr>
              <w:pStyle w:val="39"/>
              <w:rPr>
                <w:rFonts w:ascii="Times New Roman" w:hAnsi="Times New Roman"/>
              </w:rPr>
            </w:pPr>
            <w:bookmarkStart w:id="71" w:name="_Hlk155948733"/>
            <w:r>
              <w:rPr>
                <w:rFonts w:ascii="Times New Roman" w:hAnsi="Times New Roman"/>
              </w:rPr>
              <w:t>站场类型</w:t>
            </w:r>
          </w:p>
        </w:tc>
        <w:tc>
          <w:tcPr>
            <w:tcW w:w="1879" w:type="pct"/>
          </w:tcPr>
          <w:p>
            <w:pPr>
              <w:pStyle w:val="39"/>
              <w:rPr>
                <w:rFonts w:ascii="Times New Roman" w:hAnsi="Times New Roman"/>
              </w:rPr>
            </w:pPr>
            <w:r>
              <w:rPr>
                <w:rFonts w:ascii="Times New Roman" w:hAnsi="Times New Roman"/>
              </w:rPr>
              <w:t>占地面积（亩）</w:t>
            </w:r>
          </w:p>
        </w:tc>
        <w:tc>
          <w:tcPr>
            <w:tcW w:w="1415" w:type="pct"/>
          </w:tcPr>
          <w:p>
            <w:pPr>
              <w:pStyle w:val="39"/>
              <w:rPr>
                <w:rFonts w:ascii="Times New Roman" w:hAnsi="Times New Roman"/>
              </w:rPr>
            </w:pPr>
            <w:r>
              <w:rPr>
                <w:rFonts w:ascii="Times New Roman" w:hAnsi="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pct"/>
          </w:tcPr>
          <w:p>
            <w:pPr>
              <w:pStyle w:val="39"/>
              <w:rPr>
                <w:rFonts w:ascii="Times New Roman" w:hAnsi="Times New Roman"/>
              </w:rPr>
            </w:pPr>
            <w:r>
              <w:rPr>
                <w:rFonts w:ascii="Times New Roman" w:hAnsi="Times New Roman"/>
              </w:rPr>
              <w:t>宣探1井站</w:t>
            </w:r>
          </w:p>
        </w:tc>
        <w:tc>
          <w:tcPr>
            <w:tcW w:w="1879" w:type="pct"/>
          </w:tcPr>
          <w:p>
            <w:pPr>
              <w:pStyle w:val="39"/>
              <w:rPr>
                <w:rFonts w:ascii="Times New Roman" w:hAnsi="Times New Roman"/>
              </w:rPr>
            </w:pPr>
            <w:r>
              <w:rPr>
                <w:rFonts w:ascii="Times New Roman" w:hAnsi="Times New Roman"/>
              </w:rPr>
              <w:t>10.62</w:t>
            </w:r>
          </w:p>
        </w:tc>
        <w:tc>
          <w:tcPr>
            <w:tcW w:w="1415" w:type="pct"/>
          </w:tcPr>
          <w:p>
            <w:pPr>
              <w:pStyle w:val="39"/>
              <w:rPr>
                <w:rFonts w:ascii="Times New Roman" w:hAnsi="Times New Roman"/>
              </w:rPr>
            </w:pPr>
            <w:r>
              <w:rPr>
                <w:rFonts w:ascii="Times New Roman" w:hAnsi="Times New Roman"/>
              </w:rPr>
              <w:t>新征永久用地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pct"/>
          </w:tcPr>
          <w:p>
            <w:pPr>
              <w:pStyle w:val="39"/>
              <w:rPr>
                <w:rFonts w:ascii="Times New Roman" w:hAnsi="Times New Roman"/>
              </w:rPr>
            </w:pPr>
            <w:r>
              <w:rPr>
                <w:rFonts w:ascii="Times New Roman" w:hAnsi="Times New Roman"/>
              </w:rPr>
              <w:t>宣兴1井站</w:t>
            </w:r>
          </w:p>
        </w:tc>
        <w:tc>
          <w:tcPr>
            <w:tcW w:w="1879" w:type="pct"/>
          </w:tcPr>
          <w:p>
            <w:pPr>
              <w:pStyle w:val="39"/>
              <w:rPr>
                <w:rFonts w:ascii="Times New Roman" w:hAnsi="Times New Roman"/>
              </w:rPr>
            </w:pPr>
            <w:r>
              <w:rPr>
                <w:rFonts w:ascii="Times New Roman" w:hAnsi="Times New Roman"/>
              </w:rPr>
              <w:t>17.18</w:t>
            </w:r>
          </w:p>
        </w:tc>
        <w:tc>
          <w:tcPr>
            <w:tcW w:w="1415" w:type="pct"/>
          </w:tcPr>
          <w:p>
            <w:pPr>
              <w:pStyle w:val="39"/>
              <w:rPr>
                <w:rFonts w:ascii="Times New Roman" w:hAnsi="Times New Roman"/>
              </w:rPr>
            </w:pPr>
            <w:r>
              <w:rPr>
                <w:rFonts w:ascii="Times New Roman" w:hAnsi="Times New Roman"/>
              </w:rPr>
              <w:t>新征永久用地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pct"/>
          </w:tcPr>
          <w:p>
            <w:pPr>
              <w:pStyle w:val="39"/>
              <w:rPr>
                <w:rFonts w:ascii="Times New Roman" w:hAnsi="Times New Roman"/>
              </w:rPr>
            </w:pPr>
            <w:r>
              <w:rPr>
                <w:rFonts w:ascii="Times New Roman" w:hAnsi="Times New Roman"/>
              </w:rPr>
              <w:t>宣探清管站</w:t>
            </w:r>
          </w:p>
        </w:tc>
        <w:tc>
          <w:tcPr>
            <w:tcW w:w="1879" w:type="pct"/>
          </w:tcPr>
          <w:p>
            <w:pPr>
              <w:pStyle w:val="39"/>
              <w:rPr>
                <w:rFonts w:ascii="Times New Roman" w:hAnsi="Times New Roman"/>
              </w:rPr>
            </w:pPr>
            <w:r>
              <w:rPr>
                <w:rFonts w:ascii="Times New Roman" w:hAnsi="Times New Roman"/>
              </w:rPr>
              <w:t>10.61</w:t>
            </w:r>
          </w:p>
        </w:tc>
        <w:tc>
          <w:tcPr>
            <w:tcW w:w="1415" w:type="pct"/>
          </w:tcPr>
          <w:p>
            <w:pPr>
              <w:pStyle w:val="39"/>
              <w:rPr>
                <w:rFonts w:ascii="Times New Roman" w:hAnsi="Times New Roman"/>
              </w:rPr>
            </w:pPr>
            <w:r>
              <w:rPr>
                <w:rFonts w:ascii="Times New Roman" w:hAnsi="Times New Roman"/>
              </w:rPr>
              <w:t>新征永久用地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pct"/>
          </w:tcPr>
          <w:p>
            <w:pPr>
              <w:pStyle w:val="39"/>
              <w:rPr>
                <w:rFonts w:ascii="Times New Roman" w:hAnsi="Times New Roman"/>
              </w:rPr>
            </w:pPr>
            <w:r>
              <w:rPr>
                <w:rFonts w:ascii="Times New Roman" w:hAnsi="Times New Roman"/>
              </w:rPr>
              <w:t>宣探阀室</w:t>
            </w:r>
          </w:p>
        </w:tc>
        <w:tc>
          <w:tcPr>
            <w:tcW w:w="1879" w:type="pct"/>
          </w:tcPr>
          <w:p>
            <w:pPr>
              <w:pStyle w:val="39"/>
              <w:rPr>
                <w:rFonts w:ascii="Times New Roman" w:hAnsi="Times New Roman"/>
              </w:rPr>
            </w:pPr>
            <w:r>
              <w:rPr>
                <w:rFonts w:ascii="Times New Roman" w:hAnsi="Times New Roman"/>
              </w:rPr>
              <w:t>2</w:t>
            </w:r>
          </w:p>
        </w:tc>
        <w:tc>
          <w:tcPr>
            <w:tcW w:w="1415" w:type="pct"/>
          </w:tcPr>
          <w:p>
            <w:pPr>
              <w:pStyle w:val="39"/>
              <w:rPr>
                <w:rFonts w:ascii="Times New Roman" w:hAnsi="Times New Roman"/>
              </w:rPr>
            </w:pPr>
            <w:r>
              <w:rPr>
                <w:rFonts w:ascii="Times New Roman" w:hAnsi="Times New Roman"/>
              </w:rPr>
              <w:t>新征永久用地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pct"/>
          </w:tcPr>
          <w:p>
            <w:pPr>
              <w:pStyle w:val="39"/>
              <w:rPr>
                <w:rFonts w:ascii="Times New Roman" w:hAnsi="Times New Roman"/>
              </w:rPr>
            </w:pPr>
            <w:r>
              <w:rPr>
                <w:rFonts w:ascii="Times New Roman" w:hAnsi="Times New Roman"/>
              </w:rPr>
              <w:t>合计</w:t>
            </w:r>
          </w:p>
        </w:tc>
        <w:tc>
          <w:tcPr>
            <w:tcW w:w="1879" w:type="pct"/>
          </w:tcPr>
          <w:p>
            <w:pPr>
              <w:pStyle w:val="39"/>
              <w:rPr>
                <w:rFonts w:ascii="Times New Roman" w:hAnsi="Times New Roman"/>
              </w:rPr>
            </w:pPr>
            <w:r>
              <w:rPr>
                <w:rFonts w:ascii="Times New Roman" w:hAnsi="Times New Roman"/>
              </w:rPr>
              <w:t>41.</w:t>
            </w:r>
            <w:r>
              <w:rPr>
                <w:rFonts w:hint="eastAsia" w:ascii="Times New Roman" w:hAnsi="Times New Roman"/>
              </w:rPr>
              <w:t>41</w:t>
            </w:r>
          </w:p>
        </w:tc>
        <w:tc>
          <w:tcPr>
            <w:tcW w:w="1415" w:type="pct"/>
          </w:tcPr>
          <w:p>
            <w:pPr>
              <w:pStyle w:val="39"/>
              <w:rPr>
                <w:rFonts w:ascii="Times New Roman" w:hAnsi="Times New Roman"/>
              </w:rPr>
            </w:pPr>
          </w:p>
        </w:tc>
      </w:tr>
      <w:bookmarkEnd w:id="71"/>
    </w:tbl>
    <w:p>
      <w:pPr>
        <w:pStyle w:val="4"/>
        <w:rPr>
          <w:rFonts w:ascii="Times New Roman" w:hAnsi="Times New Roman" w:cs="Times New Roman"/>
        </w:rPr>
      </w:pPr>
      <w:r>
        <w:rPr>
          <w:rFonts w:ascii="Times New Roman" w:hAnsi="Times New Roman" w:cs="Times New Roman"/>
        </w:rPr>
        <w:t>临时占地</w:t>
      </w:r>
    </w:p>
    <w:p>
      <w:pPr>
        <w:ind w:firstLine="480"/>
        <w:rPr>
          <w:rFonts w:ascii="Times New Roman" w:hAnsi="Times New Roman"/>
        </w:rPr>
      </w:pPr>
      <w:r>
        <w:rPr>
          <w:rFonts w:ascii="Times New Roman" w:hAnsi="Times New Roman"/>
        </w:rPr>
        <w:t>本项目临时占地包括集气干线、支线、联络线等管道的施工作业带，堆管场、施工便道等，具体占地情况见</w:t>
      </w:r>
      <w:r>
        <w:rPr>
          <w:rFonts w:ascii="Times New Roman" w:hAnsi="Times New Roman"/>
        </w:rPr>
        <w:fldChar w:fldCharType="begin"/>
      </w:r>
      <w:r>
        <w:rPr>
          <w:rFonts w:ascii="Times New Roman" w:hAnsi="Times New Roman"/>
        </w:rPr>
        <w:instrText xml:space="preserve"> REF _Ref152081850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14</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72" w:name="_Ref152081850"/>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14</w:t>
      </w:r>
      <w:r>
        <w:rPr>
          <w:rFonts w:ascii="Times New Roman" w:hAnsi="Times New Roman" w:cs="Times New Roman"/>
        </w:rPr>
        <w:fldChar w:fldCharType="end"/>
      </w:r>
      <w:bookmarkEnd w:id="72"/>
      <w:r>
        <w:rPr>
          <w:rFonts w:ascii="Times New Roman" w:hAnsi="Times New Roman" w:cs="Times New Roman"/>
        </w:rPr>
        <w:t xml:space="preserve">  工程临时占地明细表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7"/>
        <w:gridCol w:w="3203"/>
        <w:gridCol w:w="24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pPr>
              <w:pStyle w:val="39"/>
              <w:rPr>
                <w:rFonts w:ascii="Times New Roman" w:hAnsi="Times New Roman"/>
              </w:rPr>
            </w:pPr>
            <w:bookmarkStart w:id="73" w:name="_Hlk155948787"/>
            <w:r>
              <w:rPr>
                <w:rFonts w:ascii="Times New Roman" w:hAnsi="Times New Roman"/>
              </w:rPr>
              <w:t>占地工程</w:t>
            </w:r>
          </w:p>
        </w:tc>
        <w:tc>
          <w:tcPr>
            <w:tcW w:w="1879" w:type="pct"/>
            <w:vAlign w:val="center"/>
          </w:tcPr>
          <w:p>
            <w:pPr>
              <w:pStyle w:val="39"/>
              <w:rPr>
                <w:rFonts w:ascii="Times New Roman" w:hAnsi="Times New Roman"/>
              </w:rPr>
            </w:pPr>
            <w:r>
              <w:rPr>
                <w:rFonts w:ascii="Times New Roman" w:hAnsi="Times New Roman"/>
              </w:rPr>
              <w:t>占地面积（m</w:t>
            </w:r>
            <w:r>
              <w:rPr>
                <w:rFonts w:ascii="Times New Roman" w:hAnsi="Times New Roman"/>
                <w:vertAlign w:val="superscript"/>
              </w:rPr>
              <w:t>2</w:t>
            </w:r>
            <w:r>
              <w:rPr>
                <w:rFonts w:ascii="Times New Roman" w:hAnsi="Times New Roman"/>
              </w:rPr>
              <w:t>）</w:t>
            </w:r>
          </w:p>
        </w:tc>
        <w:tc>
          <w:tcPr>
            <w:tcW w:w="1415" w:type="pct"/>
            <w:vAlign w:val="center"/>
          </w:tcPr>
          <w:p>
            <w:pPr>
              <w:pStyle w:val="39"/>
              <w:rPr>
                <w:rFonts w:ascii="Times New Roman" w:hAnsi="Times New Roman"/>
              </w:rPr>
            </w:pPr>
            <w:r>
              <w:rPr>
                <w:rFonts w:ascii="Times New Roman" w:hAnsi="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pPr>
              <w:pStyle w:val="39"/>
              <w:rPr>
                <w:rFonts w:ascii="Times New Roman" w:hAnsi="Times New Roman"/>
              </w:rPr>
            </w:pPr>
            <w:r>
              <w:rPr>
                <w:rFonts w:ascii="Times New Roman" w:hAnsi="Times New Roman"/>
              </w:rPr>
              <w:t>施工作业带</w:t>
            </w:r>
          </w:p>
        </w:tc>
        <w:tc>
          <w:tcPr>
            <w:tcW w:w="1879" w:type="pct"/>
            <w:vAlign w:val="center"/>
          </w:tcPr>
          <w:p>
            <w:pPr>
              <w:pStyle w:val="39"/>
              <w:rPr>
                <w:rFonts w:ascii="Times New Roman" w:hAnsi="Times New Roman"/>
              </w:rPr>
            </w:pPr>
            <w:r>
              <w:rPr>
                <w:rFonts w:ascii="Times New Roman" w:hAnsi="Times New Roman"/>
              </w:rPr>
              <w:t>262120</w:t>
            </w:r>
          </w:p>
        </w:tc>
        <w:tc>
          <w:tcPr>
            <w:tcW w:w="1415" w:type="pct"/>
            <w:vAlign w:val="center"/>
          </w:tcPr>
          <w:p>
            <w:pPr>
              <w:pStyle w:val="39"/>
              <w:rPr>
                <w:rFonts w:ascii="Times New Roman" w:hAnsi="Times New Roman"/>
              </w:rPr>
            </w:pPr>
            <w:r>
              <w:rPr>
                <w:rFonts w:ascii="Times New Roman" w:hAnsi="Times New Roman"/>
              </w:rPr>
              <w:t>施工作业带宽度见</w:t>
            </w:r>
            <w:r>
              <w:rPr>
                <w:rFonts w:ascii="Times New Roman" w:hAnsi="Times New Roman"/>
              </w:rPr>
              <w:fldChar w:fldCharType="begin"/>
            </w:r>
            <w:r>
              <w:rPr>
                <w:rFonts w:ascii="Times New Roman" w:hAnsi="Times New Roman"/>
              </w:rPr>
              <w:instrText xml:space="preserve"> REF _Ref153545605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9</w:t>
            </w:r>
            <w:r>
              <w:rPr>
                <w:rFonts w:ascii="Times New Roman" w:hAnsi="Times New Roman"/>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pPr>
              <w:pStyle w:val="39"/>
              <w:rPr>
                <w:rFonts w:ascii="Times New Roman" w:hAnsi="Times New Roman"/>
              </w:rPr>
            </w:pPr>
            <w:r>
              <w:rPr>
                <w:rFonts w:ascii="Times New Roman" w:hAnsi="Times New Roman"/>
              </w:rPr>
              <w:t>堆管场</w:t>
            </w:r>
          </w:p>
        </w:tc>
        <w:tc>
          <w:tcPr>
            <w:tcW w:w="1879" w:type="pct"/>
            <w:vAlign w:val="center"/>
          </w:tcPr>
          <w:p>
            <w:pPr>
              <w:pStyle w:val="39"/>
              <w:rPr>
                <w:rFonts w:ascii="Times New Roman" w:hAnsi="Times New Roman"/>
              </w:rPr>
            </w:pPr>
            <w:r>
              <w:rPr>
                <w:rFonts w:ascii="Times New Roman" w:hAnsi="Times New Roman"/>
              </w:rPr>
              <w:t>8000</w:t>
            </w:r>
          </w:p>
        </w:tc>
        <w:tc>
          <w:tcPr>
            <w:tcW w:w="1415" w:type="pct"/>
            <w:vAlign w:val="center"/>
          </w:tcPr>
          <w:p>
            <w:pPr>
              <w:pStyle w:val="39"/>
              <w:rPr>
                <w:rFonts w:ascii="Times New Roman" w:hAnsi="Times New Roman"/>
              </w:rPr>
            </w:pPr>
            <w:r>
              <w:rPr>
                <w:rFonts w:ascii="Times New Roman" w:hAnsi="Times New Roman"/>
              </w:rPr>
              <w:t>20个，每个400m</w:t>
            </w:r>
            <w:r>
              <w:rPr>
                <w:rFonts w:ascii="Times New Roman" w:hAnsi="Times New Roman"/>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pPr>
              <w:pStyle w:val="39"/>
              <w:rPr>
                <w:rFonts w:ascii="Times New Roman" w:hAnsi="Times New Roman"/>
              </w:rPr>
            </w:pPr>
            <w:r>
              <w:rPr>
                <w:rFonts w:ascii="Times New Roman" w:hAnsi="Times New Roman"/>
              </w:rPr>
              <w:t>施工便道</w:t>
            </w:r>
          </w:p>
        </w:tc>
        <w:tc>
          <w:tcPr>
            <w:tcW w:w="1879" w:type="pct"/>
            <w:vAlign w:val="center"/>
          </w:tcPr>
          <w:p>
            <w:pPr>
              <w:pStyle w:val="39"/>
              <w:rPr>
                <w:rFonts w:ascii="Times New Roman" w:hAnsi="Times New Roman"/>
              </w:rPr>
            </w:pPr>
            <w:r>
              <w:rPr>
                <w:rFonts w:ascii="Times New Roman" w:hAnsi="Times New Roman"/>
              </w:rPr>
              <w:t>48000</w:t>
            </w:r>
          </w:p>
        </w:tc>
        <w:tc>
          <w:tcPr>
            <w:tcW w:w="1415" w:type="pct"/>
            <w:vAlign w:val="center"/>
          </w:tcPr>
          <w:p>
            <w:pPr>
              <w:pStyle w:val="39"/>
              <w:rPr>
                <w:rFonts w:ascii="Times New Roman" w:hAnsi="Times New Roman"/>
              </w:rPr>
            </w:pPr>
            <w:r>
              <w:rPr>
                <w:rFonts w:ascii="Times New Roman" w:hAnsi="Times New Roman"/>
              </w:rPr>
              <w:t>长12km，宽4m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pPr>
              <w:pStyle w:val="39"/>
              <w:rPr>
                <w:rFonts w:ascii="Times New Roman" w:hAnsi="Times New Roman"/>
              </w:rPr>
            </w:pPr>
            <w:r>
              <w:rPr>
                <w:rFonts w:ascii="Times New Roman" w:hAnsi="Times New Roman"/>
              </w:rPr>
              <w:t>人行巡检便道</w:t>
            </w:r>
          </w:p>
        </w:tc>
        <w:tc>
          <w:tcPr>
            <w:tcW w:w="1879" w:type="pct"/>
            <w:vAlign w:val="center"/>
          </w:tcPr>
          <w:p>
            <w:pPr>
              <w:pStyle w:val="39"/>
              <w:rPr>
                <w:rFonts w:ascii="Times New Roman" w:hAnsi="Times New Roman"/>
              </w:rPr>
            </w:pPr>
            <w:r>
              <w:rPr>
                <w:rFonts w:ascii="Times New Roman" w:hAnsi="Times New Roman"/>
              </w:rPr>
              <w:t>10000</w:t>
            </w:r>
          </w:p>
        </w:tc>
        <w:tc>
          <w:tcPr>
            <w:tcW w:w="1415" w:type="pct"/>
            <w:vAlign w:val="center"/>
          </w:tcPr>
          <w:p>
            <w:pPr>
              <w:pStyle w:val="39"/>
              <w:rPr>
                <w:rFonts w:ascii="Times New Roman" w:hAnsi="Times New Roman"/>
              </w:rPr>
            </w:pPr>
            <w:r>
              <w:rPr>
                <w:rFonts w:ascii="Times New Roman" w:hAnsi="Times New Roman"/>
              </w:rPr>
              <w:t>长12.5km，宽0.8m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1706" w:type="pct"/>
            <w:vAlign w:val="center"/>
          </w:tcPr>
          <w:p>
            <w:pPr>
              <w:pStyle w:val="39"/>
              <w:rPr>
                <w:rFonts w:ascii="Times New Roman" w:hAnsi="Times New Roman"/>
              </w:rPr>
            </w:pPr>
            <w:r>
              <w:rPr>
                <w:rFonts w:ascii="Times New Roman" w:hAnsi="Times New Roman"/>
              </w:rPr>
              <w:t>合计</w:t>
            </w:r>
          </w:p>
        </w:tc>
        <w:tc>
          <w:tcPr>
            <w:tcW w:w="1879" w:type="pct"/>
            <w:vAlign w:val="center"/>
          </w:tcPr>
          <w:p>
            <w:pPr>
              <w:pStyle w:val="39"/>
              <w:rPr>
                <w:rFonts w:ascii="Times New Roman" w:hAnsi="Times New Roman"/>
              </w:rPr>
            </w:pPr>
            <w:r>
              <w:rPr>
                <w:rFonts w:ascii="Times New Roman" w:hAnsi="Times New Roman"/>
              </w:rPr>
              <w:t>328120</w:t>
            </w:r>
          </w:p>
        </w:tc>
        <w:tc>
          <w:tcPr>
            <w:tcW w:w="1415" w:type="pct"/>
            <w:vAlign w:val="center"/>
          </w:tcPr>
          <w:p>
            <w:pPr>
              <w:pStyle w:val="39"/>
              <w:rPr>
                <w:rFonts w:ascii="Times New Roman" w:hAnsi="Times New Roman"/>
              </w:rPr>
            </w:pPr>
            <w:r>
              <w:rPr>
                <w:rFonts w:ascii="Times New Roman" w:hAnsi="Times New Roman"/>
              </w:rPr>
              <w:t>/</w:t>
            </w:r>
          </w:p>
        </w:tc>
      </w:tr>
      <w:bookmarkEnd w:id="73"/>
    </w:tbl>
    <w:p>
      <w:pPr>
        <w:pStyle w:val="3"/>
        <w:rPr>
          <w:rFonts w:ascii="Times New Roman" w:hAnsi="Times New Roman" w:cs="Times New Roman"/>
        </w:rPr>
      </w:pPr>
      <w:bookmarkStart w:id="74" w:name="_Toc162339400"/>
      <w:r>
        <w:rPr>
          <w:rFonts w:ascii="Times New Roman" w:hAnsi="Times New Roman" w:cs="Times New Roman"/>
        </w:rPr>
        <w:t>土石方</w:t>
      </w:r>
      <w:bookmarkEnd w:id="74"/>
    </w:p>
    <w:p>
      <w:pPr>
        <w:ind w:firstLine="480"/>
        <w:rPr>
          <w:rFonts w:ascii="Times New Roman" w:hAnsi="Times New Roman"/>
        </w:rPr>
      </w:pPr>
      <w:r>
        <w:rPr>
          <w:rFonts w:ascii="Times New Roman" w:hAnsi="Times New Roman"/>
        </w:rPr>
        <w:t>本工程涉及土石方的工程主要包括线路工程的管沟开挖、站场建设。挖方施工应分层开挖，分层堆放，施工结束后分层回填，施工结束后及时恢复植被。本工程施工土石方量具体见</w:t>
      </w:r>
      <w:r>
        <w:rPr>
          <w:rFonts w:ascii="Times New Roman" w:hAnsi="Times New Roman"/>
        </w:rPr>
        <w:fldChar w:fldCharType="begin"/>
      </w:r>
      <w:r>
        <w:rPr>
          <w:rFonts w:ascii="Times New Roman" w:hAnsi="Times New Roman"/>
        </w:rPr>
        <w:instrText xml:space="preserve"> REF _Ref154046483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15</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75" w:name="_Ref15404648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15</w:t>
      </w:r>
      <w:r>
        <w:rPr>
          <w:rFonts w:ascii="Times New Roman" w:hAnsi="Times New Roman" w:cs="Times New Roman"/>
        </w:rPr>
        <w:fldChar w:fldCharType="end"/>
      </w:r>
      <w:bookmarkEnd w:id="75"/>
      <w:r>
        <w:rPr>
          <w:rFonts w:ascii="Times New Roman" w:hAnsi="Times New Roman" w:cs="Times New Roman"/>
        </w:rPr>
        <w:t xml:space="preserve">  本项目土石方平衡表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2"/>
        <w:gridCol w:w="1382"/>
        <w:gridCol w:w="1383"/>
        <w:gridCol w:w="1383"/>
        <w:gridCol w:w="1383"/>
        <w:gridCol w:w="13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vAlign w:val="center"/>
          </w:tcPr>
          <w:p>
            <w:pPr>
              <w:pStyle w:val="39"/>
              <w:rPr>
                <w:rFonts w:ascii="Times New Roman" w:hAnsi="Times New Roman"/>
              </w:rPr>
            </w:pPr>
            <w:r>
              <w:rPr>
                <w:rFonts w:ascii="Times New Roman" w:hAnsi="Times New Roman"/>
              </w:rPr>
              <w:t>工程内容</w:t>
            </w:r>
          </w:p>
        </w:tc>
        <w:tc>
          <w:tcPr>
            <w:tcW w:w="1382" w:type="dxa"/>
            <w:vAlign w:val="center"/>
          </w:tcPr>
          <w:p>
            <w:pPr>
              <w:pStyle w:val="39"/>
              <w:rPr>
                <w:rFonts w:ascii="Times New Roman" w:hAnsi="Times New Roman"/>
              </w:rPr>
            </w:pPr>
            <w:r>
              <w:rPr>
                <w:rFonts w:ascii="Times New Roman" w:hAnsi="Times New Roman"/>
              </w:rPr>
              <w:t>挖方量（m</w:t>
            </w:r>
            <w:r>
              <w:rPr>
                <w:rFonts w:ascii="Times New Roman" w:hAnsi="Times New Roman"/>
                <w:vertAlign w:val="superscript"/>
              </w:rPr>
              <w:t>3</w:t>
            </w:r>
            <w:r>
              <w:rPr>
                <w:rFonts w:ascii="Times New Roman" w:hAnsi="Times New Roman"/>
              </w:rPr>
              <w:t>）</w:t>
            </w:r>
          </w:p>
        </w:tc>
        <w:tc>
          <w:tcPr>
            <w:tcW w:w="1383" w:type="dxa"/>
            <w:vAlign w:val="center"/>
          </w:tcPr>
          <w:p>
            <w:pPr>
              <w:pStyle w:val="39"/>
              <w:rPr>
                <w:rFonts w:ascii="Times New Roman" w:hAnsi="Times New Roman"/>
              </w:rPr>
            </w:pPr>
            <w:r>
              <w:rPr>
                <w:rFonts w:ascii="Times New Roman" w:hAnsi="Times New Roman"/>
              </w:rPr>
              <w:t>填方量</w:t>
            </w:r>
          </w:p>
          <w:p>
            <w:pPr>
              <w:pStyle w:val="39"/>
              <w:rPr>
                <w:rFonts w:ascii="Times New Roman" w:hAnsi="Times New Roman"/>
              </w:rPr>
            </w:pPr>
            <w:r>
              <w:rPr>
                <w:rFonts w:ascii="Times New Roman" w:hAnsi="Times New Roman"/>
              </w:rPr>
              <w:t>（m</w:t>
            </w:r>
            <w:r>
              <w:rPr>
                <w:rFonts w:ascii="Times New Roman" w:hAnsi="Times New Roman"/>
                <w:vertAlign w:val="superscript"/>
              </w:rPr>
              <w:t>3</w:t>
            </w:r>
            <w:r>
              <w:rPr>
                <w:rFonts w:ascii="Times New Roman" w:hAnsi="Times New Roman"/>
              </w:rPr>
              <w:t>）</w:t>
            </w:r>
          </w:p>
        </w:tc>
        <w:tc>
          <w:tcPr>
            <w:tcW w:w="1383" w:type="dxa"/>
            <w:vAlign w:val="center"/>
          </w:tcPr>
          <w:p>
            <w:pPr>
              <w:pStyle w:val="39"/>
              <w:rPr>
                <w:rFonts w:ascii="Times New Roman" w:hAnsi="Times New Roman"/>
              </w:rPr>
            </w:pPr>
            <w:r>
              <w:rPr>
                <w:rFonts w:ascii="Times New Roman" w:hAnsi="Times New Roman"/>
              </w:rPr>
              <w:t>借方量</w:t>
            </w:r>
          </w:p>
          <w:p>
            <w:pPr>
              <w:pStyle w:val="39"/>
              <w:rPr>
                <w:rFonts w:ascii="Times New Roman" w:hAnsi="Times New Roman"/>
              </w:rPr>
            </w:pPr>
            <w:r>
              <w:rPr>
                <w:rFonts w:ascii="Times New Roman" w:hAnsi="Times New Roman"/>
              </w:rPr>
              <w:t>（m</w:t>
            </w:r>
            <w:r>
              <w:rPr>
                <w:rFonts w:ascii="Times New Roman" w:hAnsi="Times New Roman"/>
                <w:vertAlign w:val="superscript"/>
              </w:rPr>
              <w:t>3</w:t>
            </w:r>
            <w:r>
              <w:rPr>
                <w:rFonts w:ascii="Times New Roman" w:hAnsi="Times New Roman"/>
              </w:rPr>
              <w:t>）</w:t>
            </w:r>
          </w:p>
        </w:tc>
        <w:tc>
          <w:tcPr>
            <w:tcW w:w="1383" w:type="dxa"/>
            <w:vAlign w:val="center"/>
          </w:tcPr>
          <w:p>
            <w:pPr>
              <w:pStyle w:val="39"/>
              <w:rPr>
                <w:rFonts w:ascii="Times New Roman" w:hAnsi="Times New Roman"/>
              </w:rPr>
            </w:pPr>
            <w:r>
              <w:rPr>
                <w:rFonts w:ascii="Times New Roman" w:hAnsi="Times New Roman"/>
              </w:rPr>
              <w:t>弃方量</w:t>
            </w:r>
          </w:p>
          <w:p>
            <w:pPr>
              <w:pStyle w:val="39"/>
              <w:rPr>
                <w:rFonts w:ascii="Times New Roman" w:hAnsi="Times New Roman"/>
              </w:rPr>
            </w:pPr>
            <w:r>
              <w:rPr>
                <w:rFonts w:ascii="Times New Roman" w:hAnsi="Times New Roman"/>
              </w:rPr>
              <w:t>（m</w:t>
            </w:r>
            <w:r>
              <w:rPr>
                <w:rFonts w:ascii="Times New Roman" w:hAnsi="Times New Roman"/>
                <w:vertAlign w:val="superscript"/>
              </w:rPr>
              <w:t>3</w:t>
            </w:r>
            <w:r>
              <w:rPr>
                <w:rFonts w:ascii="Times New Roman" w:hAnsi="Times New Roman"/>
              </w:rPr>
              <w:t>）</w:t>
            </w:r>
          </w:p>
        </w:tc>
        <w:tc>
          <w:tcPr>
            <w:tcW w:w="1383" w:type="dxa"/>
            <w:vAlign w:val="center"/>
          </w:tcPr>
          <w:p>
            <w:pPr>
              <w:pStyle w:val="39"/>
              <w:rPr>
                <w:rFonts w:ascii="Times New Roman" w:hAnsi="Times New Roman"/>
              </w:rPr>
            </w:pPr>
            <w:r>
              <w:rPr>
                <w:rFonts w:ascii="Times New Roman" w:hAnsi="Times New Roman"/>
              </w:rPr>
              <w:t>处置去向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vAlign w:val="center"/>
          </w:tcPr>
          <w:p>
            <w:pPr>
              <w:pStyle w:val="39"/>
              <w:rPr>
                <w:rFonts w:ascii="Times New Roman" w:hAnsi="Times New Roman"/>
              </w:rPr>
            </w:pPr>
            <w:r>
              <w:rPr>
                <w:rFonts w:ascii="Times New Roman" w:hAnsi="Times New Roman"/>
              </w:rPr>
              <w:t>线路工程</w:t>
            </w:r>
          </w:p>
        </w:tc>
        <w:tc>
          <w:tcPr>
            <w:tcW w:w="1382" w:type="dxa"/>
            <w:vAlign w:val="center"/>
          </w:tcPr>
          <w:p>
            <w:pPr>
              <w:pStyle w:val="39"/>
              <w:rPr>
                <w:rFonts w:ascii="Times New Roman" w:hAnsi="Times New Roman"/>
              </w:rPr>
            </w:pPr>
            <w:r>
              <w:rPr>
                <w:rFonts w:ascii="Times New Roman" w:hAnsi="Times New Roman"/>
              </w:rPr>
              <w:t>7.728×10</w:t>
            </w:r>
            <w:r>
              <w:rPr>
                <w:rFonts w:ascii="Times New Roman" w:hAnsi="Times New Roman"/>
                <w:vertAlign w:val="superscript"/>
              </w:rPr>
              <w:t>4</w:t>
            </w:r>
          </w:p>
        </w:tc>
        <w:tc>
          <w:tcPr>
            <w:tcW w:w="1383" w:type="dxa"/>
            <w:vAlign w:val="center"/>
          </w:tcPr>
          <w:p>
            <w:pPr>
              <w:pStyle w:val="39"/>
              <w:rPr>
                <w:rFonts w:ascii="Times New Roman" w:hAnsi="Times New Roman"/>
              </w:rPr>
            </w:pPr>
            <w:r>
              <w:rPr>
                <w:rFonts w:ascii="Times New Roman" w:hAnsi="Times New Roman"/>
              </w:rPr>
              <w:t>9.41×10</w:t>
            </w:r>
            <w:r>
              <w:rPr>
                <w:rFonts w:ascii="Times New Roman" w:hAnsi="Times New Roman"/>
                <w:vertAlign w:val="superscript"/>
              </w:rPr>
              <w:t>4</w:t>
            </w:r>
          </w:p>
        </w:tc>
        <w:tc>
          <w:tcPr>
            <w:tcW w:w="1383" w:type="dxa"/>
            <w:vAlign w:val="center"/>
          </w:tcPr>
          <w:p>
            <w:pPr>
              <w:pStyle w:val="39"/>
              <w:rPr>
                <w:rFonts w:ascii="Times New Roman" w:hAnsi="Times New Roman"/>
              </w:rPr>
            </w:pPr>
            <w:r>
              <w:rPr>
                <w:rFonts w:ascii="Times New Roman" w:hAnsi="Times New Roman"/>
              </w:rPr>
              <w:t>1.682×10</w:t>
            </w:r>
            <w:r>
              <w:rPr>
                <w:rFonts w:ascii="Times New Roman" w:hAnsi="Times New Roman"/>
                <w:vertAlign w:val="superscript"/>
              </w:rPr>
              <w:t>4</w:t>
            </w:r>
          </w:p>
          <w:p>
            <w:pPr>
              <w:pStyle w:val="39"/>
              <w:rPr>
                <w:rFonts w:ascii="Times New Roman" w:hAnsi="Times New Roman"/>
              </w:rPr>
            </w:pPr>
            <w:r>
              <w:rPr>
                <w:rFonts w:ascii="Times New Roman" w:hAnsi="Times New Roman"/>
              </w:rPr>
              <w:t>（外购）</w:t>
            </w:r>
          </w:p>
        </w:tc>
        <w:tc>
          <w:tcPr>
            <w:tcW w:w="1383" w:type="dxa"/>
            <w:vAlign w:val="center"/>
          </w:tcPr>
          <w:p>
            <w:pPr>
              <w:pStyle w:val="39"/>
              <w:rPr>
                <w:rFonts w:ascii="Times New Roman" w:hAnsi="Times New Roman"/>
              </w:rPr>
            </w:pPr>
            <w:r>
              <w:rPr>
                <w:rFonts w:ascii="Times New Roman" w:hAnsi="Times New Roman"/>
              </w:rPr>
              <w:t>0</w:t>
            </w:r>
          </w:p>
        </w:tc>
        <w:tc>
          <w:tcPr>
            <w:tcW w:w="1383"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vAlign w:val="center"/>
          </w:tcPr>
          <w:p>
            <w:pPr>
              <w:pStyle w:val="39"/>
              <w:rPr>
                <w:rFonts w:ascii="Times New Roman" w:hAnsi="Times New Roman"/>
              </w:rPr>
            </w:pPr>
            <w:r>
              <w:rPr>
                <w:rFonts w:ascii="Times New Roman" w:hAnsi="Times New Roman"/>
              </w:rPr>
              <w:t>宣探1井站</w:t>
            </w:r>
          </w:p>
        </w:tc>
        <w:tc>
          <w:tcPr>
            <w:tcW w:w="1382" w:type="dxa"/>
            <w:vAlign w:val="center"/>
          </w:tcPr>
          <w:p>
            <w:pPr>
              <w:pStyle w:val="39"/>
              <w:rPr>
                <w:rFonts w:ascii="Times New Roman" w:hAnsi="Times New Roman"/>
              </w:rPr>
            </w:pPr>
            <w:r>
              <w:rPr>
                <w:rFonts w:ascii="Times New Roman" w:hAnsi="Times New Roman"/>
              </w:rPr>
              <w:t>200</w:t>
            </w:r>
          </w:p>
        </w:tc>
        <w:tc>
          <w:tcPr>
            <w:tcW w:w="1383" w:type="dxa"/>
            <w:vAlign w:val="center"/>
          </w:tcPr>
          <w:p>
            <w:pPr>
              <w:pStyle w:val="39"/>
              <w:rPr>
                <w:rFonts w:ascii="Times New Roman" w:hAnsi="Times New Roman"/>
              </w:rPr>
            </w:pPr>
            <w:r>
              <w:rPr>
                <w:rFonts w:ascii="Times New Roman" w:hAnsi="Times New Roman"/>
              </w:rPr>
              <w:t>200</w:t>
            </w:r>
          </w:p>
        </w:tc>
        <w:tc>
          <w:tcPr>
            <w:tcW w:w="1383" w:type="dxa"/>
            <w:vAlign w:val="center"/>
          </w:tcPr>
          <w:p>
            <w:pPr>
              <w:pStyle w:val="39"/>
              <w:rPr>
                <w:rFonts w:ascii="Times New Roman" w:hAnsi="Times New Roman"/>
              </w:rPr>
            </w:pPr>
            <w:r>
              <w:rPr>
                <w:rFonts w:ascii="Times New Roman" w:hAnsi="Times New Roman"/>
              </w:rPr>
              <w:t>0</w:t>
            </w:r>
          </w:p>
        </w:tc>
        <w:tc>
          <w:tcPr>
            <w:tcW w:w="1383" w:type="dxa"/>
            <w:vAlign w:val="center"/>
          </w:tcPr>
          <w:p>
            <w:pPr>
              <w:pStyle w:val="39"/>
              <w:rPr>
                <w:rFonts w:ascii="Times New Roman" w:hAnsi="Times New Roman"/>
              </w:rPr>
            </w:pPr>
            <w:r>
              <w:rPr>
                <w:rFonts w:ascii="Times New Roman" w:hAnsi="Times New Roman"/>
              </w:rPr>
              <w:t>0</w:t>
            </w:r>
          </w:p>
        </w:tc>
        <w:tc>
          <w:tcPr>
            <w:tcW w:w="1383"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vAlign w:val="center"/>
          </w:tcPr>
          <w:p>
            <w:pPr>
              <w:pStyle w:val="39"/>
              <w:rPr>
                <w:rFonts w:ascii="Times New Roman" w:hAnsi="Times New Roman"/>
              </w:rPr>
            </w:pPr>
            <w:r>
              <w:rPr>
                <w:rFonts w:ascii="Times New Roman" w:hAnsi="Times New Roman"/>
              </w:rPr>
              <w:t>宣兴1井站</w:t>
            </w:r>
          </w:p>
        </w:tc>
        <w:tc>
          <w:tcPr>
            <w:tcW w:w="1382" w:type="dxa"/>
            <w:vAlign w:val="center"/>
          </w:tcPr>
          <w:p>
            <w:pPr>
              <w:pStyle w:val="39"/>
              <w:rPr>
                <w:rFonts w:ascii="Times New Roman" w:hAnsi="Times New Roman"/>
              </w:rPr>
            </w:pPr>
            <w:r>
              <w:rPr>
                <w:rFonts w:ascii="Times New Roman" w:hAnsi="Times New Roman"/>
              </w:rPr>
              <w:t>500</w:t>
            </w:r>
          </w:p>
        </w:tc>
        <w:tc>
          <w:tcPr>
            <w:tcW w:w="1383" w:type="dxa"/>
            <w:vAlign w:val="center"/>
          </w:tcPr>
          <w:p>
            <w:pPr>
              <w:pStyle w:val="39"/>
              <w:rPr>
                <w:rFonts w:ascii="Times New Roman" w:hAnsi="Times New Roman"/>
              </w:rPr>
            </w:pPr>
            <w:r>
              <w:rPr>
                <w:rFonts w:ascii="Times New Roman" w:hAnsi="Times New Roman"/>
              </w:rPr>
              <w:t>500</w:t>
            </w:r>
          </w:p>
        </w:tc>
        <w:tc>
          <w:tcPr>
            <w:tcW w:w="1383" w:type="dxa"/>
            <w:vAlign w:val="center"/>
          </w:tcPr>
          <w:p>
            <w:pPr>
              <w:pStyle w:val="39"/>
              <w:rPr>
                <w:rFonts w:ascii="Times New Roman" w:hAnsi="Times New Roman"/>
              </w:rPr>
            </w:pPr>
            <w:r>
              <w:rPr>
                <w:rFonts w:ascii="Times New Roman" w:hAnsi="Times New Roman"/>
              </w:rPr>
              <w:t>0</w:t>
            </w:r>
          </w:p>
        </w:tc>
        <w:tc>
          <w:tcPr>
            <w:tcW w:w="1383" w:type="dxa"/>
            <w:vAlign w:val="center"/>
          </w:tcPr>
          <w:p>
            <w:pPr>
              <w:pStyle w:val="39"/>
              <w:rPr>
                <w:rFonts w:ascii="Times New Roman" w:hAnsi="Times New Roman"/>
              </w:rPr>
            </w:pPr>
            <w:r>
              <w:rPr>
                <w:rFonts w:ascii="Times New Roman" w:hAnsi="Times New Roman"/>
              </w:rPr>
              <w:t>0</w:t>
            </w:r>
          </w:p>
        </w:tc>
        <w:tc>
          <w:tcPr>
            <w:tcW w:w="1383"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vAlign w:val="center"/>
          </w:tcPr>
          <w:p>
            <w:pPr>
              <w:pStyle w:val="39"/>
              <w:rPr>
                <w:rFonts w:ascii="Times New Roman" w:hAnsi="Times New Roman"/>
              </w:rPr>
            </w:pPr>
            <w:r>
              <w:rPr>
                <w:rFonts w:ascii="Times New Roman" w:hAnsi="Times New Roman"/>
              </w:rPr>
              <w:t>宣探清管站</w:t>
            </w:r>
          </w:p>
        </w:tc>
        <w:tc>
          <w:tcPr>
            <w:tcW w:w="1382" w:type="dxa"/>
            <w:vAlign w:val="center"/>
          </w:tcPr>
          <w:p>
            <w:pPr>
              <w:pStyle w:val="39"/>
              <w:rPr>
                <w:rFonts w:ascii="Times New Roman" w:hAnsi="Times New Roman"/>
              </w:rPr>
            </w:pPr>
            <w:r>
              <w:rPr>
                <w:rFonts w:ascii="Times New Roman" w:hAnsi="Times New Roman"/>
              </w:rPr>
              <w:t>35000</w:t>
            </w:r>
          </w:p>
        </w:tc>
        <w:tc>
          <w:tcPr>
            <w:tcW w:w="1383" w:type="dxa"/>
            <w:vAlign w:val="center"/>
          </w:tcPr>
          <w:p>
            <w:pPr>
              <w:pStyle w:val="39"/>
              <w:rPr>
                <w:rFonts w:ascii="Times New Roman" w:hAnsi="Times New Roman"/>
              </w:rPr>
            </w:pPr>
            <w:r>
              <w:rPr>
                <w:rFonts w:ascii="Times New Roman" w:hAnsi="Times New Roman"/>
              </w:rPr>
              <w:t>15000</w:t>
            </w:r>
          </w:p>
        </w:tc>
        <w:tc>
          <w:tcPr>
            <w:tcW w:w="1383" w:type="dxa"/>
            <w:vAlign w:val="center"/>
          </w:tcPr>
          <w:p>
            <w:pPr>
              <w:pStyle w:val="39"/>
              <w:rPr>
                <w:rFonts w:ascii="Times New Roman" w:hAnsi="Times New Roman"/>
              </w:rPr>
            </w:pPr>
            <w:r>
              <w:rPr>
                <w:rFonts w:ascii="Times New Roman" w:hAnsi="Times New Roman"/>
              </w:rPr>
              <w:t>0</w:t>
            </w:r>
          </w:p>
        </w:tc>
        <w:tc>
          <w:tcPr>
            <w:tcW w:w="1383" w:type="dxa"/>
            <w:vAlign w:val="center"/>
          </w:tcPr>
          <w:p>
            <w:pPr>
              <w:pStyle w:val="39"/>
              <w:rPr>
                <w:rFonts w:ascii="Times New Roman" w:hAnsi="Times New Roman"/>
              </w:rPr>
            </w:pPr>
            <w:r>
              <w:rPr>
                <w:rFonts w:ascii="Times New Roman" w:hAnsi="Times New Roman"/>
              </w:rPr>
              <w:t>20000</w:t>
            </w:r>
          </w:p>
        </w:tc>
        <w:tc>
          <w:tcPr>
            <w:tcW w:w="1383" w:type="dxa"/>
            <w:vAlign w:val="center"/>
          </w:tcPr>
          <w:p>
            <w:pPr>
              <w:pStyle w:val="39"/>
              <w:rPr>
                <w:rFonts w:ascii="Times New Roman" w:hAnsi="Times New Roman"/>
              </w:rPr>
            </w:pPr>
            <w:r>
              <w:rPr>
                <w:rFonts w:ascii="Times New Roman" w:hAnsi="Times New Roman"/>
              </w:rPr>
              <w:t>外弃至指定地点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vAlign w:val="center"/>
          </w:tcPr>
          <w:p>
            <w:pPr>
              <w:pStyle w:val="39"/>
              <w:rPr>
                <w:rFonts w:ascii="Times New Roman" w:hAnsi="Times New Roman"/>
              </w:rPr>
            </w:pPr>
            <w:r>
              <w:rPr>
                <w:rFonts w:ascii="Times New Roman" w:hAnsi="Times New Roman"/>
              </w:rPr>
              <w:t>宣探阀室</w:t>
            </w:r>
          </w:p>
        </w:tc>
        <w:tc>
          <w:tcPr>
            <w:tcW w:w="1382" w:type="dxa"/>
            <w:vAlign w:val="center"/>
          </w:tcPr>
          <w:p>
            <w:pPr>
              <w:pStyle w:val="39"/>
              <w:rPr>
                <w:rFonts w:ascii="Times New Roman" w:hAnsi="Times New Roman"/>
              </w:rPr>
            </w:pPr>
            <w:r>
              <w:rPr>
                <w:rFonts w:ascii="Times New Roman" w:hAnsi="Times New Roman"/>
              </w:rPr>
              <w:t>1500</w:t>
            </w:r>
          </w:p>
        </w:tc>
        <w:tc>
          <w:tcPr>
            <w:tcW w:w="1383" w:type="dxa"/>
            <w:vAlign w:val="center"/>
          </w:tcPr>
          <w:p>
            <w:pPr>
              <w:pStyle w:val="39"/>
              <w:rPr>
                <w:rFonts w:ascii="Times New Roman" w:hAnsi="Times New Roman"/>
              </w:rPr>
            </w:pPr>
            <w:r>
              <w:rPr>
                <w:rFonts w:ascii="Times New Roman" w:hAnsi="Times New Roman"/>
              </w:rPr>
              <w:t>500</w:t>
            </w:r>
          </w:p>
        </w:tc>
        <w:tc>
          <w:tcPr>
            <w:tcW w:w="1383" w:type="dxa"/>
            <w:vAlign w:val="center"/>
          </w:tcPr>
          <w:p>
            <w:pPr>
              <w:pStyle w:val="39"/>
              <w:rPr>
                <w:rFonts w:ascii="Times New Roman" w:hAnsi="Times New Roman"/>
              </w:rPr>
            </w:pPr>
            <w:r>
              <w:rPr>
                <w:rFonts w:ascii="Times New Roman" w:hAnsi="Times New Roman"/>
              </w:rPr>
              <w:t>0</w:t>
            </w:r>
          </w:p>
        </w:tc>
        <w:tc>
          <w:tcPr>
            <w:tcW w:w="1383" w:type="dxa"/>
            <w:vAlign w:val="center"/>
          </w:tcPr>
          <w:p>
            <w:pPr>
              <w:pStyle w:val="39"/>
              <w:rPr>
                <w:rFonts w:ascii="Times New Roman" w:hAnsi="Times New Roman"/>
              </w:rPr>
            </w:pPr>
            <w:r>
              <w:rPr>
                <w:rFonts w:ascii="Times New Roman" w:hAnsi="Times New Roman"/>
              </w:rPr>
              <w:t>1000</w:t>
            </w:r>
          </w:p>
        </w:tc>
        <w:tc>
          <w:tcPr>
            <w:tcW w:w="1383" w:type="dxa"/>
            <w:vAlign w:val="center"/>
          </w:tcPr>
          <w:p>
            <w:pPr>
              <w:pStyle w:val="39"/>
              <w:rPr>
                <w:rFonts w:ascii="Times New Roman" w:hAnsi="Times New Roman"/>
              </w:rPr>
            </w:pPr>
            <w:r>
              <w:rPr>
                <w:rFonts w:ascii="Times New Roman" w:hAnsi="Times New Roman"/>
              </w:rPr>
              <w:t>外弃至指定地点</w:t>
            </w:r>
          </w:p>
        </w:tc>
      </w:tr>
    </w:tbl>
    <w:p>
      <w:pPr>
        <w:pStyle w:val="3"/>
        <w:rPr>
          <w:rFonts w:ascii="Times New Roman" w:hAnsi="Times New Roman" w:cs="Times New Roman"/>
        </w:rPr>
      </w:pPr>
      <w:bookmarkStart w:id="76" w:name="_Toc162339401"/>
      <w:r>
        <w:rPr>
          <w:rFonts w:ascii="Times New Roman" w:hAnsi="Times New Roman" w:cs="Times New Roman"/>
        </w:rPr>
        <w:t>工程拆迁</w:t>
      </w:r>
      <w:bookmarkEnd w:id="76"/>
    </w:p>
    <w:p>
      <w:pPr>
        <w:ind w:firstLine="480"/>
        <w:rPr>
          <w:rFonts w:ascii="Times New Roman" w:hAnsi="Times New Roman"/>
        </w:rPr>
      </w:pPr>
      <w:r>
        <w:rPr>
          <w:rFonts w:ascii="Times New Roman" w:hAnsi="Times New Roman"/>
        </w:rPr>
        <w:t>根据《硫化氢环境人身防护规范》（SY/T6277-2017）的相关规定，并结合QRA 计算结果确定本项目安全防护距离，宣探1井站按照200m执行安全防护距离，宣兴1井站按照209m执行安全防护距离，宣探清管站按照200m执行安全防护距离。集气支线按50m执行安全距离，集气干线中宣兴1井站-宣探阀室段按100m执行安全距离，集气干线中宣探阀室-宣探清管站段按100m执行安全距离，联络线按100m执行安全距离。</w:t>
      </w:r>
    </w:p>
    <w:p>
      <w:pPr>
        <w:ind w:firstLine="480"/>
        <w:rPr>
          <w:rFonts w:ascii="Times New Roman" w:hAnsi="Times New Roman"/>
        </w:rPr>
      </w:pPr>
      <w:r>
        <w:rPr>
          <w:rFonts w:ascii="Times New Roman" w:hAnsi="Times New Roman"/>
        </w:rPr>
        <w:t>安全防护距离内的居民都将搬迁，本项目站场和管道合计将搬迁80户，统计表如下。</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16</w:t>
      </w:r>
      <w:r>
        <w:rPr>
          <w:rFonts w:ascii="Times New Roman" w:hAnsi="Times New Roman" w:cs="Times New Roman"/>
        </w:rPr>
        <w:fldChar w:fldCharType="end"/>
      </w:r>
      <w:r>
        <w:rPr>
          <w:rFonts w:ascii="Times New Roman" w:hAnsi="Times New Roman" w:cs="Times New Roman"/>
        </w:rPr>
        <w:t xml:space="preserve">  本项目拆迁统计表</w:t>
      </w:r>
    </w:p>
    <w:tbl>
      <w:tblPr>
        <w:tblStyle w:val="28"/>
        <w:tblW w:w="514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9"/>
        <w:gridCol w:w="3882"/>
        <w:gridCol w:w="2329"/>
        <w:gridCol w:w="1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6" w:hRule="atLeast"/>
        </w:trPr>
        <w:tc>
          <w:tcPr>
            <w:tcW w:w="2711" w:type="pct"/>
            <w:gridSpan w:val="2"/>
            <w:vAlign w:val="center"/>
          </w:tcPr>
          <w:p>
            <w:pPr>
              <w:pStyle w:val="39"/>
              <w:rPr>
                <w:rFonts w:ascii="Times New Roman" w:hAnsi="Times New Roman"/>
              </w:rPr>
            </w:pPr>
            <w:bookmarkStart w:id="77" w:name="_Hlk155948835"/>
            <w:r>
              <w:rPr>
                <w:rFonts w:ascii="Times New Roman" w:hAnsi="Times New Roman"/>
              </w:rPr>
              <w:t>站场/管线</w:t>
            </w:r>
          </w:p>
        </w:tc>
        <w:tc>
          <w:tcPr>
            <w:tcW w:w="1329" w:type="pct"/>
            <w:vAlign w:val="center"/>
          </w:tcPr>
          <w:p>
            <w:pPr>
              <w:pStyle w:val="39"/>
              <w:rPr>
                <w:rFonts w:ascii="Times New Roman" w:hAnsi="Times New Roman"/>
              </w:rPr>
            </w:pPr>
            <w:r>
              <w:rPr>
                <w:rFonts w:ascii="Times New Roman" w:hAnsi="Times New Roman"/>
              </w:rPr>
              <w:t>QRA计算最远安全防护距离（m）</w:t>
            </w:r>
          </w:p>
        </w:tc>
        <w:tc>
          <w:tcPr>
            <w:tcW w:w="960" w:type="pct"/>
            <w:vAlign w:val="center"/>
          </w:tcPr>
          <w:p>
            <w:pPr>
              <w:pStyle w:val="39"/>
              <w:rPr>
                <w:rFonts w:ascii="Times New Roman" w:hAnsi="Times New Roman"/>
              </w:rPr>
            </w:pPr>
            <w:r>
              <w:rPr>
                <w:rFonts w:ascii="Times New Roman" w:hAnsi="Times New Roman"/>
              </w:rPr>
              <w:t>统计拆迁户数</w:t>
            </w:r>
          </w:p>
          <w:p>
            <w:pPr>
              <w:pStyle w:val="39"/>
              <w:rPr>
                <w:rFonts w:ascii="Times New Roman" w:hAnsi="Times New Roman"/>
              </w:rPr>
            </w:pPr>
            <w:r>
              <w:rPr>
                <w:rFonts w:ascii="Times New Roman" w:hAnsi="Times New Roman"/>
              </w:rPr>
              <w:t>（户）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 w:type="pct"/>
            <w:vMerge w:val="restart"/>
            <w:vAlign w:val="center"/>
          </w:tcPr>
          <w:p>
            <w:pPr>
              <w:pStyle w:val="39"/>
              <w:rPr>
                <w:rFonts w:ascii="Times New Roman" w:hAnsi="Times New Roman"/>
              </w:rPr>
            </w:pPr>
            <w:r>
              <w:rPr>
                <w:rFonts w:ascii="Times New Roman" w:hAnsi="Times New Roman"/>
              </w:rPr>
              <w:t>站场</w:t>
            </w:r>
          </w:p>
        </w:tc>
        <w:tc>
          <w:tcPr>
            <w:tcW w:w="2215" w:type="pct"/>
            <w:vAlign w:val="center"/>
          </w:tcPr>
          <w:p>
            <w:pPr>
              <w:pStyle w:val="39"/>
              <w:rPr>
                <w:rFonts w:ascii="Times New Roman" w:hAnsi="Times New Roman"/>
              </w:rPr>
            </w:pPr>
            <w:r>
              <w:rPr>
                <w:rFonts w:ascii="Times New Roman" w:hAnsi="Times New Roman"/>
              </w:rPr>
              <w:t>宣探1井站</w:t>
            </w:r>
          </w:p>
        </w:tc>
        <w:tc>
          <w:tcPr>
            <w:tcW w:w="1329" w:type="pct"/>
            <w:vAlign w:val="center"/>
          </w:tcPr>
          <w:p>
            <w:pPr>
              <w:pStyle w:val="39"/>
              <w:rPr>
                <w:rFonts w:ascii="Times New Roman" w:hAnsi="Times New Roman"/>
              </w:rPr>
            </w:pPr>
            <w:r>
              <w:rPr>
                <w:rFonts w:ascii="Times New Roman" w:hAnsi="Times New Roman"/>
              </w:rPr>
              <w:t>200</w:t>
            </w:r>
          </w:p>
        </w:tc>
        <w:tc>
          <w:tcPr>
            <w:tcW w:w="960" w:type="pct"/>
            <w:vAlign w:val="center"/>
          </w:tcPr>
          <w:p>
            <w:pPr>
              <w:pStyle w:val="39"/>
              <w:rPr>
                <w:rFonts w:ascii="Times New Roman" w:hAnsi="Times New Roman"/>
              </w:rPr>
            </w:pPr>
            <w:r>
              <w:rPr>
                <w:rFonts w:ascii="Times New Roman" w:hAnsi="Times New Roma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 w:type="pct"/>
            <w:vMerge w:val="continue"/>
            <w:vAlign w:val="center"/>
          </w:tcPr>
          <w:p>
            <w:pPr>
              <w:pStyle w:val="39"/>
              <w:rPr>
                <w:rFonts w:ascii="Times New Roman" w:hAnsi="Times New Roman"/>
              </w:rPr>
            </w:pPr>
          </w:p>
        </w:tc>
        <w:tc>
          <w:tcPr>
            <w:tcW w:w="2215" w:type="pct"/>
            <w:vAlign w:val="center"/>
          </w:tcPr>
          <w:p>
            <w:pPr>
              <w:pStyle w:val="39"/>
              <w:rPr>
                <w:rFonts w:ascii="Times New Roman" w:hAnsi="Times New Roman"/>
              </w:rPr>
            </w:pPr>
            <w:r>
              <w:rPr>
                <w:rFonts w:ascii="Times New Roman" w:hAnsi="Times New Roman"/>
              </w:rPr>
              <w:t>宣兴1井站</w:t>
            </w:r>
          </w:p>
        </w:tc>
        <w:tc>
          <w:tcPr>
            <w:tcW w:w="1329" w:type="pct"/>
            <w:vAlign w:val="center"/>
          </w:tcPr>
          <w:p>
            <w:pPr>
              <w:pStyle w:val="39"/>
              <w:rPr>
                <w:rFonts w:ascii="Times New Roman" w:hAnsi="Times New Roman"/>
              </w:rPr>
            </w:pPr>
            <w:r>
              <w:rPr>
                <w:rFonts w:ascii="Times New Roman" w:hAnsi="Times New Roman"/>
              </w:rPr>
              <w:t>209</w:t>
            </w:r>
          </w:p>
        </w:tc>
        <w:tc>
          <w:tcPr>
            <w:tcW w:w="960" w:type="pct"/>
            <w:vAlign w:val="center"/>
          </w:tcPr>
          <w:p>
            <w:pPr>
              <w:pStyle w:val="39"/>
              <w:rPr>
                <w:rFonts w:ascii="Times New Roman" w:hAnsi="Times New Roman"/>
              </w:rPr>
            </w:pPr>
            <w:r>
              <w:rPr>
                <w:rFonts w:ascii="Times New Roman" w:hAnsi="Times New Roma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 w:type="pct"/>
            <w:vMerge w:val="continue"/>
            <w:vAlign w:val="center"/>
          </w:tcPr>
          <w:p>
            <w:pPr>
              <w:pStyle w:val="39"/>
              <w:rPr>
                <w:rFonts w:ascii="Times New Roman" w:hAnsi="Times New Roman"/>
              </w:rPr>
            </w:pPr>
          </w:p>
        </w:tc>
        <w:tc>
          <w:tcPr>
            <w:tcW w:w="2215" w:type="pct"/>
            <w:vAlign w:val="center"/>
          </w:tcPr>
          <w:p>
            <w:pPr>
              <w:pStyle w:val="39"/>
              <w:rPr>
                <w:rFonts w:ascii="Times New Roman" w:hAnsi="Times New Roman"/>
              </w:rPr>
            </w:pPr>
            <w:r>
              <w:rPr>
                <w:rFonts w:ascii="Times New Roman" w:hAnsi="Times New Roman"/>
              </w:rPr>
              <w:t>清管站</w:t>
            </w:r>
          </w:p>
        </w:tc>
        <w:tc>
          <w:tcPr>
            <w:tcW w:w="1329" w:type="pct"/>
            <w:vAlign w:val="center"/>
          </w:tcPr>
          <w:p>
            <w:pPr>
              <w:pStyle w:val="39"/>
              <w:rPr>
                <w:rFonts w:ascii="Times New Roman" w:hAnsi="Times New Roman"/>
              </w:rPr>
            </w:pPr>
            <w:r>
              <w:rPr>
                <w:rFonts w:ascii="Times New Roman" w:hAnsi="Times New Roman"/>
              </w:rPr>
              <w:t>200</w:t>
            </w:r>
          </w:p>
        </w:tc>
        <w:tc>
          <w:tcPr>
            <w:tcW w:w="960" w:type="pct"/>
            <w:vAlign w:val="center"/>
          </w:tcPr>
          <w:p>
            <w:pPr>
              <w:pStyle w:val="39"/>
              <w:rPr>
                <w:rFonts w:ascii="Times New Roman" w:hAnsi="Times New Roman"/>
              </w:rPr>
            </w:pPr>
            <w:r>
              <w:rPr>
                <w:rFonts w:ascii="Times New Roman" w:hAnsi="Times New Roma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 w:type="pct"/>
            <w:vMerge w:val="restart"/>
            <w:vAlign w:val="center"/>
          </w:tcPr>
          <w:p>
            <w:pPr>
              <w:pStyle w:val="39"/>
              <w:rPr>
                <w:rFonts w:ascii="Times New Roman" w:hAnsi="Times New Roman"/>
              </w:rPr>
            </w:pPr>
            <w:r>
              <w:rPr>
                <w:rFonts w:ascii="Times New Roman" w:hAnsi="Times New Roman"/>
              </w:rPr>
              <w:t>管线</w:t>
            </w:r>
          </w:p>
        </w:tc>
        <w:tc>
          <w:tcPr>
            <w:tcW w:w="2215" w:type="pct"/>
            <w:vAlign w:val="center"/>
          </w:tcPr>
          <w:p>
            <w:pPr>
              <w:pStyle w:val="39"/>
              <w:rPr>
                <w:rFonts w:ascii="Times New Roman" w:hAnsi="Times New Roman"/>
              </w:rPr>
            </w:pPr>
            <w:r>
              <w:rPr>
                <w:rFonts w:ascii="Times New Roman" w:hAnsi="Times New Roman"/>
              </w:rPr>
              <w:t>集气支线</w:t>
            </w:r>
          </w:p>
        </w:tc>
        <w:tc>
          <w:tcPr>
            <w:tcW w:w="1329" w:type="pct"/>
            <w:vAlign w:val="center"/>
          </w:tcPr>
          <w:p>
            <w:pPr>
              <w:pStyle w:val="39"/>
              <w:rPr>
                <w:rFonts w:ascii="Times New Roman" w:hAnsi="Times New Roman"/>
              </w:rPr>
            </w:pPr>
            <w:r>
              <w:rPr>
                <w:rFonts w:ascii="Times New Roman" w:hAnsi="Times New Roman"/>
              </w:rPr>
              <w:t>50</w:t>
            </w:r>
          </w:p>
        </w:tc>
        <w:tc>
          <w:tcPr>
            <w:tcW w:w="960" w:type="pct"/>
            <w:vAlign w:val="center"/>
          </w:tcPr>
          <w:p>
            <w:pPr>
              <w:pStyle w:val="39"/>
              <w:rPr>
                <w:rFonts w:ascii="Times New Roman" w:hAnsi="Times New Roman"/>
              </w:rPr>
            </w:pPr>
            <w:r>
              <w:rPr>
                <w:rFonts w:ascii="Times New Roman" w:hAnsi="Times New Roma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 w:type="pct"/>
            <w:vMerge w:val="continue"/>
            <w:vAlign w:val="center"/>
          </w:tcPr>
          <w:p>
            <w:pPr>
              <w:pStyle w:val="39"/>
              <w:rPr>
                <w:rFonts w:ascii="Times New Roman" w:hAnsi="Times New Roman"/>
              </w:rPr>
            </w:pPr>
          </w:p>
        </w:tc>
        <w:tc>
          <w:tcPr>
            <w:tcW w:w="2215" w:type="pct"/>
          </w:tcPr>
          <w:p>
            <w:pPr>
              <w:pStyle w:val="39"/>
              <w:rPr>
                <w:rFonts w:ascii="Times New Roman" w:hAnsi="Times New Roman"/>
              </w:rPr>
            </w:pPr>
            <w:r>
              <w:rPr>
                <w:rFonts w:ascii="Times New Roman" w:hAnsi="Times New Roman"/>
              </w:rPr>
              <w:t>集气干线（宣兴1井站-宣探阀室）</w:t>
            </w:r>
          </w:p>
        </w:tc>
        <w:tc>
          <w:tcPr>
            <w:tcW w:w="1329" w:type="pct"/>
            <w:vAlign w:val="center"/>
          </w:tcPr>
          <w:p>
            <w:pPr>
              <w:pStyle w:val="39"/>
              <w:rPr>
                <w:rFonts w:ascii="Times New Roman" w:hAnsi="Times New Roman"/>
              </w:rPr>
            </w:pPr>
            <w:r>
              <w:rPr>
                <w:rFonts w:ascii="Times New Roman" w:hAnsi="Times New Roman"/>
              </w:rPr>
              <w:t>100</w:t>
            </w:r>
          </w:p>
        </w:tc>
        <w:tc>
          <w:tcPr>
            <w:tcW w:w="960" w:type="pct"/>
            <w:vAlign w:val="center"/>
          </w:tcPr>
          <w:p>
            <w:pPr>
              <w:pStyle w:val="39"/>
              <w:rPr>
                <w:rFonts w:ascii="Times New Roman" w:hAnsi="Times New Roman"/>
              </w:rPr>
            </w:pPr>
            <w:r>
              <w:rPr>
                <w:rFonts w:ascii="Times New Roman" w:hAnsi="Times New Roma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 w:type="pct"/>
            <w:vMerge w:val="continue"/>
            <w:vAlign w:val="center"/>
          </w:tcPr>
          <w:p>
            <w:pPr>
              <w:pStyle w:val="39"/>
              <w:rPr>
                <w:rFonts w:ascii="Times New Roman" w:hAnsi="Times New Roman"/>
              </w:rPr>
            </w:pPr>
          </w:p>
        </w:tc>
        <w:tc>
          <w:tcPr>
            <w:tcW w:w="2215" w:type="pct"/>
          </w:tcPr>
          <w:p>
            <w:pPr>
              <w:pStyle w:val="39"/>
              <w:rPr>
                <w:rFonts w:ascii="Times New Roman" w:hAnsi="Times New Roman"/>
              </w:rPr>
            </w:pPr>
            <w:r>
              <w:rPr>
                <w:rFonts w:ascii="Times New Roman" w:hAnsi="Times New Roman"/>
              </w:rPr>
              <w:t>集气干线（宣探阀室-宣探清管站）</w:t>
            </w:r>
          </w:p>
        </w:tc>
        <w:tc>
          <w:tcPr>
            <w:tcW w:w="1329" w:type="pct"/>
            <w:vAlign w:val="center"/>
          </w:tcPr>
          <w:p>
            <w:pPr>
              <w:pStyle w:val="39"/>
              <w:rPr>
                <w:rFonts w:ascii="Times New Roman" w:hAnsi="Times New Roman"/>
              </w:rPr>
            </w:pPr>
            <w:r>
              <w:rPr>
                <w:rFonts w:ascii="Times New Roman" w:hAnsi="Times New Roman"/>
              </w:rPr>
              <w:t>100</w:t>
            </w:r>
          </w:p>
        </w:tc>
        <w:tc>
          <w:tcPr>
            <w:tcW w:w="960" w:type="pct"/>
            <w:vAlign w:val="center"/>
          </w:tcPr>
          <w:p>
            <w:pPr>
              <w:pStyle w:val="39"/>
              <w:rPr>
                <w:rFonts w:ascii="Times New Roman" w:hAnsi="Times New Roman"/>
              </w:rPr>
            </w:pPr>
            <w:r>
              <w:rPr>
                <w:rFonts w:ascii="Times New Roman" w:hAnsi="Times New Roma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trPr>
        <w:tc>
          <w:tcPr>
            <w:tcW w:w="496" w:type="pct"/>
            <w:vMerge w:val="continue"/>
            <w:vAlign w:val="center"/>
          </w:tcPr>
          <w:p>
            <w:pPr>
              <w:pStyle w:val="39"/>
              <w:rPr>
                <w:rFonts w:ascii="Times New Roman" w:hAnsi="Times New Roman"/>
              </w:rPr>
            </w:pPr>
          </w:p>
        </w:tc>
        <w:tc>
          <w:tcPr>
            <w:tcW w:w="2215" w:type="pct"/>
          </w:tcPr>
          <w:p>
            <w:pPr>
              <w:pStyle w:val="39"/>
              <w:rPr>
                <w:rFonts w:ascii="Times New Roman" w:hAnsi="Times New Roman"/>
              </w:rPr>
            </w:pPr>
            <w:r>
              <w:rPr>
                <w:rFonts w:ascii="Times New Roman" w:hAnsi="Times New Roman"/>
              </w:rPr>
              <w:t>联络线</w:t>
            </w:r>
          </w:p>
        </w:tc>
        <w:tc>
          <w:tcPr>
            <w:tcW w:w="1329" w:type="pct"/>
            <w:vAlign w:val="center"/>
          </w:tcPr>
          <w:p>
            <w:pPr>
              <w:pStyle w:val="39"/>
              <w:rPr>
                <w:rFonts w:ascii="Times New Roman" w:hAnsi="Times New Roman"/>
              </w:rPr>
            </w:pPr>
            <w:r>
              <w:rPr>
                <w:rFonts w:ascii="Times New Roman" w:hAnsi="Times New Roman"/>
              </w:rPr>
              <w:t>100</w:t>
            </w:r>
          </w:p>
        </w:tc>
        <w:tc>
          <w:tcPr>
            <w:tcW w:w="960" w:type="pct"/>
            <w:vAlign w:val="center"/>
          </w:tcPr>
          <w:p>
            <w:pPr>
              <w:pStyle w:val="39"/>
              <w:rPr>
                <w:rFonts w:ascii="Times New Roman" w:hAnsi="Times New Roman"/>
              </w:rPr>
            </w:pPr>
            <w:r>
              <w:rPr>
                <w:rFonts w:ascii="Times New Roman" w:hAnsi="Times New Roman"/>
              </w:rPr>
              <w:t>1</w:t>
            </w:r>
          </w:p>
        </w:tc>
      </w:tr>
      <w:bookmarkEnd w:id="77"/>
    </w:tbl>
    <w:p>
      <w:pPr>
        <w:pStyle w:val="3"/>
        <w:rPr>
          <w:rFonts w:ascii="Times New Roman" w:hAnsi="Times New Roman" w:cs="Times New Roman"/>
        </w:rPr>
      </w:pPr>
      <w:bookmarkStart w:id="78" w:name="_Toc162339402"/>
      <w:r>
        <w:rPr>
          <w:rFonts w:ascii="Times New Roman" w:hAnsi="Times New Roman" w:cs="Times New Roman"/>
        </w:rPr>
        <w:t>组织机构及定员</w:t>
      </w:r>
      <w:bookmarkEnd w:id="78"/>
    </w:p>
    <w:p>
      <w:pPr>
        <w:ind w:firstLine="480"/>
        <w:rPr>
          <w:rFonts w:ascii="Times New Roman" w:hAnsi="Times New Roman"/>
        </w:rPr>
      </w:pPr>
      <w:r>
        <w:rPr>
          <w:rFonts w:ascii="Times New Roman" w:hAnsi="Times New Roman"/>
        </w:rPr>
        <w:t>（1）组织机构</w:t>
      </w:r>
    </w:p>
    <w:p>
      <w:pPr>
        <w:ind w:firstLine="480"/>
        <w:rPr>
          <w:rFonts w:ascii="Times New Roman" w:hAnsi="Times New Roman"/>
        </w:rPr>
      </w:pPr>
      <w:r>
        <w:rPr>
          <w:rFonts w:ascii="Times New Roman" w:hAnsi="Times New Roman"/>
        </w:rPr>
        <w:t>本项目隶属于中国石油西南油气田分公司川东北气矿，由川东北气矿下属高含硫气田运行管理项目部进行生产管理。</w:t>
      </w:r>
      <w:r>
        <w:rPr>
          <w:rFonts w:ascii="Times New Roman" w:hAnsi="Times New Roman"/>
        </w:rPr>
        <w:tab/>
      </w:r>
    </w:p>
    <w:p>
      <w:pPr>
        <w:ind w:firstLine="480"/>
        <w:rPr>
          <w:rFonts w:ascii="Times New Roman" w:hAnsi="Times New Roman"/>
        </w:rPr>
      </w:pPr>
      <w:r>
        <w:rPr>
          <w:rFonts w:ascii="Times New Roman" w:hAnsi="Times New Roman"/>
        </w:rPr>
        <w:t>（2）劳动定员</w:t>
      </w:r>
    </w:p>
    <w:p>
      <w:pPr>
        <w:ind w:firstLine="480"/>
        <w:rPr>
          <w:rFonts w:ascii="Times New Roman" w:hAnsi="Times New Roman"/>
        </w:rPr>
      </w:pPr>
      <w:r>
        <w:rPr>
          <w:rFonts w:ascii="Times New Roman" w:hAnsi="Times New Roman"/>
        </w:rPr>
        <w:t>本项目井站、清管站等均采用无人值守，生产管理、日常巡检、应急处置等依托渡口河-七里北气田组织机构进行增补人员。在宣兴1井附近设置维抢修队，主要负责宣探1井组站场巡检维护、巡线、应急处置响应等。生产操作人员实行轮换制。</w:t>
      </w:r>
    </w:p>
    <w:p>
      <w:pPr>
        <w:ind w:firstLine="480"/>
        <w:rPr>
          <w:rFonts w:ascii="Times New Roman" w:hAnsi="Times New Roman"/>
        </w:rPr>
      </w:pPr>
      <w:r>
        <w:rPr>
          <w:rFonts w:ascii="Times New Roman" w:hAnsi="Times New Roman"/>
        </w:rPr>
        <w:t>总计定员14人。劳动定员情况见</w:t>
      </w:r>
      <w:r>
        <w:rPr>
          <w:rFonts w:ascii="Times New Roman" w:hAnsi="Times New Roman"/>
        </w:rPr>
        <w:fldChar w:fldCharType="begin"/>
      </w:r>
      <w:r>
        <w:rPr>
          <w:rFonts w:ascii="Times New Roman" w:hAnsi="Times New Roman"/>
        </w:rPr>
        <w:instrText xml:space="preserve"> REF _Ref152058249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17</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79" w:name="_Ref15205824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17</w:t>
      </w:r>
      <w:r>
        <w:rPr>
          <w:rFonts w:ascii="Times New Roman" w:hAnsi="Times New Roman" w:cs="Times New Roman"/>
        </w:rPr>
        <w:fldChar w:fldCharType="end"/>
      </w:r>
      <w:bookmarkEnd w:id="79"/>
      <w:r>
        <w:rPr>
          <w:rFonts w:ascii="Times New Roman" w:hAnsi="Times New Roman" w:cs="Times New Roman"/>
        </w:rPr>
        <w:t xml:space="preserve">  本项目劳动定员表</w:t>
      </w:r>
    </w:p>
    <w:tbl>
      <w:tblPr>
        <w:tblStyle w:val="28"/>
        <w:tblW w:w="84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0"/>
        <w:gridCol w:w="1689"/>
        <w:gridCol w:w="1984"/>
        <w:gridCol w:w="37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0" w:type="dxa"/>
            <w:vAlign w:val="center"/>
          </w:tcPr>
          <w:p>
            <w:pPr>
              <w:pStyle w:val="39"/>
              <w:rPr>
                <w:rFonts w:ascii="Times New Roman" w:hAnsi="Times New Roman"/>
              </w:rPr>
            </w:pPr>
            <w:r>
              <w:rPr>
                <w:rFonts w:ascii="Times New Roman" w:hAnsi="Times New Roman"/>
              </w:rPr>
              <w:t>序号</w:t>
            </w:r>
          </w:p>
        </w:tc>
        <w:tc>
          <w:tcPr>
            <w:tcW w:w="1689" w:type="dxa"/>
            <w:vAlign w:val="center"/>
          </w:tcPr>
          <w:p>
            <w:pPr>
              <w:pStyle w:val="39"/>
              <w:rPr>
                <w:rFonts w:ascii="Times New Roman" w:hAnsi="Times New Roman"/>
              </w:rPr>
            </w:pPr>
            <w:r>
              <w:rPr>
                <w:rFonts w:ascii="Times New Roman" w:hAnsi="Times New Roman"/>
              </w:rPr>
              <w:t>编制名称</w:t>
            </w:r>
          </w:p>
        </w:tc>
        <w:tc>
          <w:tcPr>
            <w:tcW w:w="1984" w:type="dxa"/>
            <w:vAlign w:val="center"/>
          </w:tcPr>
          <w:p>
            <w:pPr>
              <w:pStyle w:val="39"/>
              <w:rPr>
                <w:rFonts w:ascii="Times New Roman" w:hAnsi="Times New Roman"/>
              </w:rPr>
            </w:pPr>
            <w:r>
              <w:rPr>
                <w:rFonts w:ascii="Times New Roman" w:hAnsi="Times New Roman"/>
              </w:rPr>
              <w:t>劳动定员(人)</w:t>
            </w:r>
          </w:p>
        </w:tc>
        <w:tc>
          <w:tcPr>
            <w:tcW w:w="3781" w:type="dxa"/>
            <w:vAlign w:val="center"/>
          </w:tcPr>
          <w:p>
            <w:pPr>
              <w:pStyle w:val="39"/>
              <w:rPr>
                <w:rFonts w:ascii="Times New Roman" w:hAnsi="Times New Roman"/>
              </w:rPr>
            </w:pPr>
            <w:r>
              <w:rPr>
                <w:rFonts w:ascii="Times New Roman" w:hAnsi="Times New Roman"/>
              </w:rPr>
              <w:t xml:space="preserve"> 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0" w:type="dxa"/>
            <w:vAlign w:val="center"/>
          </w:tcPr>
          <w:p>
            <w:pPr>
              <w:pStyle w:val="39"/>
              <w:rPr>
                <w:rFonts w:ascii="Times New Roman" w:hAnsi="Times New Roman"/>
              </w:rPr>
            </w:pPr>
            <w:r>
              <w:rPr>
                <w:rFonts w:ascii="Times New Roman" w:hAnsi="Times New Roman"/>
              </w:rPr>
              <w:t>1</w:t>
            </w:r>
          </w:p>
        </w:tc>
        <w:tc>
          <w:tcPr>
            <w:tcW w:w="1689" w:type="dxa"/>
            <w:vAlign w:val="center"/>
          </w:tcPr>
          <w:p>
            <w:pPr>
              <w:pStyle w:val="39"/>
              <w:rPr>
                <w:rFonts w:ascii="Times New Roman" w:hAnsi="Times New Roman"/>
              </w:rPr>
            </w:pPr>
            <w:r>
              <w:rPr>
                <w:rFonts w:ascii="Times New Roman" w:hAnsi="Times New Roman"/>
              </w:rPr>
              <w:t>采气工</w:t>
            </w:r>
          </w:p>
        </w:tc>
        <w:tc>
          <w:tcPr>
            <w:tcW w:w="1984" w:type="dxa"/>
            <w:vAlign w:val="center"/>
          </w:tcPr>
          <w:p>
            <w:pPr>
              <w:pStyle w:val="39"/>
              <w:rPr>
                <w:rFonts w:ascii="Times New Roman" w:hAnsi="Times New Roman"/>
              </w:rPr>
            </w:pPr>
            <w:r>
              <w:rPr>
                <w:rFonts w:ascii="Times New Roman" w:hAnsi="Times New Roman"/>
              </w:rPr>
              <w:t>8</w:t>
            </w:r>
          </w:p>
        </w:tc>
        <w:tc>
          <w:tcPr>
            <w:tcW w:w="3781"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0" w:type="dxa"/>
            <w:vAlign w:val="center"/>
          </w:tcPr>
          <w:p>
            <w:pPr>
              <w:pStyle w:val="39"/>
              <w:rPr>
                <w:rFonts w:ascii="Times New Roman" w:hAnsi="Times New Roman"/>
              </w:rPr>
            </w:pPr>
            <w:r>
              <w:rPr>
                <w:rFonts w:ascii="Times New Roman" w:hAnsi="Times New Roman"/>
              </w:rPr>
              <w:t>2</w:t>
            </w:r>
          </w:p>
        </w:tc>
        <w:tc>
          <w:tcPr>
            <w:tcW w:w="1689" w:type="dxa"/>
            <w:vAlign w:val="center"/>
          </w:tcPr>
          <w:p>
            <w:pPr>
              <w:pStyle w:val="39"/>
              <w:rPr>
                <w:rFonts w:ascii="Times New Roman" w:hAnsi="Times New Roman"/>
              </w:rPr>
            </w:pPr>
            <w:r>
              <w:rPr>
                <w:rFonts w:ascii="Times New Roman" w:hAnsi="Times New Roman"/>
              </w:rPr>
              <w:t>巡线工</w:t>
            </w:r>
          </w:p>
        </w:tc>
        <w:tc>
          <w:tcPr>
            <w:tcW w:w="1984" w:type="dxa"/>
            <w:vAlign w:val="center"/>
          </w:tcPr>
          <w:p>
            <w:pPr>
              <w:pStyle w:val="39"/>
              <w:rPr>
                <w:rFonts w:ascii="Times New Roman" w:hAnsi="Times New Roman"/>
              </w:rPr>
            </w:pPr>
            <w:r>
              <w:rPr>
                <w:rFonts w:ascii="Times New Roman" w:hAnsi="Times New Roman"/>
              </w:rPr>
              <w:t>4</w:t>
            </w:r>
          </w:p>
        </w:tc>
        <w:tc>
          <w:tcPr>
            <w:tcW w:w="3781"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0" w:type="dxa"/>
            <w:vAlign w:val="center"/>
          </w:tcPr>
          <w:p>
            <w:pPr>
              <w:pStyle w:val="39"/>
              <w:rPr>
                <w:rFonts w:ascii="Times New Roman" w:hAnsi="Times New Roman"/>
              </w:rPr>
            </w:pPr>
            <w:r>
              <w:rPr>
                <w:rFonts w:ascii="Times New Roman" w:hAnsi="Times New Roman"/>
              </w:rPr>
              <w:t>3</w:t>
            </w:r>
          </w:p>
        </w:tc>
        <w:tc>
          <w:tcPr>
            <w:tcW w:w="1689" w:type="dxa"/>
            <w:vAlign w:val="center"/>
          </w:tcPr>
          <w:p>
            <w:pPr>
              <w:pStyle w:val="39"/>
              <w:rPr>
                <w:rFonts w:ascii="Times New Roman" w:hAnsi="Times New Roman"/>
              </w:rPr>
            </w:pPr>
            <w:r>
              <w:rPr>
                <w:rFonts w:ascii="Times New Roman" w:hAnsi="Times New Roman"/>
              </w:rPr>
              <w:t>驾驶员</w:t>
            </w:r>
          </w:p>
        </w:tc>
        <w:tc>
          <w:tcPr>
            <w:tcW w:w="1984" w:type="dxa"/>
            <w:vAlign w:val="center"/>
          </w:tcPr>
          <w:p>
            <w:pPr>
              <w:pStyle w:val="39"/>
              <w:rPr>
                <w:rFonts w:ascii="Times New Roman" w:hAnsi="Times New Roman"/>
              </w:rPr>
            </w:pPr>
            <w:r>
              <w:rPr>
                <w:rFonts w:ascii="Times New Roman" w:hAnsi="Times New Roman"/>
              </w:rPr>
              <w:t>2</w:t>
            </w:r>
          </w:p>
        </w:tc>
        <w:tc>
          <w:tcPr>
            <w:tcW w:w="3781" w:type="dxa"/>
            <w:vAlign w:val="center"/>
          </w:tcPr>
          <w:p>
            <w:pPr>
              <w:pStyle w:val="39"/>
              <w:rPr>
                <w:rFonts w:ascii="Times New Roman" w:hAnsi="Times New Roman"/>
              </w:rPr>
            </w:pPr>
            <w:r>
              <w:rPr>
                <w:rFonts w:ascii="Times New Roman" w:hAnsi="Times New Roman"/>
              </w:rPr>
              <w:t>配备工程车1辆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9" w:type="dxa"/>
            <w:gridSpan w:val="2"/>
            <w:vAlign w:val="center"/>
          </w:tcPr>
          <w:p>
            <w:pPr>
              <w:pStyle w:val="39"/>
              <w:rPr>
                <w:rFonts w:ascii="Times New Roman" w:hAnsi="Times New Roman"/>
              </w:rPr>
            </w:pPr>
            <w:r>
              <w:rPr>
                <w:rFonts w:ascii="Times New Roman" w:hAnsi="Times New Roman"/>
              </w:rPr>
              <w:t>共计</w:t>
            </w:r>
          </w:p>
        </w:tc>
        <w:tc>
          <w:tcPr>
            <w:tcW w:w="1984" w:type="dxa"/>
            <w:vAlign w:val="center"/>
          </w:tcPr>
          <w:p>
            <w:pPr>
              <w:pStyle w:val="39"/>
              <w:rPr>
                <w:rFonts w:ascii="Times New Roman" w:hAnsi="Times New Roman"/>
              </w:rPr>
            </w:pPr>
            <w:r>
              <w:rPr>
                <w:rFonts w:ascii="Times New Roman" w:hAnsi="Times New Roman"/>
              </w:rPr>
              <w:t>14</w:t>
            </w:r>
          </w:p>
        </w:tc>
        <w:tc>
          <w:tcPr>
            <w:tcW w:w="3781" w:type="dxa"/>
            <w:vAlign w:val="center"/>
          </w:tcPr>
          <w:p>
            <w:pPr>
              <w:pStyle w:val="39"/>
              <w:rPr>
                <w:rFonts w:ascii="Times New Roman" w:hAnsi="Times New Roman"/>
              </w:rPr>
            </w:pPr>
            <w:r>
              <w:rPr>
                <w:rFonts w:ascii="Times New Roman" w:hAnsi="Times New Roman"/>
              </w:rPr>
              <w:t>每轮班7人，主要负责宣探1井组站场巡检维护、巡线、应急处置等</w:t>
            </w:r>
          </w:p>
        </w:tc>
      </w:tr>
    </w:tbl>
    <w:p>
      <w:pPr>
        <w:pStyle w:val="3"/>
        <w:rPr>
          <w:rFonts w:ascii="Times New Roman" w:hAnsi="Times New Roman" w:cs="Times New Roman"/>
        </w:rPr>
      </w:pPr>
      <w:bookmarkStart w:id="80" w:name="_Toc162339403"/>
      <w:r>
        <w:rPr>
          <w:rFonts w:ascii="Times New Roman" w:hAnsi="Times New Roman" w:cs="Times New Roman"/>
        </w:rPr>
        <w:t>主要技术经济指标</w:t>
      </w:r>
      <w:bookmarkEnd w:id="80"/>
    </w:p>
    <w:p>
      <w:pPr>
        <w:ind w:firstLine="480"/>
        <w:rPr>
          <w:rFonts w:ascii="Times New Roman" w:hAnsi="Times New Roman"/>
        </w:rPr>
      </w:pPr>
      <w:r>
        <w:rPr>
          <w:rFonts w:ascii="Times New Roman" w:hAnsi="Times New Roman"/>
        </w:rPr>
        <w:t>本项目主要技术经济指标见表</w:t>
      </w:r>
      <w:r>
        <w:rPr>
          <w:rFonts w:ascii="Times New Roman" w:hAnsi="Times New Roman"/>
        </w:rPr>
        <w:fldChar w:fldCharType="begin"/>
      </w:r>
      <w:r>
        <w:rPr>
          <w:rFonts w:ascii="Times New Roman" w:hAnsi="Times New Roman"/>
        </w:rPr>
        <w:instrText xml:space="preserve"> REF _Ref153884291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18</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81" w:name="_Ref15388429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18</w:t>
      </w:r>
      <w:r>
        <w:rPr>
          <w:rFonts w:ascii="Times New Roman" w:hAnsi="Times New Roman" w:cs="Times New Roman"/>
        </w:rPr>
        <w:fldChar w:fldCharType="end"/>
      </w:r>
      <w:bookmarkEnd w:id="81"/>
      <w:r>
        <w:rPr>
          <w:rFonts w:ascii="Times New Roman" w:hAnsi="Times New Roman" w:cs="Times New Roman"/>
        </w:rPr>
        <w:t xml:space="preserve">  本项目主要技术经济指标表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2693"/>
        <w:gridCol w:w="1438"/>
        <w:gridCol w:w="1397"/>
        <w:gridCol w:w="19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9"/>
              <w:rPr>
                <w:rFonts w:ascii="Times New Roman" w:hAnsi="Times New Roman"/>
              </w:rPr>
            </w:pPr>
            <w:r>
              <w:rPr>
                <w:rFonts w:ascii="Times New Roman" w:hAnsi="Times New Roman"/>
              </w:rPr>
              <w:t>序号</w:t>
            </w:r>
          </w:p>
        </w:tc>
        <w:tc>
          <w:tcPr>
            <w:tcW w:w="2693" w:type="dxa"/>
            <w:vAlign w:val="center"/>
          </w:tcPr>
          <w:p>
            <w:pPr>
              <w:pStyle w:val="39"/>
              <w:rPr>
                <w:rFonts w:ascii="Times New Roman" w:hAnsi="Times New Roman"/>
              </w:rPr>
            </w:pPr>
            <w:r>
              <w:rPr>
                <w:rFonts w:ascii="Times New Roman" w:hAnsi="Times New Roman"/>
              </w:rPr>
              <w:t>指标名称</w:t>
            </w:r>
          </w:p>
        </w:tc>
        <w:tc>
          <w:tcPr>
            <w:tcW w:w="1438" w:type="dxa"/>
            <w:vAlign w:val="center"/>
          </w:tcPr>
          <w:p>
            <w:pPr>
              <w:pStyle w:val="39"/>
              <w:rPr>
                <w:rFonts w:ascii="Times New Roman" w:hAnsi="Times New Roman"/>
              </w:rPr>
            </w:pPr>
            <w:r>
              <w:rPr>
                <w:rFonts w:ascii="Times New Roman" w:hAnsi="Times New Roman"/>
              </w:rPr>
              <w:t>单位</w:t>
            </w:r>
          </w:p>
        </w:tc>
        <w:tc>
          <w:tcPr>
            <w:tcW w:w="1397" w:type="dxa"/>
            <w:vAlign w:val="center"/>
          </w:tcPr>
          <w:p>
            <w:pPr>
              <w:pStyle w:val="39"/>
              <w:rPr>
                <w:rFonts w:ascii="Times New Roman" w:hAnsi="Times New Roman"/>
              </w:rPr>
            </w:pPr>
            <w:r>
              <w:rPr>
                <w:rFonts w:ascii="Times New Roman" w:hAnsi="Times New Roman"/>
              </w:rPr>
              <w:t>数量</w:t>
            </w:r>
          </w:p>
        </w:tc>
        <w:tc>
          <w:tcPr>
            <w:tcW w:w="1922" w:type="dxa"/>
            <w:vAlign w:val="center"/>
          </w:tcPr>
          <w:p>
            <w:pPr>
              <w:pStyle w:val="39"/>
              <w:rPr>
                <w:rFonts w:ascii="Times New Roman" w:hAnsi="Times New Roman"/>
              </w:rPr>
            </w:pPr>
            <w:r>
              <w:rPr>
                <w:rFonts w:ascii="Times New Roman" w:hAnsi="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9"/>
              <w:rPr>
                <w:rFonts w:ascii="Times New Roman" w:hAnsi="Times New Roman"/>
              </w:rPr>
            </w:pPr>
            <w:r>
              <w:rPr>
                <w:rFonts w:ascii="Times New Roman" w:hAnsi="Times New Roman"/>
              </w:rPr>
              <w:t>一</w:t>
            </w:r>
          </w:p>
        </w:tc>
        <w:tc>
          <w:tcPr>
            <w:tcW w:w="2693" w:type="dxa"/>
            <w:vAlign w:val="center"/>
          </w:tcPr>
          <w:p>
            <w:pPr>
              <w:pStyle w:val="39"/>
              <w:rPr>
                <w:rFonts w:ascii="Times New Roman" w:hAnsi="Times New Roman"/>
              </w:rPr>
            </w:pPr>
            <w:r>
              <w:rPr>
                <w:rFonts w:ascii="Times New Roman" w:hAnsi="Times New Roman"/>
              </w:rPr>
              <w:t>建设规模</w:t>
            </w:r>
          </w:p>
        </w:tc>
        <w:tc>
          <w:tcPr>
            <w:tcW w:w="1438" w:type="dxa"/>
            <w:vAlign w:val="center"/>
          </w:tcPr>
          <w:p>
            <w:pPr>
              <w:pStyle w:val="39"/>
              <w:rPr>
                <w:rFonts w:ascii="Times New Roman" w:hAnsi="Times New Roman"/>
              </w:rPr>
            </w:pPr>
          </w:p>
        </w:tc>
        <w:tc>
          <w:tcPr>
            <w:tcW w:w="1397" w:type="dxa"/>
            <w:vAlign w:val="center"/>
          </w:tcPr>
          <w:p>
            <w:pPr>
              <w:pStyle w:val="39"/>
              <w:rPr>
                <w:rFonts w:ascii="Times New Roman" w:hAnsi="Times New Roman"/>
              </w:rPr>
            </w:pPr>
          </w:p>
        </w:tc>
        <w:tc>
          <w:tcPr>
            <w:tcW w:w="1922" w:type="dxa"/>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9"/>
              <w:rPr>
                <w:rFonts w:ascii="Times New Roman" w:hAnsi="Times New Roman"/>
              </w:rPr>
            </w:pPr>
            <w:r>
              <w:rPr>
                <w:rFonts w:ascii="Times New Roman" w:hAnsi="Times New Roman"/>
              </w:rPr>
              <w:t>1</w:t>
            </w:r>
          </w:p>
        </w:tc>
        <w:tc>
          <w:tcPr>
            <w:tcW w:w="2693" w:type="dxa"/>
            <w:vAlign w:val="center"/>
          </w:tcPr>
          <w:p>
            <w:pPr>
              <w:pStyle w:val="39"/>
              <w:rPr>
                <w:rFonts w:ascii="Times New Roman" w:hAnsi="Times New Roman"/>
              </w:rPr>
            </w:pPr>
            <w:r>
              <w:rPr>
                <w:rFonts w:ascii="Times New Roman" w:hAnsi="Times New Roman"/>
              </w:rPr>
              <w:t>宣探1井站</w:t>
            </w:r>
          </w:p>
        </w:tc>
        <w:tc>
          <w:tcPr>
            <w:tcW w:w="1438" w:type="dxa"/>
            <w:vAlign w:val="center"/>
          </w:tcPr>
          <w:p>
            <w:pPr>
              <w:pStyle w:val="39"/>
              <w:rPr>
                <w:rFonts w:ascii="Times New Roman" w:hAnsi="Times New Roman"/>
              </w:rPr>
            </w:pPr>
            <w:r>
              <w:rPr>
                <w:rFonts w:ascii="Times New Roman" w:hAnsi="Times New Roman"/>
              </w:rPr>
              <w:t>座</w:t>
            </w:r>
          </w:p>
        </w:tc>
        <w:tc>
          <w:tcPr>
            <w:tcW w:w="1397" w:type="dxa"/>
            <w:vAlign w:val="center"/>
          </w:tcPr>
          <w:p>
            <w:pPr>
              <w:pStyle w:val="39"/>
              <w:rPr>
                <w:rFonts w:ascii="Times New Roman" w:hAnsi="Times New Roman"/>
              </w:rPr>
            </w:pPr>
            <w:r>
              <w:rPr>
                <w:rFonts w:ascii="Times New Roman" w:hAnsi="Times New Roman"/>
              </w:rPr>
              <w:t>1</w:t>
            </w:r>
          </w:p>
        </w:tc>
        <w:tc>
          <w:tcPr>
            <w:tcW w:w="1922" w:type="dxa"/>
            <w:vAlign w:val="center"/>
          </w:tcPr>
          <w:p>
            <w:pPr>
              <w:pStyle w:val="39"/>
              <w:rPr>
                <w:rFonts w:ascii="Times New Roman" w:hAnsi="Times New Roman"/>
                <w:highlight w:val="black"/>
              </w:rPr>
            </w:pPr>
            <w:r>
              <w:rPr>
                <w:rFonts w:ascii="Times New Roman" w:hAnsi="Times New Roman"/>
                <w:highlight w:val="black"/>
              </w:rPr>
              <w:t>40×10</w:t>
            </w:r>
            <w:r>
              <w:rPr>
                <w:rFonts w:ascii="Times New Roman" w:hAnsi="Times New Roman"/>
                <w:highlight w:val="black"/>
                <w:vertAlign w:val="superscript"/>
              </w:rPr>
              <w:t>4</w:t>
            </w:r>
            <w:r>
              <w:rPr>
                <w:rFonts w:ascii="Times New Roman" w:hAnsi="Times New Roman"/>
                <w:highlight w:val="black"/>
              </w:rPr>
              <w:t>m</w:t>
            </w:r>
            <w:r>
              <w:rPr>
                <w:rFonts w:ascii="Times New Roman" w:hAnsi="Times New Roman"/>
                <w:highlight w:val="black"/>
                <w:vertAlign w:val="superscript"/>
              </w:rPr>
              <w:t>3</w:t>
            </w:r>
            <w:r>
              <w:rPr>
                <w:rFonts w:ascii="Times New Roman" w:hAnsi="Times New Roman"/>
                <w:highlight w:val="black"/>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9"/>
              <w:rPr>
                <w:rFonts w:ascii="Times New Roman" w:hAnsi="Times New Roman"/>
              </w:rPr>
            </w:pPr>
            <w:r>
              <w:rPr>
                <w:rFonts w:ascii="Times New Roman" w:hAnsi="Times New Roman"/>
              </w:rPr>
              <w:t>2</w:t>
            </w:r>
          </w:p>
        </w:tc>
        <w:tc>
          <w:tcPr>
            <w:tcW w:w="2693" w:type="dxa"/>
            <w:vAlign w:val="center"/>
          </w:tcPr>
          <w:p>
            <w:pPr>
              <w:pStyle w:val="39"/>
              <w:rPr>
                <w:rFonts w:ascii="Times New Roman" w:hAnsi="Times New Roman"/>
              </w:rPr>
            </w:pPr>
            <w:r>
              <w:rPr>
                <w:rFonts w:ascii="Times New Roman" w:hAnsi="Times New Roman"/>
              </w:rPr>
              <w:t>宣兴1井站</w:t>
            </w:r>
          </w:p>
        </w:tc>
        <w:tc>
          <w:tcPr>
            <w:tcW w:w="1438" w:type="dxa"/>
            <w:vAlign w:val="center"/>
          </w:tcPr>
          <w:p>
            <w:pPr>
              <w:pStyle w:val="39"/>
              <w:rPr>
                <w:rFonts w:ascii="Times New Roman" w:hAnsi="Times New Roman"/>
              </w:rPr>
            </w:pPr>
            <w:r>
              <w:rPr>
                <w:rFonts w:ascii="Times New Roman" w:hAnsi="Times New Roman"/>
              </w:rPr>
              <w:t>座</w:t>
            </w:r>
          </w:p>
        </w:tc>
        <w:tc>
          <w:tcPr>
            <w:tcW w:w="1397" w:type="dxa"/>
            <w:vAlign w:val="center"/>
          </w:tcPr>
          <w:p>
            <w:pPr>
              <w:pStyle w:val="39"/>
              <w:rPr>
                <w:rFonts w:ascii="Times New Roman" w:hAnsi="Times New Roman"/>
              </w:rPr>
            </w:pPr>
            <w:r>
              <w:rPr>
                <w:rFonts w:ascii="Times New Roman" w:hAnsi="Times New Roman"/>
              </w:rPr>
              <w:t>1</w:t>
            </w:r>
          </w:p>
        </w:tc>
        <w:tc>
          <w:tcPr>
            <w:tcW w:w="1922" w:type="dxa"/>
            <w:vAlign w:val="center"/>
          </w:tcPr>
          <w:p>
            <w:pPr>
              <w:pStyle w:val="39"/>
              <w:rPr>
                <w:rFonts w:ascii="Times New Roman" w:hAnsi="Times New Roman"/>
                <w:highlight w:val="black"/>
              </w:rPr>
            </w:pPr>
            <w:r>
              <w:rPr>
                <w:rFonts w:ascii="Times New Roman" w:hAnsi="Times New Roman"/>
                <w:highlight w:val="black"/>
              </w:rPr>
              <w:t>60×10</w:t>
            </w:r>
            <w:r>
              <w:rPr>
                <w:rFonts w:ascii="Times New Roman" w:hAnsi="Times New Roman"/>
                <w:highlight w:val="black"/>
                <w:vertAlign w:val="superscript"/>
              </w:rPr>
              <w:t>4</w:t>
            </w:r>
            <w:r>
              <w:rPr>
                <w:rFonts w:ascii="Times New Roman" w:hAnsi="Times New Roman"/>
                <w:highlight w:val="black"/>
              </w:rPr>
              <w:t>m</w:t>
            </w:r>
            <w:r>
              <w:rPr>
                <w:rFonts w:ascii="Times New Roman" w:hAnsi="Times New Roman"/>
                <w:highlight w:val="black"/>
                <w:vertAlign w:val="superscript"/>
              </w:rPr>
              <w:t>3</w:t>
            </w:r>
            <w:r>
              <w:rPr>
                <w:rFonts w:ascii="Times New Roman" w:hAnsi="Times New Roman"/>
                <w:highlight w:val="black"/>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9"/>
              <w:rPr>
                <w:rFonts w:ascii="Times New Roman" w:hAnsi="Times New Roman"/>
              </w:rPr>
            </w:pPr>
            <w:r>
              <w:rPr>
                <w:rFonts w:ascii="Times New Roman" w:hAnsi="Times New Roman"/>
              </w:rPr>
              <w:t>3</w:t>
            </w:r>
          </w:p>
        </w:tc>
        <w:tc>
          <w:tcPr>
            <w:tcW w:w="2693" w:type="dxa"/>
            <w:vAlign w:val="center"/>
          </w:tcPr>
          <w:p>
            <w:pPr>
              <w:pStyle w:val="39"/>
              <w:rPr>
                <w:rFonts w:ascii="Times New Roman" w:hAnsi="Times New Roman"/>
              </w:rPr>
            </w:pPr>
            <w:r>
              <w:rPr>
                <w:rFonts w:ascii="Times New Roman" w:hAnsi="Times New Roman"/>
              </w:rPr>
              <w:t>阀室</w:t>
            </w:r>
          </w:p>
        </w:tc>
        <w:tc>
          <w:tcPr>
            <w:tcW w:w="1438" w:type="dxa"/>
            <w:vAlign w:val="center"/>
          </w:tcPr>
          <w:p>
            <w:pPr>
              <w:pStyle w:val="39"/>
              <w:rPr>
                <w:rFonts w:ascii="Times New Roman" w:hAnsi="Times New Roman"/>
              </w:rPr>
            </w:pPr>
            <w:r>
              <w:rPr>
                <w:rFonts w:ascii="Times New Roman" w:hAnsi="Times New Roman"/>
              </w:rPr>
              <w:t>座</w:t>
            </w:r>
          </w:p>
        </w:tc>
        <w:tc>
          <w:tcPr>
            <w:tcW w:w="1397" w:type="dxa"/>
            <w:vAlign w:val="center"/>
          </w:tcPr>
          <w:p>
            <w:pPr>
              <w:pStyle w:val="39"/>
              <w:rPr>
                <w:rFonts w:ascii="Times New Roman" w:hAnsi="Times New Roman"/>
              </w:rPr>
            </w:pPr>
            <w:r>
              <w:rPr>
                <w:rFonts w:ascii="Times New Roman" w:hAnsi="Times New Roman"/>
              </w:rPr>
              <w:t>1</w:t>
            </w:r>
          </w:p>
        </w:tc>
        <w:tc>
          <w:tcPr>
            <w:tcW w:w="1922"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9"/>
              <w:rPr>
                <w:rFonts w:ascii="Times New Roman" w:hAnsi="Times New Roman"/>
              </w:rPr>
            </w:pPr>
            <w:r>
              <w:rPr>
                <w:rFonts w:ascii="Times New Roman" w:hAnsi="Times New Roman"/>
              </w:rPr>
              <w:t>4</w:t>
            </w:r>
          </w:p>
        </w:tc>
        <w:tc>
          <w:tcPr>
            <w:tcW w:w="2693" w:type="dxa"/>
            <w:vAlign w:val="center"/>
          </w:tcPr>
          <w:p>
            <w:pPr>
              <w:pStyle w:val="39"/>
              <w:rPr>
                <w:rFonts w:ascii="Times New Roman" w:hAnsi="Times New Roman"/>
              </w:rPr>
            </w:pPr>
            <w:r>
              <w:rPr>
                <w:rFonts w:ascii="Times New Roman" w:hAnsi="Times New Roman"/>
              </w:rPr>
              <w:t>宣探清管站</w:t>
            </w:r>
          </w:p>
        </w:tc>
        <w:tc>
          <w:tcPr>
            <w:tcW w:w="1438" w:type="dxa"/>
            <w:vAlign w:val="center"/>
          </w:tcPr>
          <w:p>
            <w:pPr>
              <w:pStyle w:val="39"/>
              <w:rPr>
                <w:rFonts w:ascii="Times New Roman" w:hAnsi="Times New Roman"/>
              </w:rPr>
            </w:pPr>
            <w:r>
              <w:rPr>
                <w:rFonts w:ascii="Times New Roman" w:hAnsi="Times New Roman"/>
              </w:rPr>
              <w:t>座</w:t>
            </w:r>
          </w:p>
        </w:tc>
        <w:tc>
          <w:tcPr>
            <w:tcW w:w="1397" w:type="dxa"/>
            <w:vAlign w:val="center"/>
          </w:tcPr>
          <w:p>
            <w:pPr>
              <w:pStyle w:val="39"/>
              <w:rPr>
                <w:rFonts w:ascii="Times New Roman" w:hAnsi="Times New Roman"/>
              </w:rPr>
            </w:pPr>
            <w:r>
              <w:rPr>
                <w:rFonts w:ascii="Times New Roman" w:hAnsi="Times New Roman"/>
              </w:rPr>
              <w:t>1</w:t>
            </w:r>
          </w:p>
        </w:tc>
        <w:tc>
          <w:tcPr>
            <w:tcW w:w="1922" w:type="dxa"/>
            <w:vAlign w:val="center"/>
          </w:tcPr>
          <w:p>
            <w:pPr>
              <w:pStyle w:val="39"/>
              <w:rPr>
                <w:rFonts w:ascii="Times New Roman" w:hAnsi="Times New Roman"/>
              </w:rPr>
            </w:pPr>
            <w:r>
              <w:rPr>
                <w:rFonts w:hint="eastAsia" w:ascii="Times New Roman" w:hAnsi="Times New Roman"/>
              </w:rPr>
              <w:t>20</w:t>
            </w:r>
            <w:r>
              <w:rPr>
                <w:rFonts w:ascii="Times New Roman" w:hAnsi="Times New Roman"/>
              </w:rPr>
              <w:t>0×10</w:t>
            </w:r>
            <w:r>
              <w:rPr>
                <w:rFonts w:ascii="Times New Roman" w:hAnsi="Times New Roman"/>
                <w:vertAlign w:val="superscript"/>
              </w:rPr>
              <w:t>4</w:t>
            </w:r>
            <w:r>
              <w:rPr>
                <w:rFonts w:ascii="Times New Roman" w:hAnsi="Times New Roman"/>
              </w:rPr>
              <w:t>m</w:t>
            </w:r>
            <w:r>
              <w:rPr>
                <w:rFonts w:ascii="Times New Roman" w:hAnsi="Times New Roman"/>
                <w:vertAlign w:val="superscript"/>
              </w:rPr>
              <w:t>3</w:t>
            </w:r>
            <w:r>
              <w:rPr>
                <w:rFonts w:ascii="Times New Roman" w:hAnsi="Times New Roman"/>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9"/>
              <w:rPr>
                <w:rFonts w:ascii="Times New Roman" w:hAnsi="Times New Roman"/>
              </w:rPr>
            </w:pPr>
            <w:r>
              <w:rPr>
                <w:rFonts w:ascii="Times New Roman" w:hAnsi="Times New Roman"/>
              </w:rPr>
              <w:t>二</w:t>
            </w:r>
          </w:p>
        </w:tc>
        <w:tc>
          <w:tcPr>
            <w:tcW w:w="2693" w:type="dxa"/>
            <w:vAlign w:val="center"/>
          </w:tcPr>
          <w:p>
            <w:pPr>
              <w:pStyle w:val="39"/>
              <w:rPr>
                <w:rFonts w:ascii="Times New Roman" w:hAnsi="Times New Roman"/>
              </w:rPr>
            </w:pPr>
            <w:r>
              <w:rPr>
                <w:rFonts w:ascii="Times New Roman" w:hAnsi="Times New Roman"/>
              </w:rPr>
              <w:t>消耗指标</w:t>
            </w:r>
          </w:p>
        </w:tc>
        <w:tc>
          <w:tcPr>
            <w:tcW w:w="1438" w:type="dxa"/>
            <w:vAlign w:val="center"/>
          </w:tcPr>
          <w:p>
            <w:pPr>
              <w:pStyle w:val="39"/>
              <w:rPr>
                <w:rFonts w:ascii="Times New Roman" w:hAnsi="Times New Roman"/>
              </w:rPr>
            </w:pPr>
          </w:p>
        </w:tc>
        <w:tc>
          <w:tcPr>
            <w:tcW w:w="1397" w:type="dxa"/>
            <w:vAlign w:val="center"/>
          </w:tcPr>
          <w:p>
            <w:pPr>
              <w:pStyle w:val="39"/>
              <w:rPr>
                <w:rFonts w:ascii="Times New Roman" w:hAnsi="Times New Roman"/>
              </w:rPr>
            </w:pPr>
          </w:p>
        </w:tc>
        <w:tc>
          <w:tcPr>
            <w:tcW w:w="1922" w:type="dxa"/>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9"/>
              <w:rPr>
                <w:rFonts w:ascii="Times New Roman" w:hAnsi="Times New Roman"/>
              </w:rPr>
            </w:pPr>
            <w:r>
              <w:rPr>
                <w:rFonts w:ascii="Times New Roman" w:hAnsi="Times New Roman"/>
              </w:rPr>
              <w:t>1</w:t>
            </w:r>
          </w:p>
        </w:tc>
        <w:tc>
          <w:tcPr>
            <w:tcW w:w="2693" w:type="dxa"/>
            <w:vAlign w:val="center"/>
          </w:tcPr>
          <w:p>
            <w:pPr>
              <w:pStyle w:val="39"/>
              <w:rPr>
                <w:rFonts w:ascii="Times New Roman" w:hAnsi="Times New Roman"/>
              </w:rPr>
            </w:pPr>
            <w:r>
              <w:rPr>
                <w:rFonts w:ascii="Times New Roman" w:hAnsi="Times New Roman"/>
              </w:rPr>
              <w:t>水</w:t>
            </w:r>
          </w:p>
        </w:tc>
        <w:tc>
          <w:tcPr>
            <w:tcW w:w="1438" w:type="dxa"/>
            <w:vAlign w:val="center"/>
          </w:tcPr>
          <w:p>
            <w:pPr>
              <w:pStyle w:val="39"/>
              <w:rPr>
                <w:rFonts w:ascii="Times New Roman" w:hAnsi="Times New Roman"/>
              </w:rPr>
            </w:pPr>
            <w:r>
              <w:rPr>
                <w:rFonts w:ascii="Times New Roman" w:hAnsi="Times New Roman"/>
              </w:rPr>
              <w:t>t/a</w:t>
            </w:r>
          </w:p>
        </w:tc>
        <w:tc>
          <w:tcPr>
            <w:tcW w:w="1397" w:type="dxa"/>
            <w:vAlign w:val="center"/>
          </w:tcPr>
          <w:p>
            <w:pPr>
              <w:pStyle w:val="39"/>
              <w:rPr>
                <w:rFonts w:ascii="Times New Roman" w:hAnsi="Times New Roman"/>
              </w:rPr>
            </w:pPr>
            <w:r>
              <w:rPr>
                <w:rFonts w:ascii="Times New Roman" w:hAnsi="Times New Roman"/>
              </w:rPr>
              <w:t>793</w:t>
            </w:r>
          </w:p>
        </w:tc>
        <w:tc>
          <w:tcPr>
            <w:tcW w:w="1922"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9"/>
              <w:rPr>
                <w:rFonts w:ascii="Times New Roman" w:hAnsi="Times New Roman"/>
              </w:rPr>
            </w:pPr>
            <w:r>
              <w:rPr>
                <w:rFonts w:ascii="Times New Roman" w:hAnsi="Times New Roman"/>
              </w:rPr>
              <w:t>2</w:t>
            </w:r>
          </w:p>
        </w:tc>
        <w:tc>
          <w:tcPr>
            <w:tcW w:w="2693" w:type="dxa"/>
            <w:vAlign w:val="center"/>
          </w:tcPr>
          <w:p>
            <w:pPr>
              <w:pStyle w:val="39"/>
              <w:rPr>
                <w:rFonts w:ascii="Times New Roman" w:hAnsi="Times New Roman"/>
              </w:rPr>
            </w:pPr>
            <w:r>
              <w:rPr>
                <w:rFonts w:ascii="Times New Roman" w:hAnsi="Times New Roman"/>
              </w:rPr>
              <w:t>电</w:t>
            </w:r>
          </w:p>
        </w:tc>
        <w:tc>
          <w:tcPr>
            <w:tcW w:w="1438" w:type="dxa"/>
            <w:vAlign w:val="center"/>
          </w:tcPr>
          <w:p>
            <w:pPr>
              <w:pStyle w:val="39"/>
              <w:rPr>
                <w:rFonts w:ascii="Times New Roman" w:hAnsi="Times New Roman"/>
              </w:rPr>
            </w:pPr>
            <w:r>
              <w:rPr>
                <w:rFonts w:ascii="Times New Roman" w:hAnsi="Times New Roman"/>
              </w:rPr>
              <w:t>10</w:t>
            </w:r>
            <w:r>
              <w:rPr>
                <w:rFonts w:ascii="Times New Roman" w:hAnsi="Times New Roman"/>
                <w:vertAlign w:val="superscript"/>
              </w:rPr>
              <w:t>4</w:t>
            </w:r>
            <w:r>
              <w:rPr>
                <w:rFonts w:ascii="Times New Roman" w:hAnsi="Times New Roman"/>
              </w:rPr>
              <w:t>kW·h/a</w:t>
            </w:r>
          </w:p>
        </w:tc>
        <w:tc>
          <w:tcPr>
            <w:tcW w:w="1397" w:type="dxa"/>
            <w:vAlign w:val="center"/>
          </w:tcPr>
          <w:p>
            <w:pPr>
              <w:pStyle w:val="39"/>
              <w:rPr>
                <w:rFonts w:ascii="Times New Roman" w:hAnsi="Times New Roman"/>
              </w:rPr>
            </w:pPr>
            <w:r>
              <w:rPr>
                <w:rFonts w:ascii="Times New Roman" w:hAnsi="Times New Roman"/>
              </w:rPr>
              <w:t>78.42</w:t>
            </w:r>
          </w:p>
        </w:tc>
        <w:tc>
          <w:tcPr>
            <w:tcW w:w="1922"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9"/>
              <w:rPr>
                <w:rFonts w:ascii="Times New Roman" w:hAnsi="Times New Roman"/>
              </w:rPr>
            </w:pPr>
            <w:r>
              <w:rPr>
                <w:rFonts w:ascii="Times New Roman" w:hAnsi="Times New Roman"/>
              </w:rPr>
              <w:t>3</w:t>
            </w:r>
          </w:p>
        </w:tc>
        <w:tc>
          <w:tcPr>
            <w:tcW w:w="2693" w:type="dxa"/>
            <w:vAlign w:val="center"/>
          </w:tcPr>
          <w:p>
            <w:pPr>
              <w:pStyle w:val="39"/>
              <w:rPr>
                <w:rFonts w:ascii="Times New Roman" w:hAnsi="Times New Roman"/>
              </w:rPr>
            </w:pPr>
            <w:r>
              <w:rPr>
                <w:rFonts w:ascii="Times New Roman" w:hAnsi="Times New Roman"/>
              </w:rPr>
              <w:t>燃料气</w:t>
            </w:r>
          </w:p>
        </w:tc>
        <w:tc>
          <w:tcPr>
            <w:tcW w:w="1438" w:type="dxa"/>
            <w:vAlign w:val="center"/>
          </w:tcPr>
          <w:p>
            <w:pPr>
              <w:pStyle w:val="39"/>
              <w:rPr>
                <w:rFonts w:ascii="Times New Roman" w:hAnsi="Times New Roman"/>
              </w:rPr>
            </w:pPr>
            <w:r>
              <w:rPr>
                <w:rFonts w:ascii="Times New Roman" w:hAnsi="Times New Roman"/>
              </w:rPr>
              <w:t>10</w:t>
            </w:r>
            <w:r>
              <w:rPr>
                <w:rFonts w:ascii="Times New Roman" w:hAnsi="Times New Roman"/>
                <w:vertAlign w:val="superscript"/>
              </w:rPr>
              <w:t>4</w:t>
            </w:r>
            <w:r>
              <w:rPr>
                <w:rFonts w:ascii="Times New Roman" w:hAnsi="Times New Roman"/>
              </w:rPr>
              <w:t>m</w:t>
            </w:r>
            <w:r>
              <w:rPr>
                <w:rFonts w:ascii="Times New Roman" w:hAnsi="Times New Roman"/>
                <w:vertAlign w:val="superscript"/>
              </w:rPr>
              <w:t>3</w:t>
            </w:r>
            <w:r>
              <w:rPr>
                <w:rFonts w:ascii="Times New Roman" w:hAnsi="Times New Roman"/>
              </w:rPr>
              <w:t>/a</w:t>
            </w:r>
          </w:p>
        </w:tc>
        <w:tc>
          <w:tcPr>
            <w:tcW w:w="1397" w:type="dxa"/>
            <w:vAlign w:val="center"/>
          </w:tcPr>
          <w:p>
            <w:pPr>
              <w:pStyle w:val="39"/>
              <w:rPr>
                <w:rFonts w:ascii="Times New Roman" w:hAnsi="Times New Roman"/>
              </w:rPr>
            </w:pPr>
            <w:r>
              <w:rPr>
                <w:rFonts w:ascii="Times New Roman" w:hAnsi="Times New Roman"/>
              </w:rPr>
              <w:t>168</w:t>
            </w:r>
          </w:p>
        </w:tc>
        <w:tc>
          <w:tcPr>
            <w:tcW w:w="1922"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9"/>
              <w:rPr>
                <w:rFonts w:ascii="Times New Roman" w:hAnsi="Times New Roman"/>
              </w:rPr>
            </w:pPr>
            <w:r>
              <w:rPr>
                <w:rFonts w:ascii="Times New Roman" w:hAnsi="Times New Roman"/>
              </w:rPr>
              <w:t>三</w:t>
            </w:r>
          </w:p>
        </w:tc>
        <w:tc>
          <w:tcPr>
            <w:tcW w:w="2693" w:type="dxa"/>
            <w:vAlign w:val="center"/>
          </w:tcPr>
          <w:p>
            <w:pPr>
              <w:pStyle w:val="39"/>
              <w:rPr>
                <w:rFonts w:ascii="Times New Roman" w:hAnsi="Times New Roman"/>
              </w:rPr>
            </w:pPr>
            <w:r>
              <w:rPr>
                <w:rFonts w:ascii="Times New Roman" w:hAnsi="Times New Roman"/>
              </w:rPr>
              <w:t>主要材料</w:t>
            </w:r>
          </w:p>
        </w:tc>
        <w:tc>
          <w:tcPr>
            <w:tcW w:w="1438" w:type="dxa"/>
            <w:vAlign w:val="center"/>
          </w:tcPr>
          <w:p>
            <w:pPr>
              <w:pStyle w:val="39"/>
              <w:rPr>
                <w:rFonts w:ascii="Times New Roman" w:hAnsi="Times New Roman"/>
              </w:rPr>
            </w:pPr>
          </w:p>
        </w:tc>
        <w:tc>
          <w:tcPr>
            <w:tcW w:w="1397" w:type="dxa"/>
            <w:vAlign w:val="center"/>
          </w:tcPr>
          <w:p>
            <w:pPr>
              <w:pStyle w:val="39"/>
              <w:rPr>
                <w:rFonts w:ascii="Times New Roman" w:hAnsi="Times New Roman"/>
              </w:rPr>
            </w:pPr>
          </w:p>
        </w:tc>
        <w:tc>
          <w:tcPr>
            <w:tcW w:w="1922" w:type="dxa"/>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9"/>
              <w:rPr>
                <w:rFonts w:ascii="Times New Roman" w:hAnsi="Times New Roman"/>
              </w:rPr>
            </w:pPr>
            <w:r>
              <w:rPr>
                <w:rFonts w:ascii="Times New Roman" w:hAnsi="Times New Roman"/>
              </w:rPr>
              <w:t>1</w:t>
            </w:r>
          </w:p>
        </w:tc>
        <w:tc>
          <w:tcPr>
            <w:tcW w:w="2693" w:type="dxa"/>
            <w:vAlign w:val="center"/>
          </w:tcPr>
          <w:p>
            <w:pPr>
              <w:pStyle w:val="39"/>
              <w:rPr>
                <w:rFonts w:ascii="Times New Roman" w:hAnsi="Times New Roman"/>
              </w:rPr>
            </w:pPr>
            <w:r>
              <w:rPr>
                <w:rFonts w:ascii="Times New Roman" w:hAnsi="Times New Roman"/>
              </w:rPr>
              <w:t>钢材（管材）L360QS无缝钢管</w:t>
            </w:r>
          </w:p>
        </w:tc>
        <w:tc>
          <w:tcPr>
            <w:tcW w:w="1438" w:type="dxa"/>
            <w:vAlign w:val="center"/>
          </w:tcPr>
          <w:p>
            <w:pPr>
              <w:pStyle w:val="39"/>
              <w:rPr>
                <w:rFonts w:ascii="Times New Roman" w:hAnsi="Times New Roman"/>
              </w:rPr>
            </w:pPr>
            <w:r>
              <w:rPr>
                <w:rFonts w:ascii="Times New Roman" w:hAnsi="Times New Roman"/>
              </w:rPr>
              <w:t>t</w:t>
            </w:r>
          </w:p>
        </w:tc>
        <w:tc>
          <w:tcPr>
            <w:tcW w:w="1397" w:type="dxa"/>
            <w:vAlign w:val="center"/>
          </w:tcPr>
          <w:p>
            <w:pPr>
              <w:pStyle w:val="39"/>
              <w:rPr>
                <w:rFonts w:ascii="Times New Roman" w:hAnsi="Times New Roman"/>
              </w:rPr>
            </w:pPr>
            <w:r>
              <w:rPr>
                <w:rFonts w:ascii="Times New Roman" w:hAnsi="Times New Roman"/>
              </w:rPr>
              <w:t>1044.62</w:t>
            </w:r>
          </w:p>
        </w:tc>
        <w:tc>
          <w:tcPr>
            <w:tcW w:w="1922" w:type="dxa"/>
            <w:vAlign w:val="center"/>
          </w:tcPr>
          <w:p>
            <w:pPr>
              <w:pStyle w:val="39"/>
              <w:rPr>
                <w:rFonts w:ascii="Times New Roman" w:hAnsi="Times New Roman"/>
              </w:rPr>
            </w:pPr>
            <w:r>
              <w:rPr>
                <w:rFonts w:ascii="Times New Roman" w:hAnsi="Times New Roman"/>
              </w:rPr>
              <w:t>线路管材用量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9"/>
              <w:rPr>
                <w:rFonts w:ascii="Times New Roman" w:hAnsi="Times New Roman"/>
              </w:rPr>
            </w:pPr>
            <w:r>
              <w:rPr>
                <w:rFonts w:ascii="Times New Roman" w:hAnsi="Times New Roman"/>
              </w:rPr>
              <w:t>2</w:t>
            </w:r>
          </w:p>
        </w:tc>
        <w:tc>
          <w:tcPr>
            <w:tcW w:w="2693" w:type="dxa"/>
            <w:vAlign w:val="center"/>
          </w:tcPr>
          <w:p>
            <w:pPr>
              <w:pStyle w:val="39"/>
              <w:rPr>
                <w:rFonts w:ascii="Times New Roman" w:hAnsi="Times New Roman"/>
              </w:rPr>
            </w:pPr>
            <w:r>
              <w:rPr>
                <w:rFonts w:ascii="Times New Roman" w:hAnsi="Times New Roman"/>
              </w:rPr>
              <w:t>L245N无缝钢管</w:t>
            </w:r>
          </w:p>
        </w:tc>
        <w:tc>
          <w:tcPr>
            <w:tcW w:w="1438" w:type="dxa"/>
            <w:vAlign w:val="center"/>
          </w:tcPr>
          <w:p>
            <w:pPr>
              <w:pStyle w:val="39"/>
              <w:rPr>
                <w:rFonts w:ascii="Times New Roman" w:hAnsi="Times New Roman"/>
              </w:rPr>
            </w:pPr>
            <w:r>
              <w:rPr>
                <w:rFonts w:ascii="Times New Roman" w:hAnsi="Times New Roman"/>
              </w:rPr>
              <w:t>t</w:t>
            </w:r>
          </w:p>
        </w:tc>
        <w:tc>
          <w:tcPr>
            <w:tcW w:w="1397" w:type="dxa"/>
            <w:vAlign w:val="center"/>
          </w:tcPr>
          <w:p>
            <w:pPr>
              <w:pStyle w:val="39"/>
              <w:rPr>
                <w:rFonts w:ascii="Times New Roman" w:hAnsi="Times New Roman"/>
              </w:rPr>
            </w:pPr>
            <w:r>
              <w:rPr>
                <w:rFonts w:ascii="Times New Roman" w:hAnsi="Times New Roman"/>
              </w:rPr>
              <w:t>73.36</w:t>
            </w:r>
          </w:p>
        </w:tc>
        <w:tc>
          <w:tcPr>
            <w:tcW w:w="1922" w:type="dxa"/>
            <w:vAlign w:val="center"/>
          </w:tcPr>
          <w:p>
            <w:pPr>
              <w:pStyle w:val="39"/>
              <w:rPr>
                <w:rFonts w:ascii="Times New Roman" w:hAnsi="Times New Roman"/>
              </w:rPr>
            </w:pPr>
            <w:r>
              <w:rPr>
                <w:rFonts w:ascii="Times New Roman" w:hAnsi="Times New Roman"/>
              </w:rPr>
              <w:t>线路管材用量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9"/>
              <w:rPr>
                <w:rFonts w:ascii="Times New Roman" w:hAnsi="Times New Roman"/>
              </w:rPr>
            </w:pPr>
            <w:r>
              <w:rPr>
                <w:rFonts w:ascii="Times New Roman" w:hAnsi="Times New Roman"/>
              </w:rPr>
              <w:t>四</w:t>
            </w:r>
          </w:p>
        </w:tc>
        <w:tc>
          <w:tcPr>
            <w:tcW w:w="2693" w:type="dxa"/>
            <w:vAlign w:val="center"/>
          </w:tcPr>
          <w:p>
            <w:pPr>
              <w:pStyle w:val="39"/>
              <w:rPr>
                <w:rFonts w:ascii="Times New Roman" w:hAnsi="Times New Roman"/>
              </w:rPr>
            </w:pPr>
            <w:r>
              <w:rPr>
                <w:rFonts w:ascii="Times New Roman" w:hAnsi="Times New Roman"/>
              </w:rPr>
              <w:t>工程投资</w:t>
            </w:r>
          </w:p>
        </w:tc>
        <w:tc>
          <w:tcPr>
            <w:tcW w:w="1438" w:type="dxa"/>
            <w:vAlign w:val="center"/>
          </w:tcPr>
          <w:p>
            <w:pPr>
              <w:pStyle w:val="39"/>
              <w:rPr>
                <w:rFonts w:ascii="Times New Roman" w:hAnsi="Times New Roman"/>
              </w:rPr>
            </w:pPr>
            <w:r>
              <w:rPr>
                <w:rFonts w:ascii="Times New Roman" w:hAnsi="Times New Roman"/>
              </w:rPr>
              <w:t>万元</w:t>
            </w:r>
          </w:p>
        </w:tc>
        <w:tc>
          <w:tcPr>
            <w:tcW w:w="1397" w:type="dxa"/>
            <w:vAlign w:val="center"/>
          </w:tcPr>
          <w:p>
            <w:pPr>
              <w:pStyle w:val="39"/>
              <w:rPr>
                <w:rFonts w:ascii="Times New Roman" w:hAnsi="Times New Roman"/>
              </w:rPr>
            </w:pPr>
            <w:r>
              <w:rPr>
                <w:rFonts w:ascii="Times New Roman" w:hAnsi="Times New Roman"/>
                <w:highlight w:val="black"/>
              </w:rPr>
              <w:t>33172.90</w:t>
            </w:r>
          </w:p>
        </w:tc>
        <w:tc>
          <w:tcPr>
            <w:tcW w:w="1922" w:type="dxa"/>
            <w:vAlign w:val="center"/>
          </w:tcPr>
          <w:p>
            <w:pPr>
              <w:pStyle w:val="39"/>
              <w:rPr>
                <w:rFonts w:ascii="Times New Roman" w:hAnsi="Times New Roman"/>
              </w:rPr>
            </w:pPr>
            <w:r>
              <w:rPr>
                <w:rFonts w:ascii="Times New Roman" w:hAnsi="Times New Roman"/>
                <w:highlight w:val="black"/>
              </w:rPr>
              <w:t>建设投资：30831.02万元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9"/>
              <w:rPr>
                <w:rFonts w:ascii="Times New Roman" w:hAnsi="Times New Roman"/>
              </w:rPr>
            </w:pPr>
            <w:r>
              <w:rPr>
                <w:rFonts w:ascii="Times New Roman" w:hAnsi="Times New Roman"/>
              </w:rPr>
              <w:t>五</w:t>
            </w:r>
          </w:p>
        </w:tc>
        <w:tc>
          <w:tcPr>
            <w:tcW w:w="2693" w:type="dxa"/>
            <w:vAlign w:val="center"/>
          </w:tcPr>
          <w:p>
            <w:pPr>
              <w:pStyle w:val="39"/>
              <w:rPr>
                <w:rFonts w:ascii="Times New Roman" w:hAnsi="Times New Roman"/>
              </w:rPr>
            </w:pPr>
            <w:r>
              <w:rPr>
                <w:rFonts w:ascii="Times New Roman" w:hAnsi="Times New Roman"/>
              </w:rPr>
              <w:t>占地面积</w:t>
            </w:r>
          </w:p>
        </w:tc>
        <w:tc>
          <w:tcPr>
            <w:tcW w:w="1438" w:type="dxa"/>
            <w:vAlign w:val="center"/>
          </w:tcPr>
          <w:p>
            <w:pPr>
              <w:pStyle w:val="39"/>
              <w:rPr>
                <w:rFonts w:ascii="Times New Roman" w:hAnsi="Times New Roman"/>
              </w:rPr>
            </w:pPr>
            <w:r>
              <w:rPr>
                <w:rFonts w:ascii="Times New Roman" w:hAnsi="Times New Roman"/>
              </w:rPr>
              <w:t>m</w:t>
            </w:r>
            <w:r>
              <w:rPr>
                <w:rFonts w:ascii="Times New Roman" w:hAnsi="Times New Roman"/>
                <w:vertAlign w:val="superscript"/>
              </w:rPr>
              <w:t>2</w:t>
            </w:r>
          </w:p>
        </w:tc>
        <w:tc>
          <w:tcPr>
            <w:tcW w:w="1397" w:type="dxa"/>
            <w:vAlign w:val="center"/>
          </w:tcPr>
          <w:p>
            <w:pPr>
              <w:pStyle w:val="39"/>
              <w:rPr>
                <w:rFonts w:hint="eastAsia" w:ascii="Times New Roman" w:hAnsi="Times New Roman"/>
              </w:rPr>
            </w:pPr>
            <w:r>
              <w:rPr>
                <w:rFonts w:hint="eastAsia" w:ascii="Times New Roman" w:hAnsi="Times New Roman"/>
              </w:rPr>
              <w:t>26940</w:t>
            </w:r>
          </w:p>
        </w:tc>
        <w:tc>
          <w:tcPr>
            <w:tcW w:w="1922" w:type="dxa"/>
            <w:vAlign w:val="center"/>
          </w:tcPr>
          <w:p>
            <w:pPr>
              <w:pStyle w:val="39"/>
              <w:rPr>
                <w:rFonts w:ascii="Times New Roman" w:hAnsi="Times New Roman"/>
              </w:rPr>
            </w:pPr>
            <w:r>
              <w:rPr>
                <w:rFonts w:ascii="Times New Roman" w:hAnsi="Times New Roman"/>
              </w:rPr>
              <w:t>永久占地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9"/>
              <w:rPr>
                <w:rFonts w:ascii="Times New Roman" w:hAnsi="Times New Roman"/>
              </w:rPr>
            </w:pPr>
            <w:r>
              <w:rPr>
                <w:rFonts w:ascii="Times New Roman" w:hAnsi="Times New Roman"/>
              </w:rPr>
              <w:t>六</w:t>
            </w:r>
          </w:p>
        </w:tc>
        <w:tc>
          <w:tcPr>
            <w:tcW w:w="2693" w:type="dxa"/>
            <w:vAlign w:val="center"/>
          </w:tcPr>
          <w:p>
            <w:pPr>
              <w:pStyle w:val="39"/>
              <w:rPr>
                <w:rFonts w:ascii="Times New Roman" w:hAnsi="Times New Roman"/>
              </w:rPr>
            </w:pPr>
            <w:r>
              <w:rPr>
                <w:rFonts w:ascii="Times New Roman" w:hAnsi="Times New Roman"/>
              </w:rPr>
              <w:t>定员</w:t>
            </w:r>
          </w:p>
        </w:tc>
        <w:tc>
          <w:tcPr>
            <w:tcW w:w="1438" w:type="dxa"/>
            <w:vAlign w:val="center"/>
          </w:tcPr>
          <w:p>
            <w:pPr>
              <w:pStyle w:val="39"/>
              <w:rPr>
                <w:rFonts w:ascii="Times New Roman" w:hAnsi="Times New Roman"/>
              </w:rPr>
            </w:pPr>
            <w:r>
              <w:rPr>
                <w:rFonts w:ascii="Times New Roman" w:hAnsi="Times New Roman"/>
              </w:rPr>
              <w:t>人</w:t>
            </w:r>
          </w:p>
        </w:tc>
        <w:tc>
          <w:tcPr>
            <w:tcW w:w="1397" w:type="dxa"/>
            <w:vAlign w:val="center"/>
          </w:tcPr>
          <w:p>
            <w:pPr>
              <w:pStyle w:val="39"/>
              <w:rPr>
                <w:rFonts w:ascii="Times New Roman" w:hAnsi="Times New Roman"/>
              </w:rPr>
            </w:pPr>
            <w:r>
              <w:rPr>
                <w:rFonts w:ascii="Times New Roman" w:hAnsi="Times New Roman"/>
              </w:rPr>
              <w:t>14</w:t>
            </w:r>
          </w:p>
        </w:tc>
        <w:tc>
          <w:tcPr>
            <w:tcW w:w="1922" w:type="dxa"/>
            <w:vAlign w:val="center"/>
          </w:tcPr>
          <w:p>
            <w:pPr>
              <w:pStyle w:val="39"/>
              <w:rPr>
                <w:rFonts w:ascii="Times New Roman" w:hAnsi="Times New Roman"/>
              </w:rPr>
            </w:pPr>
            <w:r>
              <w:rPr>
                <w:rFonts w:ascii="Times New Roman" w:hAnsi="Times New Roman"/>
              </w:rPr>
              <w:t xml:space="preserve">井站无人值守，维抢修队人员14人。 </w:t>
            </w:r>
          </w:p>
        </w:tc>
      </w:tr>
    </w:tbl>
    <w:p>
      <w:pPr>
        <w:pStyle w:val="3"/>
        <w:rPr>
          <w:rFonts w:ascii="Times New Roman" w:hAnsi="Times New Roman" w:cs="Times New Roman"/>
        </w:rPr>
      </w:pPr>
      <w:bookmarkStart w:id="82" w:name="_Toc162339404"/>
      <w:r>
        <w:rPr>
          <w:rFonts w:ascii="Times New Roman" w:hAnsi="Times New Roman" w:cs="Times New Roman"/>
        </w:rPr>
        <w:t>项目实施进度</w:t>
      </w:r>
      <w:bookmarkEnd w:id="82"/>
    </w:p>
    <w:p>
      <w:pPr>
        <w:ind w:firstLine="480"/>
        <w:rPr>
          <w:rFonts w:ascii="Times New Roman" w:hAnsi="Times New Roman"/>
        </w:rPr>
      </w:pPr>
      <w:r>
        <w:rPr>
          <w:rFonts w:ascii="Times New Roman" w:hAnsi="Times New Roman"/>
        </w:rPr>
        <w:t>本项目总工期为14个月，预计2024年9月建成。本项目实施计划表见</w:t>
      </w:r>
      <w:r>
        <w:rPr>
          <w:rFonts w:ascii="Times New Roman" w:hAnsi="Times New Roman"/>
        </w:rPr>
        <w:fldChar w:fldCharType="begin"/>
      </w:r>
      <w:r>
        <w:rPr>
          <w:rFonts w:ascii="Times New Roman" w:hAnsi="Times New Roman"/>
        </w:rPr>
        <w:instrText xml:space="preserve"> REF _Ref152078892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19</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83" w:name="_Ref15207889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19</w:t>
      </w:r>
      <w:r>
        <w:rPr>
          <w:rFonts w:ascii="Times New Roman" w:hAnsi="Times New Roman" w:cs="Times New Roman"/>
        </w:rPr>
        <w:fldChar w:fldCharType="end"/>
      </w:r>
      <w:bookmarkEnd w:id="83"/>
      <w:r>
        <w:rPr>
          <w:rFonts w:ascii="Times New Roman" w:hAnsi="Times New Roman" w:cs="Times New Roman"/>
        </w:rPr>
        <w:t xml:space="preserve">  本项目实施计划表</w:t>
      </w:r>
    </w:p>
    <w:p>
      <w:pPr>
        <w:ind w:firstLine="0" w:firstLineChars="0"/>
        <w:rPr>
          <w:rFonts w:ascii="Times New Roman" w:hAnsi="Times New Roman"/>
        </w:rPr>
      </w:pPr>
      <w:r>
        <w:rPr>
          <w:rFonts w:ascii="Times New Roman" w:hAnsi="Times New Roman"/>
        </w:rPr>
        <w:drawing>
          <wp:inline distT="0" distB="0" distL="0" distR="0">
            <wp:extent cx="5274310" cy="2901950"/>
            <wp:effectExtent l="0" t="0" r="2540" b="0"/>
            <wp:docPr id="17329817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981700" name="图片 1"/>
                    <pic:cNvPicPr>
                      <a:picLocks noChangeAspect="1"/>
                    </pic:cNvPicPr>
                  </pic:nvPicPr>
                  <pic:blipFill>
                    <a:blip r:embed="rId53"/>
                    <a:stretch>
                      <a:fillRect/>
                    </a:stretch>
                  </pic:blipFill>
                  <pic:spPr>
                    <a:xfrm>
                      <a:off x="0" y="0"/>
                      <a:ext cx="5274310" cy="2901950"/>
                    </a:xfrm>
                    <a:prstGeom prst="rect">
                      <a:avLst/>
                    </a:prstGeom>
                  </pic:spPr>
                </pic:pic>
              </a:graphicData>
            </a:graphic>
          </wp:inline>
        </w:drawing>
      </w:r>
    </w:p>
    <w:bookmarkEnd w:id="50"/>
    <w:p>
      <w:pPr>
        <w:pStyle w:val="3"/>
        <w:rPr>
          <w:rFonts w:ascii="Times New Roman" w:hAnsi="Times New Roman" w:cs="Times New Roman"/>
        </w:rPr>
      </w:pPr>
      <w:bookmarkStart w:id="84" w:name="_Toc162339405"/>
      <w:r>
        <w:rPr>
          <w:rFonts w:ascii="Times New Roman" w:hAnsi="Times New Roman" w:cs="Times New Roman"/>
        </w:rPr>
        <w:t>依托工程</w:t>
      </w:r>
      <w:bookmarkEnd w:id="84"/>
    </w:p>
    <w:p>
      <w:pPr>
        <w:pStyle w:val="4"/>
        <w:rPr>
          <w:rFonts w:ascii="Times New Roman" w:hAnsi="Times New Roman" w:cs="Times New Roman"/>
        </w:rPr>
      </w:pPr>
      <w:r>
        <w:rPr>
          <w:rFonts w:ascii="Times New Roman" w:hAnsi="Times New Roman" w:cs="Times New Roman"/>
        </w:rPr>
        <w:t>渡口河净化厂气田水处理装置</w:t>
      </w:r>
    </w:p>
    <w:p>
      <w:pPr>
        <w:ind w:firstLine="480"/>
        <w:rPr>
          <w:rFonts w:ascii="Times New Roman" w:hAnsi="Times New Roman"/>
        </w:rPr>
      </w:pPr>
      <w:r>
        <w:rPr>
          <w:rFonts w:ascii="Times New Roman" w:hAnsi="Times New Roman"/>
        </w:rPr>
        <w:t>本项目试采产出气田水定期装车拉运至渡口河天然气净化厂气田水处理装置处理，达标后经加压管输至黄龙5井回注。</w:t>
      </w:r>
    </w:p>
    <w:p>
      <w:pPr>
        <w:ind w:firstLine="480"/>
        <w:rPr>
          <w:rFonts w:ascii="Times New Roman" w:hAnsi="Times New Roman"/>
        </w:rPr>
      </w:pPr>
      <w:r>
        <w:rPr>
          <w:rFonts w:ascii="Times New Roman" w:hAnsi="Times New Roman"/>
        </w:rPr>
        <w:t>渡口河净化厂目前为在建状态，预计2024年底建完投产。该项目环评文件《四川盆地渡口河-七里北气田飞仙关组气藏开发产能建设项目环境影响报告书》于2022年12月30日获得四川省生态环境厅的批复，批文号为川环审批〔2022〕171号。</w:t>
      </w:r>
    </w:p>
    <w:p>
      <w:pPr>
        <w:ind w:firstLine="480"/>
        <w:rPr>
          <w:rFonts w:ascii="Times New Roman" w:hAnsi="Times New Roman"/>
        </w:rPr>
      </w:pPr>
      <w:r>
        <w:rPr>
          <w:rFonts w:ascii="Times New Roman" w:hAnsi="Times New Roman"/>
        </w:rPr>
        <w:t>渡口河净化厂气田水处理装置以2030年为界分两期建设，前期处理规模设计为120m</w:t>
      </w:r>
      <w:r>
        <w:rPr>
          <w:rFonts w:ascii="Times New Roman" w:hAnsi="Times New Roman"/>
          <w:vertAlign w:val="superscript"/>
        </w:rPr>
        <w:t>3</w:t>
      </w:r>
      <w:r>
        <w:rPr>
          <w:rFonts w:ascii="Times New Roman" w:hAnsi="Times New Roman"/>
        </w:rPr>
        <w:t>/d（即5m</w:t>
      </w:r>
      <w:r>
        <w:rPr>
          <w:rFonts w:ascii="Times New Roman" w:hAnsi="Times New Roman"/>
          <w:vertAlign w:val="superscript"/>
        </w:rPr>
        <w:t>3</w:t>
      </w:r>
      <w:r>
        <w:rPr>
          <w:rFonts w:ascii="Times New Roman" w:hAnsi="Times New Roman"/>
        </w:rPr>
        <w:t>/h），并为远期预留场地。在净化厂内设置气田水转输泵2台，气田水回注及转输规模按最大水量600m</w:t>
      </w:r>
      <w:r>
        <w:rPr>
          <w:rFonts w:ascii="Times New Roman" w:hAnsi="Times New Roman"/>
          <w:vertAlign w:val="superscript"/>
        </w:rPr>
        <w:t>3</w:t>
      </w:r>
      <w:r>
        <w:rPr>
          <w:rFonts w:ascii="Times New Roman" w:hAnsi="Times New Roman"/>
        </w:rPr>
        <w:t>/d（即25m</w:t>
      </w:r>
      <w:r>
        <w:rPr>
          <w:rFonts w:ascii="Times New Roman" w:hAnsi="Times New Roman"/>
          <w:vertAlign w:val="superscript"/>
        </w:rPr>
        <w:t>3</w:t>
      </w:r>
      <w:r>
        <w:rPr>
          <w:rFonts w:ascii="Times New Roman" w:hAnsi="Times New Roman"/>
        </w:rPr>
        <w:t>/h）进行设计。根据《四川盆地渡口河-七里北气田飞仙关组气藏开发产能建设项目环境影响报告书》，该项目进入气田水处理装置的气田水量为36.82m</w:t>
      </w:r>
      <w:r>
        <w:rPr>
          <w:rFonts w:ascii="Times New Roman" w:hAnsi="Times New Roman"/>
          <w:vertAlign w:val="superscript"/>
        </w:rPr>
        <w:t>3</w:t>
      </w:r>
      <w:r>
        <w:rPr>
          <w:rFonts w:ascii="Times New Roman" w:hAnsi="Times New Roman"/>
        </w:rPr>
        <w:t>/d，小于气田水的处理规模120m</w:t>
      </w:r>
      <w:r>
        <w:rPr>
          <w:rFonts w:ascii="Times New Roman" w:hAnsi="Times New Roman"/>
          <w:vertAlign w:val="superscript"/>
        </w:rPr>
        <w:t>3</w:t>
      </w:r>
      <w:r>
        <w:rPr>
          <w:rFonts w:ascii="Times New Roman" w:hAnsi="Times New Roman"/>
        </w:rPr>
        <w:t>/d，气田水处理装置可以满足宣探1井组试采（气田水产生量为24.9 m</w:t>
      </w:r>
      <w:r>
        <w:rPr>
          <w:rFonts w:ascii="Times New Roman" w:hAnsi="Times New Roman"/>
          <w:vertAlign w:val="superscript"/>
        </w:rPr>
        <w:t>3</w:t>
      </w:r>
      <w:r>
        <w:rPr>
          <w:rFonts w:ascii="Times New Roman" w:hAnsi="Times New Roman"/>
        </w:rPr>
        <w:t>/d）和渡口河-七里北气田的回注处理需求。因此本项目气田水的处置依托渡口河净化厂气田水处理装置可行。</w:t>
      </w:r>
    </w:p>
    <w:p>
      <w:pPr>
        <w:pStyle w:val="4"/>
        <w:rPr>
          <w:rFonts w:ascii="Times New Roman" w:hAnsi="Times New Roman" w:cs="Times New Roman"/>
        </w:rPr>
      </w:pPr>
      <w:r>
        <w:rPr>
          <w:rFonts w:ascii="Times New Roman" w:hAnsi="Times New Roman" w:cs="Times New Roman"/>
        </w:rPr>
        <w:t>黄龙5井、黄龙2井、蒲西4井</w:t>
      </w:r>
    </w:p>
    <w:p>
      <w:pPr>
        <w:ind w:firstLine="480"/>
        <w:rPr>
          <w:rFonts w:ascii="Times New Roman" w:hAnsi="Times New Roman"/>
        </w:rPr>
      </w:pPr>
      <w:r>
        <w:rPr>
          <w:rFonts w:ascii="Times New Roman" w:hAnsi="Times New Roman"/>
        </w:rPr>
        <w:t>本项目气田水定期装车拉运至渡口河净化厂气田水处理装置，处理后通过其下游气田水转输、回注系统送入黄龙5井回注；若本项目先于渡口河净化厂投产，则暂将气田水拉运至黄龙004-X4井后输往黄龙2井回注，或拉运至蒲西4井进行回注。</w:t>
      </w:r>
    </w:p>
    <w:p>
      <w:pPr>
        <w:ind w:firstLine="480"/>
        <w:rPr>
          <w:rFonts w:ascii="Times New Roman" w:hAnsi="Times New Roman"/>
        </w:rPr>
      </w:pPr>
      <w:r>
        <w:rPr>
          <w:rFonts w:ascii="Times New Roman" w:hAnsi="Times New Roman"/>
        </w:rPr>
        <w:t>（1）各回注井环保手续情况</w:t>
      </w:r>
    </w:p>
    <w:tbl>
      <w:tblPr>
        <w:tblStyle w:val="28"/>
        <w:tblW w:w="0" w:type="auto"/>
        <w:tblInd w:w="0" w:type="dxa"/>
        <w:tblLayout w:type="autofit"/>
        <w:tblCellMar>
          <w:top w:w="0" w:type="dxa"/>
          <w:left w:w="108" w:type="dxa"/>
          <w:bottom w:w="0" w:type="dxa"/>
          <w:right w:w="108" w:type="dxa"/>
        </w:tblCellMar>
      </w:tblPr>
      <w:tblGrid>
        <w:gridCol w:w="4148"/>
        <w:gridCol w:w="4148"/>
      </w:tblGrid>
      <w:tr>
        <w:tblPrEx>
          <w:tblCellMar>
            <w:top w:w="0" w:type="dxa"/>
            <w:left w:w="108" w:type="dxa"/>
            <w:bottom w:w="0" w:type="dxa"/>
            <w:right w:w="108" w:type="dxa"/>
          </w:tblCellMar>
        </w:tblPrEx>
        <w:tc>
          <w:tcPr>
            <w:tcW w:w="4148" w:type="dxa"/>
          </w:tcPr>
          <w:p>
            <w:pPr>
              <w:ind w:firstLine="0" w:firstLineChars="0"/>
              <w:rPr>
                <w:rFonts w:ascii="Times New Roman" w:hAnsi="Times New Roman"/>
              </w:rPr>
            </w:pPr>
            <w:r>
              <w:rPr>
                <w:rFonts w:ascii="Times New Roman" w:hAnsi="Times New Roman"/>
              </w:rPr>
              <w:drawing>
                <wp:inline distT="0" distB="0" distL="0" distR="0">
                  <wp:extent cx="2476500" cy="1799590"/>
                  <wp:effectExtent l="0" t="0" r="0" b="0"/>
                  <wp:docPr id="10025386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38679" name="图片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479209" cy="1801146"/>
                          </a:xfrm>
                          <a:prstGeom prst="rect">
                            <a:avLst/>
                          </a:prstGeom>
                          <a:noFill/>
                          <a:ln>
                            <a:noFill/>
                          </a:ln>
                        </pic:spPr>
                      </pic:pic>
                    </a:graphicData>
                  </a:graphic>
                </wp:inline>
              </w:drawing>
            </w:r>
          </w:p>
        </w:tc>
        <w:tc>
          <w:tcPr>
            <w:tcW w:w="4148" w:type="dxa"/>
          </w:tcPr>
          <w:p>
            <w:pPr>
              <w:ind w:firstLine="0" w:firstLineChars="0"/>
              <w:rPr>
                <w:rFonts w:ascii="Times New Roman" w:hAnsi="Times New Roman"/>
              </w:rPr>
            </w:pPr>
            <w:r>
              <w:rPr>
                <w:rFonts w:ascii="Times New Roman" w:hAnsi="Times New Roman"/>
              </w:rPr>
              <w:drawing>
                <wp:inline distT="0" distB="0" distL="0" distR="0">
                  <wp:extent cx="2399665" cy="1799590"/>
                  <wp:effectExtent l="19050" t="19050" r="19685" b="10160"/>
                  <wp:docPr id="608361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361100" name="图片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399889" cy="1800000"/>
                          </a:xfrm>
                          <a:prstGeom prst="rect">
                            <a:avLst/>
                          </a:prstGeom>
                          <a:noFill/>
                          <a:ln w="6350" cmpd="sng">
                            <a:solidFill>
                              <a:srgbClr val="000000"/>
                            </a:solidFill>
                            <a:miter lim="800000"/>
                            <a:headEnd/>
                            <a:tailEnd/>
                          </a:ln>
                          <a:effectLst/>
                        </pic:spPr>
                      </pic:pic>
                    </a:graphicData>
                  </a:graphic>
                </wp:inline>
              </w:drawing>
            </w:r>
          </w:p>
        </w:tc>
      </w:tr>
      <w:tr>
        <w:tblPrEx>
          <w:tblCellMar>
            <w:top w:w="0" w:type="dxa"/>
            <w:left w:w="108" w:type="dxa"/>
            <w:bottom w:w="0" w:type="dxa"/>
            <w:right w:w="108" w:type="dxa"/>
          </w:tblCellMar>
        </w:tblPrEx>
        <w:tc>
          <w:tcPr>
            <w:tcW w:w="4148" w:type="dxa"/>
          </w:tcPr>
          <w:p>
            <w:pPr>
              <w:ind w:firstLine="0" w:firstLineChars="0"/>
              <w:jc w:val="center"/>
              <w:rPr>
                <w:rFonts w:ascii="Times New Roman" w:hAnsi="Times New Roman"/>
                <w:sz w:val="21"/>
                <w:szCs w:val="21"/>
              </w:rPr>
            </w:pPr>
            <w:r>
              <w:rPr>
                <w:rFonts w:ascii="Times New Roman" w:hAnsi="Times New Roman"/>
                <w:sz w:val="21"/>
                <w:szCs w:val="21"/>
              </w:rPr>
              <w:t>黄龙5井</w:t>
            </w:r>
          </w:p>
        </w:tc>
        <w:tc>
          <w:tcPr>
            <w:tcW w:w="4148" w:type="dxa"/>
          </w:tcPr>
          <w:p>
            <w:pPr>
              <w:ind w:firstLine="0" w:firstLineChars="0"/>
              <w:jc w:val="center"/>
              <w:rPr>
                <w:rFonts w:ascii="Times New Roman" w:hAnsi="Times New Roman"/>
                <w:sz w:val="21"/>
                <w:szCs w:val="21"/>
              </w:rPr>
            </w:pPr>
            <w:r>
              <w:rPr>
                <w:rFonts w:ascii="Times New Roman" w:hAnsi="Times New Roman"/>
                <w:sz w:val="21"/>
                <w:szCs w:val="21"/>
              </w:rPr>
              <w:t>黄龙2井</w:t>
            </w:r>
          </w:p>
        </w:tc>
      </w:tr>
    </w:tbl>
    <w:p>
      <w:pPr>
        <w:ind w:firstLine="480"/>
        <w:rPr>
          <w:rFonts w:ascii="Times New Roman" w:hAnsi="Times New Roman"/>
        </w:rPr>
      </w:pPr>
    </w:p>
    <w:p>
      <w:pPr>
        <w:ind w:firstLine="480"/>
        <w:rPr>
          <w:rFonts w:ascii="Times New Roman" w:hAnsi="Times New Roman"/>
        </w:rPr>
      </w:pPr>
      <w:r>
        <w:rPr>
          <w:rFonts w:ascii="Times New Roman" w:hAnsi="Times New Roman"/>
        </w:rPr>
        <w:t>1）环评审批情况</w:t>
      </w:r>
    </w:p>
    <w:p>
      <w:pPr>
        <w:ind w:firstLine="480"/>
        <w:rPr>
          <w:rFonts w:ascii="Times New Roman" w:hAnsi="Times New Roman"/>
        </w:rPr>
      </w:pPr>
      <w:r>
        <w:rPr>
          <w:rFonts w:ascii="Times New Roman" w:hAnsi="Times New Roman"/>
        </w:rPr>
        <w:t>黄龙5井的环评文件《中国石油西南油气田分公司川东北气矿黄龙5井回注工程环境影响报告表》于2013年11月25日获得了原达州市环境保护局的批复，批文号为达市环审〔2013〕33号。于同年12月26日取得了原达州市环境保护局的验收意见（达市环验〔2013〕13号）。</w:t>
      </w:r>
    </w:p>
    <w:p>
      <w:pPr>
        <w:ind w:firstLine="480"/>
        <w:rPr>
          <w:rFonts w:ascii="Times New Roman" w:hAnsi="Times New Roman"/>
        </w:rPr>
      </w:pPr>
      <w:r>
        <w:rPr>
          <w:rFonts w:ascii="Times New Roman" w:hAnsi="Times New Roman"/>
        </w:rPr>
        <w:t>黄龙2井的环评文件《中国石油西南油气田分公司川东北气矿黄龙2井回注工程环境影响报告表》于2013年11月25日获得了原达州市环境保护局的批复，批文号为达市环审〔2013〕34号。于2016年6月12日取得了原达州市环境保护局的验收意见（达市环验〔2016〕6号）。</w:t>
      </w:r>
    </w:p>
    <w:p>
      <w:pPr>
        <w:ind w:firstLine="480"/>
        <w:rPr>
          <w:rFonts w:ascii="Times New Roman" w:hAnsi="Times New Roman"/>
        </w:rPr>
      </w:pPr>
      <w:r>
        <w:rPr>
          <w:rFonts w:ascii="Times New Roman" w:hAnsi="Times New Roman"/>
        </w:rPr>
        <w:t>蒲西4井废水处理回注工程环评文件于2005年4月22日取得原达州市环境保护局的批复，批文号为：达市环建函[2005]17号。于2005年6月建成投运，于2016年12月8日通过了原达州市环境保护局的竣工环境保护验收（达市环验[2016]15号）。</w:t>
      </w:r>
    </w:p>
    <w:p>
      <w:pPr>
        <w:ind w:firstLine="480"/>
        <w:rPr>
          <w:rFonts w:ascii="Times New Roman" w:hAnsi="Times New Roman"/>
        </w:rPr>
      </w:pPr>
      <w:r>
        <w:rPr>
          <w:rFonts w:ascii="Times New Roman" w:hAnsi="Times New Roman"/>
        </w:rPr>
        <w:t>黄龙004-X4 井地面适应性改造工程的建设内容含新建黄龙004-X4井～黄龙2井的输水管线4.88km，该工程的环评文件于2013年12月31日取得了原 环境保护局的批复，批文号为：达市环审〔2013〕52号。2015 建成投运，于2016年6月12日取得了原达州市环境保护局的验收意见（达市环验〔2016〕6号）。黄龙004-X4 井为本项目气田水的转运站，本项目气田水通过暂存于气田水罐后再通过回注管道输至黄龙2井进行回注。</w:t>
      </w:r>
    </w:p>
    <w:p>
      <w:pPr>
        <w:ind w:firstLine="480"/>
        <w:rPr>
          <w:rFonts w:ascii="Times New Roman" w:hAnsi="Times New Roman"/>
        </w:rPr>
      </w:pPr>
      <w:r>
        <w:rPr>
          <w:rFonts w:ascii="Times New Roman" w:hAnsi="Times New Roman"/>
        </w:rPr>
        <w:t>2）排污许可申报情况</w:t>
      </w:r>
    </w:p>
    <w:p>
      <w:pPr>
        <w:ind w:firstLine="480"/>
        <w:rPr>
          <w:rFonts w:ascii="Times New Roman" w:hAnsi="Times New Roman"/>
        </w:rPr>
      </w:pPr>
      <w:r>
        <w:rPr>
          <w:rFonts w:ascii="Times New Roman" w:hAnsi="Times New Roman"/>
        </w:rPr>
        <w:t>黄龙5井、黄龙2井、蒲西4井分别办理了排污许可手续，按照《固定污染源排污许可分类管理名录（2019年版）》，实行排污登记管理。</w:t>
      </w:r>
    </w:p>
    <w:p>
      <w:pPr>
        <w:ind w:firstLine="480"/>
        <w:rPr>
          <w:rFonts w:ascii="Times New Roman" w:hAnsi="Times New Roman"/>
        </w:rPr>
      </w:pPr>
      <w:r>
        <w:rPr>
          <w:rFonts w:ascii="Times New Roman" w:hAnsi="Times New Roman"/>
        </w:rPr>
        <w:t>黄龙5井：登记编号：91511700744686850M061X，有效期为2023年10月16日至2028年10月15日。</w:t>
      </w:r>
    </w:p>
    <w:p>
      <w:pPr>
        <w:ind w:firstLine="480"/>
        <w:rPr>
          <w:rFonts w:ascii="Times New Roman" w:hAnsi="Times New Roman"/>
        </w:rPr>
      </w:pPr>
      <w:r>
        <w:rPr>
          <w:rFonts w:ascii="Times New Roman" w:hAnsi="Times New Roman"/>
        </w:rPr>
        <w:t>黄龙2井：登记编号：91511700744686850M060Z，有效期为2023年10月16日至2028年10月15日。</w:t>
      </w:r>
    </w:p>
    <w:p>
      <w:pPr>
        <w:ind w:firstLine="480"/>
        <w:rPr>
          <w:rFonts w:ascii="Times New Roman" w:hAnsi="Times New Roman"/>
        </w:rPr>
      </w:pPr>
      <w:r>
        <w:rPr>
          <w:rFonts w:ascii="Times New Roman" w:hAnsi="Times New Roman"/>
        </w:rPr>
        <w:t>蒲西4井：登记编号：91511700744686850M043W，有效期为2023年10月16日至2028年10月15日。</w:t>
      </w:r>
    </w:p>
    <w:p>
      <w:pPr>
        <w:ind w:firstLine="480"/>
        <w:rPr>
          <w:rFonts w:ascii="Times New Roman" w:hAnsi="Times New Roman"/>
        </w:rPr>
      </w:pPr>
      <w:r>
        <w:rPr>
          <w:rFonts w:ascii="Times New Roman" w:hAnsi="Times New Roman"/>
        </w:rPr>
        <w:t>3）突发环境事件应急预案备案情况</w:t>
      </w:r>
    </w:p>
    <w:p>
      <w:pPr>
        <w:ind w:firstLine="480"/>
        <w:rPr>
          <w:rFonts w:ascii="Times New Roman" w:hAnsi="Times New Roman"/>
        </w:rPr>
      </w:pPr>
      <w:r>
        <w:rPr>
          <w:rFonts w:ascii="Times New Roman" w:hAnsi="Times New Roman"/>
        </w:rPr>
        <w:t>黄龙5井、黄龙2井、蒲西4井、黄龙004-X4均已编制了突发环境事件应急预案，即《中国石油天然气股份有限公司西南油气田分公司川东北气矿突发环境事件专项应急预案》（编号：CDB-ZX-HJ-2023）（应急预案涵盖了黄龙5井和黄龙2井），并于2023年4月22日在达州市生态环境局进行了备案，备案编号为：511700-2023-003-M。</w:t>
      </w:r>
    </w:p>
    <w:p>
      <w:pPr>
        <w:ind w:firstLine="480"/>
        <w:rPr>
          <w:rFonts w:ascii="Times New Roman" w:hAnsi="Times New Roman"/>
        </w:rPr>
      </w:pPr>
      <w:r>
        <w:rPr>
          <w:rFonts w:ascii="Times New Roman" w:hAnsi="Times New Roman"/>
        </w:rPr>
        <w:t>（2）回注空间余量</w:t>
      </w:r>
    </w:p>
    <w:p>
      <w:pPr>
        <w:ind w:firstLine="480"/>
        <w:rPr>
          <w:rFonts w:ascii="Times New Roman" w:hAnsi="Times New Roman"/>
        </w:rPr>
      </w:pPr>
      <w:r>
        <w:rPr>
          <w:rFonts w:ascii="Times New Roman" w:hAnsi="Times New Roman"/>
        </w:rPr>
        <w:t>黄龙5井回注规模为576m</w:t>
      </w:r>
      <w:r>
        <w:rPr>
          <w:rFonts w:ascii="Times New Roman" w:hAnsi="Times New Roman"/>
          <w:vertAlign w:val="superscript"/>
        </w:rPr>
        <w:t>3</w:t>
      </w:r>
      <w:r>
        <w:rPr>
          <w:rFonts w:ascii="Times New Roman" w:hAnsi="Times New Roman"/>
        </w:rPr>
        <w:t>/d，黄龙2井回注规模为432m</w:t>
      </w:r>
      <w:r>
        <w:rPr>
          <w:rFonts w:ascii="Times New Roman" w:hAnsi="Times New Roman"/>
          <w:vertAlign w:val="superscript"/>
        </w:rPr>
        <w:t>3</w:t>
      </w:r>
      <w:r>
        <w:rPr>
          <w:rFonts w:ascii="Times New Roman" w:hAnsi="Times New Roman"/>
        </w:rPr>
        <w:t>/d，两口回注井与渡口河净化厂的距离分别约为7km和17.1km，根据气田水水量预测及回注井情况，先利用黄龙5井作为回注井。黄龙5井目前未投入使用，黄龙2井的实际注水量约为50 m</w:t>
      </w:r>
      <w:r>
        <w:rPr>
          <w:rFonts w:ascii="Times New Roman" w:hAnsi="Times New Roman"/>
          <w:vertAlign w:val="superscript"/>
        </w:rPr>
        <w:t>3</w:t>
      </w:r>
      <w:r>
        <w:rPr>
          <w:rFonts w:ascii="Times New Roman" w:hAnsi="Times New Roman"/>
        </w:rPr>
        <w:t>/d，尚有回注余量。</w:t>
      </w:r>
    </w:p>
    <w:p>
      <w:pPr>
        <w:ind w:firstLine="480"/>
        <w:rPr>
          <w:rFonts w:ascii="Times New Roman" w:hAnsi="Times New Roman"/>
        </w:rPr>
      </w:pPr>
      <w:r>
        <w:rPr>
          <w:rFonts w:ascii="Times New Roman" w:hAnsi="Times New Roman"/>
        </w:rPr>
        <w:t>蒲西4井废水处理回注工程位于达州市大竹县石河镇前锋村3组，蒲西4井回注规模为240m</w:t>
      </w:r>
      <w:r>
        <w:rPr>
          <w:rFonts w:ascii="Times New Roman" w:hAnsi="Times New Roman"/>
          <w:vertAlign w:val="superscript"/>
        </w:rPr>
        <w:t>3</w:t>
      </w:r>
      <w:r>
        <w:rPr>
          <w:rFonts w:ascii="Times New Roman" w:hAnsi="Times New Roman"/>
        </w:rPr>
        <w:t>/d，目前实际注水量约为30 m</w:t>
      </w:r>
      <w:r>
        <w:rPr>
          <w:rFonts w:ascii="Times New Roman" w:hAnsi="Times New Roman"/>
          <w:vertAlign w:val="superscript"/>
        </w:rPr>
        <w:t>3</w:t>
      </w:r>
      <w:r>
        <w:rPr>
          <w:rFonts w:ascii="Times New Roman" w:hAnsi="Times New Roman"/>
        </w:rPr>
        <w:t>/d，尚有回注余量。</w:t>
      </w:r>
    </w:p>
    <w:p>
      <w:pPr>
        <w:ind w:firstLine="480"/>
        <w:rPr>
          <w:rFonts w:ascii="Times New Roman" w:hAnsi="Times New Roman"/>
        </w:rPr>
      </w:pPr>
      <w:r>
        <w:rPr>
          <w:rFonts w:ascii="Times New Roman" w:hAnsi="Times New Roman"/>
        </w:rPr>
        <w:t>目前黄龙5井设计为渡口河-七里北区块主要回注井、黄龙2 井为黄龙场区块主要回注井，蒲西4井为蒲西、龙会区块主要回注井，回注井相关情况详见</w:t>
      </w:r>
      <w:r>
        <w:rPr>
          <w:rFonts w:ascii="Times New Roman" w:hAnsi="Times New Roman"/>
        </w:rPr>
        <w:fldChar w:fldCharType="begin"/>
      </w:r>
      <w:r>
        <w:rPr>
          <w:rFonts w:ascii="Times New Roman" w:hAnsi="Times New Roman"/>
        </w:rPr>
        <w:instrText xml:space="preserve"> REF _Ref156997275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20</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85" w:name="_Ref156997275"/>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20</w:t>
      </w:r>
      <w:r>
        <w:rPr>
          <w:rFonts w:ascii="Times New Roman" w:hAnsi="Times New Roman" w:cs="Times New Roman"/>
        </w:rPr>
        <w:fldChar w:fldCharType="end"/>
      </w:r>
      <w:bookmarkEnd w:id="85"/>
      <w:r>
        <w:rPr>
          <w:rFonts w:ascii="Times New Roman" w:hAnsi="Times New Roman" w:cs="Times New Roman"/>
        </w:rPr>
        <w:t xml:space="preserve">  依托的回注井情况统计表</w:t>
      </w:r>
    </w:p>
    <w:tbl>
      <w:tblPr>
        <w:tblStyle w:val="28"/>
        <w:tblW w:w="80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1"/>
        <w:gridCol w:w="1706"/>
        <w:gridCol w:w="1004"/>
        <w:gridCol w:w="1409"/>
        <w:gridCol w:w="1171"/>
        <w:gridCol w:w="16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39"/>
              <w:rPr>
                <w:rFonts w:ascii="Times New Roman" w:hAnsi="Times New Roman"/>
              </w:rPr>
            </w:pPr>
            <w:r>
              <w:rPr>
                <w:rFonts w:ascii="Times New Roman" w:hAnsi="Times New Roman"/>
              </w:rPr>
              <w:t>井号</w:t>
            </w:r>
          </w:p>
        </w:tc>
        <w:tc>
          <w:tcPr>
            <w:tcW w:w="1761" w:type="dxa"/>
            <w:vAlign w:val="center"/>
          </w:tcPr>
          <w:p>
            <w:pPr>
              <w:pStyle w:val="39"/>
              <w:rPr>
                <w:rFonts w:ascii="Times New Roman" w:hAnsi="Times New Roman"/>
              </w:rPr>
            </w:pPr>
            <w:r>
              <w:rPr>
                <w:rFonts w:ascii="Times New Roman" w:hAnsi="Times New Roman"/>
              </w:rPr>
              <w:t>回注层</w:t>
            </w:r>
          </w:p>
        </w:tc>
        <w:tc>
          <w:tcPr>
            <w:tcW w:w="866" w:type="dxa"/>
            <w:vAlign w:val="center"/>
          </w:tcPr>
          <w:p>
            <w:pPr>
              <w:pStyle w:val="39"/>
              <w:rPr>
                <w:rFonts w:ascii="Times New Roman" w:hAnsi="Times New Roman"/>
              </w:rPr>
            </w:pPr>
            <w:r>
              <w:rPr>
                <w:rFonts w:ascii="Times New Roman" w:hAnsi="Times New Roman"/>
              </w:rPr>
              <w:t>回注段</w:t>
            </w:r>
          </w:p>
        </w:tc>
        <w:tc>
          <w:tcPr>
            <w:tcW w:w="1421" w:type="dxa"/>
            <w:vAlign w:val="center"/>
          </w:tcPr>
          <w:p>
            <w:pPr>
              <w:pStyle w:val="39"/>
              <w:rPr>
                <w:rFonts w:ascii="Times New Roman" w:hAnsi="Times New Roman"/>
              </w:rPr>
            </w:pPr>
            <w:r>
              <w:rPr>
                <w:rFonts w:ascii="Times New Roman" w:hAnsi="Times New Roman"/>
              </w:rPr>
              <w:t>预计回注空间（10</w:t>
            </w:r>
            <w:r>
              <w:rPr>
                <w:rFonts w:ascii="Times New Roman" w:hAnsi="Times New Roman"/>
                <w:vertAlign w:val="superscript"/>
              </w:rPr>
              <w:t>4</w:t>
            </w:r>
            <w:r>
              <w:rPr>
                <w:rFonts w:ascii="Times New Roman" w:hAnsi="Times New Roman"/>
              </w:rPr>
              <w:t>m</w:t>
            </w:r>
            <w:r>
              <w:rPr>
                <w:rFonts w:ascii="Times New Roman" w:hAnsi="Times New Roman"/>
                <w:vertAlign w:val="superscript"/>
              </w:rPr>
              <w:t>3</w:t>
            </w:r>
            <w:r>
              <w:rPr>
                <w:rFonts w:ascii="Times New Roman" w:hAnsi="Times New Roman"/>
              </w:rPr>
              <w:t>）</w:t>
            </w:r>
          </w:p>
        </w:tc>
        <w:tc>
          <w:tcPr>
            <w:tcW w:w="1185" w:type="dxa"/>
            <w:vAlign w:val="center"/>
          </w:tcPr>
          <w:p>
            <w:pPr>
              <w:pStyle w:val="39"/>
              <w:rPr>
                <w:rFonts w:ascii="Times New Roman" w:hAnsi="Times New Roman"/>
              </w:rPr>
            </w:pPr>
            <w:r>
              <w:rPr>
                <w:rFonts w:ascii="Times New Roman" w:hAnsi="Times New Roman"/>
              </w:rPr>
              <w:t>目前日回注量（m</w:t>
            </w:r>
            <w:r>
              <w:rPr>
                <w:rFonts w:ascii="Times New Roman" w:hAnsi="Times New Roman"/>
                <w:vertAlign w:val="superscript"/>
              </w:rPr>
              <w:t>3</w:t>
            </w:r>
            <w:r>
              <w:rPr>
                <w:rFonts w:ascii="Times New Roman" w:hAnsi="Times New Roman"/>
              </w:rPr>
              <w:t>）</w:t>
            </w:r>
          </w:p>
        </w:tc>
        <w:tc>
          <w:tcPr>
            <w:tcW w:w="1656" w:type="dxa"/>
            <w:vAlign w:val="center"/>
          </w:tcPr>
          <w:p>
            <w:pPr>
              <w:pStyle w:val="39"/>
              <w:rPr>
                <w:rFonts w:ascii="Times New Roman" w:hAnsi="Times New Roman"/>
              </w:rPr>
            </w:pPr>
            <w:r>
              <w:rPr>
                <w:rFonts w:ascii="Times New Roman" w:hAnsi="Times New Roman"/>
              </w:rPr>
              <w:t>剩余回注空间</w:t>
            </w:r>
          </w:p>
          <w:p>
            <w:pPr>
              <w:pStyle w:val="39"/>
              <w:rPr>
                <w:rFonts w:ascii="Times New Roman" w:hAnsi="Times New Roman"/>
              </w:rPr>
            </w:pPr>
            <w:r>
              <w:rPr>
                <w:rFonts w:ascii="Times New Roman" w:hAnsi="Times New Roman"/>
              </w:rPr>
              <w:t>（10</w:t>
            </w:r>
            <w:r>
              <w:rPr>
                <w:rFonts w:ascii="Times New Roman" w:hAnsi="Times New Roman"/>
                <w:vertAlign w:val="superscript"/>
              </w:rPr>
              <w:t>4</w:t>
            </w:r>
            <w:r>
              <w:rPr>
                <w:rFonts w:ascii="Times New Roman" w:hAnsi="Times New Roman"/>
              </w:rPr>
              <w:t>m</w:t>
            </w:r>
            <w:r>
              <w:rPr>
                <w:rFonts w:ascii="Times New Roman" w:hAnsi="Times New Roman"/>
                <w:vertAlign w:val="superscript"/>
              </w:rPr>
              <w:t>3</w:t>
            </w: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39"/>
              <w:rPr>
                <w:rFonts w:ascii="Times New Roman" w:hAnsi="Times New Roman"/>
              </w:rPr>
            </w:pPr>
            <w:r>
              <w:rPr>
                <w:rFonts w:ascii="Times New Roman" w:hAnsi="Times New Roman"/>
              </w:rPr>
              <w:t>黄龙5井</w:t>
            </w:r>
          </w:p>
        </w:tc>
        <w:tc>
          <w:tcPr>
            <w:tcW w:w="1761" w:type="dxa"/>
            <w:vAlign w:val="center"/>
          </w:tcPr>
          <w:p>
            <w:pPr>
              <w:pStyle w:val="39"/>
              <w:rPr>
                <w:rFonts w:ascii="Times New Roman" w:hAnsi="Times New Roman"/>
              </w:rPr>
            </w:pPr>
            <w:r>
              <w:rPr>
                <w:rFonts w:ascii="Times New Roman" w:hAnsi="Times New Roman"/>
              </w:rPr>
              <w:t>嘉五2</w:t>
            </w:r>
          </w:p>
        </w:tc>
        <w:tc>
          <w:tcPr>
            <w:tcW w:w="866" w:type="dxa"/>
            <w:vAlign w:val="center"/>
          </w:tcPr>
          <w:p>
            <w:pPr>
              <w:pStyle w:val="39"/>
              <w:rPr>
                <w:rFonts w:ascii="Times New Roman" w:hAnsi="Times New Roman"/>
              </w:rPr>
            </w:pPr>
            <w:r>
              <w:rPr>
                <w:rFonts w:ascii="Times New Roman" w:hAnsi="Times New Roman"/>
              </w:rPr>
              <w:t>2912.4～2939</w:t>
            </w:r>
          </w:p>
        </w:tc>
        <w:tc>
          <w:tcPr>
            <w:tcW w:w="1421" w:type="dxa"/>
            <w:vAlign w:val="center"/>
          </w:tcPr>
          <w:p>
            <w:pPr>
              <w:pStyle w:val="39"/>
              <w:rPr>
                <w:rFonts w:ascii="Times New Roman" w:hAnsi="Times New Roman"/>
              </w:rPr>
            </w:pPr>
            <w:r>
              <w:rPr>
                <w:rFonts w:ascii="Times New Roman" w:hAnsi="Times New Roman"/>
              </w:rPr>
              <w:t>253</w:t>
            </w:r>
          </w:p>
        </w:tc>
        <w:tc>
          <w:tcPr>
            <w:tcW w:w="1185" w:type="dxa"/>
            <w:vAlign w:val="center"/>
          </w:tcPr>
          <w:p>
            <w:pPr>
              <w:pStyle w:val="39"/>
              <w:rPr>
                <w:rFonts w:ascii="Times New Roman" w:hAnsi="Times New Roman"/>
              </w:rPr>
            </w:pPr>
            <w:r>
              <w:rPr>
                <w:rFonts w:ascii="Times New Roman" w:hAnsi="Times New Roman"/>
              </w:rPr>
              <w:t>0</w:t>
            </w:r>
          </w:p>
        </w:tc>
        <w:tc>
          <w:tcPr>
            <w:tcW w:w="1656" w:type="dxa"/>
            <w:vAlign w:val="center"/>
          </w:tcPr>
          <w:p>
            <w:pPr>
              <w:pStyle w:val="39"/>
              <w:rPr>
                <w:rFonts w:ascii="Times New Roman" w:hAnsi="Times New Roman"/>
              </w:rPr>
            </w:pPr>
            <w:r>
              <w:rPr>
                <w:rFonts w:ascii="Times New Roman" w:hAnsi="Times New Roman"/>
              </w:rPr>
              <w:t>242.6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39"/>
              <w:rPr>
                <w:rFonts w:ascii="Times New Roman" w:hAnsi="Times New Roman"/>
              </w:rPr>
            </w:pPr>
            <w:r>
              <w:rPr>
                <w:rFonts w:ascii="Times New Roman" w:hAnsi="Times New Roman"/>
              </w:rPr>
              <w:t>黄龙2井</w:t>
            </w:r>
          </w:p>
        </w:tc>
        <w:tc>
          <w:tcPr>
            <w:tcW w:w="1761" w:type="dxa"/>
            <w:vAlign w:val="center"/>
          </w:tcPr>
          <w:p>
            <w:pPr>
              <w:pStyle w:val="39"/>
              <w:rPr>
                <w:rFonts w:ascii="Times New Roman" w:hAnsi="Times New Roman"/>
              </w:rPr>
            </w:pPr>
            <w:r>
              <w:rPr>
                <w:rFonts w:ascii="Times New Roman" w:hAnsi="Times New Roman"/>
              </w:rPr>
              <w:t>嘉五1</w:t>
            </w:r>
          </w:p>
        </w:tc>
        <w:tc>
          <w:tcPr>
            <w:tcW w:w="866" w:type="dxa"/>
            <w:vAlign w:val="center"/>
          </w:tcPr>
          <w:p>
            <w:pPr>
              <w:pStyle w:val="39"/>
              <w:rPr>
                <w:rFonts w:ascii="Times New Roman" w:hAnsi="Times New Roman"/>
              </w:rPr>
            </w:pPr>
            <w:r>
              <w:rPr>
                <w:rFonts w:ascii="Times New Roman" w:hAnsi="Times New Roman"/>
              </w:rPr>
              <w:t>2608～2618</w:t>
            </w:r>
          </w:p>
        </w:tc>
        <w:tc>
          <w:tcPr>
            <w:tcW w:w="1421" w:type="dxa"/>
            <w:vAlign w:val="center"/>
          </w:tcPr>
          <w:p>
            <w:pPr>
              <w:pStyle w:val="39"/>
              <w:rPr>
                <w:rFonts w:ascii="Times New Roman" w:hAnsi="Times New Roman"/>
              </w:rPr>
            </w:pPr>
            <w:r>
              <w:rPr>
                <w:rFonts w:ascii="Times New Roman" w:hAnsi="Times New Roman"/>
              </w:rPr>
              <w:t>198</w:t>
            </w:r>
          </w:p>
        </w:tc>
        <w:tc>
          <w:tcPr>
            <w:tcW w:w="1185" w:type="dxa"/>
            <w:vAlign w:val="center"/>
          </w:tcPr>
          <w:p>
            <w:pPr>
              <w:pStyle w:val="39"/>
              <w:rPr>
                <w:rFonts w:ascii="Times New Roman" w:hAnsi="Times New Roman"/>
              </w:rPr>
            </w:pPr>
            <w:r>
              <w:rPr>
                <w:rFonts w:ascii="Times New Roman" w:hAnsi="Times New Roman"/>
              </w:rPr>
              <w:t>50</w:t>
            </w:r>
          </w:p>
        </w:tc>
        <w:tc>
          <w:tcPr>
            <w:tcW w:w="1656" w:type="dxa"/>
            <w:vAlign w:val="center"/>
          </w:tcPr>
          <w:p>
            <w:pPr>
              <w:pStyle w:val="39"/>
              <w:rPr>
                <w:rFonts w:ascii="Times New Roman" w:hAnsi="Times New Roman"/>
              </w:rPr>
            </w:pPr>
            <w:r>
              <w:rPr>
                <w:rFonts w:ascii="Times New Roman" w:hAnsi="Times New Roman"/>
              </w:rPr>
              <w:t>191.5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pStyle w:val="39"/>
              <w:rPr>
                <w:rFonts w:ascii="Times New Roman" w:hAnsi="Times New Roman"/>
              </w:rPr>
            </w:pPr>
            <w:r>
              <w:rPr>
                <w:rFonts w:ascii="Times New Roman" w:hAnsi="Times New Roman"/>
              </w:rPr>
              <w:t>蒲西4井</w:t>
            </w:r>
          </w:p>
        </w:tc>
        <w:tc>
          <w:tcPr>
            <w:tcW w:w="1761" w:type="dxa"/>
            <w:vAlign w:val="center"/>
          </w:tcPr>
          <w:p>
            <w:pPr>
              <w:pStyle w:val="39"/>
              <w:rPr>
                <w:rFonts w:ascii="Times New Roman" w:hAnsi="Times New Roman"/>
              </w:rPr>
            </w:pPr>
            <w:r>
              <w:rPr>
                <w:rFonts w:ascii="Times New Roman" w:hAnsi="Times New Roman"/>
              </w:rPr>
              <w:t>嘉五1～嘉四4</w:t>
            </w:r>
          </w:p>
        </w:tc>
        <w:tc>
          <w:tcPr>
            <w:tcW w:w="866" w:type="dxa"/>
            <w:vAlign w:val="center"/>
          </w:tcPr>
          <w:p>
            <w:pPr>
              <w:pStyle w:val="39"/>
              <w:rPr>
                <w:rFonts w:ascii="Times New Roman" w:hAnsi="Times New Roman"/>
              </w:rPr>
            </w:pPr>
            <w:r>
              <w:rPr>
                <w:rFonts w:ascii="Times New Roman" w:hAnsi="Times New Roman"/>
              </w:rPr>
              <w:t>2256～2270</w:t>
            </w:r>
          </w:p>
        </w:tc>
        <w:tc>
          <w:tcPr>
            <w:tcW w:w="1421" w:type="dxa"/>
            <w:vAlign w:val="center"/>
          </w:tcPr>
          <w:p>
            <w:pPr>
              <w:pStyle w:val="39"/>
              <w:rPr>
                <w:rFonts w:ascii="Times New Roman" w:hAnsi="Times New Roman"/>
              </w:rPr>
            </w:pPr>
            <w:r>
              <w:rPr>
                <w:rFonts w:ascii="Times New Roman" w:hAnsi="Times New Roman"/>
              </w:rPr>
              <w:t>384</w:t>
            </w:r>
          </w:p>
        </w:tc>
        <w:tc>
          <w:tcPr>
            <w:tcW w:w="1185" w:type="dxa"/>
            <w:vAlign w:val="center"/>
          </w:tcPr>
          <w:p>
            <w:pPr>
              <w:pStyle w:val="39"/>
              <w:rPr>
                <w:rFonts w:ascii="Times New Roman" w:hAnsi="Times New Roman"/>
              </w:rPr>
            </w:pPr>
            <w:r>
              <w:rPr>
                <w:rFonts w:ascii="Times New Roman" w:hAnsi="Times New Roman"/>
              </w:rPr>
              <w:t>30</w:t>
            </w:r>
          </w:p>
        </w:tc>
        <w:tc>
          <w:tcPr>
            <w:tcW w:w="1656" w:type="dxa"/>
            <w:vAlign w:val="center"/>
          </w:tcPr>
          <w:p>
            <w:pPr>
              <w:pStyle w:val="39"/>
              <w:rPr>
                <w:rFonts w:ascii="Times New Roman" w:hAnsi="Times New Roman"/>
              </w:rPr>
            </w:pPr>
            <w:r>
              <w:rPr>
                <w:rFonts w:ascii="Times New Roman" w:hAnsi="Times New Roman"/>
              </w:rPr>
              <w:t>347.2</w:t>
            </w:r>
          </w:p>
        </w:tc>
      </w:tr>
    </w:tbl>
    <w:p>
      <w:pPr>
        <w:ind w:firstLine="480"/>
        <w:rPr>
          <w:rFonts w:ascii="Times New Roman" w:hAnsi="Times New Roman"/>
        </w:rPr>
      </w:pPr>
      <w:r>
        <w:rPr>
          <w:rFonts w:ascii="Times New Roman" w:hAnsi="Times New Roman"/>
        </w:rPr>
        <w:t>由上表可知，各回注井剩余回注空间均较大，本工程各站产生的气田水经闪蒸后，可定期用罐车拉运至渡口河净化厂转输至黄龙5 井回注或拉运至黄龙004-X4 井转输至黄龙2 井回注或拉运至蒲西4 井回注。</w:t>
      </w:r>
    </w:p>
    <w:p>
      <w:pPr>
        <w:ind w:firstLine="480"/>
        <w:rPr>
          <w:rFonts w:ascii="Times New Roman" w:hAnsi="Times New Roman"/>
        </w:rPr>
      </w:pPr>
      <w:r>
        <w:rPr>
          <w:rFonts w:ascii="Times New Roman" w:hAnsi="Times New Roman"/>
        </w:rPr>
        <w:t>综上，本项目依托黄龙5井、黄龙2井蒲西4井回注可行。</w:t>
      </w:r>
    </w:p>
    <w:p>
      <w:pPr>
        <w:pStyle w:val="4"/>
        <w:rPr>
          <w:rFonts w:ascii="Times New Roman" w:hAnsi="Times New Roman" w:cs="Times New Roman"/>
        </w:rPr>
      </w:pPr>
      <w:r>
        <w:rPr>
          <w:rFonts w:ascii="Times New Roman" w:hAnsi="Times New Roman" w:cs="Times New Roman"/>
        </w:rPr>
        <w:t>P304集气站、老君701集气站</w:t>
      </w:r>
    </w:p>
    <w:p>
      <w:pPr>
        <w:ind w:firstLine="480"/>
        <w:rPr>
          <w:rFonts w:ascii="Times New Roman" w:hAnsi="Times New Roman"/>
        </w:rPr>
      </w:pPr>
      <w:r>
        <w:rPr>
          <w:rFonts w:ascii="Times New Roman" w:hAnsi="Times New Roman"/>
        </w:rPr>
        <w:t>本项目燃料气来自P304集气站和老君701集气站。其中宣探1井站和宣兴1井站的燃料气均来自老君701集气站，总用量约4815m</w:t>
      </w:r>
      <w:r>
        <w:rPr>
          <w:rFonts w:ascii="Times New Roman" w:hAnsi="Times New Roman"/>
          <w:vertAlign w:val="superscript"/>
        </w:rPr>
        <w:t>3</w:t>
      </w:r>
      <w:r>
        <w:rPr>
          <w:rFonts w:ascii="Times New Roman" w:hAnsi="Times New Roman"/>
        </w:rPr>
        <w:t>/d；宣探清管站的燃料气来自P304集气站，用量约175m</w:t>
      </w:r>
      <w:r>
        <w:rPr>
          <w:rFonts w:ascii="Times New Roman" w:hAnsi="Times New Roman"/>
          <w:vertAlign w:val="superscript"/>
        </w:rPr>
        <w:t>3</w:t>
      </w:r>
      <w:r>
        <w:rPr>
          <w:rFonts w:ascii="Times New Roman" w:hAnsi="Times New Roman"/>
        </w:rPr>
        <w:t>/d。根据</w:t>
      </w:r>
      <w:r>
        <w:rPr>
          <w:rFonts w:ascii="Times New Roman" w:hAnsi="Times New Roman"/>
        </w:rPr>
        <w:fldChar w:fldCharType="begin"/>
      </w:r>
      <w:r>
        <w:rPr>
          <w:rFonts w:ascii="Times New Roman" w:hAnsi="Times New Roman"/>
        </w:rPr>
        <w:instrText xml:space="preserve"> REF _Ref154563194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21</w:t>
      </w:r>
      <w:r>
        <w:rPr>
          <w:rFonts w:ascii="Times New Roman" w:hAnsi="Times New Roman"/>
        </w:rPr>
        <w:fldChar w:fldCharType="end"/>
      </w:r>
      <w:r>
        <w:rPr>
          <w:rFonts w:ascii="Times New Roman" w:hAnsi="Times New Roman"/>
        </w:rPr>
        <w:t>可以看出两集气站的燃料气富余量能够满足本项目的需求。</w:t>
      </w:r>
    </w:p>
    <w:p>
      <w:pPr>
        <w:pStyle w:val="37"/>
        <w:rPr>
          <w:rFonts w:ascii="Times New Roman" w:hAnsi="Times New Roman" w:cs="Times New Roman"/>
        </w:rPr>
      </w:pPr>
      <w:bookmarkStart w:id="86" w:name="_Ref154563194"/>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21</w:t>
      </w:r>
      <w:r>
        <w:rPr>
          <w:rFonts w:ascii="Times New Roman" w:hAnsi="Times New Roman" w:cs="Times New Roman"/>
        </w:rPr>
        <w:fldChar w:fldCharType="end"/>
      </w:r>
      <w:bookmarkEnd w:id="86"/>
      <w:r>
        <w:rPr>
          <w:rFonts w:ascii="Times New Roman" w:hAnsi="Times New Roman" w:cs="Times New Roman"/>
        </w:rPr>
        <w:t xml:space="preserve">  普光304集气站和老君701集气站燃料气用量一览表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2"/>
        <w:gridCol w:w="1382"/>
        <w:gridCol w:w="1383"/>
        <w:gridCol w:w="1383"/>
        <w:gridCol w:w="1383"/>
        <w:gridCol w:w="13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vAlign w:val="center"/>
          </w:tcPr>
          <w:p>
            <w:pPr>
              <w:pStyle w:val="39"/>
              <w:rPr>
                <w:rFonts w:ascii="Times New Roman" w:hAnsi="Times New Roman"/>
              </w:rPr>
            </w:pPr>
            <w:r>
              <w:rPr>
                <w:rFonts w:ascii="Times New Roman" w:hAnsi="Times New Roman"/>
              </w:rPr>
              <w:t>集气站</w:t>
            </w:r>
          </w:p>
        </w:tc>
        <w:tc>
          <w:tcPr>
            <w:tcW w:w="1382" w:type="dxa"/>
            <w:vAlign w:val="center"/>
          </w:tcPr>
          <w:p>
            <w:pPr>
              <w:pStyle w:val="39"/>
              <w:rPr>
                <w:rFonts w:ascii="Times New Roman" w:hAnsi="Times New Roman"/>
              </w:rPr>
            </w:pPr>
            <w:r>
              <w:rPr>
                <w:rFonts w:ascii="Times New Roman" w:hAnsi="Times New Roman"/>
              </w:rPr>
              <w:t>燃料气总量（m</w:t>
            </w:r>
            <w:r>
              <w:rPr>
                <w:rFonts w:ascii="Times New Roman" w:hAnsi="Times New Roman"/>
                <w:vertAlign w:val="superscript"/>
              </w:rPr>
              <w:t>3</w:t>
            </w:r>
            <w:r>
              <w:rPr>
                <w:rFonts w:ascii="Times New Roman" w:hAnsi="Times New Roman"/>
              </w:rPr>
              <w:t>/d）</w:t>
            </w:r>
          </w:p>
        </w:tc>
        <w:tc>
          <w:tcPr>
            <w:tcW w:w="1383" w:type="dxa"/>
            <w:vAlign w:val="center"/>
          </w:tcPr>
          <w:p>
            <w:pPr>
              <w:pStyle w:val="39"/>
              <w:rPr>
                <w:rFonts w:ascii="Times New Roman" w:hAnsi="Times New Roman"/>
              </w:rPr>
            </w:pPr>
            <w:r>
              <w:rPr>
                <w:rFonts w:ascii="Times New Roman" w:hAnsi="Times New Roman"/>
              </w:rPr>
              <w:t>设计用量</w:t>
            </w:r>
          </w:p>
          <w:p>
            <w:pPr>
              <w:pStyle w:val="39"/>
              <w:rPr>
                <w:rFonts w:ascii="Times New Roman" w:hAnsi="Times New Roman"/>
              </w:rPr>
            </w:pPr>
            <w:r>
              <w:rPr>
                <w:rFonts w:ascii="Times New Roman" w:hAnsi="Times New Roman"/>
              </w:rPr>
              <w:t>（m</w:t>
            </w:r>
            <w:r>
              <w:rPr>
                <w:rFonts w:ascii="Times New Roman" w:hAnsi="Times New Roman"/>
                <w:vertAlign w:val="superscript"/>
              </w:rPr>
              <w:t>3</w:t>
            </w:r>
            <w:r>
              <w:rPr>
                <w:rFonts w:ascii="Times New Roman" w:hAnsi="Times New Roman"/>
              </w:rPr>
              <w:t>/d）</w:t>
            </w:r>
          </w:p>
        </w:tc>
        <w:tc>
          <w:tcPr>
            <w:tcW w:w="1383" w:type="dxa"/>
            <w:vAlign w:val="center"/>
          </w:tcPr>
          <w:p>
            <w:pPr>
              <w:pStyle w:val="39"/>
              <w:rPr>
                <w:rFonts w:ascii="Times New Roman" w:hAnsi="Times New Roman"/>
              </w:rPr>
            </w:pPr>
            <w:r>
              <w:rPr>
                <w:rFonts w:ascii="Times New Roman" w:hAnsi="Times New Roman"/>
              </w:rPr>
              <w:t>目前使用量（m</w:t>
            </w:r>
            <w:r>
              <w:rPr>
                <w:rFonts w:ascii="Times New Roman" w:hAnsi="Times New Roman"/>
                <w:vertAlign w:val="superscript"/>
              </w:rPr>
              <w:t>3</w:t>
            </w:r>
            <w:r>
              <w:rPr>
                <w:rFonts w:ascii="Times New Roman" w:hAnsi="Times New Roman"/>
              </w:rPr>
              <w:t>/d）</w:t>
            </w:r>
          </w:p>
        </w:tc>
        <w:tc>
          <w:tcPr>
            <w:tcW w:w="1383" w:type="dxa"/>
            <w:vAlign w:val="center"/>
          </w:tcPr>
          <w:p>
            <w:pPr>
              <w:pStyle w:val="39"/>
              <w:rPr>
                <w:rFonts w:ascii="Times New Roman" w:hAnsi="Times New Roman"/>
              </w:rPr>
            </w:pPr>
            <w:r>
              <w:rPr>
                <w:rFonts w:ascii="Times New Roman" w:hAnsi="Times New Roman"/>
              </w:rPr>
              <w:t>富余量（m</w:t>
            </w:r>
            <w:r>
              <w:rPr>
                <w:rFonts w:ascii="Times New Roman" w:hAnsi="Times New Roman"/>
                <w:vertAlign w:val="superscript"/>
              </w:rPr>
              <w:t>3</w:t>
            </w:r>
            <w:r>
              <w:rPr>
                <w:rFonts w:ascii="Times New Roman" w:hAnsi="Times New Roman"/>
              </w:rPr>
              <w:t>/d）</w:t>
            </w:r>
          </w:p>
        </w:tc>
        <w:tc>
          <w:tcPr>
            <w:tcW w:w="1383" w:type="dxa"/>
            <w:vAlign w:val="center"/>
          </w:tcPr>
          <w:p>
            <w:pPr>
              <w:pStyle w:val="39"/>
              <w:rPr>
                <w:rFonts w:ascii="Times New Roman" w:hAnsi="Times New Roman"/>
              </w:rPr>
            </w:pPr>
            <w:r>
              <w:rPr>
                <w:rFonts w:ascii="Times New Roman" w:hAnsi="Times New Roman"/>
              </w:rPr>
              <w:t>本项目所需用量（m</w:t>
            </w:r>
            <w:r>
              <w:rPr>
                <w:rFonts w:ascii="Times New Roman" w:hAnsi="Times New Roman"/>
                <w:vertAlign w:val="superscript"/>
              </w:rPr>
              <w:t>3</w:t>
            </w:r>
            <w:r>
              <w:rPr>
                <w:rFonts w:ascii="Times New Roman" w:hAnsi="Times New Roman"/>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vAlign w:val="center"/>
          </w:tcPr>
          <w:p>
            <w:pPr>
              <w:pStyle w:val="39"/>
              <w:rPr>
                <w:rFonts w:ascii="Times New Roman" w:hAnsi="Times New Roman"/>
              </w:rPr>
            </w:pPr>
            <w:r>
              <w:rPr>
                <w:rFonts w:ascii="Times New Roman" w:hAnsi="Times New Roman"/>
              </w:rPr>
              <w:t>普光304集气站</w:t>
            </w:r>
          </w:p>
        </w:tc>
        <w:tc>
          <w:tcPr>
            <w:tcW w:w="1382" w:type="dxa"/>
            <w:vAlign w:val="center"/>
          </w:tcPr>
          <w:p>
            <w:pPr>
              <w:pStyle w:val="39"/>
              <w:rPr>
                <w:rFonts w:ascii="Times New Roman" w:hAnsi="Times New Roman"/>
              </w:rPr>
            </w:pPr>
            <w:r>
              <w:rPr>
                <w:rFonts w:ascii="Times New Roman" w:hAnsi="Times New Roman"/>
              </w:rPr>
              <w:t>9000</w:t>
            </w:r>
          </w:p>
        </w:tc>
        <w:tc>
          <w:tcPr>
            <w:tcW w:w="1383" w:type="dxa"/>
            <w:vAlign w:val="center"/>
          </w:tcPr>
          <w:p>
            <w:pPr>
              <w:pStyle w:val="39"/>
              <w:rPr>
                <w:rFonts w:ascii="Times New Roman" w:hAnsi="Times New Roman"/>
              </w:rPr>
            </w:pPr>
            <w:r>
              <w:rPr>
                <w:rFonts w:ascii="Times New Roman" w:hAnsi="Times New Roman"/>
              </w:rPr>
              <w:t>2500</w:t>
            </w:r>
          </w:p>
        </w:tc>
        <w:tc>
          <w:tcPr>
            <w:tcW w:w="1383" w:type="dxa"/>
            <w:vAlign w:val="center"/>
          </w:tcPr>
          <w:p>
            <w:pPr>
              <w:pStyle w:val="39"/>
              <w:rPr>
                <w:rFonts w:ascii="Times New Roman" w:hAnsi="Times New Roman"/>
              </w:rPr>
            </w:pPr>
            <w:r>
              <w:rPr>
                <w:rFonts w:ascii="Times New Roman" w:hAnsi="Times New Roman"/>
              </w:rPr>
              <w:t>1000</w:t>
            </w:r>
          </w:p>
        </w:tc>
        <w:tc>
          <w:tcPr>
            <w:tcW w:w="1383" w:type="dxa"/>
            <w:vAlign w:val="center"/>
          </w:tcPr>
          <w:p>
            <w:pPr>
              <w:pStyle w:val="39"/>
              <w:rPr>
                <w:rFonts w:ascii="Times New Roman" w:hAnsi="Times New Roman"/>
              </w:rPr>
            </w:pPr>
            <w:r>
              <w:rPr>
                <w:rFonts w:ascii="Times New Roman" w:hAnsi="Times New Roman"/>
              </w:rPr>
              <w:t>8000</w:t>
            </w:r>
          </w:p>
        </w:tc>
        <w:tc>
          <w:tcPr>
            <w:tcW w:w="1383" w:type="dxa"/>
            <w:vAlign w:val="center"/>
          </w:tcPr>
          <w:p>
            <w:pPr>
              <w:pStyle w:val="39"/>
              <w:rPr>
                <w:rFonts w:ascii="Times New Roman" w:hAnsi="Times New Roman"/>
              </w:rPr>
            </w:pPr>
            <w:r>
              <w:rPr>
                <w:rFonts w:ascii="Times New Roman" w:hAnsi="Times New Roman"/>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vAlign w:val="center"/>
          </w:tcPr>
          <w:p>
            <w:pPr>
              <w:pStyle w:val="39"/>
              <w:rPr>
                <w:rFonts w:ascii="Times New Roman" w:hAnsi="Times New Roman"/>
              </w:rPr>
            </w:pPr>
            <w:r>
              <w:rPr>
                <w:rFonts w:ascii="Times New Roman" w:hAnsi="Times New Roman"/>
              </w:rPr>
              <w:t>老君701集气站</w:t>
            </w:r>
          </w:p>
        </w:tc>
        <w:tc>
          <w:tcPr>
            <w:tcW w:w="1382" w:type="dxa"/>
            <w:vAlign w:val="center"/>
          </w:tcPr>
          <w:p>
            <w:pPr>
              <w:pStyle w:val="39"/>
              <w:rPr>
                <w:rFonts w:ascii="Times New Roman" w:hAnsi="Times New Roman"/>
              </w:rPr>
            </w:pPr>
            <w:r>
              <w:rPr>
                <w:rFonts w:ascii="Times New Roman" w:hAnsi="Times New Roman"/>
              </w:rPr>
              <w:t>11000</w:t>
            </w:r>
          </w:p>
        </w:tc>
        <w:tc>
          <w:tcPr>
            <w:tcW w:w="1383" w:type="dxa"/>
            <w:vAlign w:val="center"/>
          </w:tcPr>
          <w:p>
            <w:pPr>
              <w:pStyle w:val="39"/>
              <w:rPr>
                <w:rFonts w:ascii="Times New Roman" w:hAnsi="Times New Roman"/>
              </w:rPr>
            </w:pPr>
            <w:r>
              <w:rPr>
                <w:rFonts w:ascii="Times New Roman" w:hAnsi="Times New Roman"/>
              </w:rPr>
              <w:t>3000</w:t>
            </w:r>
          </w:p>
        </w:tc>
        <w:tc>
          <w:tcPr>
            <w:tcW w:w="1383" w:type="dxa"/>
            <w:vAlign w:val="center"/>
          </w:tcPr>
          <w:p>
            <w:pPr>
              <w:pStyle w:val="39"/>
              <w:rPr>
                <w:rFonts w:ascii="Times New Roman" w:hAnsi="Times New Roman"/>
              </w:rPr>
            </w:pPr>
            <w:r>
              <w:rPr>
                <w:rFonts w:ascii="Times New Roman" w:hAnsi="Times New Roman"/>
              </w:rPr>
              <w:t>2000</w:t>
            </w:r>
          </w:p>
        </w:tc>
        <w:tc>
          <w:tcPr>
            <w:tcW w:w="1383" w:type="dxa"/>
            <w:vAlign w:val="center"/>
          </w:tcPr>
          <w:p>
            <w:pPr>
              <w:pStyle w:val="39"/>
              <w:rPr>
                <w:rFonts w:ascii="Times New Roman" w:hAnsi="Times New Roman"/>
              </w:rPr>
            </w:pPr>
            <w:r>
              <w:rPr>
                <w:rFonts w:ascii="Times New Roman" w:hAnsi="Times New Roman"/>
              </w:rPr>
              <w:t>9000</w:t>
            </w:r>
          </w:p>
        </w:tc>
        <w:tc>
          <w:tcPr>
            <w:tcW w:w="1383" w:type="dxa"/>
            <w:vAlign w:val="center"/>
          </w:tcPr>
          <w:p>
            <w:pPr>
              <w:pStyle w:val="39"/>
              <w:rPr>
                <w:rFonts w:ascii="Times New Roman" w:hAnsi="Times New Roman"/>
              </w:rPr>
            </w:pPr>
            <w:r>
              <w:rPr>
                <w:rFonts w:ascii="Times New Roman" w:hAnsi="Times New Roman"/>
              </w:rPr>
              <w:t>4815</w:t>
            </w:r>
          </w:p>
        </w:tc>
      </w:tr>
    </w:tbl>
    <w:p>
      <w:pPr>
        <w:ind w:firstLine="480"/>
        <w:rPr>
          <w:rFonts w:ascii="Times New Roman" w:hAnsi="Times New Roman"/>
        </w:rPr>
      </w:pPr>
    </w:p>
    <w:p>
      <w:pPr>
        <w:ind w:firstLine="480"/>
        <w:rPr>
          <w:rFonts w:ascii="Times New Roman" w:hAnsi="Times New Roman"/>
        </w:rPr>
      </w:pPr>
      <w:r>
        <w:rPr>
          <w:rFonts w:ascii="Times New Roman" w:hAnsi="Times New Roman"/>
        </w:rPr>
        <w:t>普光304集气站的环评文件《中国石化普光气田开发及川气东送管道工程环境影响报告书》于2007年2月14日获得原国家环境保护总局的批复，批文号为环审〔2007〕76号。于2013年5月3日获得了原环境保护部的验收意见，文号为环验〔2013〕92号。至今无环境投诉、违法和处罚记录。</w:t>
      </w:r>
    </w:p>
    <w:p>
      <w:pPr>
        <w:ind w:firstLine="480"/>
        <w:rPr>
          <w:rFonts w:ascii="Times New Roman" w:hAnsi="Times New Roman"/>
        </w:rPr>
      </w:pPr>
      <w:r>
        <w:rPr>
          <w:rFonts w:ascii="Times New Roman" w:hAnsi="Times New Roman"/>
        </w:rPr>
        <w:t>老君701集气站的环评文件《普光气田老君701井台产能建设项目环境影响报告书》于2021年12月20日获得达州市生态环境局的批复，批文号为达市环审 〔2021〕35号。于2023年4月10完成了建设项目竣工环境保护自主验收。</w:t>
      </w:r>
    </w:p>
    <w:p>
      <w:pPr>
        <w:ind w:firstLine="480"/>
        <w:rPr>
          <w:rFonts w:ascii="Times New Roman" w:hAnsi="Times New Roman"/>
        </w:rPr>
      </w:pPr>
      <w:r>
        <w:rPr>
          <w:rFonts w:ascii="Times New Roman" w:hAnsi="Times New Roman"/>
        </w:rPr>
        <w:t>综上，本项目依托P304集气站和老君701集气站可行。</w:t>
      </w:r>
    </w:p>
    <w:p>
      <w:pPr>
        <w:pStyle w:val="4"/>
        <w:rPr>
          <w:rFonts w:ascii="Times New Roman" w:hAnsi="Times New Roman" w:cs="Times New Roman"/>
        </w:rPr>
      </w:pPr>
      <w:r>
        <w:rPr>
          <w:rFonts w:ascii="Times New Roman" w:hAnsi="Times New Roman" w:cs="Times New Roman"/>
        </w:rPr>
        <w:t>普光净化厂</w:t>
      </w:r>
    </w:p>
    <w:p>
      <w:pPr>
        <w:ind w:firstLine="480"/>
        <w:rPr>
          <w:rFonts w:ascii="Times New Roman" w:hAnsi="Times New Roman"/>
        </w:rPr>
      </w:pPr>
      <w:r>
        <w:rPr>
          <w:rFonts w:ascii="Times New Roman" w:hAnsi="Times New Roman"/>
        </w:rPr>
        <w:t>本项目的原料气依托普光净化厂处理后经川气东送外输。</w:t>
      </w:r>
    </w:p>
    <w:p>
      <w:pPr>
        <w:ind w:firstLine="480"/>
        <w:rPr>
          <w:rFonts w:ascii="Times New Roman" w:hAnsi="Times New Roman"/>
        </w:rPr>
      </w:pPr>
      <w:r>
        <w:rPr>
          <w:rFonts w:ascii="Times New Roman" w:hAnsi="Times New Roman"/>
        </w:rPr>
        <w:t>普光净化厂位于四川省宣汉县境内。老君701集气站分别汇集老君1井（701-1）、老君4井（701-2）和老君701-3井所产气，通过集气管道经普光P305集气站输送至普光P304集气站，再输送至下游普光净化厂。普光净化厂设计处理量3600×10</w:t>
      </w:r>
      <w:r>
        <w:rPr>
          <w:rFonts w:ascii="Times New Roman" w:hAnsi="Times New Roman"/>
          <w:vertAlign w:val="superscript"/>
        </w:rPr>
        <w:t>4</w:t>
      </w:r>
      <w:r>
        <w:rPr>
          <w:rFonts w:ascii="Times New Roman" w:hAnsi="Times New Roman"/>
        </w:rPr>
        <w:t>m</w:t>
      </w:r>
      <w:r>
        <w:rPr>
          <w:rFonts w:ascii="Times New Roman" w:hAnsi="Times New Roman"/>
          <w:vertAlign w:val="superscript"/>
        </w:rPr>
        <w:t>3</w:t>
      </w:r>
      <w:r>
        <w:rPr>
          <w:rFonts w:ascii="Times New Roman" w:hAnsi="Times New Roman"/>
        </w:rPr>
        <w:t>/d，目前处理量为2900×10</w:t>
      </w:r>
      <w:r>
        <w:rPr>
          <w:rFonts w:ascii="Times New Roman" w:hAnsi="Times New Roman"/>
          <w:vertAlign w:val="superscript"/>
        </w:rPr>
        <w:t>4</w:t>
      </w:r>
      <w:r>
        <w:rPr>
          <w:rFonts w:ascii="Times New Roman" w:hAnsi="Times New Roman"/>
        </w:rPr>
        <w:t>m</w:t>
      </w:r>
      <w:r>
        <w:rPr>
          <w:rFonts w:ascii="Times New Roman" w:hAnsi="Times New Roman"/>
          <w:vertAlign w:val="superscript"/>
        </w:rPr>
        <w:t>3</w:t>
      </w:r>
      <w:r>
        <w:rPr>
          <w:rFonts w:ascii="Times New Roman" w:hAnsi="Times New Roman"/>
        </w:rPr>
        <w:t>/d，富余能力700×10</w:t>
      </w:r>
      <w:r>
        <w:rPr>
          <w:rFonts w:ascii="Times New Roman" w:hAnsi="Times New Roman"/>
          <w:vertAlign w:val="superscript"/>
        </w:rPr>
        <w:t>4</w:t>
      </w:r>
      <w:r>
        <w:rPr>
          <w:rFonts w:ascii="Times New Roman" w:hAnsi="Times New Roman"/>
        </w:rPr>
        <w:t>m</w:t>
      </w:r>
      <w:r>
        <w:rPr>
          <w:rFonts w:ascii="Times New Roman" w:hAnsi="Times New Roman"/>
          <w:vertAlign w:val="superscript"/>
        </w:rPr>
        <w:t>3</w:t>
      </w:r>
      <w:r>
        <w:rPr>
          <w:rFonts w:ascii="Times New Roman" w:hAnsi="Times New Roman"/>
        </w:rPr>
        <w:t>/d，普光净化厂具备接收本项目</w:t>
      </w:r>
      <w:r>
        <w:rPr>
          <w:rFonts w:ascii="Times New Roman" w:hAnsi="Times New Roman"/>
          <w:highlight w:val="black"/>
        </w:rPr>
        <w:t>（100～120）×10</w:t>
      </w:r>
      <w:r>
        <w:rPr>
          <w:rFonts w:ascii="Times New Roman" w:hAnsi="Times New Roman"/>
          <w:highlight w:val="black"/>
          <w:vertAlign w:val="superscript"/>
        </w:rPr>
        <w:t>4</w:t>
      </w:r>
      <w:r>
        <w:rPr>
          <w:rFonts w:ascii="Times New Roman" w:hAnsi="Times New Roman"/>
          <w:highlight w:val="black"/>
        </w:rPr>
        <w:t>m</w:t>
      </w:r>
      <w:r>
        <w:rPr>
          <w:rFonts w:ascii="Times New Roman" w:hAnsi="Times New Roman"/>
          <w:highlight w:val="black"/>
          <w:vertAlign w:val="superscript"/>
        </w:rPr>
        <w:t>3</w:t>
      </w:r>
      <w:r>
        <w:rPr>
          <w:rFonts w:ascii="Times New Roman" w:hAnsi="Times New Roman"/>
          <w:highlight w:val="black"/>
        </w:rPr>
        <w:t>/</w:t>
      </w:r>
      <w:r>
        <w:rPr>
          <w:rFonts w:ascii="Times New Roman" w:hAnsi="Times New Roman"/>
        </w:rPr>
        <w:t>d的富余处理能力。</w:t>
      </w:r>
    </w:p>
    <w:p>
      <w:pPr>
        <w:ind w:firstLine="480"/>
        <w:rPr>
          <w:rFonts w:ascii="Times New Roman" w:hAnsi="Times New Roman"/>
        </w:rPr>
      </w:pPr>
      <w:r>
        <w:rPr>
          <w:rFonts w:ascii="Times New Roman" w:hAnsi="Times New Roman"/>
        </w:rPr>
        <w:t>普光净化厂的环评文件《中国石化普光气田开发及川气东送管道工程环境影响报告书》于2007年2月14日获得原国家环境保护总局的批复，批文号为环审〔2007〕76号。于2013年5月3日获得了原环境保护部的验收意见，文号为环验〔2013〕92号。</w:t>
      </w:r>
    </w:p>
    <w:p>
      <w:pPr>
        <w:ind w:firstLine="480"/>
        <w:rPr>
          <w:rFonts w:ascii="Times New Roman" w:hAnsi="Times New Roman"/>
        </w:rPr>
      </w:pPr>
      <w:r>
        <w:rPr>
          <w:rFonts w:ascii="Times New Roman" w:hAnsi="Times New Roman"/>
        </w:rPr>
        <w:t>综上，本项目依托普光净化厂可行。</w:t>
      </w:r>
    </w:p>
    <w:p>
      <w:pPr>
        <w:pStyle w:val="4"/>
        <w:rPr>
          <w:rFonts w:ascii="Times New Roman" w:hAnsi="Times New Roman" w:cs="Times New Roman"/>
        </w:rPr>
      </w:pPr>
      <w:r>
        <w:rPr>
          <w:rFonts w:ascii="Times New Roman" w:hAnsi="Times New Roman" w:cs="Times New Roman"/>
        </w:rPr>
        <w:t>本项目与依托工程的位置关系示意图</w:t>
      </w:r>
    </w:p>
    <w:p>
      <w:pPr>
        <w:ind w:firstLine="480"/>
        <w:rPr>
          <w:rFonts w:ascii="Times New Roman" w:hAnsi="Times New Roman"/>
        </w:rPr>
      </w:pPr>
      <w:r>
        <w:rPr>
          <w:rFonts w:ascii="Times New Roman" w:hAnsi="Times New Roman"/>
        </w:rPr>
        <w:t>本项目与以上依托工程的位置关系示意图见</w:t>
      </w:r>
      <w:r>
        <w:rPr>
          <w:rFonts w:ascii="Times New Roman" w:hAnsi="Times New Roman"/>
        </w:rPr>
        <w:fldChar w:fldCharType="begin"/>
      </w:r>
      <w:r>
        <w:rPr>
          <w:rFonts w:ascii="Times New Roman" w:hAnsi="Times New Roman"/>
        </w:rPr>
        <w:instrText xml:space="preserve"> REF _Ref160461210 \h  \* MERGEFORMAT </w:instrText>
      </w:r>
      <w:r>
        <w:rPr>
          <w:rFonts w:ascii="Times New Roman" w:hAnsi="Times New Roman"/>
        </w:rPr>
        <w:fldChar w:fldCharType="separate"/>
      </w:r>
      <w:r>
        <w:rPr>
          <w:rFonts w:ascii="Times New Roman" w:hAnsi="Times New Roman"/>
        </w:rPr>
        <w:t>图 2</w:t>
      </w:r>
      <w:r>
        <w:rPr>
          <w:rFonts w:ascii="Times New Roman" w:hAnsi="Times New Roman"/>
        </w:rPr>
        <w:noBreakHyphen/>
      </w:r>
      <w:r>
        <w:rPr>
          <w:rFonts w:ascii="Times New Roman" w:hAnsi="Times New Roman"/>
        </w:rPr>
        <w:t>3</w:t>
      </w:r>
      <w:r>
        <w:rPr>
          <w:rFonts w:ascii="Times New Roman" w:hAnsi="Times New Roman"/>
        </w:rPr>
        <w:fldChar w:fldCharType="end"/>
      </w:r>
      <w:r>
        <w:rPr>
          <w:rFonts w:ascii="Times New Roman" w:hAnsi="Times New Roman"/>
        </w:rPr>
        <w:t>。</w:t>
      </w:r>
    </w:p>
    <w:p>
      <w:pPr>
        <w:ind w:firstLine="0" w:firstLineChars="0"/>
        <w:jc w:val="center"/>
        <w:rPr>
          <w:rFonts w:ascii="Times New Roman" w:hAnsi="Times New Roman"/>
        </w:rPr>
      </w:pPr>
      <w:r>
        <w:rPr>
          <w:rFonts w:ascii="Times New Roman" w:hAnsi="Times New Roman"/>
        </w:rPr>
        <w:drawing>
          <wp:inline distT="0" distB="0" distL="0" distR="0">
            <wp:extent cx="4947920" cy="5525135"/>
            <wp:effectExtent l="0" t="0" r="5080" b="0"/>
            <wp:docPr id="17694927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492787" name="图片 2"/>
                    <pic:cNvPicPr>
                      <a:picLocks noChangeAspect="1"/>
                    </pic:cNvPicPr>
                  </pic:nvPicPr>
                  <pic:blipFill>
                    <a:blip r:embed="rId56">
                      <a:extLst>
                        <a:ext uri="{28A0092B-C50C-407E-A947-70E740481C1C}">
                          <a14:useLocalDpi xmlns:a14="http://schemas.microsoft.com/office/drawing/2010/main" val="0"/>
                        </a:ext>
                      </a:extLst>
                    </a:blip>
                    <a:srcRect r="6183"/>
                    <a:stretch>
                      <a:fillRect/>
                    </a:stretch>
                  </pic:blipFill>
                  <pic:spPr>
                    <a:xfrm>
                      <a:off x="0" y="0"/>
                      <a:ext cx="4948177" cy="5525135"/>
                    </a:xfrm>
                    <a:prstGeom prst="rect">
                      <a:avLst/>
                    </a:prstGeom>
                    <a:ln>
                      <a:noFill/>
                    </a:ln>
                  </pic:spPr>
                </pic:pic>
              </a:graphicData>
            </a:graphic>
          </wp:inline>
        </w:drawing>
      </w:r>
    </w:p>
    <w:p>
      <w:pPr>
        <w:pStyle w:val="37"/>
        <w:rPr>
          <w:rFonts w:ascii="Times New Roman" w:hAnsi="Times New Roman" w:cs="Times New Roman"/>
        </w:rPr>
      </w:pPr>
      <w:bookmarkStart w:id="87" w:name="_Ref160461210"/>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bookmarkEnd w:id="87"/>
      <w:r>
        <w:rPr>
          <w:rFonts w:ascii="Times New Roman" w:hAnsi="Times New Roman" w:cs="Times New Roman"/>
        </w:rPr>
        <w:t xml:space="preserve">  本项目与依托工程的位置关系示意图</w:t>
      </w:r>
    </w:p>
    <w:p>
      <w:pPr>
        <w:widowControl/>
        <w:spacing w:line="240" w:lineRule="auto"/>
        <w:ind w:firstLine="0" w:firstLineChars="0"/>
        <w:rPr>
          <w:rFonts w:ascii="Times New Roman" w:hAnsi="Times New Roman"/>
        </w:rPr>
      </w:pPr>
      <w:r>
        <w:rPr>
          <w:rFonts w:ascii="Times New Roman" w:hAnsi="Times New Roman"/>
        </w:rPr>
        <w:br w:type="page"/>
      </w:r>
    </w:p>
    <w:p>
      <w:pPr>
        <w:pStyle w:val="2"/>
        <w:rPr>
          <w:rFonts w:ascii="Times New Roman" w:hAnsi="Times New Roman" w:cs="Times New Roman"/>
        </w:rPr>
      </w:pPr>
      <w:bookmarkStart w:id="88" w:name="_Toc162339406"/>
      <w:r>
        <w:rPr>
          <w:rFonts w:ascii="Times New Roman" w:hAnsi="Times New Roman" w:cs="Times New Roman"/>
        </w:rPr>
        <w:t>工程分析</w:t>
      </w:r>
      <w:bookmarkEnd w:id="88"/>
    </w:p>
    <w:p>
      <w:pPr>
        <w:pStyle w:val="3"/>
        <w:rPr>
          <w:rFonts w:ascii="Times New Roman" w:hAnsi="Times New Roman" w:cs="Times New Roman"/>
        </w:rPr>
      </w:pPr>
      <w:bookmarkStart w:id="89" w:name="_Toc162339407"/>
      <w:r>
        <w:rPr>
          <w:rFonts w:ascii="Times New Roman" w:hAnsi="Times New Roman" w:cs="Times New Roman"/>
        </w:rPr>
        <w:t>施工期工艺流程及产污分析</w:t>
      </w:r>
      <w:bookmarkEnd w:id="89"/>
    </w:p>
    <w:p>
      <w:pPr>
        <w:pStyle w:val="4"/>
        <w:rPr>
          <w:rFonts w:ascii="Times New Roman" w:hAnsi="Times New Roman" w:cs="Times New Roman"/>
        </w:rPr>
      </w:pPr>
      <w:r>
        <w:rPr>
          <w:rFonts w:ascii="Times New Roman" w:hAnsi="Times New Roman" w:cs="Times New Roman"/>
        </w:rPr>
        <w:t>施工过程</w:t>
      </w:r>
    </w:p>
    <w:p>
      <w:pPr>
        <w:ind w:firstLine="480"/>
        <w:rPr>
          <w:rFonts w:ascii="Times New Roman" w:hAnsi="Times New Roman"/>
        </w:rPr>
      </w:pPr>
      <w:r>
        <w:rPr>
          <w:rFonts w:ascii="Times New Roman" w:hAnsi="Times New Roman"/>
        </w:rPr>
        <w:t>本项目施工主要可分为线路施工、井站地面设施建设、清管站及阀室施工、放空区施工等，整个施工过程由装备先进的专业化施工队伍完成，整个施工工序如下：</w:t>
      </w:r>
    </w:p>
    <w:p>
      <w:pPr>
        <w:ind w:firstLine="480"/>
        <w:rPr>
          <w:rFonts w:ascii="Times New Roman" w:hAnsi="Times New Roman"/>
        </w:rPr>
      </w:pPr>
      <w:r>
        <w:rPr>
          <w:rFonts w:hint="eastAsia" w:ascii="宋体" w:hAnsi="宋体" w:cs="宋体"/>
        </w:rPr>
        <w:t>①</w:t>
      </w:r>
      <w:r>
        <w:rPr>
          <w:rFonts w:ascii="Times New Roman" w:hAnsi="Times New Roman"/>
        </w:rPr>
        <w:t>线路施工</w:t>
      </w:r>
    </w:p>
    <w:p>
      <w:pPr>
        <w:ind w:firstLine="480"/>
        <w:rPr>
          <w:rFonts w:ascii="Times New Roman" w:hAnsi="Times New Roman"/>
        </w:rPr>
      </w:pPr>
      <w:r>
        <w:rPr>
          <w:rFonts w:ascii="Times New Roman" w:hAnsi="Times New Roman"/>
        </w:rPr>
        <w:t>首先要测量定线，清理施工现场、平整工作带，修筑施工便道，管材防腐绝缘后运到现场，开始布管、组装焊接，无损探伤，补口及防腐检漏，在完成管沟开挖、道路穿越等基础工作以后下沟，管线试压，站间连接，通球扫线，阴极保护。</w:t>
      </w:r>
    </w:p>
    <w:p>
      <w:pPr>
        <w:ind w:firstLine="480"/>
        <w:rPr>
          <w:rFonts w:ascii="Times New Roman" w:hAnsi="Times New Roman"/>
        </w:rPr>
      </w:pPr>
      <w:r>
        <w:rPr>
          <w:rFonts w:hint="eastAsia" w:ascii="宋体" w:hAnsi="宋体" w:cs="宋体"/>
        </w:rPr>
        <w:t>②</w:t>
      </w:r>
      <w:r>
        <w:rPr>
          <w:rFonts w:ascii="Times New Roman" w:hAnsi="Times New Roman"/>
        </w:rPr>
        <w:t>站场扩建及新建放空区</w:t>
      </w:r>
    </w:p>
    <w:p>
      <w:pPr>
        <w:ind w:firstLine="480"/>
        <w:rPr>
          <w:rFonts w:ascii="Times New Roman" w:hAnsi="Times New Roman"/>
        </w:rPr>
      </w:pPr>
      <w:r>
        <w:rPr>
          <w:rFonts w:ascii="Times New Roman" w:hAnsi="Times New Roman"/>
        </w:rPr>
        <w:t>首先要清理场地，然后拆除部分原有构筑物，安装新建工艺设备，并建设相应的辅助设施。</w:t>
      </w:r>
    </w:p>
    <w:p>
      <w:pPr>
        <w:ind w:firstLine="480"/>
        <w:rPr>
          <w:rFonts w:ascii="Times New Roman" w:hAnsi="Times New Roman"/>
        </w:rPr>
      </w:pPr>
      <w:r>
        <w:rPr>
          <w:rFonts w:hint="eastAsia" w:ascii="宋体" w:hAnsi="宋体" w:cs="宋体"/>
        </w:rPr>
        <w:t>③</w:t>
      </w:r>
      <w:r>
        <w:rPr>
          <w:rFonts w:ascii="Times New Roman" w:hAnsi="Times New Roman"/>
        </w:rPr>
        <w:t>上述工程建设完成后，进行覆土回填，清理作业现场，恢复地貌、恢复地表植被；并对站场进行绿化，竣工验收。</w:t>
      </w:r>
    </w:p>
    <w:p>
      <w:pPr>
        <w:ind w:firstLine="480"/>
        <w:rPr>
          <w:rFonts w:ascii="Times New Roman" w:hAnsi="Times New Roman"/>
        </w:rPr>
      </w:pPr>
      <w:r>
        <w:rPr>
          <w:rFonts w:ascii="Times New Roman" w:hAnsi="Times New Roman"/>
        </w:rPr>
        <w:t>本项目施工流程及产污节点见</w:t>
      </w:r>
      <w:r>
        <w:rPr>
          <w:rFonts w:ascii="Times New Roman" w:hAnsi="Times New Roman"/>
        </w:rPr>
        <w:fldChar w:fldCharType="begin"/>
      </w:r>
      <w:r>
        <w:rPr>
          <w:rFonts w:ascii="Times New Roman" w:hAnsi="Times New Roman"/>
        </w:rPr>
        <w:instrText xml:space="preserve"> REF _Ref152084424 \h  \* MERGEFORMAT </w:instrText>
      </w:r>
      <w:r>
        <w:rPr>
          <w:rFonts w:ascii="Times New Roman" w:hAnsi="Times New Roman"/>
        </w:rPr>
        <w:fldChar w:fldCharType="separate"/>
      </w:r>
      <w:r>
        <w:rPr>
          <w:rFonts w:ascii="Times New Roman" w:hAnsi="Times New Roman"/>
        </w:rPr>
        <w:t>图 3</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w:t>
      </w:r>
    </w:p>
    <w:p>
      <w:pPr>
        <w:ind w:firstLine="0" w:firstLineChars="0"/>
        <w:rPr>
          <w:rFonts w:ascii="Times New Roman" w:hAnsi="Times New Roman"/>
        </w:rPr>
      </w:pPr>
      <w:r>
        <w:rPr>
          <w:rFonts w:ascii="Times New Roman" w:hAnsi="Times New Roman"/>
        </w:rPr>
        <w:drawing>
          <wp:inline distT="0" distB="0" distL="0" distR="0">
            <wp:extent cx="5274310" cy="5557520"/>
            <wp:effectExtent l="0" t="0" r="2540" b="5080"/>
            <wp:docPr id="15740130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013023" name="图片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274310" cy="5557520"/>
                    </a:xfrm>
                    <a:prstGeom prst="rect">
                      <a:avLst/>
                    </a:prstGeom>
                    <a:noFill/>
                    <a:ln>
                      <a:noFill/>
                    </a:ln>
                  </pic:spPr>
                </pic:pic>
              </a:graphicData>
            </a:graphic>
          </wp:inline>
        </w:drawing>
      </w:r>
    </w:p>
    <w:p>
      <w:pPr>
        <w:pStyle w:val="37"/>
        <w:rPr>
          <w:rFonts w:ascii="Times New Roman" w:hAnsi="Times New Roman" w:cs="Times New Roman"/>
        </w:rPr>
      </w:pPr>
      <w:bookmarkStart w:id="90" w:name="_Ref152084424"/>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bookmarkEnd w:id="90"/>
      <w:r>
        <w:rPr>
          <w:rFonts w:ascii="Times New Roman" w:hAnsi="Times New Roman" w:cs="Times New Roman"/>
        </w:rPr>
        <w:t xml:space="preserve">  本项目施工工序及产污节点图</w:t>
      </w:r>
    </w:p>
    <w:p>
      <w:pPr>
        <w:pStyle w:val="4"/>
        <w:rPr>
          <w:rFonts w:ascii="Times New Roman" w:hAnsi="Times New Roman" w:cs="Times New Roman"/>
        </w:rPr>
      </w:pPr>
      <w:r>
        <w:rPr>
          <w:rFonts w:ascii="Times New Roman" w:hAnsi="Times New Roman" w:cs="Times New Roman"/>
        </w:rPr>
        <w:t>施工工艺</w:t>
      </w:r>
    </w:p>
    <w:p>
      <w:pPr>
        <w:ind w:firstLine="480"/>
        <w:rPr>
          <w:rFonts w:ascii="Times New Roman" w:hAnsi="Times New Roman"/>
        </w:rPr>
      </w:pPr>
      <w:r>
        <w:rPr>
          <w:rFonts w:ascii="Times New Roman" w:hAnsi="Times New Roman"/>
        </w:rPr>
        <w:t>（1）施工作业带清理</w:t>
      </w:r>
    </w:p>
    <w:p>
      <w:pPr>
        <w:ind w:firstLine="480"/>
        <w:rPr>
          <w:rFonts w:ascii="Times New Roman" w:hAnsi="Times New Roman"/>
        </w:rPr>
      </w:pPr>
      <w:r>
        <w:rPr>
          <w:rFonts w:ascii="Times New Roman" w:hAnsi="Times New Roman"/>
        </w:rPr>
        <w:t>本项目施工占地作业带宽度在8～16m，在范围内影响施工机械通行及施工作业带的石块、杂草、树木、农作物等将清理干净。石方段、林地、经济作物等特殊地段在保证施工手段展开的前提下，尽量减小作业带宽度。</w:t>
      </w:r>
    </w:p>
    <w:p>
      <w:pPr>
        <w:ind w:firstLine="480"/>
        <w:rPr>
          <w:rFonts w:ascii="Times New Roman" w:hAnsi="Times New Roman"/>
        </w:rPr>
      </w:pPr>
      <w:r>
        <w:rPr>
          <w:rFonts w:ascii="Times New Roman" w:hAnsi="Times New Roman"/>
        </w:rPr>
        <w:t>（2）管沟开挖、下沟和回填</w:t>
      </w:r>
    </w:p>
    <w:p>
      <w:pPr>
        <w:ind w:firstLine="480"/>
        <w:rPr>
          <w:rFonts w:ascii="Times New Roman" w:hAnsi="Times New Roman"/>
        </w:rPr>
      </w:pPr>
      <w:r>
        <w:rPr>
          <w:rFonts w:ascii="Times New Roman" w:hAnsi="Times New Roman"/>
        </w:rPr>
        <w:t>本项目管道一般路段采用开挖方式施工，管道安装完毕后，立即恢复地面和路面。作业带布置示意图见</w:t>
      </w:r>
      <w:r>
        <w:rPr>
          <w:rFonts w:ascii="Times New Roman" w:hAnsi="Times New Roman"/>
        </w:rPr>
        <w:fldChar w:fldCharType="begin"/>
      </w:r>
      <w:r>
        <w:rPr>
          <w:rFonts w:ascii="Times New Roman" w:hAnsi="Times New Roman"/>
        </w:rPr>
        <w:instrText xml:space="preserve"> REF _Ref152085406 \h  \* MERGEFORMAT </w:instrText>
      </w:r>
      <w:r>
        <w:rPr>
          <w:rFonts w:ascii="Times New Roman" w:hAnsi="Times New Roman"/>
        </w:rPr>
        <w:fldChar w:fldCharType="separate"/>
      </w:r>
      <w:r>
        <w:rPr>
          <w:rFonts w:ascii="Times New Roman" w:hAnsi="Times New Roman"/>
        </w:rPr>
        <w:t>图 3</w:t>
      </w:r>
      <w:r>
        <w:rPr>
          <w:rFonts w:ascii="Times New Roman" w:hAnsi="Times New Roman"/>
        </w:rPr>
        <w:noBreakHyphen/>
      </w:r>
      <w:r>
        <w:rPr>
          <w:rFonts w:ascii="Times New Roman" w:hAnsi="Times New Roman"/>
        </w:rPr>
        <w:t>2</w:t>
      </w:r>
      <w:r>
        <w:rPr>
          <w:rFonts w:ascii="Times New Roman" w:hAnsi="Times New Roman"/>
        </w:rPr>
        <w:fldChar w:fldCharType="end"/>
      </w:r>
      <w:r>
        <w:rPr>
          <w:rFonts w:ascii="Times New Roman" w:hAnsi="Times New Roman"/>
        </w:rPr>
        <w:t>。</w:t>
      </w:r>
    </w:p>
    <w:p>
      <w:pPr>
        <w:ind w:firstLine="0" w:firstLineChars="0"/>
        <w:jc w:val="center"/>
        <w:rPr>
          <w:rFonts w:ascii="Times New Roman" w:hAnsi="Times New Roman"/>
        </w:rPr>
      </w:pP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"D:\\工作\\2023-018-宣探1井组飞仙关组气藏试采\\Reports &amp; Outputs\\User\\AppData\\Local\\Temp\\ksohtml10380\\wps31.png"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"C:\\Users\\User\\AppData\\Local\\Temp\\ksohtml10380\\wps31.png"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"D:\\工作\\2023-018-宣探1井组飞仙关组气藏试采\\User\\AppData\\Local\\Temp\\ksohtml10380\\wps31.png"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"D:\\工作\\2023-018-宣探1井组飞仙关组气藏试采\\Reports &amp; Outputs\\User\\AppData\\Local\\Temp\\ksohtml10380\\wps31.png"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"D:\\工作\\2023-018-宣探1井组飞仙关组气藏试采\\Reports &amp; Outputs\\User\\AppData\\Local\\Temp\\ksohtml10380\\wps31.png"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"D:\\工作\\2023-018-宣探1井组飞仙关组气藏试采\\Reports &amp; Outputs\\User\\AppData\\Local\\Temp\\ksohtml10380\\wps31.png"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"D:\\工作\\2023-018-宣探1井组飞仙关组气藏试采\\Reports &amp; Outputs\\User\\AppData\\Local\\Temp\\ksohtml10380\\wps31.png"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"D:\\工作\\2023-018-宣探1井组飞仙关组气藏试采\\Reports &amp; Outputs\\User\\AppData\\Local\\Temp\\ksohtml10380\\wps31.png"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"D:\\工作\\2023-018-宣探1井组飞仙关组气藏试采\\Reports &amp; Outputs\\User\\AppData\\Local\\Temp\\ksohtml10380\\wps31.png"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"D:\\工作\\2023-018-宣探1井组飞仙关组气藏试采\\Reports &amp; Outputs\\User\\AppData\\Local\\Temp\\ksohtml10380\\wps31.png"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"D:\\工作\\2023-018-宣探1井组飞仙关组气藏试采\\Reports &amp; Outputs\\User\\AppData\\Local\\Temp\\ksohtml10380\\wps31.png"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"D:\\工作\\2023-018-宣探1井组飞仙关组气藏试采\\Reports &amp; Outputs\\User\\AppData\\Local\\Temp\\ksohtml10380\\wps31.png"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"D:\\工作\\2023-018-宣探1井组飞仙关组气藏试采\\Reports &amp; Outputs\\User\\AppData\\Local\\Temp\\ksohtml10380\\wps31.png"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"D:\\工作\\2023-018-宣探1井组飞仙关组气藏试采\\Reports &amp; Outputs\\User\\AppData\\Local\\Temp\\ksohtml10380\\wps31.png"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"D:\\工作\\2023-018-宣探1井组飞仙关组气藏试采\\Reports &amp; Outputs\\User\\AppData\\Local\\Temp\\ksohtml10380\\wps31.png"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"D:\\工作\\2023-018-宣探1井组飞仙关组气藏试采\\Reports &amp; Outputs\\User\\AppData\\Local\\Temp\\ksohtml10380\\wps31.png"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"D:\\0、2023年\\23、四川达州\\User\\AppData\\Local\\Temp\\ksohtml10380\\wps31.png"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"D:\\0、2023年\\23、四川达州\\User\\AppData\\Local\\Temp\\ksohtml10380\\wps31.png"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INCLUDEPICTURE  "D:\\2023年项目\\User\\AppData\\Local\\Temp\\ksohtml10380\\wps31.png" \* MERGEFORMATINET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w:instrText>
      </w:r>
      <w:r>
        <w:rPr>
          <w:rFonts w:hint="eastAsia" w:ascii="Times New Roman" w:hAnsi="Times New Roman"/>
        </w:rPr>
        <w:instrText xml:space="preserve">INCLUDEPICTURE  "D:\\2023年项目\\User\\AppData\\Local\\Temp\\ksohtml10380\\wps31.png" \* MERGEFORMATINET</w:instrText>
      </w:r>
      <w:r>
        <w:rPr>
          <w:rFonts w:ascii="Times New Roman" w:hAnsi="Times New Roman"/>
        </w:rPr>
        <w:instrText xml:space="preserve">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w:instrText>
      </w:r>
      <w:r>
        <w:rPr>
          <w:rFonts w:hint="eastAsia" w:ascii="Times New Roman" w:hAnsi="Times New Roman"/>
        </w:rPr>
        <w:instrText xml:space="preserve">INCLUDEPICTURE  "D:\\E盘 正执行的项目\\120 川东北气矿\\User\\AppData\\Local\\Temp\\ksohtml10380\\wps31.png" \* MERGEFORMATINET</w:instrText>
      </w:r>
      <w:r>
        <w:rPr>
          <w:rFonts w:ascii="Times New Roman" w:hAnsi="Times New Roman"/>
        </w:rPr>
        <w:instrText xml:space="preserve">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w:instrText>
      </w:r>
      <w:r>
        <w:rPr>
          <w:rFonts w:hint="eastAsia" w:ascii="Times New Roman" w:hAnsi="Times New Roman"/>
        </w:rPr>
        <w:instrText xml:space="preserve">INCLUDEPICTURE  "D:\\2023年项目\\User\\AppData\\Local\\Temp\\ksohtml10380\\wps31.png" \* MERGEFORMATINET</w:instrText>
      </w:r>
      <w:r>
        <w:rPr>
          <w:rFonts w:ascii="Times New Roman" w:hAnsi="Times New Roman"/>
        </w:rPr>
        <w:instrText xml:space="preserve"> </w:instrText>
      </w:r>
      <w:r>
        <w:rPr>
          <w:rFonts w:ascii="Times New Roman" w:hAnsi="Times New Roman"/>
        </w:rPr>
        <w:fldChar w:fldCharType="separate"/>
      </w:r>
      <w:r>
        <w:rPr>
          <w:rFonts w:ascii="Times New Roman" w:hAnsi="Times New Roman"/>
        </w:rPr>
        <w:pict>
          <v:shape id="_x0000_i1025" o:spt="75" type="#_x0000_t75" style="height:182.5pt;width:367.5pt;" filled="f" o:preferrelative="t" stroked="f" coordsize="21600,21600">
            <v:path/>
            <v:fill on="f" focussize="0,0"/>
            <v:stroke on="f" joinstyle="miter"/>
            <v:imagedata r:id="rId58" r:href="rId59" o:title=""/>
            <o:lock v:ext="edit" aspectratio="t"/>
            <w10:wrap type="none"/>
            <w10:anchorlock/>
          </v:shape>
        </w:pict>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r>
        <w:rPr>
          <w:rFonts w:ascii="Times New Roman" w:hAnsi="Times New Roman"/>
        </w:rPr>
        <w:fldChar w:fldCharType="end"/>
      </w:r>
    </w:p>
    <w:p>
      <w:pPr>
        <w:pStyle w:val="37"/>
        <w:rPr>
          <w:rFonts w:ascii="Times New Roman" w:hAnsi="Times New Roman" w:cs="Times New Roman"/>
        </w:rPr>
      </w:pPr>
      <w:bookmarkStart w:id="91" w:name="_Ref152085406"/>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bookmarkEnd w:id="91"/>
      <w:r>
        <w:rPr>
          <w:rFonts w:ascii="Times New Roman" w:hAnsi="Times New Roman" w:cs="Times New Roman"/>
        </w:rPr>
        <w:t xml:space="preserve">  一般地段管道施工方式断面示意图</w:t>
      </w:r>
    </w:p>
    <w:p>
      <w:pPr>
        <w:ind w:firstLine="480"/>
        <w:rPr>
          <w:rFonts w:ascii="Times New Roman" w:hAnsi="Times New Roman"/>
        </w:rPr>
      </w:pPr>
      <w:r>
        <w:rPr>
          <w:rFonts w:ascii="Times New Roman" w:hAnsi="Times New Roman"/>
        </w:rPr>
        <w:t>本项目作业带宽度为8m～16m，此范围内影响施工机械通行及施工作业的石块、杂草等将予以清理。根据管道稳定性要求，结合施工场地周边</w:t>
      </w:r>
      <w:r>
        <w:rPr>
          <w:rFonts w:hint="eastAsia" w:ascii="Times New Roman" w:hAnsi="Times New Roman"/>
        </w:rPr>
        <w:t>植被</w:t>
      </w:r>
      <w:r>
        <w:rPr>
          <w:rFonts w:ascii="Times New Roman" w:hAnsi="Times New Roman"/>
        </w:rPr>
        <w:t>、地形地质条件、地下水位状况确定，管道设计埋深(管顶覆土)约1.5m。管沟断面采用梯形，管沟沟底宽度一般为管道结构外径加上0.7m，边坡坡度为1：0.67。</w:t>
      </w:r>
    </w:p>
    <w:p>
      <w:pPr>
        <w:ind w:firstLine="480"/>
        <w:rPr>
          <w:rFonts w:ascii="Times New Roman" w:hAnsi="Times New Roman"/>
        </w:rPr>
      </w:pPr>
      <w:r>
        <w:rPr>
          <w:rFonts w:ascii="Times New Roman" w:hAnsi="Times New Roman"/>
        </w:rPr>
        <w:t>1）管沟开挖：本项目放空管线穿越林地及进站路地段采用开挖方式施工，管道安装完毕后，立即恢复地面和路面。</w:t>
      </w:r>
    </w:p>
    <w:p>
      <w:pPr>
        <w:ind w:firstLine="480"/>
        <w:rPr>
          <w:rFonts w:ascii="Times New Roman" w:hAnsi="Times New Roman"/>
        </w:rPr>
      </w:pPr>
      <w:r>
        <w:rPr>
          <w:rFonts w:ascii="Times New Roman" w:hAnsi="Times New Roman"/>
        </w:rPr>
        <w:t>管沟开挖前，需对施工作业带两侧各50m范围内的地下管道、电缆或其它地下建构筑物详细排查。在地下设施两侧3m范围内，应采用人工开挖，并对挖出的地下设施给予必要的保护。对于重要地下设施，开挖前应征得其管理部门同意，必要时应在其监督下开挖。</w:t>
      </w:r>
    </w:p>
    <w:p>
      <w:pPr>
        <w:ind w:firstLine="480"/>
        <w:rPr>
          <w:rFonts w:ascii="Times New Roman" w:hAnsi="Times New Roman"/>
        </w:rPr>
      </w:pPr>
      <w:r>
        <w:rPr>
          <w:rFonts w:ascii="Times New Roman" w:hAnsi="Times New Roman"/>
        </w:rPr>
        <w:t>开挖管沟时，应注意保护地下文物，一旦发现文物，首先应保护现场，然后向当地主管部门报告；在开挖管沟时，应将植被表层土与下层土分别堆放。下层土放置在靠近管沟一侧；施工机械在纵坡上挖沟，必须根据坡度的大小、土壤的类别、性质及状态核算施工机械的稳定性，并采取相应的措施，确保安全操作。</w:t>
      </w:r>
    </w:p>
    <w:p>
      <w:pPr>
        <w:ind w:firstLine="480"/>
        <w:rPr>
          <w:rFonts w:ascii="Times New Roman" w:hAnsi="Times New Roman"/>
        </w:rPr>
      </w:pPr>
      <w:r>
        <w:rPr>
          <w:rFonts w:ascii="Times New Roman" w:hAnsi="Times New Roman"/>
        </w:rPr>
        <w:t>开挖管沟后，应及时检查验收，不符合设计要求时应及时修整。应做好管沟检查记录，验收合格后应及时办理工序交接手续。</w:t>
      </w:r>
    </w:p>
    <w:p>
      <w:pPr>
        <w:ind w:firstLine="480"/>
        <w:rPr>
          <w:rFonts w:ascii="Times New Roman" w:hAnsi="Times New Roman"/>
        </w:rPr>
      </w:pPr>
      <w:r>
        <w:rPr>
          <w:rFonts w:ascii="Times New Roman" w:hAnsi="Times New Roman"/>
        </w:rPr>
        <w:t>2）管道下沟：下沟前，应检查管沟的深度、标高和断面尺寸，并应符合设计要求。对管体防腐层应用高压电火花检漏仪进行100%检查，如有破损和针孔应及时修补。冬季施工时，下沟应选择在晴天中午气温较高时。</w:t>
      </w:r>
    </w:p>
    <w:p>
      <w:pPr>
        <w:ind w:firstLine="480"/>
        <w:rPr>
          <w:rFonts w:ascii="Times New Roman" w:hAnsi="Times New Roman"/>
        </w:rPr>
      </w:pPr>
      <w:r>
        <w:rPr>
          <w:rFonts w:ascii="Times New Roman" w:hAnsi="Times New Roman"/>
        </w:rPr>
        <w:t>管道下沟后，管道应与沟底表面贴实。如出现管底局部悬空应用细土填塞，不得出现浅埋。管道标高应符合设计要求，管道下沟后应对管顶标高进行复测，在竖向曲线段应对曲线的始点、中点和终点进行测量记录，满足编制竣工图的需要。应按规定填写测量成果表、管道工程隐蔽检查记录。</w:t>
      </w:r>
    </w:p>
    <w:p>
      <w:pPr>
        <w:ind w:firstLine="480"/>
        <w:rPr>
          <w:rFonts w:ascii="Times New Roman" w:hAnsi="Times New Roman"/>
        </w:rPr>
      </w:pPr>
      <w:r>
        <w:rPr>
          <w:rFonts w:ascii="Times New Roman" w:hAnsi="Times New Roman"/>
        </w:rPr>
        <w:t>3）管沟回填：管道下沟后应及时进行管沟回填，管沟回填前，应清除管沟内积水并立即回填。</w:t>
      </w:r>
    </w:p>
    <w:p>
      <w:pPr>
        <w:ind w:firstLine="480"/>
        <w:rPr>
          <w:rFonts w:ascii="Times New Roman" w:hAnsi="Times New Roman"/>
        </w:rPr>
      </w:pPr>
      <w:r>
        <w:rPr>
          <w:rFonts w:ascii="Times New Roman" w:hAnsi="Times New Roman"/>
        </w:rPr>
        <w:t>林地植被区的管沟应将表层耕（腐）质土和下层土分别堆放，管沟回填时应将耕（腐）质土回填到表层。管沟回填土在不影响土地水土保持的情况下宜高出地面0.3m，管沟挖出土应全部回填于沟上。在管道出土端和弯头两侧，回填土应分层夯实。当管沟纵向坡度较大时，应采取防止回填土下滑措施，并预防暴雨毁沟。特殊地质地段管沟回填时，应考虑采取防止管道或管沟沉降的措施。</w:t>
      </w:r>
    </w:p>
    <w:p>
      <w:pPr>
        <w:ind w:firstLine="480"/>
        <w:rPr>
          <w:rFonts w:ascii="Times New Roman" w:hAnsi="Times New Roman"/>
        </w:rPr>
      </w:pPr>
      <w:r>
        <w:rPr>
          <w:rFonts w:ascii="Times New Roman" w:hAnsi="Times New Roman"/>
        </w:rPr>
        <w:t>（3）管道组装、焊接、防腐</w:t>
      </w:r>
    </w:p>
    <w:p>
      <w:pPr>
        <w:ind w:firstLine="480"/>
        <w:rPr>
          <w:rFonts w:ascii="Times New Roman" w:hAnsi="Times New Roman"/>
        </w:rPr>
      </w:pPr>
      <w:r>
        <w:rPr>
          <w:rFonts w:ascii="Times New Roman" w:hAnsi="Times New Roman"/>
        </w:rPr>
        <w:t>成品管道长度12m左右，利用吊机等将各管道按预定位置吊放后，需要进行管道之间的焊接与防腐，具体流程分述如下。</w:t>
      </w:r>
    </w:p>
    <w:p>
      <w:pPr>
        <w:ind w:firstLine="480"/>
        <w:rPr>
          <w:rFonts w:ascii="Times New Roman" w:hAnsi="Times New Roman"/>
        </w:rPr>
      </w:pPr>
      <w:r>
        <w:rPr>
          <w:rFonts w:ascii="Times New Roman" w:hAnsi="Times New Roman"/>
        </w:rPr>
        <w:t>1）组装焊接</w:t>
      </w:r>
    </w:p>
    <w:p>
      <w:pPr>
        <w:ind w:firstLine="480"/>
        <w:rPr>
          <w:rFonts w:ascii="Times New Roman" w:hAnsi="Times New Roman"/>
        </w:rPr>
      </w:pPr>
      <w:r>
        <w:rPr>
          <w:rFonts w:ascii="Times New Roman" w:hAnsi="Times New Roman"/>
        </w:rPr>
        <w:t>焊接工艺流程主要为：组焊开始→管口检查合格→组对检查合格→根焊→焊口打磨合格→盖面焊接→焊口打磨→自检合格→焊口标识、组焊结束。</w:t>
      </w:r>
    </w:p>
    <w:p>
      <w:pPr>
        <w:ind w:firstLine="480"/>
        <w:rPr>
          <w:rFonts w:ascii="Times New Roman" w:hAnsi="Times New Roman"/>
        </w:rPr>
      </w:pPr>
      <w:r>
        <w:rPr>
          <w:rFonts w:ascii="Times New Roman" w:hAnsi="Times New Roman"/>
        </w:rPr>
        <w:t>焊接要点：管子焊接时，应防止管内空气流速过快。施焊时应保证道间温度达到规定的要求。相邻焊道的起弧或收弧处应相互错开30mm以上。焊接前每个引弧点和接头应修磨。应在前一焊道全部完成后再开始下一焊道的焊接。焊接时发现偏吹、粘条、表面气孔或其它不正常现象时应立即停止焊接，修磨接头后继续施焊。为保证盖面焊的良好成型，填充焊道宜填充（或修磨）至距离管外表面1mm～2mm处。可根据填充情况在立焊部位增加立填焊。盖面焊缝为排焊时，后续焊道至少宜覆盖前一焊道1/3宽。坡口和每层焊道上的锈皮及焊渣，在下一步焊接前应清除干净。焊接下一焊道前，应用砂轮磨除已完成焊道表面的熔渣、密集气孔、引弧点高凸处。焊口完成后，应将接头表面的熔渣、飞溅物等清除干净。</w:t>
      </w:r>
    </w:p>
    <w:p>
      <w:pPr>
        <w:ind w:firstLine="480"/>
        <w:rPr>
          <w:rFonts w:ascii="Times New Roman" w:hAnsi="Times New Roman"/>
        </w:rPr>
      </w:pPr>
      <w:r>
        <w:rPr>
          <w:rFonts w:ascii="Times New Roman" w:hAnsi="Times New Roman"/>
        </w:rPr>
        <w:t>2）防腐</w:t>
      </w:r>
    </w:p>
    <w:p>
      <w:pPr>
        <w:ind w:firstLine="480"/>
        <w:rPr>
          <w:rFonts w:ascii="Times New Roman" w:hAnsi="Times New Roman"/>
        </w:rPr>
      </w:pPr>
      <w:r>
        <w:rPr>
          <w:rFonts w:ascii="Times New Roman" w:hAnsi="Times New Roman"/>
        </w:rPr>
        <w:t>管道防腐采取外防腐层加阴极保护的联合保护方案。埋地管道采用三层PE防腐层；管道阴极保护采用绝缘处理，选用火花间隙保护器对绝缘接头进行保护，并在绝缘接头处设置1支绝缘接头测试桩。</w:t>
      </w:r>
    </w:p>
    <w:p>
      <w:pPr>
        <w:ind w:firstLine="480"/>
        <w:rPr>
          <w:rFonts w:ascii="Times New Roman" w:hAnsi="Times New Roman"/>
        </w:rPr>
      </w:pPr>
      <w:r>
        <w:rPr>
          <w:rFonts w:ascii="Times New Roman" w:hAnsi="Times New Roman"/>
        </w:rPr>
        <w:t>站内地面碳钢、低合金钢管道和设备（储罐）采用涂装防腐涂料进行外防腐。</w:t>
      </w:r>
    </w:p>
    <w:p>
      <w:pPr>
        <w:ind w:firstLine="480"/>
        <w:rPr>
          <w:rFonts w:ascii="Times New Roman" w:hAnsi="Times New Roman"/>
        </w:rPr>
      </w:pPr>
      <w:r>
        <w:rPr>
          <w:rFonts w:ascii="Times New Roman" w:hAnsi="Times New Roman"/>
        </w:rPr>
        <w:t>（4）管道清管、测径、试压、扫水、干燥</w:t>
      </w:r>
    </w:p>
    <w:p>
      <w:pPr>
        <w:ind w:firstLine="480"/>
        <w:rPr>
          <w:rFonts w:ascii="Times New Roman" w:hAnsi="Times New Roman"/>
        </w:rPr>
      </w:pPr>
      <w:r>
        <w:rPr>
          <w:rFonts w:ascii="Times New Roman" w:hAnsi="Times New Roman"/>
        </w:rPr>
        <w:t>管道铺好后，要对管道进行清管，在进行试压前必须采用清管器进行清管，。清管应设临时清管器发收装置，清管器接收装置应选择在地势较高且50m内没有建筑物和人口的区域内，并应设置警示装置。清管球充水后直径过盈量应为管内径的5~8%。清管时的最大压力不得超过管线的设计压力。</w:t>
      </w:r>
    </w:p>
    <w:p>
      <w:pPr>
        <w:ind w:firstLine="480"/>
        <w:rPr>
          <w:rFonts w:ascii="Times New Roman" w:hAnsi="Times New Roman"/>
        </w:rPr>
      </w:pPr>
      <w:r>
        <w:rPr>
          <w:rFonts w:ascii="Times New Roman" w:hAnsi="Times New Roman"/>
        </w:rPr>
        <w:t>清管合格后应进行测径，测径采用带铝质的测径板。测径板直径为试压段中最大壁厚钢管或弯头内径的92.5%。当测径板通过管段后，无变形、皱褶为合格。最后采用泡沫清管器清除灰尘和氧化皮。</w:t>
      </w:r>
    </w:p>
    <w:p>
      <w:pPr>
        <w:ind w:firstLine="480"/>
        <w:rPr>
          <w:rFonts w:ascii="Times New Roman" w:hAnsi="Times New Roman"/>
        </w:rPr>
      </w:pPr>
      <w:r>
        <w:rPr>
          <w:rFonts w:ascii="Times New Roman" w:hAnsi="Times New Roman"/>
        </w:rPr>
        <w:t>测径后要对管道进行试压，以检查管线的严密性，管件、管材在加工制作、运输、保管、安装过程中是否损坏，管道有无堵塞。本工程管线采用无腐蚀性洁净水进行强度试压和严密性试压。要求水质清洁，无油污，pH值6~9，最大盐分含量不大于2000mg/L，最大固态悬浮颗粒不大于50mg/L，充入管道的水应通过40目过滤器过滤。试压用水须按照上述要求进行检验合格后方可使用，且不得加入对管道有腐蚀的化学剂。试压宜在环境温度5℃以上进行，低于5℃时应采取防冻措施。</w:t>
      </w:r>
    </w:p>
    <w:p>
      <w:pPr>
        <w:ind w:firstLine="480"/>
        <w:rPr>
          <w:rFonts w:ascii="Times New Roman" w:hAnsi="Times New Roman"/>
        </w:rPr>
      </w:pPr>
      <w:r>
        <w:rPr>
          <w:rFonts w:ascii="Times New Roman" w:hAnsi="Times New Roman"/>
        </w:rPr>
        <w:t>试压合格后，应尽快将管段内积水清扫干净，清扫出的污物应排放到规定区域，禁止随意乱排乱放。清扫以不再排出游离水为合格。扫水宜采用直板清管器，清扫宜多次进行；直板清管器扫水后，应多次使用泡沫清管器清管。</w:t>
      </w:r>
    </w:p>
    <w:p>
      <w:pPr>
        <w:ind w:firstLine="480"/>
        <w:rPr>
          <w:rFonts w:ascii="Times New Roman" w:hAnsi="Times New Roman"/>
        </w:rPr>
      </w:pPr>
      <w:r>
        <w:rPr>
          <w:rFonts w:ascii="Times New Roman" w:hAnsi="Times New Roman"/>
        </w:rPr>
        <w:t>输气管道应在清管、测径、试压、通球扫线等工序完成后进行管道干燥作业。如不进行干燥处理，会影响管道的正常运行，甚至会造成堵塞等严重事故。</w:t>
      </w:r>
    </w:p>
    <w:p>
      <w:pPr>
        <w:ind w:firstLine="480"/>
        <w:rPr>
          <w:rFonts w:ascii="Times New Roman" w:hAnsi="Times New Roman"/>
        </w:rPr>
      </w:pPr>
      <w:r>
        <w:rPr>
          <w:rFonts w:ascii="Times New Roman" w:hAnsi="Times New Roman"/>
        </w:rPr>
        <w:t>在干燥验收合格后，应向管道内注入水露点不低于-40℃、压力为50kPa~70kPa的干空气或氮气，保持管道密闭，并应对管道进行密闭和标识。</w:t>
      </w:r>
    </w:p>
    <w:p>
      <w:pPr>
        <w:ind w:firstLine="480"/>
        <w:rPr>
          <w:rFonts w:ascii="Times New Roman" w:hAnsi="Times New Roman"/>
        </w:rPr>
      </w:pPr>
      <w:r>
        <w:rPr>
          <w:rFonts w:ascii="Times New Roman" w:hAnsi="Times New Roman"/>
        </w:rPr>
        <w:t>（5）穿越工程</w:t>
      </w:r>
    </w:p>
    <w:p>
      <w:pPr>
        <w:ind w:firstLine="480"/>
        <w:rPr>
          <w:rFonts w:ascii="Times New Roman" w:hAnsi="Times New Roman"/>
        </w:rPr>
      </w:pPr>
      <w:r>
        <w:rPr>
          <w:rFonts w:ascii="Times New Roman" w:hAnsi="Times New Roman"/>
        </w:rPr>
        <w:t>本项目管道穿越工程主要包括河流、公路、规划高铁穿越。本项目河流穿越将采用开挖方式施工，小河和沟渠主要采用围堰引流或直接开挖方式施工；公路穿越主要采用顶管以及开挖加盖板方式；规划高铁采用箱涵穿越方式。穿越工程将会对穿越点附近的生态环境及景观产生一定的影响。</w:t>
      </w:r>
    </w:p>
    <w:p>
      <w:pPr>
        <w:ind w:firstLine="480" w:firstLineChars="0"/>
        <w:rPr>
          <w:rFonts w:ascii="Times New Roman" w:hAnsi="Times New Roman"/>
        </w:rPr>
      </w:pPr>
      <w:r>
        <w:rPr>
          <w:rFonts w:ascii="Times New Roman" w:hAnsi="Times New Roman"/>
        </w:rPr>
        <w:t>1）河流、沟渠穿越</w:t>
      </w:r>
    </w:p>
    <w:p>
      <w:pPr>
        <w:ind w:firstLine="480"/>
        <w:rPr>
          <w:rFonts w:ascii="Times New Roman" w:hAnsi="Times New Roman"/>
        </w:rPr>
      </w:pPr>
      <w:r>
        <w:rPr>
          <w:rFonts w:ascii="Times New Roman" w:hAnsi="Times New Roman"/>
        </w:rPr>
        <w:t>项目穿越清溪河1次，采用围堰开挖方式穿越，管道埋设在穿越河流河床设计冲刷线以下稳定层内。</w:t>
      </w:r>
    </w:p>
    <w:p>
      <w:pPr>
        <w:ind w:firstLine="480"/>
        <w:rPr>
          <w:rFonts w:ascii="Times New Roman" w:hAnsi="Times New Roman"/>
        </w:rPr>
      </w:pPr>
      <w:r>
        <w:rPr>
          <w:rFonts w:ascii="Times New Roman" w:hAnsi="Times New Roman"/>
        </w:rPr>
        <w:t>围堰开挖施工示意图见</w:t>
      </w:r>
      <w:r>
        <w:rPr>
          <w:rFonts w:ascii="Times New Roman" w:hAnsi="Times New Roman"/>
        </w:rPr>
        <w:fldChar w:fldCharType="begin"/>
      </w:r>
      <w:r>
        <w:rPr>
          <w:rFonts w:ascii="Times New Roman" w:hAnsi="Times New Roman"/>
        </w:rPr>
        <w:instrText xml:space="preserve"> REF _Ref152088061 \h  \* MERGEFORMAT </w:instrText>
      </w:r>
      <w:r>
        <w:rPr>
          <w:rFonts w:ascii="Times New Roman" w:hAnsi="Times New Roman"/>
        </w:rPr>
        <w:fldChar w:fldCharType="separate"/>
      </w:r>
      <w:r>
        <w:rPr>
          <w:rFonts w:ascii="Times New Roman" w:hAnsi="Times New Roman"/>
        </w:rPr>
        <w:t>图 3</w:t>
      </w:r>
      <w:r>
        <w:rPr>
          <w:rFonts w:ascii="Times New Roman" w:hAnsi="Times New Roman"/>
        </w:rPr>
        <w:noBreakHyphen/>
      </w:r>
      <w:r>
        <w:rPr>
          <w:rFonts w:ascii="Times New Roman" w:hAnsi="Times New Roman"/>
        </w:rPr>
        <w:t>3</w:t>
      </w:r>
      <w:r>
        <w:rPr>
          <w:rFonts w:ascii="Times New Roman" w:hAnsi="Times New Roman"/>
        </w:rPr>
        <w:fldChar w:fldCharType="end"/>
      </w:r>
      <w:r>
        <w:rPr>
          <w:rFonts w:ascii="Times New Roman" w:hAnsi="Times New Roman"/>
        </w:rPr>
        <w:t>，施工现场见</w:t>
      </w:r>
      <w:r>
        <w:rPr>
          <w:rFonts w:ascii="Times New Roman" w:hAnsi="Times New Roman"/>
        </w:rPr>
        <w:fldChar w:fldCharType="begin"/>
      </w:r>
      <w:r>
        <w:rPr>
          <w:rFonts w:ascii="Times New Roman" w:hAnsi="Times New Roman"/>
        </w:rPr>
        <w:instrText xml:space="preserve"> REF _Ref152088069 \h  \* MERGEFORMAT </w:instrText>
      </w:r>
      <w:r>
        <w:rPr>
          <w:rFonts w:ascii="Times New Roman" w:hAnsi="Times New Roman"/>
        </w:rPr>
        <w:fldChar w:fldCharType="separate"/>
      </w:r>
      <w:r>
        <w:rPr>
          <w:rFonts w:ascii="Times New Roman" w:hAnsi="Times New Roman"/>
        </w:rPr>
        <w:t>图 3</w:t>
      </w:r>
      <w:r>
        <w:rPr>
          <w:rFonts w:ascii="Times New Roman" w:hAnsi="Times New Roman"/>
        </w:rPr>
        <w:noBreakHyphen/>
      </w:r>
      <w:r>
        <w:rPr>
          <w:rFonts w:ascii="Times New Roman" w:hAnsi="Times New Roman"/>
        </w:rPr>
        <w:t>4</w:t>
      </w:r>
      <w:r>
        <w:rPr>
          <w:rFonts w:ascii="Times New Roman" w:hAnsi="Times New Roman"/>
        </w:rPr>
        <w:fldChar w:fldCharType="end"/>
      </w:r>
      <w:r>
        <w:rPr>
          <w:rFonts w:ascii="Times New Roman" w:hAnsi="Times New Roman"/>
        </w:rPr>
        <w:t>。</w:t>
      </w:r>
    </w:p>
    <w:p>
      <w:pPr>
        <w:ind w:firstLine="0" w:firstLineChars="0"/>
        <w:jc w:val="center"/>
        <w:rPr>
          <w:rFonts w:ascii="Times New Roman" w:hAnsi="Times New Roman"/>
        </w:rPr>
      </w:pPr>
      <w:r>
        <w:rPr>
          <w:rFonts w:ascii="Times New Roman" w:hAnsi="Times New Roman"/>
        </w:rPr>
        <w:drawing>
          <wp:inline distT="0" distB="0" distL="0" distR="0">
            <wp:extent cx="3902075" cy="234950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60" cstate="print">
                      <a:extLst>
                        <a:ext uri="{28A0092B-C50C-407E-A947-70E740481C1C}">
                          <a14:useLocalDpi xmlns:a14="http://schemas.microsoft.com/office/drawing/2010/main" val="0"/>
                        </a:ext>
                      </a:extLst>
                    </a:blip>
                    <a:srcRect l="28969" t="10452" r="12625" b="15844"/>
                    <a:stretch>
                      <a:fillRect/>
                    </a:stretch>
                  </pic:blipFill>
                  <pic:spPr>
                    <a:xfrm>
                      <a:off x="0" y="0"/>
                      <a:ext cx="3902075" cy="2349500"/>
                    </a:xfrm>
                    <a:prstGeom prst="rect">
                      <a:avLst/>
                    </a:prstGeom>
                    <a:noFill/>
                    <a:ln>
                      <a:noFill/>
                    </a:ln>
                  </pic:spPr>
                </pic:pic>
              </a:graphicData>
            </a:graphic>
          </wp:inline>
        </w:drawing>
      </w:r>
    </w:p>
    <w:p>
      <w:pPr>
        <w:pStyle w:val="37"/>
        <w:rPr>
          <w:rFonts w:ascii="Times New Roman" w:hAnsi="Times New Roman" w:cs="Times New Roman"/>
        </w:rPr>
      </w:pPr>
      <w:bookmarkStart w:id="92" w:name="_Ref152088061"/>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bookmarkEnd w:id="92"/>
      <w:r>
        <w:rPr>
          <w:rFonts w:ascii="Times New Roman" w:hAnsi="Times New Roman" w:cs="Times New Roman"/>
        </w:rPr>
        <w:t xml:space="preserve">  围堰开挖穿越河流施工示意图</w:t>
      </w:r>
    </w:p>
    <w:p>
      <w:pPr>
        <w:ind w:firstLine="0" w:firstLineChars="0"/>
        <w:jc w:val="center"/>
        <w:rPr>
          <w:rFonts w:ascii="Times New Roman" w:hAnsi="Times New Roman"/>
        </w:rPr>
      </w:pPr>
      <w:r>
        <w:rPr>
          <w:rFonts w:ascii="Times New Roman" w:hAnsi="Times New Roman"/>
        </w:rPr>
        <w:drawing>
          <wp:inline distT="0" distB="0" distL="0" distR="0">
            <wp:extent cx="3668395" cy="2604770"/>
            <wp:effectExtent l="0" t="0" r="0" b="0"/>
            <wp:docPr id="114" name="图片 114" descr="说明: 说明: 说明: 说明: QQ截图2012101615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说明: 说明: 说明: 说明: QQ截图2012101615480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3668395" cy="2604770"/>
                    </a:xfrm>
                    <a:prstGeom prst="rect">
                      <a:avLst/>
                    </a:prstGeom>
                    <a:noFill/>
                    <a:ln>
                      <a:noFill/>
                    </a:ln>
                  </pic:spPr>
                </pic:pic>
              </a:graphicData>
            </a:graphic>
          </wp:inline>
        </w:drawing>
      </w:r>
    </w:p>
    <w:p>
      <w:pPr>
        <w:pStyle w:val="37"/>
        <w:rPr>
          <w:rFonts w:ascii="Times New Roman" w:hAnsi="Times New Roman" w:cs="Times New Roman"/>
        </w:rPr>
      </w:pPr>
      <w:bookmarkStart w:id="93" w:name="_Ref152088069"/>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bookmarkEnd w:id="93"/>
      <w:r>
        <w:rPr>
          <w:rFonts w:ascii="Times New Roman" w:hAnsi="Times New Roman" w:cs="Times New Roman"/>
        </w:rPr>
        <w:t xml:space="preserve">  围堰开挖管沟法施工现场图</w:t>
      </w:r>
    </w:p>
    <w:p>
      <w:pPr>
        <w:ind w:firstLine="480"/>
        <w:rPr>
          <w:rFonts w:ascii="Times New Roman" w:hAnsi="Times New Roman"/>
        </w:rPr>
      </w:pPr>
      <w:r>
        <w:rPr>
          <w:rFonts w:ascii="Times New Roman" w:hAnsi="Times New Roman"/>
        </w:rPr>
        <w:t>开挖穿越河流的影响主要表现为施工期扰动水体，短期内增加下游局部河段泥沙含量，进而对该河段水生生物产生一定影响。</w:t>
      </w:r>
    </w:p>
    <w:p>
      <w:pPr>
        <w:ind w:firstLine="480"/>
        <w:rPr>
          <w:rFonts w:ascii="Times New Roman" w:hAnsi="Times New Roman"/>
        </w:rPr>
      </w:pPr>
      <w:r>
        <w:rPr>
          <w:rFonts w:ascii="Times New Roman" w:hAnsi="Times New Roman"/>
        </w:rPr>
        <w:t>2）道路穿越</w:t>
      </w:r>
    </w:p>
    <w:p>
      <w:pPr>
        <w:ind w:firstLine="480"/>
        <w:rPr>
          <w:rFonts w:ascii="Times New Roman" w:hAnsi="Times New Roman"/>
        </w:rPr>
      </w:pPr>
      <w:r>
        <w:rPr>
          <w:rFonts w:ascii="Times New Roman" w:hAnsi="Times New Roman"/>
        </w:rPr>
        <w:t>本项目公路穿越XS37县道采用顶管方式进行。</w:t>
      </w:r>
    </w:p>
    <w:p>
      <w:pPr>
        <w:ind w:firstLine="480"/>
        <w:rPr>
          <w:rFonts w:ascii="Times New Roman" w:hAnsi="Times New Roman"/>
        </w:rPr>
      </w:pPr>
      <w:r>
        <w:rPr>
          <w:rFonts w:ascii="Times New Roman" w:hAnsi="Times New Roman"/>
        </w:rPr>
        <w:t>顶管施工技术是国内外比较成熟的一项非开挖敷设管线的施工技术，该技术分为泥水平衡法、土压平衡法和人工掘土顶进法。目前国内采用较多的是采用大推力的千斤顶直接将预制套管压入土层中，再在管内采用人工或机械掏挖土石、清除余土而成管的施工方法。主要分为测量放线、开挖工作坑、铺设导向轨道、安装液压千斤顶、吊放混凝土预制管、挖土、顶管、再挖土、再顶管、竣工验收等工序。顶管施工工艺示意图见下图：</w:t>
      </w:r>
    </w:p>
    <w:p>
      <w:pPr>
        <w:ind w:firstLine="0" w:firstLineChars="0"/>
        <w:rPr>
          <w:rFonts w:ascii="Times New Roman" w:hAnsi="Times New Roman"/>
        </w:rPr>
      </w:pPr>
      <w:r>
        <w:rPr>
          <w:rFonts w:ascii="Times New Roman" w:hAnsi="Times New Roman"/>
        </w:rPr>
        <w:drawing>
          <wp:inline distT="0" distB="0" distL="0" distR="0">
            <wp:extent cx="5274310" cy="1617345"/>
            <wp:effectExtent l="0" t="0" r="2540" b="1905"/>
            <wp:docPr id="117" name="图片 117" descr="说明: 说明: 说明: 说明: QQ截图201609091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说明: 说明: 说明: 说明: QQ截图20160909100008"/>
                    <pic:cNvPicPr>
                      <a:picLocks noChangeAspect="1" noChangeArrowheads="1"/>
                    </pic:cNvPicPr>
                  </pic:nvPicPr>
                  <pic:blipFill>
                    <a:blip r:embed="rId62">
                      <a:extLst>
                        <a:ext uri="{28A0092B-C50C-407E-A947-70E740481C1C}">
                          <a14:useLocalDpi xmlns:a14="http://schemas.microsoft.com/office/drawing/2010/main" val="0"/>
                        </a:ext>
                      </a:extLst>
                    </a:blip>
                    <a:srcRect l="13634" t="14333" r="4672"/>
                    <a:stretch>
                      <a:fillRect/>
                    </a:stretch>
                  </pic:blipFill>
                  <pic:spPr>
                    <a:xfrm>
                      <a:off x="0" y="0"/>
                      <a:ext cx="5274310" cy="1617924"/>
                    </a:xfrm>
                    <a:prstGeom prst="rect">
                      <a:avLst/>
                    </a:prstGeom>
                    <a:noFill/>
                    <a:ln>
                      <a:noFill/>
                    </a:ln>
                  </pic:spPr>
                </pic:pic>
              </a:graphicData>
            </a:graphic>
          </wp:inline>
        </w:drawing>
      </w:r>
    </w:p>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t xml:space="preserve">  顶管施工工艺示意图</w:t>
      </w:r>
    </w:p>
    <w:p>
      <w:pPr>
        <w:ind w:firstLine="480"/>
        <w:rPr>
          <w:rFonts w:ascii="Times New Roman" w:hAnsi="Times New Roman"/>
        </w:rPr>
      </w:pPr>
    </w:p>
    <w:p>
      <w:pPr>
        <w:ind w:firstLine="480"/>
        <w:rPr>
          <w:rFonts w:ascii="Times New Roman" w:hAnsi="Times New Roman"/>
        </w:rPr>
      </w:pPr>
      <w:r>
        <w:rPr>
          <w:rFonts w:ascii="Times New Roman" w:hAnsi="Times New Roman"/>
        </w:rPr>
        <w:t>（6）井站、阀室等施工</w:t>
      </w:r>
    </w:p>
    <w:p>
      <w:pPr>
        <w:ind w:firstLine="480"/>
        <w:rPr>
          <w:rFonts w:ascii="Times New Roman" w:hAnsi="Times New Roman"/>
        </w:rPr>
      </w:pPr>
      <w:r>
        <w:rPr>
          <w:rFonts w:ascii="Times New Roman" w:hAnsi="Times New Roman"/>
        </w:rPr>
        <w:t>井站、清管站、阀室等施工过程一般可分为场地平整、地基处理和基础施工，工艺管道等配套工程的施工、调试等阶段。</w:t>
      </w:r>
    </w:p>
    <w:p>
      <w:pPr>
        <w:ind w:firstLine="480"/>
        <w:rPr>
          <w:rFonts w:ascii="Times New Roman" w:hAnsi="Times New Roman"/>
        </w:rPr>
      </w:pPr>
      <w:r>
        <w:rPr>
          <w:rFonts w:ascii="Times New Roman" w:hAnsi="Times New Roman"/>
        </w:rPr>
        <w:t>1）场地平整：主要为清除表面植被、开挖和标高回填。</w:t>
      </w:r>
    </w:p>
    <w:p>
      <w:pPr>
        <w:ind w:firstLine="480"/>
        <w:rPr>
          <w:rFonts w:ascii="Times New Roman" w:hAnsi="Times New Roman"/>
        </w:rPr>
      </w:pPr>
      <w:r>
        <w:rPr>
          <w:rFonts w:ascii="Times New Roman" w:hAnsi="Times New Roman"/>
        </w:rPr>
        <w:t>2）地基处理和基础施工：设备基础采用素混凝土或钢筋混凝土结构，水池采用现浇钢筋混凝土池底、池壁、池顶盖板，管架采用现浇钢筋混凝土独立基础，建筑物采用钢筋砼独立基础或柱下条形基础。</w:t>
      </w:r>
    </w:p>
    <w:p>
      <w:pPr>
        <w:ind w:firstLine="480"/>
        <w:rPr>
          <w:rFonts w:ascii="Times New Roman" w:hAnsi="Times New Roman"/>
        </w:rPr>
      </w:pPr>
      <w:r>
        <w:rPr>
          <w:rFonts w:ascii="Times New Roman" w:hAnsi="Times New Roman"/>
        </w:rPr>
        <w:t>3）结构施工：工艺管道等配套工程的施工、管道、电气、仪表安装。</w:t>
      </w:r>
    </w:p>
    <w:p>
      <w:pPr>
        <w:ind w:firstLine="480"/>
        <w:rPr>
          <w:rFonts w:ascii="Times New Roman" w:hAnsi="Times New Roman"/>
        </w:rPr>
      </w:pPr>
      <w:r>
        <w:rPr>
          <w:rFonts w:ascii="Times New Roman" w:hAnsi="Times New Roman"/>
        </w:rPr>
        <w:t>4）调试：联合试运行.</w:t>
      </w:r>
    </w:p>
    <w:p>
      <w:pPr>
        <w:pStyle w:val="4"/>
        <w:rPr>
          <w:rFonts w:ascii="Times New Roman" w:hAnsi="Times New Roman" w:cs="Times New Roman"/>
        </w:rPr>
      </w:pPr>
      <w:r>
        <w:rPr>
          <w:rFonts w:ascii="Times New Roman" w:hAnsi="Times New Roman" w:cs="Times New Roman"/>
        </w:rPr>
        <w:t>生态环境影响因素分析</w:t>
      </w:r>
    </w:p>
    <w:p>
      <w:pPr>
        <w:ind w:firstLine="480"/>
        <w:rPr>
          <w:rFonts w:ascii="Times New Roman" w:hAnsi="Times New Roman"/>
        </w:rPr>
      </w:pPr>
      <w:r>
        <w:rPr>
          <w:rFonts w:ascii="Times New Roman" w:hAnsi="Times New Roman"/>
        </w:rPr>
        <w:t>施工期对环境的影响主要来自管线、井场、阀室等施工中的开挖管沟和施工机械、车辆、人员践踏等活动对土壤和生态环境的影响，尤其是在开挖管沟的范围内，植被破坏严重，开挖管沟造成的土体扰动将使土壤的结构、组成及理化特性等发生变化，进而影响土壤的侵蚀状况及植被的生长发育等。本次管道穿越林地（用材林）和耕地，因此管道施工对林地植被和农作物的影响较为显著。</w:t>
      </w:r>
    </w:p>
    <w:p>
      <w:pPr>
        <w:ind w:firstLine="480"/>
        <w:rPr>
          <w:rFonts w:ascii="Times New Roman" w:hAnsi="Times New Roman"/>
        </w:rPr>
      </w:pPr>
      <w:r>
        <w:rPr>
          <w:rFonts w:ascii="Times New Roman" w:hAnsi="Times New Roman"/>
        </w:rPr>
        <w:t>（1）林地生态环境影响为管道敷设和站场建设，工程占用的土地性质为林地时，这将在一定时间内导致不同工程区域内土地利用性质的改变，植被量的减少，区域内土地肥力下降，对一定区域的林地生态环境造成一定的影响。</w:t>
      </w:r>
    </w:p>
    <w:p>
      <w:pPr>
        <w:ind w:firstLine="480"/>
        <w:rPr>
          <w:rFonts w:ascii="Times New Roman" w:hAnsi="Times New Roman"/>
        </w:rPr>
      </w:pPr>
      <w:r>
        <w:rPr>
          <w:rFonts w:ascii="Times New Roman" w:hAnsi="Times New Roman"/>
        </w:rPr>
        <w:t>（2）工程施工过程对土地、植被产生一定影响，由于作业区内地表层的清理、开挖、碾压、践踏等，导致原地表覆盖层的消失，裸露土地增加。而施工作业区地表植被层的破坏，导致区域内植被覆盖度的降低，局地土地系统抗外界环境干扰能力减弱，原有地表稳定性降低，区域内水土流失程度加重。</w:t>
      </w:r>
    </w:p>
    <w:p>
      <w:pPr>
        <w:ind w:firstLine="480"/>
        <w:rPr>
          <w:rFonts w:ascii="Times New Roman" w:hAnsi="Times New Roman"/>
        </w:rPr>
      </w:pPr>
      <w:r>
        <w:rPr>
          <w:rFonts w:ascii="Times New Roman" w:hAnsi="Times New Roman"/>
        </w:rPr>
        <w:t>（3）工程土石方开挖产生的环境影响，由于管沟开挖、回填等工程作业活动，不仅会形成一定面积的破土区域，而且会产生一定量的土石方工程量。土石方的开挖及其运移，将导致工程区域内原地貌形态的改变，地表破碎度的增加，并且在雨季极易产生水土流失，裸露地表易造成土壤的风蚀。</w:t>
      </w:r>
    </w:p>
    <w:p>
      <w:pPr>
        <w:ind w:firstLine="480"/>
        <w:rPr>
          <w:rFonts w:ascii="Times New Roman" w:hAnsi="Times New Roman"/>
        </w:rPr>
      </w:pPr>
      <w:r>
        <w:rPr>
          <w:rFonts w:ascii="Times New Roman" w:hAnsi="Times New Roman"/>
        </w:rPr>
        <w:t>（4）水土流失影响因素分析根据工程区自然条件和社会经济情况，结合主体工程的总体布局、建设内容、施工工艺和工序等方面进行综合分析，管道工程水土流失呈现出以下特点：</w:t>
      </w:r>
    </w:p>
    <w:p>
      <w:pPr>
        <w:ind w:firstLine="480"/>
        <w:rPr>
          <w:rFonts w:ascii="Times New Roman" w:hAnsi="Times New Roman"/>
        </w:rPr>
      </w:pPr>
      <w:r>
        <w:rPr>
          <w:rFonts w:hint="eastAsia" w:ascii="宋体" w:hAnsi="宋体" w:cs="宋体"/>
        </w:rPr>
        <w:t>①</w:t>
      </w:r>
      <w:r>
        <w:rPr>
          <w:rFonts w:ascii="Times New Roman" w:hAnsi="Times New Roman"/>
        </w:rPr>
        <w:t>具备了诱发水土流失的人为因素。管道工程施工中既扰动原地貌，破坏土壤植被，又因开挖产生土石方，占压地表，这些因素与自然条件共同作用，势必加剧项目区的水土流失。</w:t>
      </w:r>
    </w:p>
    <w:p>
      <w:pPr>
        <w:ind w:firstLine="480"/>
        <w:rPr>
          <w:rFonts w:ascii="Times New Roman" w:hAnsi="Times New Roman"/>
        </w:rPr>
      </w:pPr>
      <w:r>
        <w:rPr>
          <w:rFonts w:hint="eastAsia" w:ascii="宋体" w:hAnsi="宋体" w:cs="宋体"/>
        </w:rPr>
        <w:t>②</w:t>
      </w:r>
      <w:r>
        <w:rPr>
          <w:rFonts w:ascii="Times New Roman" w:hAnsi="Times New Roman"/>
        </w:rPr>
        <w:t>水土流失时空分布相对集中，对生态环境的影响具有一定的持续性。管道工程水土流失危害主要集中于施工建设期，在自然恢复期逐步减弱，但要达到生态系统恢复到施工扰动前的水平，需要一定周期。工程建设过程中对水土流失的影响分析见</w:t>
      </w:r>
      <w:r>
        <w:rPr>
          <w:rFonts w:ascii="Times New Roman" w:hAnsi="Times New Roman"/>
        </w:rPr>
        <w:fldChar w:fldCharType="begin"/>
      </w:r>
      <w:r>
        <w:rPr>
          <w:rFonts w:ascii="Times New Roman" w:hAnsi="Times New Roman"/>
        </w:rPr>
        <w:instrText xml:space="preserve"> REF _Ref152089138 \h  \* MERGEFORMAT </w:instrText>
      </w:r>
      <w:r>
        <w:rPr>
          <w:rFonts w:ascii="Times New Roman" w:hAnsi="Times New Roman"/>
        </w:rPr>
        <w:fldChar w:fldCharType="separate"/>
      </w:r>
      <w:r>
        <w:rPr>
          <w:rFonts w:ascii="Times New Roman" w:hAnsi="Times New Roman"/>
        </w:rPr>
        <w:t>表 3</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94" w:name="_Ref152089138"/>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bookmarkEnd w:id="94"/>
      <w:r>
        <w:rPr>
          <w:rFonts w:ascii="Times New Roman" w:hAnsi="Times New Roman" w:cs="Times New Roman"/>
        </w:rPr>
        <w:t xml:space="preserve">  工程施工人为水土流失因素分析表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5"/>
        <w:gridCol w:w="3358"/>
        <w:gridCol w:w="1351"/>
        <w:gridCol w:w="29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9"/>
              <w:rPr>
                <w:rFonts w:ascii="Times New Roman" w:hAnsi="Times New Roman"/>
              </w:rPr>
            </w:pPr>
            <w:r>
              <w:rPr>
                <w:rFonts w:ascii="Times New Roman" w:hAnsi="Times New Roman"/>
              </w:rPr>
              <w:t>施工项目</w:t>
            </w:r>
          </w:p>
        </w:tc>
        <w:tc>
          <w:tcPr>
            <w:tcW w:w="0" w:type="auto"/>
            <w:vAlign w:val="center"/>
          </w:tcPr>
          <w:p>
            <w:pPr>
              <w:pStyle w:val="39"/>
              <w:rPr>
                <w:rFonts w:ascii="Times New Roman" w:hAnsi="Times New Roman"/>
              </w:rPr>
            </w:pPr>
            <w:r>
              <w:rPr>
                <w:rFonts w:ascii="Times New Roman" w:hAnsi="Times New Roman"/>
              </w:rPr>
              <w:t>主要施工工艺</w:t>
            </w:r>
          </w:p>
        </w:tc>
        <w:tc>
          <w:tcPr>
            <w:tcW w:w="1351" w:type="dxa"/>
            <w:vAlign w:val="center"/>
          </w:tcPr>
          <w:p>
            <w:pPr>
              <w:pStyle w:val="39"/>
              <w:rPr>
                <w:rFonts w:ascii="Times New Roman" w:hAnsi="Times New Roman"/>
              </w:rPr>
            </w:pPr>
            <w:r>
              <w:rPr>
                <w:rFonts w:ascii="Times New Roman" w:hAnsi="Times New Roman"/>
              </w:rPr>
              <w:t>侵蚀类型</w:t>
            </w:r>
          </w:p>
        </w:tc>
        <w:tc>
          <w:tcPr>
            <w:tcW w:w="2918" w:type="dxa"/>
            <w:vAlign w:val="center"/>
          </w:tcPr>
          <w:p>
            <w:pPr>
              <w:pStyle w:val="39"/>
              <w:rPr>
                <w:rFonts w:ascii="Times New Roman" w:hAnsi="Times New Roman"/>
              </w:rPr>
            </w:pPr>
            <w:r>
              <w:rPr>
                <w:rFonts w:ascii="Times New Roman" w:hAnsi="Times New Roman"/>
              </w:rPr>
              <w:t>水土流失危害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9"/>
              <w:rPr>
                <w:rFonts w:ascii="Times New Roman" w:hAnsi="Times New Roman"/>
              </w:rPr>
            </w:pPr>
            <w:r>
              <w:rPr>
                <w:rFonts w:ascii="Times New Roman" w:hAnsi="Times New Roman"/>
              </w:rPr>
              <w:t>管道敷设</w:t>
            </w:r>
          </w:p>
        </w:tc>
        <w:tc>
          <w:tcPr>
            <w:tcW w:w="0" w:type="auto"/>
            <w:vAlign w:val="center"/>
          </w:tcPr>
          <w:p>
            <w:pPr>
              <w:pStyle w:val="39"/>
              <w:rPr>
                <w:rFonts w:ascii="Times New Roman" w:hAnsi="Times New Roman"/>
              </w:rPr>
            </w:pPr>
            <w:r>
              <w:rPr>
                <w:rFonts w:ascii="Times New Roman" w:hAnsi="Times New Roman"/>
              </w:rPr>
              <w:t>管道作业带内表土清理后，明挖梯形深槽，管道放置槽内后覆土回填。</w:t>
            </w:r>
          </w:p>
        </w:tc>
        <w:tc>
          <w:tcPr>
            <w:tcW w:w="1351" w:type="dxa"/>
            <w:vAlign w:val="center"/>
          </w:tcPr>
          <w:p>
            <w:pPr>
              <w:pStyle w:val="39"/>
              <w:rPr>
                <w:rFonts w:ascii="Times New Roman" w:hAnsi="Times New Roman"/>
              </w:rPr>
            </w:pPr>
            <w:r>
              <w:rPr>
                <w:rFonts w:ascii="Times New Roman" w:hAnsi="Times New Roman"/>
              </w:rPr>
              <w:t>水蚀、风蚀</w:t>
            </w:r>
          </w:p>
        </w:tc>
        <w:tc>
          <w:tcPr>
            <w:tcW w:w="2918" w:type="dxa"/>
            <w:vAlign w:val="center"/>
          </w:tcPr>
          <w:p>
            <w:pPr>
              <w:pStyle w:val="39"/>
              <w:rPr>
                <w:rFonts w:ascii="Times New Roman" w:hAnsi="Times New Roman"/>
              </w:rPr>
            </w:pPr>
            <w:r>
              <w:rPr>
                <w:rFonts w:ascii="Times New Roman" w:hAnsi="Times New Roman"/>
              </w:rPr>
              <w:t>破坏地面及地表植被，边坡施工水土流失，弃渣流失。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9"/>
              <w:rPr>
                <w:rFonts w:ascii="Times New Roman" w:hAnsi="Times New Roman"/>
              </w:rPr>
            </w:pPr>
            <w:r>
              <w:rPr>
                <w:rFonts w:ascii="Times New Roman" w:hAnsi="Times New Roman"/>
              </w:rPr>
              <w:t>道路穿越工程</w:t>
            </w:r>
          </w:p>
        </w:tc>
        <w:tc>
          <w:tcPr>
            <w:tcW w:w="0" w:type="auto"/>
            <w:vAlign w:val="center"/>
          </w:tcPr>
          <w:p>
            <w:pPr>
              <w:pStyle w:val="39"/>
              <w:rPr>
                <w:rFonts w:ascii="Times New Roman" w:hAnsi="Times New Roman"/>
              </w:rPr>
            </w:pPr>
            <w:r>
              <w:rPr>
                <w:rFonts w:ascii="Times New Roman" w:hAnsi="Times New Roman"/>
              </w:rPr>
              <w:t>采用顶管方式施工。</w:t>
            </w:r>
          </w:p>
        </w:tc>
        <w:tc>
          <w:tcPr>
            <w:tcW w:w="1351" w:type="dxa"/>
            <w:vAlign w:val="center"/>
          </w:tcPr>
          <w:p>
            <w:pPr>
              <w:pStyle w:val="39"/>
              <w:rPr>
                <w:rFonts w:ascii="Times New Roman" w:hAnsi="Times New Roman"/>
              </w:rPr>
            </w:pPr>
            <w:r>
              <w:rPr>
                <w:rFonts w:ascii="Times New Roman" w:hAnsi="Times New Roman"/>
              </w:rPr>
              <w:t>水蚀、风蚀</w:t>
            </w:r>
          </w:p>
        </w:tc>
        <w:tc>
          <w:tcPr>
            <w:tcW w:w="2918" w:type="dxa"/>
            <w:vAlign w:val="center"/>
          </w:tcPr>
          <w:p>
            <w:pPr>
              <w:pStyle w:val="39"/>
              <w:rPr>
                <w:rFonts w:ascii="Times New Roman" w:hAnsi="Times New Roman"/>
              </w:rPr>
            </w:pPr>
            <w:r>
              <w:rPr>
                <w:rFonts w:ascii="Times New Roman" w:hAnsi="Times New Roman"/>
              </w:rPr>
              <w:t>扰动地面，水土流失，取弃土扰动占压地面。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9"/>
              <w:rPr>
                <w:rFonts w:ascii="Times New Roman" w:hAnsi="Times New Roman"/>
              </w:rPr>
            </w:pPr>
            <w:r>
              <w:rPr>
                <w:rFonts w:ascii="Times New Roman" w:hAnsi="Times New Roman"/>
              </w:rPr>
              <w:t>河流穿越施工</w:t>
            </w:r>
          </w:p>
        </w:tc>
        <w:tc>
          <w:tcPr>
            <w:tcW w:w="0" w:type="auto"/>
            <w:vAlign w:val="center"/>
          </w:tcPr>
          <w:p>
            <w:pPr>
              <w:pStyle w:val="39"/>
              <w:rPr>
                <w:rFonts w:ascii="Times New Roman" w:hAnsi="Times New Roman"/>
              </w:rPr>
            </w:pPr>
            <w:r>
              <w:rPr>
                <w:rFonts w:ascii="Times New Roman" w:hAnsi="Times New Roman"/>
              </w:rPr>
              <w:t>采用开挖方式施工</w:t>
            </w:r>
          </w:p>
        </w:tc>
        <w:tc>
          <w:tcPr>
            <w:tcW w:w="1351" w:type="dxa"/>
            <w:vAlign w:val="center"/>
          </w:tcPr>
          <w:p>
            <w:pPr>
              <w:pStyle w:val="39"/>
              <w:rPr>
                <w:rFonts w:ascii="Times New Roman" w:hAnsi="Times New Roman"/>
              </w:rPr>
            </w:pPr>
            <w:r>
              <w:rPr>
                <w:rFonts w:ascii="Times New Roman" w:hAnsi="Times New Roman"/>
              </w:rPr>
              <w:t>水蚀、风蚀</w:t>
            </w:r>
          </w:p>
        </w:tc>
        <w:tc>
          <w:tcPr>
            <w:tcW w:w="2918" w:type="dxa"/>
            <w:vAlign w:val="center"/>
          </w:tcPr>
          <w:p>
            <w:pPr>
              <w:pStyle w:val="39"/>
              <w:rPr>
                <w:rFonts w:ascii="Times New Roman" w:hAnsi="Times New Roman"/>
              </w:rPr>
            </w:pPr>
            <w:r>
              <w:rPr>
                <w:rFonts w:ascii="Times New Roman" w:hAnsi="Times New Roman"/>
              </w:rPr>
              <w:t>扰动地面，水土流失，取弃土扰动占压地面。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9"/>
              <w:rPr>
                <w:rFonts w:ascii="Times New Roman" w:hAnsi="Times New Roman"/>
              </w:rPr>
            </w:pPr>
            <w:r>
              <w:rPr>
                <w:rFonts w:ascii="Times New Roman" w:hAnsi="Times New Roman"/>
              </w:rPr>
              <w:t>站场区施工</w:t>
            </w:r>
          </w:p>
        </w:tc>
        <w:tc>
          <w:tcPr>
            <w:tcW w:w="0" w:type="auto"/>
            <w:vAlign w:val="center"/>
          </w:tcPr>
          <w:p>
            <w:pPr>
              <w:pStyle w:val="39"/>
              <w:rPr>
                <w:rFonts w:ascii="Times New Roman" w:hAnsi="Times New Roman"/>
              </w:rPr>
            </w:pPr>
            <w:r>
              <w:rPr>
                <w:rFonts w:ascii="Times New Roman" w:hAnsi="Times New Roman"/>
              </w:rPr>
              <w:t>放空区内表土清理地面平整后，放置放空立管及配套设备。</w:t>
            </w:r>
          </w:p>
        </w:tc>
        <w:tc>
          <w:tcPr>
            <w:tcW w:w="1351" w:type="dxa"/>
            <w:vAlign w:val="center"/>
          </w:tcPr>
          <w:p>
            <w:pPr>
              <w:pStyle w:val="39"/>
              <w:rPr>
                <w:rFonts w:ascii="Times New Roman" w:hAnsi="Times New Roman"/>
              </w:rPr>
            </w:pPr>
            <w:r>
              <w:rPr>
                <w:rFonts w:ascii="Times New Roman" w:hAnsi="Times New Roman"/>
              </w:rPr>
              <w:t>水蚀、风蚀</w:t>
            </w:r>
          </w:p>
        </w:tc>
        <w:tc>
          <w:tcPr>
            <w:tcW w:w="2918" w:type="dxa"/>
            <w:vAlign w:val="center"/>
          </w:tcPr>
          <w:p>
            <w:pPr>
              <w:pStyle w:val="39"/>
              <w:rPr>
                <w:rFonts w:ascii="Times New Roman" w:hAnsi="Times New Roman"/>
              </w:rPr>
            </w:pPr>
            <w:r>
              <w:rPr>
                <w:rFonts w:ascii="Times New Roman" w:hAnsi="Times New Roman"/>
              </w:rPr>
              <w:t>破坏地面及地表植被，扰动地面，水土流失。</w:t>
            </w:r>
          </w:p>
        </w:tc>
      </w:tr>
    </w:tbl>
    <w:p>
      <w:pPr>
        <w:pStyle w:val="4"/>
        <w:rPr>
          <w:rFonts w:ascii="Times New Roman" w:hAnsi="Times New Roman" w:cs="Times New Roman"/>
        </w:rPr>
      </w:pPr>
      <w:r>
        <w:rPr>
          <w:rFonts w:ascii="Times New Roman" w:hAnsi="Times New Roman" w:cs="Times New Roman"/>
        </w:rPr>
        <w:t>施工期污染源强分析</w:t>
      </w:r>
    </w:p>
    <w:p>
      <w:pPr>
        <w:pStyle w:val="5"/>
        <w:rPr>
          <w:rFonts w:ascii="Times New Roman" w:hAnsi="Times New Roman"/>
        </w:rPr>
      </w:pPr>
      <w:r>
        <w:rPr>
          <w:rFonts w:ascii="Times New Roman" w:hAnsi="Times New Roman"/>
        </w:rPr>
        <w:t>废水</w:t>
      </w:r>
    </w:p>
    <w:p>
      <w:pPr>
        <w:ind w:firstLine="480"/>
        <w:rPr>
          <w:rFonts w:ascii="Times New Roman" w:hAnsi="Times New Roman"/>
        </w:rPr>
      </w:pPr>
      <w:r>
        <w:rPr>
          <w:rFonts w:ascii="Times New Roman" w:hAnsi="Times New Roman"/>
        </w:rPr>
        <w:t>施工期的废水主要来自施工人员的生活污水、管道的试压废水、施工废水。</w:t>
      </w:r>
    </w:p>
    <w:p>
      <w:pPr>
        <w:ind w:firstLine="480"/>
        <w:rPr>
          <w:rFonts w:ascii="Times New Roman" w:hAnsi="Times New Roman"/>
        </w:rPr>
      </w:pPr>
      <w:r>
        <w:rPr>
          <w:rFonts w:ascii="Times New Roman" w:hAnsi="Times New Roman"/>
        </w:rPr>
        <w:t>（1）生活污水</w:t>
      </w:r>
    </w:p>
    <w:p>
      <w:pPr>
        <w:ind w:firstLine="480"/>
        <w:rPr>
          <w:rFonts w:ascii="Times New Roman" w:hAnsi="Times New Roman"/>
        </w:rPr>
      </w:pPr>
      <w:r>
        <w:rPr>
          <w:rFonts w:ascii="Times New Roman" w:hAnsi="Times New Roman"/>
        </w:rPr>
        <w:t>施工人员生活依托周边农户，不设野外施工营地，施工人员生活污水利用既有设施处理。</w:t>
      </w:r>
    </w:p>
    <w:p>
      <w:pPr>
        <w:ind w:firstLine="480"/>
        <w:rPr>
          <w:rFonts w:ascii="Times New Roman" w:hAnsi="Times New Roman"/>
        </w:rPr>
      </w:pPr>
      <w:r>
        <w:rPr>
          <w:rFonts w:ascii="Times New Roman" w:hAnsi="Times New Roman"/>
        </w:rPr>
        <w:t>施工人员产生的生活污水主要为冲洗厕所和日常洗浴产生的废水，主要污染物为SS、COD、动植物油、氨氮等。施工人员按100人计，根据四川省地方标准《用水定额》（DB51/T2138-2016）中农村居民东部盆地区生活用水120L/人·d，计，生活污水产生系数80%，则施工期生活污水排放总量约9.6m</w:t>
      </w:r>
      <w:r>
        <w:rPr>
          <w:rFonts w:ascii="Times New Roman" w:hAnsi="Times New Roman"/>
          <w:vertAlign w:val="superscript"/>
        </w:rPr>
        <w:t>3</w:t>
      </w:r>
      <w:r>
        <w:rPr>
          <w:rFonts w:ascii="Times New Roman" w:hAnsi="Times New Roman"/>
        </w:rPr>
        <w:t>/d，本工程施工期6个月（180天），合计产生生活污水约1728m</w:t>
      </w:r>
      <w:r>
        <w:rPr>
          <w:rFonts w:ascii="Times New Roman" w:hAnsi="Times New Roman"/>
          <w:vertAlign w:val="superscript"/>
        </w:rPr>
        <w:t>3</w:t>
      </w:r>
      <w:r>
        <w:rPr>
          <w:rFonts w:ascii="Times New Roman" w:hAnsi="Times New Roman"/>
        </w:rPr>
        <w:t>。</w:t>
      </w:r>
    </w:p>
    <w:p>
      <w:pPr>
        <w:ind w:firstLine="480"/>
        <w:rPr>
          <w:rFonts w:ascii="Times New Roman" w:hAnsi="Times New Roman"/>
        </w:rPr>
      </w:pPr>
      <w:r>
        <w:rPr>
          <w:rFonts w:ascii="Times New Roman" w:hAnsi="Times New Roman"/>
        </w:rPr>
        <w:t>（2）试压废水</w:t>
      </w:r>
    </w:p>
    <w:p>
      <w:pPr>
        <w:ind w:firstLine="480"/>
        <w:rPr>
          <w:rFonts w:ascii="Times New Roman" w:hAnsi="Times New Roman"/>
        </w:rPr>
      </w:pPr>
      <w:r>
        <w:rPr>
          <w:rFonts w:ascii="Times New Roman" w:hAnsi="Times New Roman"/>
        </w:rPr>
        <w:t>本项目各类管道组对完成后将采用氮气对全线进行吹扫，直至无污物排出，最后采用清水试压，管道试压分段依次展开，前段试压产生的废水可回用于下段管道试压。本项目新建集气管线3条、燃料气管线4条，合计29.6km。试压时管道全线充水，按平均管径200mm估算本项目试压用水量约为930m³，根据渡口河-七里北气田已建管道试压用水统计，约80%试压废水可重复使用，经计算本项目试压废水排放量为186m³。试压废水主要污染物为悬浮物，经过沉淀处理进一步减少悬浮物后就近排放至附近非敏感水体，严禁试压废水排入清溪河及其下游的清溪镇乱石滩河吴家湾集中式饮用水水源保护区、州河内。</w:t>
      </w:r>
    </w:p>
    <w:p>
      <w:pPr>
        <w:ind w:firstLine="480"/>
        <w:rPr>
          <w:rFonts w:ascii="Times New Roman" w:hAnsi="Times New Roman"/>
        </w:rPr>
      </w:pPr>
      <w:r>
        <w:rPr>
          <w:rFonts w:ascii="Times New Roman" w:hAnsi="Times New Roman"/>
        </w:rPr>
        <w:t>（3）施工废水</w:t>
      </w:r>
    </w:p>
    <w:p>
      <w:pPr>
        <w:ind w:firstLine="480"/>
        <w:rPr>
          <w:rFonts w:ascii="Times New Roman" w:hAnsi="Times New Roman"/>
        </w:rPr>
      </w:pPr>
      <w:r>
        <w:rPr>
          <w:rFonts w:ascii="Times New Roman" w:hAnsi="Times New Roman"/>
        </w:rPr>
        <w:t>施工废水主要来自于施工车辆和施工机械等冲洗废水。施工废水要污染物为SS，经沉淀池沉淀后回用于场地洒水降尘等。</w:t>
      </w:r>
    </w:p>
    <w:p>
      <w:pPr>
        <w:pStyle w:val="5"/>
        <w:rPr>
          <w:rFonts w:ascii="Times New Roman" w:hAnsi="Times New Roman"/>
        </w:rPr>
      </w:pPr>
      <w:r>
        <w:rPr>
          <w:rFonts w:ascii="Times New Roman" w:hAnsi="Times New Roman"/>
        </w:rPr>
        <w:t>废气</w:t>
      </w:r>
    </w:p>
    <w:p>
      <w:pPr>
        <w:ind w:firstLine="480"/>
        <w:rPr>
          <w:rFonts w:ascii="Times New Roman" w:hAnsi="Times New Roman"/>
        </w:rPr>
      </w:pPr>
      <w:r>
        <w:rPr>
          <w:rFonts w:ascii="Times New Roman" w:hAnsi="Times New Roman"/>
        </w:rPr>
        <w:t>施工过程产生的废气主要施工车辆的尾气排放、动力机械的柴油机烟气、来往运输引起的道路扬尘、管道焊接、防腐时产生的废气和放空废气等，主要废气污染物包括CO、NO</w:t>
      </w:r>
      <w:r>
        <w:rPr>
          <w:rFonts w:ascii="Times New Roman" w:hAnsi="Times New Roman"/>
          <w:vertAlign w:val="subscript"/>
        </w:rPr>
        <w:t>X</w:t>
      </w:r>
      <w:r>
        <w:rPr>
          <w:rFonts w:ascii="Times New Roman" w:hAnsi="Times New Roman"/>
        </w:rPr>
        <w:t>、颗粒物、焊接烟尘、非甲烷总烃等。</w:t>
      </w:r>
    </w:p>
    <w:p>
      <w:pPr>
        <w:ind w:firstLine="480"/>
        <w:rPr>
          <w:rFonts w:ascii="Times New Roman" w:hAnsi="Times New Roman"/>
        </w:rPr>
      </w:pPr>
      <w:r>
        <w:rPr>
          <w:rFonts w:ascii="Times New Roman" w:hAnsi="Times New Roman"/>
        </w:rPr>
        <w:t>（1）施工扬尘</w:t>
      </w:r>
    </w:p>
    <w:p>
      <w:pPr>
        <w:ind w:firstLine="480"/>
        <w:rPr>
          <w:rFonts w:ascii="Times New Roman" w:hAnsi="Times New Roman"/>
        </w:rPr>
      </w:pPr>
      <w:r>
        <w:rPr>
          <w:rFonts w:ascii="Times New Roman" w:hAnsi="Times New Roman"/>
        </w:rPr>
        <w:t>根据工程项目特点，施工扬尘主要产生于管沟开挖、场地清理、土石方堆放以及车辆运输等过程。施工期间产生的扬尘污染主要取决于施工作业方式、材料的堆放以及风力等因素，其中受风力的影响因素最大，随着风速的增大，施工扬尘的污染程度和超标范围也将随之增强和扩大，一般在风速大于3m/s时，施工扬尘存在无规则、临时性、间断性、无组织排放等特点。通过类比调查表明，在一般地段，无任何防尘措施的情况下，施工现场对周围环境的污染约在150m范围内，TSP最大污染浓度是施工场地上风向对照点的6.39倍。而在有防尘措施(金属围板)的情况下，污染范围为50m以内区域，最高污染浓度是上风向对照点的4.04倍，最大污染浓度较无防尘措施降低了0.479mg/m</w:t>
      </w:r>
      <w:r>
        <w:rPr>
          <w:rFonts w:ascii="Times New Roman" w:hAnsi="Times New Roman"/>
          <w:vertAlign w:val="superscript"/>
        </w:rPr>
        <w:t>3</w:t>
      </w:r>
      <w:r>
        <w:rPr>
          <w:rFonts w:ascii="Times New Roman" w:hAnsi="Times New Roman"/>
        </w:rPr>
        <w:t>，类比数据参见</w:t>
      </w:r>
      <w:r>
        <w:rPr>
          <w:rFonts w:ascii="Times New Roman" w:hAnsi="Times New Roman"/>
        </w:rPr>
        <w:fldChar w:fldCharType="begin"/>
      </w:r>
      <w:r>
        <w:rPr>
          <w:rFonts w:ascii="Times New Roman" w:hAnsi="Times New Roman"/>
        </w:rPr>
        <w:instrText xml:space="preserve"> REF _Ref152093649 \h  \* MERGEFORMAT </w:instrText>
      </w:r>
      <w:r>
        <w:rPr>
          <w:rFonts w:ascii="Times New Roman" w:hAnsi="Times New Roman"/>
        </w:rPr>
        <w:fldChar w:fldCharType="separate"/>
      </w:r>
      <w:r>
        <w:rPr>
          <w:rFonts w:ascii="Times New Roman" w:hAnsi="Times New Roman"/>
        </w:rPr>
        <w:t>表 3</w:t>
      </w:r>
      <w:r>
        <w:rPr>
          <w:rFonts w:ascii="Times New Roman" w:hAnsi="Times New Roman"/>
        </w:rPr>
        <w:noBreakHyphen/>
      </w:r>
      <w:r>
        <w:rPr>
          <w:rFonts w:ascii="Times New Roman" w:hAnsi="Times New Roman"/>
        </w:rPr>
        <w:t>2</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95" w:name="_Ref15209364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bookmarkEnd w:id="95"/>
      <w:r>
        <w:rPr>
          <w:rFonts w:ascii="Times New Roman" w:hAnsi="Times New Roman" w:cs="Times New Roman"/>
        </w:rPr>
        <w:t xml:space="preserve">  某施工场界下风向TSP浓度实测值（mg/m</w:t>
      </w:r>
      <w:r>
        <w:rPr>
          <w:rFonts w:ascii="Times New Roman" w:hAnsi="Times New Roman" w:cs="Times New Roman"/>
          <w:vertAlign w:val="superscript"/>
        </w:rPr>
        <w:t>3</w:t>
      </w:r>
      <w:r>
        <w:rPr>
          <w:rFonts w:ascii="Times New Roman" w:hAnsi="Times New Roman" w:cs="Times New Roman"/>
        </w:rPr>
        <w:t>）</w:t>
      </w:r>
    </w:p>
    <w:tbl>
      <w:tblPr>
        <w:tblStyle w:val="28"/>
        <w:tblW w:w="86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0"/>
        <w:gridCol w:w="922"/>
        <w:gridCol w:w="922"/>
        <w:gridCol w:w="922"/>
        <w:gridCol w:w="922"/>
        <w:gridCol w:w="922"/>
        <w:gridCol w:w="922"/>
        <w:gridCol w:w="12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0" w:type="dxa"/>
            <w:vMerge w:val="restart"/>
            <w:vAlign w:val="center"/>
          </w:tcPr>
          <w:p>
            <w:pPr>
              <w:pStyle w:val="39"/>
              <w:rPr>
                <w:rFonts w:ascii="Times New Roman" w:hAnsi="Times New Roman"/>
              </w:rPr>
            </w:pPr>
            <w:r>
              <w:rPr>
                <w:rFonts w:ascii="Times New Roman" w:hAnsi="Times New Roman"/>
              </w:rPr>
              <w:t>防尘措施</w:t>
            </w:r>
          </w:p>
        </w:tc>
        <w:tc>
          <w:tcPr>
            <w:tcW w:w="5532" w:type="dxa"/>
            <w:gridSpan w:val="6"/>
            <w:vAlign w:val="center"/>
          </w:tcPr>
          <w:p>
            <w:pPr>
              <w:pStyle w:val="39"/>
              <w:rPr>
                <w:rFonts w:ascii="Times New Roman" w:hAnsi="Times New Roman"/>
              </w:rPr>
            </w:pPr>
            <w:r>
              <w:rPr>
                <w:rFonts w:ascii="Times New Roman" w:hAnsi="Times New Roman"/>
              </w:rPr>
              <w:t>工地下风向距离（m）</w:t>
            </w:r>
          </w:p>
        </w:tc>
        <w:tc>
          <w:tcPr>
            <w:tcW w:w="1273" w:type="dxa"/>
            <w:vMerge w:val="restart"/>
            <w:vAlign w:val="center"/>
          </w:tcPr>
          <w:p>
            <w:pPr>
              <w:pStyle w:val="39"/>
              <w:rPr>
                <w:rFonts w:ascii="Times New Roman" w:hAnsi="Times New Roman"/>
              </w:rPr>
            </w:pPr>
            <w:r>
              <w:rPr>
                <w:rFonts w:ascii="Times New Roman" w:hAnsi="Times New Roman"/>
              </w:rPr>
              <w:t>工地上风向（对照点）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0" w:type="dxa"/>
            <w:vMerge w:val="continue"/>
            <w:vAlign w:val="center"/>
          </w:tcPr>
          <w:p>
            <w:pPr>
              <w:pStyle w:val="39"/>
              <w:rPr>
                <w:rFonts w:ascii="Times New Roman" w:hAnsi="Times New Roman"/>
              </w:rPr>
            </w:pPr>
          </w:p>
        </w:tc>
        <w:tc>
          <w:tcPr>
            <w:tcW w:w="922" w:type="dxa"/>
            <w:vAlign w:val="center"/>
          </w:tcPr>
          <w:p>
            <w:pPr>
              <w:pStyle w:val="39"/>
              <w:rPr>
                <w:rFonts w:ascii="Times New Roman" w:hAnsi="Times New Roman"/>
              </w:rPr>
            </w:pPr>
            <w:r>
              <w:rPr>
                <w:rFonts w:ascii="Times New Roman" w:hAnsi="Times New Roman"/>
              </w:rPr>
              <w:t>20</w:t>
            </w:r>
          </w:p>
        </w:tc>
        <w:tc>
          <w:tcPr>
            <w:tcW w:w="922" w:type="dxa"/>
            <w:vAlign w:val="center"/>
          </w:tcPr>
          <w:p>
            <w:pPr>
              <w:pStyle w:val="39"/>
              <w:rPr>
                <w:rFonts w:ascii="Times New Roman" w:hAnsi="Times New Roman"/>
              </w:rPr>
            </w:pPr>
            <w:r>
              <w:rPr>
                <w:rFonts w:ascii="Times New Roman" w:hAnsi="Times New Roman"/>
              </w:rPr>
              <w:t>50</w:t>
            </w:r>
          </w:p>
        </w:tc>
        <w:tc>
          <w:tcPr>
            <w:tcW w:w="922" w:type="dxa"/>
            <w:vAlign w:val="center"/>
          </w:tcPr>
          <w:p>
            <w:pPr>
              <w:pStyle w:val="39"/>
              <w:rPr>
                <w:rFonts w:ascii="Times New Roman" w:hAnsi="Times New Roman"/>
              </w:rPr>
            </w:pPr>
            <w:r>
              <w:rPr>
                <w:rFonts w:ascii="Times New Roman" w:hAnsi="Times New Roman"/>
              </w:rPr>
              <w:t>100</w:t>
            </w:r>
          </w:p>
        </w:tc>
        <w:tc>
          <w:tcPr>
            <w:tcW w:w="922" w:type="dxa"/>
            <w:vAlign w:val="center"/>
          </w:tcPr>
          <w:p>
            <w:pPr>
              <w:pStyle w:val="39"/>
              <w:rPr>
                <w:rFonts w:ascii="Times New Roman" w:hAnsi="Times New Roman"/>
              </w:rPr>
            </w:pPr>
            <w:r>
              <w:rPr>
                <w:rFonts w:ascii="Times New Roman" w:hAnsi="Times New Roman"/>
              </w:rPr>
              <w:t>150</w:t>
            </w:r>
          </w:p>
        </w:tc>
        <w:tc>
          <w:tcPr>
            <w:tcW w:w="922" w:type="dxa"/>
            <w:vAlign w:val="center"/>
          </w:tcPr>
          <w:p>
            <w:pPr>
              <w:pStyle w:val="39"/>
              <w:rPr>
                <w:rFonts w:ascii="Times New Roman" w:hAnsi="Times New Roman"/>
              </w:rPr>
            </w:pPr>
            <w:r>
              <w:rPr>
                <w:rFonts w:ascii="Times New Roman" w:hAnsi="Times New Roman"/>
              </w:rPr>
              <w:t>200</w:t>
            </w:r>
          </w:p>
        </w:tc>
        <w:tc>
          <w:tcPr>
            <w:tcW w:w="922" w:type="dxa"/>
            <w:vAlign w:val="center"/>
          </w:tcPr>
          <w:p>
            <w:pPr>
              <w:pStyle w:val="39"/>
              <w:rPr>
                <w:rFonts w:ascii="Times New Roman" w:hAnsi="Times New Roman"/>
              </w:rPr>
            </w:pPr>
            <w:r>
              <w:rPr>
                <w:rFonts w:ascii="Times New Roman" w:hAnsi="Times New Roman"/>
              </w:rPr>
              <w:t>250</w:t>
            </w:r>
          </w:p>
        </w:tc>
        <w:tc>
          <w:tcPr>
            <w:tcW w:w="1273"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0" w:type="dxa"/>
            <w:vAlign w:val="center"/>
          </w:tcPr>
          <w:p>
            <w:pPr>
              <w:pStyle w:val="39"/>
              <w:rPr>
                <w:rFonts w:ascii="Times New Roman" w:hAnsi="Times New Roman"/>
              </w:rPr>
            </w:pPr>
            <w:r>
              <w:rPr>
                <w:rFonts w:ascii="Times New Roman" w:hAnsi="Times New Roman"/>
              </w:rPr>
              <w:t>无</w:t>
            </w:r>
          </w:p>
        </w:tc>
        <w:tc>
          <w:tcPr>
            <w:tcW w:w="922" w:type="dxa"/>
            <w:vAlign w:val="center"/>
          </w:tcPr>
          <w:p>
            <w:pPr>
              <w:pStyle w:val="39"/>
              <w:rPr>
                <w:rFonts w:ascii="Times New Roman" w:hAnsi="Times New Roman"/>
              </w:rPr>
            </w:pPr>
            <w:r>
              <w:rPr>
                <w:rFonts w:ascii="Times New Roman" w:hAnsi="Times New Roman"/>
              </w:rPr>
              <w:t>1.303</w:t>
            </w:r>
          </w:p>
        </w:tc>
        <w:tc>
          <w:tcPr>
            <w:tcW w:w="922" w:type="dxa"/>
            <w:vAlign w:val="center"/>
          </w:tcPr>
          <w:p>
            <w:pPr>
              <w:pStyle w:val="39"/>
              <w:rPr>
                <w:rFonts w:ascii="Times New Roman" w:hAnsi="Times New Roman"/>
              </w:rPr>
            </w:pPr>
            <w:r>
              <w:rPr>
                <w:rFonts w:ascii="Times New Roman" w:hAnsi="Times New Roman"/>
              </w:rPr>
              <w:t>0.722</w:t>
            </w:r>
          </w:p>
        </w:tc>
        <w:tc>
          <w:tcPr>
            <w:tcW w:w="922" w:type="dxa"/>
            <w:vAlign w:val="center"/>
          </w:tcPr>
          <w:p>
            <w:pPr>
              <w:pStyle w:val="39"/>
              <w:rPr>
                <w:rFonts w:ascii="Times New Roman" w:hAnsi="Times New Roman"/>
              </w:rPr>
            </w:pPr>
            <w:r>
              <w:rPr>
                <w:rFonts w:ascii="Times New Roman" w:hAnsi="Times New Roman"/>
              </w:rPr>
              <w:t>0.402</w:t>
            </w:r>
          </w:p>
        </w:tc>
        <w:tc>
          <w:tcPr>
            <w:tcW w:w="922" w:type="dxa"/>
            <w:vAlign w:val="center"/>
          </w:tcPr>
          <w:p>
            <w:pPr>
              <w:pStyle w:val="39"/>
              <w:rPr>
                <w:rFonts w:ascii="Times New Roman" w:hAnsi="Times New Roman"/>
              </w:rPr>
            </w:pPr>
            <w:r>
              <w:rPr>
                <w:rFonts w:ascii="Times New Roman" w:hAnsi="Times New Roman"/>
              </w:rPr>
              <w:t>0.311</w:t>
            </w:r>
          </w:p>
        </w:tc>
        <w:tc>
          <w:tcPr>
            <w:tcW w:w="922" w:type="dxa"/>
            <w:vAlign w:val="center"/>
          </w:tcPr>
          <w:p>
            <w:pPr>
              <w:pStyle w:val="39"/>
              <w:rPr>
                <w:rFonts w:ascii="Times New Roman" w:hAnsi="Times New Roman"/>
              </w:rPr>
            </w:pPr>
            <w:r>
              <w:rPr>
                <w:rFonts w:ascii="Times New Roman" w:hAnsi="Times New Roman"/>
              </w:rPr>
              <w:t>0.270</w:t>
            </w:r>
          </w:p>
        </w:tc>
        <w:tc>
          <w:tcPr>
            <w:tcW w:w="922" w:type="dxa"/>
            <w:vAlign w:val="center"/>
          </w:tcPr>
          <w:p>
            <w:pPr>
              <w:pStyle w:val="39"/>
              <w:rPr>
                <w:rFonts w:ascii="Times New Roman" w:hAnsi="Times New Roman"/>
              </w:rPr>
            </w:pPr>
            <w:r>
              <w:rPr>
                <w:rFonts w:ascii="Times New Roman" w:hAnsi="Times New Roman"/>
              </w:rPr>
              <w:t>0.210</w:t>
            </w:r>
          </w:p>
        </w:tc>
        <w:tc>
          <w:tcPr>
            <w:tcW w:w="1273" w:type="dxa"/>
            <w:vMerge w:val="restart"/>
            <w:vAlign w:val="center"/>
          </w:tcPr>
          <w:p>
            <w:pPr>
              <w:pStyle w:val="39"/>
              <w:rPr>
                <w:rFonts w:ascii="Times New Roman" w:hAnsi="Times New Roman"/>
              </w:rPr>
            </w:pPr>
            <w:r>
              <w:rPr>
                <w:rFonts w:ascii="Times New Roman" w:hAnsi="Times New Roman"/>
              </w:rPr>
              <w:t>0.204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0" w:type="dxa"/>
            <w:vAlign w:val="center"/>
          </w:tcPr>
          <w:p>
            <w:pPr>
              <w:pStyle w:val="39"/>
              <w:rPr>
                <w:rFonts w:ascii="Times New Roman" w:hAnsi="Times New Roman"/>
              </w:rPr>
            </w:pPr>
            <w:r>
              <w:rPr>
                <w:rFonts w:ascii="Times New Roman" w:hAnsi="Times New Roman"/>
              </w:rPr>
              <w:t>有（金属围板）</w:t>
            </w:r>
          </w:p>
        </w:tc>
        <w:tc>
          <w:tcPr>
            <w:tcW w:w="922" w:type="dxa"/>
            <w:vAlign w:val="center"/>
          </w:tcPr>
          <w:p>
            <w:pPr>
              <w:pStyle w:val="39"/>
              <w:rPr>
                <w:rFonts w:ascii="Times New Roman" w:hAnsi="Times New Roman"/>
              </w:rPr>
            </w:pPr>
            <w:r>
              <w:rPr>
                <w:rFonts w:ascii="Times New Roman" w:hAnsi="Times New Roman"/>
              </w:rPr>
              <w:t>0.824</w:t>
            </w:r>
          </w:p>
        </w:tc>
        <w:tc>
          <w:tcPr>
            <w:tcW w:w="922" w:type="dxa"/>
            <w:vAlign w:val="center"/>
          </w:tcPr>
          <w:p>
            <w:pPr>
              <w:pStyle w:val="39"/>
              <w:rPr>
                <w:rFonts w:ascii="Times New Roman" w:hAnsi="Times New Roman"/>
              </w:rPr>
            </w:pPr>
            <w:r>
              <w:rPr>
                <w:rFonts w:ascii="Times New Roman" w:hAnsi="Times New Roman"/>
              </w:rPr>
              <w:t>0.426</w:t>
            </w:r>
          </w:p>
        </w:tc>
        <w:tc>
          <w:tcPr>
            <w:tcW w:w="922" w:type="dxa"/>
            <w:vAlign w:val="center"/>
          </w:tcPr>
          <w:p>
            <w:pPr>
              <w:pStyle w:val="39"/>
              <w:rPr>
                <w:rFonts w:ascii="Times New Roman" w:hAnsi="Times New Roman"/>
              </w:rPr>
            </w:pPr>
            <w:r>
              <w:rPr>
                <w:rFonts w:ascii="Times New Roman" w:hAnsi="Times New Roman"/>
              </w:rPr>
              <w:t>0.235</w:t>
            </w:r>
          </w:p>
        </w:tc>
        <w:tc>
          <w:tcPr>
            <w:tcW w:w="922" w:type="dxa"/>
            <w:vAlign w:val="center"/>
          </w:tcPr>
          <w:p>
            <w:pPr>
              <w:pStyle w:val="39"/>
              <w:rPr>
                <w:rFonts w:ascii="Times New Roman" w:hAnsi="Times New Roman"/>
              </w:rPr>
            </w:pPr>
            <w:r>
              <w:rPr>
                <w:rFonts w:ascii="Times New Roman" w:hAnsi="Times New Roman"/>
              </w:rPr>
              <w:t>0.221</w:t>
            </w:r>
          </w:p>
        </w:tc>
        <w:tc>
          <w:tcPr>
            <w:tcW w:w="922" w:type="dxa"/>
            <w:vAlign w:val="center"/>
          </w:tcPr>
          <w:p>
            <w:pPr>
              <w:pStyle w:val="39"/>
              <w:rPr>
                <w:rFonts w:ascii="Times New Roman" w:hAnsi="Times New Roman"/>
              </w:rPr>
            </w:pPr>
            <w:r>
              <w:rPr>
                <w:rFonts w:ascii="Times New Roman" w:hAnsi="Times New Roman"/>
              </w:rPr>
              <w:t>0.215</w:t>
            </w:r>
          </w:p>
        </w:tc>
        <w:tc>
          <w:tcPr>
            <w:tcW w:w="922" w:type="dxa"/>
            <w:vAlign w:val="center"/>
          </w:tcPr>
          <w:p>
            <w:pPr>
              <w:pStyle w:val="39"/>
              <w:rPr>
                <w:rFonts w:ascii="Times New Roman" w:hAnsi="Times New Roman"/>
              </w:rPr>
            </w:pPr>
            <w:r>
              <w:rPr>
                <w:rFonts w:ascii="Times New Roman" w:hAnsi="Times New Roman"/>
              </w:rPr>
              <w:t>0.206</w:t>
            </w:r>
          </w:p>
        </w:tc>
        <w:tc>
          <w:tcPr>
            <w:tcW w:w="1273" w:type="dxa"/>
            <w:vMerge w:val="continue"/>
            <w:vAlign w:val="center"/>
          </w:tcPr>
          <w:p>
            <w:pPr>
              <w:pStyle w:val="39"/>
              <w:rPr>
                <w:rFonts w:ascii="Times New Roman" w:hAnsi="Times New Roman"/>
              </w:rPr>
            </w:pPr>
          </w:p>
        </w:tc>
      </w:tr>
    </w:tbl>
    <w:p>
      <w:pPr>
        <w:ind w:firstLine="480"/>
        <w:rPr>
          <w:rFonts w:ascii="Times New Roman" w:hAnsi="Times New Roman"/>
        </w:rPr>
      </w:pPr>
    </w:p>
    <w:p>
      <w:pPr>
        <w:ind w:firstLine="480"/>
        <w:rPr>
          <w:rFonts w:ascii="Times New Roman" w:hAnsi="Times New Roman"/>
        </w:rPr>
      </w:pPr>
      <w:r>
        <w:rPr>
          <w:rFonts w:ascii="Times New Roman" w:hAnsi="Times New Roman"/>
        </w:rPr>
        <w:t>本项目管线施工为分段进行，井站等施工主要在站场内进行，相对应的施工期较短，因此，只要采取合理化管理、控制作业面积、土堆适当喷水、土堆和建筑材料遮盖、围金属板、大风天停止施工作业等措施，施工扬尘对周围环境空气的影响程度及影响范围将明显降低或缩小。</w:t>
      </w:r>
    </w:p>
    <w:p>
      <w:pPr>
        <w:ind w:firstLine="480"/>
        <w:rPr>
          <w:rFonts w:ascii="Times New Roman" w:hAnsi="Times New Roman"/>
        </w:rPr>
      </w:pPr>
      <w:r>
        <w:rPr>
          <w:rFonts w:ascii="Times New Roman" w:hAnsi="Times New Roman"/>
        </w:rPr>
        <w:t>（2）施工机械烟气及车辆尾气</w:t>
      </w:r>
    </w:p>
    <w:p>
      <w:pPr>
        <w:ind w:firstLine="480"/>
        <w:rPr>
          <w:rFonts w:ascii="Times New Roman" w:hAnsi="Times New Roman"/>
        </w:rPr>
      </w:pPr>
      <w:r>
        <w:rPr>
          <w:rFonts w:ascii="Times New Roman" w:hAnsi="Times New Roman"/>
        </w:rPr>
        <w:t>项目施工现场施工机械和运输车辆以汽、柴油为燃料，排放的少量尾气会对大气环境造成短期影响。施工设备燃烧烟气的主要污染物为CmHn、SO</w:t>
      </w:r>
      <w:r>
        <w:rPr>
          <w:rFonts w:ascii="Times New Roman" w:hAnsi="Times New Roman"/>
          <w:vertAlign w:val="subscript"/>
        </w:rPr>
        <w:t>2</w:t>
      </w:r>
      <w:r>
        <w:rPr>
          <w:rFonts w:ascii="Times New Roman" w:hAnsi="Times New Roman"/>
        </w:rPr>
        <w:t>、NOx等，施工车辆排放尾气的主要污染物为NOx、CO和CmHn等，会对下风向和运输道路沿线区域环境空气产生不利影响。</w:t>
      </w:r>
    </w:p>
    <w:p>
      <w:pPr>
        <w:ind w:firstLine="480"/>
        <w:rPr>
          <w:rFonts w:ascii="Times New Roman" w:hAnsi="Times New Roman"/>
        </w:rPr>
      </w:pPr>
      <w:r>
        <w:rPr>
          <w:rFonts w:ascii="Times New Roman" w:hAnsi="Times New Roman"/>
        </w:rPr>
        <w:t>由于施工机械使用、施工建材运输等施工过程全部是随着管道的敷设情况而进行的，因此施工废气污染源一般均为流动源，并且为间歇、短暂性排放，随着相应施工活动的结束而结束，管道敷设及其各项附属工程均为野外露天工作环境，污染物扩散条件较好，对周围环境影响较小。</w:t>
      </w:r>
    </w:p>
    <w:p>
      <w:pPr>
        <w:ind w:firstLine="480"/>
        <w:rPr>
          <w:rFonts w:ascii="Times New Roman" w:hAnsi="Times New Roman"/>
        </w:rPr>
      </w:pPr>
      <w:r>
        <w:rPr>
          <w:rFonts w:ascii="Times New Roman" w:hAnsi="Times New Roman"/>
        </w:rPr>
        <w:t>（3）焊接烟尘</w:t>
      </w:r>
    </w:p>
    <w:p>
      <w:pPr>
        <w:ind w:firstLine="480"/>
        <w:rPr>
          <w:rFonts w:ascii="Times New Roman" w:hAnsi="Times New Roman"/>
        </w:rPr>
      </w:pPr>
      <w:r>
        <w:rPr>
          <w:rFonts w:ascii="Times New Roman" w:hAnsi="Times New Roman"/>
        </w:rPr>
        <w:t>工程在设备安装、管道连接等使用焊接，产生焊接烟尘。焊接方式主要采用电弧焊。本工程敷设管道较短，焊接点位较少，因此，项目焊接烟尘产生量较少，当施工结束后，对周围环境影响将随之消失。</w:t>
      </w:r>
    </w:p>
    <w:p>
      <w:pPr>
        <w:pStyle w:val="5"/>
        <w:rPr>
          <w:rFonts w:ascii="Times New Roman" w:hAnsi="Times New Roman"/>
        </w:rPr>
      </w:pPr>
      <w:r>
        <w:rPr>
          <w:rFonts w:ascii="Times New Roman" w:hAnsi="Times New Roman"/>
        </w:rPr>
        <w:t>噪声</w:t>
      </w:r>
    </w:p>
    <w:p>
      <w:pPr>
        <w:ind w:firstLine="480"/>
        <w:rPr>
          <w:rFonts w:ascii="Times New Roman" w:hAnsi="Times New Roman"/>
        </w:rPr>
      </w:pPr>
      <w:r>
        <w:rPr>
          <w:rFonts w:ascii="Times New Roman" w:hAnsi="Times New Roman"/>
        </w:rPr>
        <w:t>管材的运输、场地的平整、管沟开挖、站场建设等施工过程中，因使用各种机械工具和车辆而产生噪声污染，其排放强度根据装卸、运输的车辆和工具的型号不同有所不同，一般约81～90dB(A)，具有间断性和暂时性。类比同类工程施工机械的噪声源强，确定本工程施工机械的噪声源强见</w:t>
      </w:r>
      <w:r>
        <w:rPr>
          <w:rFonts w:ascii="Times New Roman" w:hAnsi="Times New Roman"/>
        </w:rPr>
        <w:fldChar w:fldCharType="begin"/>
      </w:r>
      <w:r>
        <w:rPr>
          <w:rFonts w:ascii="Times New Roman" w:hAnsi="Times New Roman"/>
        </w:rPr>
        <w:instrText xml:space="preserve"> REF _Ref152094109 \h  \* MERGEFORMAT </w:instrText>
      </w:r>
      <w:r>
        <w:rPr>
          <w:rFonts w:ascii="Times New Roman" w:hAnsi="Times New Roman"/>
        </w:rPr>
        <w:fldChar w:fldCharType="separate"/>
      </w:r>
      <w:r>
        <w:rPr>
          <w:rFonts w:ascii="Times New Roman" w:hAnsi="Times New Roman"/>
        </w:rPr>
        <w:t>表 3</w:t>
      </w:r>
      <w:r>
        <w:rPr>
          <w:rFonts w:ascii="Times New Roman" w:hAnsi="Times New Roman"/>
        </w:rPr>
        <w:noBreakHyphen/>
      </w:r>
      <w:r>
        <w:rPr>
          <w:rFonts w:ascii="Times New Roman" w:hAnsi="Times New Roman"/>
        </w:rPr>
        <w:t>3</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96" w:name="_Ref15209410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bookmarkEnd w:id="96"/>
      <w:r>
        <w:rPr>
          <w:rFonts w:ascii="Times New Roman" w:hAnsi="Times New Roman" w:cs="Times New Roman"/>
        </w:rPr>
        <w:t xml:space="preserve">  施工机具噪声源强一览表</w:t>
      </w:r>
    </w:p>
    <w:tbl>
      <w:tblPr>
        <w:tblStyle w:val="28"/>
        <w:tblW w:w="85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905"/>
        <w:gridCol w:w="1659"/>
        <w:gridCol w:w="2058"/>
        <w:gridCol w:w="14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Align w:val="center"/>
          </w:tcPr>
          <w:p>
            <w:pPr>
              <w:pStyle w:val="39"/>
              <w:rPr>
                <w:rFonts w:ascii="Times New Roman" w:hAnsi="Times New Roman"/>
              </w:rPr>
            </w:pPr>
            <w:r>
              <w:rPr>
                <w:rFonts w:ascii="Times New Roman" w:hAnsi="Times New Roman"/>
              </w:rPr>
              <w:t>序号</w:t>
            </w:r>
          </w:p>
        </w:tc>
        <w:tc>
          <w:tcPr>
            <w:tcW w:w="1905" w:type="dxa"/>
            <w:vAlign w:val="center"/>
          </w:tcPr>
          <w:p>
            <w:pPr>
              <w:pStyle w:val="39"/>
              <w:rPr>
                <w:rFonts w:ascii="Times New Roman" w:hAnsi="Times New Roman"/>
              </w:rPr>
            </w:pPr>
            <w:r>
              <w:rPr>
                <w:rFonts w:ascii="Times New Roman" w:hAnsi="Times New Roman"/>
              </w:rPr>
              <w:t>机械、车辆名称</w:t>
            </w:r>
          </w:p>
        </w:tc>
        <w:tc>
          <w:tcPr>
            <w:tcW w:w="1659" w:type="dxa"/>
            <w:vAlign w:val="center"/>
          </w:tcPr>
          <w:p>
            <w:pPr>
              <w:pStyle w:val="39"/>
              <w:rPr>
                <w:rFonts w:ascii="Times New Roman" w:hAnsi="Times New Roman"/>
              </w:rPr>
            </w:pPr>
            <w:r>
              <w:rPr>
                <w:rFonts w:ascii="Times New Roman" w:hAnsi="Times New Roman"/>
              </w:rPr>
              <w:t>测点距离（m）</w:t>
            </w:r>
          </w:p>
        </w:tc>
        <w:tc>
          <w:tcPr>
            <w:tcW w:w="2058" w:type="dxa"/>
            <w:vAlign w:val="center"/>
          </w:tcPr>
          <w:p>
            <w:pPr>
              <w:pStyle w:val="39"/>
              <w:rPr>
                <w:rFonts w:ascii="Times New Roman" w:hAnsi="Times New Roman"/>
              </w:rPr>
            </w:pPr>
            <w:r>
              <w:rPr>
                <w:rFonts w:ascii="Times New Roman" w:hAnsi="Times New Roman"/>
              </w:rPr>
              <w:t>噪声值（dB（A））</w:t>
            </w:r>
          </w:p>
        </w:tc>
        <w:tc>
          <w:tcPr>
            <w:tcW w:w="1497" w:type="dxa"/>
            <w:vAlign w:val="center"/>
          </w:tcPr>
          <w:p>
            <w:pPr>
              <w:pStyle w:val="39"/>
              <w:rPr>
                <w:rFonts w:ascii="Times New Roman" w:hAnsi="Times New Roman"/>
              </w:rPr>
            </w:pPr>
            <w:r>
              <w:rPr>
                <w:rFonts w:ascii="Times New Roman" w:hAnsi="Times New Roman"/>
              </w:rPr>
              <w:t>产生方式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Align w:val="center"/>
          </w:tcPr>
          <w:p>
            <w:pPr>
              <w:pStyle w:val="39"/>
              <w:rPr>
                <w:rFonts w:ascii="Times New Roman" w:hAnsi="Times New Roman"/>
              </w:rPr>
            </w:pPr>
            <w:r>
              <w:rPr>
                <w:rFonts w:ascii="Times New Roman" w:hAnsi="Times New Roman"/>
              </w:rPr>
              <w:t>1</w:t>
            </w:r>
          </w:p>
        </w:tc>
        <w:tc>
          <w:tcPr>
            <w:tcW w:w="1905" w:type="dxa"/>
            <w:vAlign w:val="center"/>
          </w:tcPr>
          <w:p>
            <w:pPr>
              <w:pStyle w:val="39"/>
              <w:rPr>
                <w:rFonts w:ascii="Times New Roman" w:hAnsi="Times New Roman"/>
              </w:rPr>
            </w:pPr>
            <w:r>
              <w:rPr>
                <w:rFonts w:ascii="Times New Roman" w:hAnsi="Times New Roman"/>
              </w:rPr>
              <w:t>挖掘机</w:t>
            </w:r>
          </w:p>
        </w:tc>
        <w:tc>
          <w:tcPr>
            <w:tcW w:w="1659" w:type="dxa"/>
            <w:vAlign w:val="center"/>
          </w:tcPr>
          <w:p>
            <w:pPr>
              <w:pStyle w:val="39"/>
              <w:rPr>
                <w:rFonts w:ascii="Times New Roman" w:hAnsi="Times New Roman"/>
              </w:rPr>
            </w:pPr>
            <w:r>
              <w:rPr>
                <w:rFonts w:ascii="Times New Roman" w:hAnsi="Times New Roman"/>
              </w:rPr>
              <w:t>5</w:t>
            </w:r>
          </w:p>
        </w:tc>
        <w:tc>
          <w:tcPr>
            <w:tcW w:w="2058" w:type="dxa"/>
            <w:vAlign w:val="center"/>
          </w:tcPr>
          <w:p>
            <w:pPr>
              <w:pStyle w:val="39"/>
              <w:rPr>
                <w:rFonts w:ascii="Times New Roman" w:hAnsi="Times New Roman"/>
              </w:rPr>
            </w:pPr>
            <w:r>
              <w:rPr>
                <w:rFonts w:ascii="Times New Roman" w:hAnsi="Times New Roman"/>
              </w:rPr>
              <w:t>84</w:t>
            </w:r>
          </w:p>
        </w:tc>
        <w:tc>
          <w:tcPr>
            <w:tcW w:w="1497" w:type="dxa"/>
            <w:vAlign w:val="center"/>
          </w:tcPr>
          <w:p>
            <w:pPr>
              <w:pStyle w:val="39"/>
              <w:rPr>
                <w:rFonts w:ascii="Times New Roman" w:hAnsi="Times New Roman"/>
              </w:rPr>
            </w:pPr>
            <w:r>
              <w:rPr>
                <w:rFonts w:ascii="Times New Roman" w:hAnsi="Times New Roman"/>
              </w:rPr>
              <w:t>间歇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Align w:val="center"/>
          </w:tcPr>
          <w:p>
            <w:pPr>
              <w:pStyle w:val="39"/>
              <w:rPr>
                <w:rFonts w:ascii="Times New Roman" w:hAnsi="Times New Roman"/>
              </w:rPr>
            </w:pPr>
            <w:r>
              <w:rPr>
                <w:rFonts w:ascii="Times New Roman" w:hAnsi="Times New Roman"/>
              </w:rPr>
              <w:t>2</w:t>
            </w:r>
          </w:p>
        </w:tc>
        <w:tc>
          <w:tcPr>
            <w:tcW w:w="1905" w:type="dxa"/>
            <w:vAlign w:val="center"/>
          </w:tcPr>
          <w:p>
            <w:pPr>
              <w:pStyle w:val="39"/>
              <w:rPr>
                <w:rFonts w:ascii="Times New Roman" w:hAnsi="Times New Roman"/>
              </w:rPr>
            </w:pPr>
            <w:r>
              <w:rPr>
                <w:rFonts w:ascii="Times New Roman" w:hAnsi="Times New Roman"/>
              </w:rPr>
              <w:t>推土机</w:t>
            </w:r>
          </w:p>
        </w:tc>
        <w:tc>
          <w:tcPr>
            <w:tcW w:w="1659" w:type="dxa"/>
            <w:vAlign w:val="center"/>
          </w:tcPr>
          <w:p>
            <w:pPr>
              <w:pStyle w:val="39"/>
              <w:rPr>
                <w:rFonts w:ascii="Times New Roman" w:hAnsi="Times New Roman"/>
              </w:rPr>
            </w:pPr>
            <w:r>
              <w:rPr>
                <w:rFonts w:ascii="Times New Roman" w:hAnsi="Times New Roman"/>
              </w:rPr>
              <w:t>5</w:t>
            </w:r>
          </w:p>
        </w:tc>
        <w:tc>
          <w:tcPr>
            <w:tcW w:w="2058" w:type="dxa"/>
            <w:vAlign w:val="center"/>
          </w:tcPr>
          <w:p>
            <w:pPr>
              <w:pStyle w:val="39"/>
              <w:rPr>
                <w:rFonts w:ascii="Times New Roman" w:hAnsi="Times New Roman"/>
              </w:rPr>
            </w:pPr>
            <w:r>
              <w:rPr>
                <w:rFonts w:ascii="Times New Roman" w:hAnsi="Times New Roman"/>
              </w:rPr>
              <w:t>86</w:t>
            </w:r>
          </w:p>
        </w:tc>
        <w:tc>
          <w:tcPr>
            <w:tcW w:w="1497" w:type="dxa"/>
            <w:vAlign w:val="center"/>
          </w:tcPr>
          <w:p>
            <w:pPr>
              <w:pStyle w:val="39"/>
              <w:rPr>
                <w:rFonts w:ascii="Times New Roman" w:hAnsi="Times New Roman"/>
              </w:rPr>
            </w:pPr>
            <w:r>
              <w:rPr>
                <w:rFonts w:ascii="Times New Roman" w:hAnsi="Times New Roman"/>
              </w:rPr>
              <w:t>间歇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Align w:val="center"/>
          </w:tcPr>
          <w:p>
            <w:pPr>
              <w:pStyle w:val="39"/>
              <w:rPr>
                <w:rFonts w:ascii="Times New Roman" w:hAnsi="Times New Roman"/>
              </w:rPr>
            </w:pPr>
            <w:r>
              <w:rPr>
                <w:rFonts w:ascii="Times New Roman" w:hAnsi="Times New Roman"/>
              </w:rPr>
              <w:t>3</w:t>
            </w:r>
          </w:p>
        </w:tc>
        <w:tc>
          <w:tcPr>
            <w:tcW w:w="1905" w:type="dxa"/>
            <w:vAlign w:val="center"/>
          </w:tcPr>
          <w:p>
            <w:pPr>
              <w:pStyle w:val="39"/>
              <w:rPr>
                <w:rFonts w:ascii="Times New Roman" w:hAnsi="Times New Roman"/>
              </w:rPr>
            </w:pPr>
            <w:r>
              <w:rPr>
                <w:rFonts w:ascii="Times New Roman" w:hAnsi="Times New Roman"/>
              </w:rPr>
              <w:t>电焊机</w:t>
            </w:r>
          </w:p>
        </w:tc>
        <w:tc>
          <w:tcPr>
            <w:tcW w:w="1659" w:type="dxa"/>
            <w:vAlign w:val="center"/>
          </w:tcPr>
          <w:p>
            <w:pPr>
              <w:pStyle w:val="39"/>
              <w:rPr>
                <w:rFonts w:ascii="Times New Roman" w:hAnsi="Times New Roman"/>
              </w:rPr>
            </w:pPr>
            <w:r>
              <w:rPr>
                <w:rFonts w:ascii="Times New Roman" w:hAnsi="Times New Roman"/>
              </w:rPr>
              <w:t>1</w:t>
            </w:r>
          </w:p>
        </w:tc>
        <w:tc>
          <w:tcPr>
            <w:tcW w:w="2058" w:type="dxa"/>
            <w:vAlign w:val="center"/>
          </w:tcPr>
          <w:p>
            <w:pPr>
              <w:pStyle w:val="39"/>
              <w:rPr>
                <w:rFonts w:ascii="Times New Roman" w:hAnsi="Times New Roman"/>
              </w:rPr>
            </w:pPr>
            <w:r>
              <w:rPr>
                <w:rFonts w:ascii="Times New Roman" w:hAnsi="Times New Roman"/>
              </w:rPr>
              <w:t>87</w:t>
            </w:r>
          </w:p>
        </w:tc>
        <w:tc>
          <w:tcPr>
            <w:tcW w:w="1497" w:type="dxa"/>
            <w:vAlign w:val="center"/>
          </w:tcPr>
          <w:p>
            <w:pPr>
              <w:pStyle w:val="39"/>
              <w:rPr>
                <w:rFonts w:ascii="Times New Roman" w:hAnsi="Times New Roman"/>
              </w:rPr>
            </w:pPr>
            <w:r>
              <w:rPr>
                <w:rFonts w:ascii="Times New Roman" w:hAnsi="Times New Roman"/>
              </w:rPr>
              <w:t>间歇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Align w:val="center"/>
          </w:tcPr>
          <w:p>
            <w:pPr>
              <w:pStyle w:val="39"/>
              <w:rPr>
                <w:rFonts w:ascii="Times New Roman" w:hAnsi="Times New Roman"/>
              </w:rPr>
            </w:pPr>
            <w:r>
              <w:rPr>
                <w:rFonts w:ascii="Times New Roman" w:hAnsi="Times New Roman"/>
              </w:rPr>
              <w:t>4</w:t>
            </w:r>
          </w:p>
        </w:tc>
        <w:tc>
          <w:tcPr>
            <w:tcW w:w="1905" w:type="dxa"/>
            <w:vAlign w:val="center"/>
          </w:tcPr>
          <w:p>
            <w:pPr>
              <w:pStyle w:val="39"/>
              <w:rPr>
                <w:rFonts w:ascii="Times New Roman" w:hAnsi="Times New Roman"/>
              </w:rPr>
            </w:pPr>
            <w:r>
              <w:rPr>
                <w:rFonts w:ascii="Times New Roman" w:hAnsi="Times New Roman"/>
              </w:rPr>
              <w:t>轮式装载机</w:t>
            </w:r>
          </w:p>
        </w:tc>
        <w:tc>
          <w:tcPr>
            <w:tcW w:w="1659" w:type="dxa"/>
            <w:vAlign w:val="center"/>
          </w:tcPr>
          <w:p>
            <w:pPr>
              <w:pStyle w:val="39"/>
              <w:rPr>
                <w:rFonts w:ascii="Times New Roman" w:hAnsi="Times New Roman"/>
              </w:rPr>
            </w:pPr>
            <w:r>
              <w:rPr>
                <w:rFonts w:ascii="Times New Roman" w:hAnsi="Times New Roman"/>
              </w:rPr>
              <w:t>5</w:t>
            </w:r>
          </w:p>
        </w:tc>
        <w:tc>
          <w:tcPr>
            <w:tcW w:w="2058" w:type="dxa"/>
            <w:vAlign w:val="center"/>
          </w:tcPr>
          <w:p>
            <w:pPr>
              <w:pStyle w:val="39"/>
              <w:rPr>
                <w:rFonts w:ascii="Times New Roman" w:hAnsi="Times New Roman"/>
              </w:rPr>
            </w:pPr>
            <w:r>
              <w:rPr>
                <w:rFonts w:ascii="Times New Roman" w:hAnsi="Times New Roman"/>
              </w:rPr>
              <w:t>90</w:t>
            </w:r>
          </w:p>
        </w:tc>
        <w:tc>
          <w:tcPr>
            <w:tcW w:w="1497" w:type="dxa"/>
            <w:vAlign w:val="center"/>
          </w:tcPr>
          <w:p>
            <w:pPr>
              <w:pStyle w:val="39"/>
              <w:rPr>
                <w:rFonts w:ascii="Times New Roman" w:hAnsi="Times New Roman"/>
              </w:rPr>
            </w:pPr>
            <w:r>
              <w:rPr>
                <w:rFonts w:ascii="Times New Roman" w:hAnsi="Times New Roman"/>
              </w:rPr>
              <w:t>间歇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Align w:val="center"/>
          </w:tcPr>
          <w:p>
            <w:pPr>
              <w:pStyle w:val="39"/>
              <w:rPr>
                <w:rFonts w:ascii="Times New Roman" w:hAnsi="Times New Roman"/>
              </w:rPr>
            </w:pPr>
            <w:r>
              <w:rPr>
                <w:rFonts w:ascii="Times New Roman" w:hAnsi="Times New Roman"/>
              </w:rPr>
              <w:t>5</w:t>
            </w:r>
          </w:p>
        </w:tc>
        <w:tc>
          <w:tcPr>
            <w:tcW w:w="1905" w:type="dxa"/>
            <w:vAlign w:val="center"/>
          </w:tcPr>
          <w:p>
            <w:pPr>
              <w:pStyle w:val="39"/>
              <w:rPr>
                <w:rFonts w:ascii="Times New Roman" w:hAnsi="Times New Roman"/>
              </w:rPr>
            </w:pPr>
            <w:r>
              <w:rPr>
                <w:rFonts w:ascii="Times New Roman" w:hAnsi="Times New Roman"/>
              </w:rPr>
              <w:t>吊管机</w:t>
            </w:r>
          </w:p>
        </w:tc>
        <w:tc>
          <w:tcPr>
            <w:tcW w:w="1659" w:type="dxa"/>
            <w:vAlign w:val="center"/>
          </w:tcPr>
          <w:p>
            <w:pPr>
              <w:pStyle w:val="39"/>
              <w:rPr>
                <w:rFonts w:ascii="Times New Roman" w:hAnsi="Times New Roman"/>
              </w:rPr>
            </w:pPr>
            <w:r>
              <w:rPr>
                <w:rFonts w:ascii="Times New Roman" w:hAnsi="Times New Roman"/>
              </w:rPr>
              <w:t>5</w:t>
            </w:r>
          </w:p>
        </w:tc>
        <w:tc>
          <w:tcPr>
            <w:tcW w:w="2058" w:type="dxa"/>
            <w:vAlign w:val="center"/>
          </w:tcPr>
          <w:p>
            <w:pPr>
              <w:pStyle w:val="39"/>
              <w:rPr>
                <w:rFonts w:ascii="Times New Roman" w:hAnsi="Times New Roman"/>
              </w:rPr>
            </w:pPr>
            <w:r>
              <w:rPr>
                <w:rFonts w:ascii="Times New Roman" w:hAnsi="Times New Roman"/>
              </w:rPr>
              <w:t>81</w:t>
            </w:r>
          </w:p>
        </w:tc>
        <w:tc>
          <w:tcPr>
            <w:tcW w:w="1497" w:type="dxa"/>
            <w:vAlign w:val="center"/>
          </w:tcPr>
          <w:p>
            <w:pPr>
              <w:pStyle w:val="39"/>
              <w:rPr>
                <w:rFonts w:ascii="Times New Roman" w:hAnsi="Times New Roman"/>
              </w:rPr>
            </w:pPr>
            <w:r>
              <w:rPr>
                <w:rFonts w:ascii="Times New Roman" w:hAnsi="Times New Roman"/>
              </w:rPr>
              <w:t>间歇</w:t>
            </w:r>
          </w:p>
        </w:tc>
      </w:tr>
    </w:tbl>
    <w:p>
      <w:pPr>
        <w:pStyle w:val="5"/>
        <w:rPr>
          <w:rFonts w:ascii="Times New Roman" w:hAnsi="Times New Roman"/>
        </w:rPr>
      </w:pPr>
      <w:r>
        <w:rPr>
          <w:rFonts w:ascii="Times New Roman" w:hAnsi="Times New Roman"/>
        </w:rPr>
        <w:t>固体废物</w:t>
      </w:r>
    </w:p>
    <w:p>
      <w:pPr>
        <w:ind w:firstLine="480"/>
        <w:rPr>
          <w:rFonts w:ascii="Times New Roman" w:hAnsi="Times New Roman"/>
        </w:rPr>
      </w:pPr>
      <w:r>
        <w:rPr>
          <w:rFonts w:ascii="Times New Roman" w:hAnsi="Times New Roman"/>
        </w:rPr>
        <w:t>施工期产生的固体废物主要包括施工废料、工程弃土和弃渣、建筑垃圾、施工人员产生的生活垃圾。</w:t>
      </w:r>
    </w:p>
    <w:p>
      <w:pPr>
        <w:ind w:firstLine="480"/>
        <w:rPr>
          <w:rFonts w:ascii="Times New Roman" w:hAnsi="Times New Roman"/>
        </w:rPr>
      </w:pPr>
      <w:r>
        <w:rPr>
          <w:rFonts w:ascii="Times New Roman" w:hAnsi="Times New Roman"/>
        </w:rPr>
        <w:t>（1）施工废料</w:t>
      </w:r>
    </w:p>
    <w:p>
      <w:pPr>
        <w:ind w:firstLine="480"/>
        <w:rPr>
          <w:rFonts w:ascii="Times New Roman" w:hAnsi="Times New Roman"/>
        </w:rPr>
      </w:pPr>
      <w:r>
        <w:rPr>
          <w:rFonts w:ascii="Times New Roman" w:hAnsi="Times New Roman"/>
        </w:rPr>
        <w:t>本项目管线运至施工现场前，已进行了相应的防腐处理；因此，施工废料主要包括废包装材料、废焊条、截断管材等。根据类比调查，井站施工废料产生量约1t/井站；管线施工废料的产生量约0.1t/km，新建集输管线约29.6km，则管线施工废料产生量为2.96t。施工废料总计3.96t，由施工单位回收或外售废品回收站处置。</w:t>
      </w:r>
    </w:p>
    <w:p>
      <w:pPr>
        <w:ind w:firstLine="480"/>
        <w:rPr>
          <w:rFonts w:ascii="Times New Roman" w:hAnsi="Times New Roman"/>
        </w:rPr>
      </w:pPr>
      <w:r>
        <w:rPr>
          <w:rFonts w:ascii="Times New Roman" w:hAnsi="Times New Roman"/>
        </w:rPr>
        <w:t>（2）工程弃土、弃渣</w:t>
      </w:r>
    </w:p>
    <w:p>
      <w:pPr>
        <w:ind w:firstLine="480"/>
        <w:rPr>
          <w:rFonts w:ascii="Times New Roman" w:hAnsi="Times New Roman"/>
        </w:rPr>
      </w:pPr>
      <w:r>
        <w:rPr>
          <w:rFonts w:ascii="Times New Roman" w:hAnsi="Times New Roman"/>
        </w:rPr>
        <w:t>施工过程中土石方主要来自井站、清管站等建设、管沟开挖等。项目在建设过程中土石方量依据施工工艺进行调配，按照不同施工工艺分别进行平衡，尽量做到施工区土石方平衡。</w:t>
      </w:r>
    </w:p>
    <w:p>
      <w:pPr>
        <w:ind w:firstLine="480"/>
        <w:rPr>
          <w:rFonts w:ascii="Times New Roman" w:hAnsi="Times New Roman"/>
        </w:rPr>
      </w:pPr>
      <w:r>
        <w:rPr>
          <w:rFonts w:ascii="Times New Roman" w:hAnsi="Times New Roman"/>
        </w:rPr>
        <w:t>1）在林地开挖管沟时，表层土和下层土分开堆放，管沟回填按下层土、表层土顺序填放。回填后管沟上方留有自然沉降余量，多余土方就近平整。</w:t>
      </w:r>
    </w:p>
    <w:p>
      <w:pPr>
        <w:ind w:firstLine="480"/>
        <w:rPr>
          <w:rFonts w:ascii="Times New Roman" w:hAnsi="Times New Roman"/>
        </w:rPr>
      </w:pPr>
      <w:r>
        <w:rPr>
          <w:rFonts w:ascii="Times New Roman" w:hAnsi="Times New Roman"/>
        </w:rPr>
        <w:t>2）井站、清管站等及放空区便道需清理林地地表植被，进行植被剥离，剥离的表土单独存放，部分用于放空区便道道路护坡，部分外弃至指定地点。其中清管站、宣探阀室均有弃方量，分别约为10000m</w:t>
      </w:r>
      <w:r>
        <w:rPr>
          <w:rFonts w:ascii="Times New Roman" w:hAnsi="Times New Roman"/>
          <w:vertAlign w:val="superscript"/>
        </w:rPr>
        <w:t>3</w:t>
      </w:r>
      <w:r>
        <w:rPr>
          <w:rFonts w:ascii="Times New Roman" w:hAnsi="Times New Roman"/>
        </w:rPr>
        <w:t>、4500m</w:t>
      </w:r>
      <w:r>
        <w:rPr>
          <w:rFonts w:ascii="Times New Roman" w:hAnsi="Times New Roman"/>
          <w:vertAlign w:val="superscript"/>
        </w:rPr>
        <w:t>3</w:t>
      </w:r>
      <w:r>
        <w:rPr>
          <w:rFonts w:ascii="Times New Roman" w:hAnsi="Times New Roman"/>
        </w:rPr>
        <w:t>，共计14500m</w:t>
      </w:r>
      <w:r>
        <w:rPr>
          <w:rFonts w:ascii="Times New Roman" w:hAnsi="Times New Roman"/>
          <w:vertAlign w:val="superscript"/>
        </w:rPr>
        <w:t>3</w:t>
      </w:r>
      <w:r>
        <w:rPr>
          <w:rFonts w:ascii="Times New Roman" w:hAnsi="Times New Roman"/>
        </w:rPr>
        <w:t>。</w:t>
      </w:r>
    </w:p>
    <w:p>
      <w:pPr>
        <w:ind w:firstLine="480"/>
        <w:rPr>
          <w:rFonts w:ascii="Times New Roman" w:hAnsi="Times New Roman"/>
        </w:rPr>
      </w:pPr>
      <w:r>
        <w:rPr>
          <w:rFonts w:ascii="Times New Roman" w:hAnsi="Times New Roman"/>
        </w:rPr>
        <w:t>（3）建筑垃圾</w:t>
      </w:r>
    </w:p>
    <w:p>
      <w:pPr>
        <w:ind w:firstLine="480"/>
        <w:rPr>
          <w:rFonts w:ascii="Times New Roman" w:hAnsi="Times New Roman"/>
        </w:rPr>
      </w:pPr>
      <w:r>
        <w:rPr>
          <w:rFonts w:ascii="Times New Roman" w:hAnsi="Times New Roman"/>
        </w:rPr>
        <w:t>因宣探1井站和宣兴1井站目前均为水泥地面，井站施工需对部分硬化地坪进行基础开挖，对其他现有设施进行拆除。宣探1井的站内混凝土地坪拆除量为400㎡，宣兴1井的站内混凝土地坪拆除量为400㎡，混凝土挡土墙拆除量为600㎡，建渣约5m³，共计约1405 m³。统一运至建渣消纳中心处理。</w:t>
      </w:r>
    </w:p>
    <w:p>
      <w:pPr>
        <w:ind w:firstLine="480"/>
        <w:rPr>
          <w:rFonts w:ascii="Times New Roman" w:hAnsi="Times New Roman"/>
        </w:rPr>
      </w:pPr>
      <w:r>
        <w:rPr>
          <w:rFonts w:ascii="Times New Roman" w:hAnsi="Times New Roman"/>
        </w:rPr>
        <w:t>（4）生活垃圾</w:t>
      </w:r>
    </w:p>
    <w:p>
      <w:pPr>
        <w:ind w:firstLine="480"/>
        <w:rPr>
          <w:rFonts w:ascii="Times New Roman" w:hAnsi="Times New Roman"/>
        </w:rPr>
      </w:pPr>
      <w:r>
        <w:rPr>
          <w:rFonts w:ascii="Times New Roman" w:hAnsi="Times New Roman"/>
        </w:rPr>
        <w:t>施工人员为100人，每人每天垃圾产生量按0.5kg计，施工期生活垃圾产生量约0.05t/d，本工程施工期6个月（180天），合计产生生活垃圾9t。生活垃圾分类收集后，委托环卫部门处理。</w:t>
      </w:r>
    </w:p>
    <w:p>
      <w:pPr>
        <w:pStyle w:val="4"/>
        <w:rPr>
          <w:rFonts w:ascii="Times New Roman" w:hAnsi="Times New Roman" w:cs="Times New Roman"/>
        </w:rPr>
      </w:pPr>
      <w:r>
        <w:rPr>
          <w:rFonts w:ascii="Times New Roman" w:hAnsi="Times New Roman" w:cs="Times New Roman"/>
        </w:rPr>
        <w:t>施工期污染源汇总</w:t>
      </w:r>
    </w:p>
    <w:p>
      <w:pPr>
        <w:ind w:firstLine="480"/>
        <w:rPr>
          <w:rFonts w:ascii="Times New Roman" w:hAnsi="Times New Roman"/>
        </w:rPr>
      </w:pPr>
      <w:r>
        <w:rPr>
          <w:rFonts w:ascii="Times New Roman" w:hAnsi="Times New Roman"/>
        </w:rPr>
        <w:t>施工期主要污染源及污染物见</w:t>
      </w:r>
      <w:r>
        <w:rPr>
          <w:rFonts w:ascii="Times New Roman" w:hAnsi="Times New Roman"/>
        </w:rPr>
        <w:fldChar w:fldCharType="begin"/>
      </w:r>
      <w:r>
        <w:rPr>
          <w:rFonts w:ascii="Times New Roman" w:hAnsi="Times New Roman"/>
        </w:rPr>
        <w:instrText xml:space="preserve"> REF _Ref152140772 \h  \* MERGEFORMAT </w:instrText>
      </w:r>
      <w:r>
        <w:rPr>
          <w:rFonts w:ascii="Times New Roman" w:hAnsi="Times New Roman"/>
        </w:rPr>
        <w:fldChar w:fldCharType="separate"/>
      </w:r>
      <w:r>
        <w:rPr>
          <w:rFonts w:ascii="Times New Roman" w:hAnsi="Times New Roman"/>
        </w:rPr>
        <w:t>表 3</w:t>
      </w:r>
      <w:r>
        <w:rPr>
          <w:rFonts w:ascii="Times New Roman" w:hAnsi="Times New Roman"/>
        </w:rPr>
        <w:noBreakHyphen/>
      </w:r>
      <w:r>
        <w:rPr>
          <w:rFonts w:ascii="Times New Roman" w:hAnsi="Times New Roman"/>
        </w:rPr>
        <w:t>4</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97" w:name="_Ref15214077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bookmarkEnd w:id="97"/>
      <w:r>
        <w:rPr>
          <w:rFonts w:ascii="Times New Roman" w:hAnsi="Times New Roman" w:cs="Times New Roman"/>
        </w:rPr>
        <w:t xml:space="preserve">  施工期主要污染源和污染物统计表</w:t>
      </w:r>
    </w:p>
    <w:tbl>
      <w:tblPr>
        <w:tblStyle w:val="28"/>
        <w:tblW w:w="85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1493"/>
        <w:gridCol w:w="1059"/>
        <w:gridCol w:w="1417"/>
        <w:gridCol w:w="1673"/>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pStyle w:val="39"/>
              <w:rPr>
                <w:rFonts w:ascii="Times New Roman" w:hAnsi="Times New Roman"/>
              </w:rPr>
            </w:pPr>
            <w:r>
              <w:rPr>
                <w:rFonts w:ascii="Times New Roman" w:hAnsi="Times New Roman"/>
              </w:rPr>
              <w:t>污染类型</w:t>
            </w:r>
          </w:p>
        </w:tc>
        <w:tc>
          <w:tcPr>
            <w:tcW w:w="1493" w:type="dxa"/>
            <w:vAlign w:val="center"/>
          </w:tcPr>
          <w:p>
            <w:pPr>
              <w:pStyle w:val="39"/>
              <w:rPr>
                <w:rFonts w:ascii="Times New Roman" w:hAnsi="Times New Roman"/>
              </w:rPr>
            </w:pPr>
            <w:r>
              <w:rPr>
                <w:rFonts w:ascii="Times New Roman" w:hAnsi="Times New Roman"/>
              </w:rPr>
              <w:t>污染源</w:t>
            </w:r>
          </w:p>
        </w:tc>
        <w:tc>
          <w:tcPr>
            <w:tcW w:w="1059" w:type="dxa"/>
            <w:vAlign w:val="center"/>
          </w:tcPr>
          <w:p>
            <w:pPr>
              <w:pStyle w:val="39"/>
              <w:rPr>
                <w:rFonts w:ascii="Times New Roman" w:hAnsi="Times New Roman"/>
              </w:rPr>
            </w:pPr>
            <w:r>
              <w:rPr>
                <w:rFonts w:ascii="Times New Roman" w:hAnsi="Times New Roman"/>
              </w:rPr>
              <w:t>排放量</w:t>
            </w:r>
          </w:p>
        </w:tc>
        <w:tc>
          <w:tcPr>
            <w:tcW w:w="1417" w:type="dxa"/>
            <w:vAlign w:val="center"/>
          </w:tcPr>
          <w:p>
            <w:pPr>
              <w:pStyle w:val="39"/>
              <w:rPr>
                <w:rFonts w:ascii="Times New Roman" w:hAnsi="Times New Roman"/>
              </w:rPr>
            </w:pPr>
            <w:r>
              <w:rPr>
                <w:rFonts w:ascii="Times New Roman" w:hAnsi="Times New Roman"/>
              </w:rPr>
              <w:t>排放方式</w:t>
            </w:r>
          </w:p>
        </w:tc>
        <w:tc>
          <w:tcPr>
            <w:tcW w:w="1673" w:type="dxa"/>
            <w:vAlign w:val="center"/>
          </w:tcPr>
          <w:p>
            <w:pPr>
              <w:pStyle w:val="39"/>
              <w:rPr>
                <w:rFonts w:ascii="Times New Roman" w:hAnsi="Times New Roman"/>
              </w:rPr>
            </w:pPr>
            <w:r>
              <w:rPr>
                <w:rFonts w:ascii="Times New Roman" w:hAnsi="Times New Roman"/>
              </w:rPr>
              <w:t>主要污染物</w:t>
            </w:r>
          </w:p>
        </w:tc>
        <w:tc>
          <w:tcPr>
            <w:tcW w:w="1619" w:type="dxa"/>
            <w:vAlign w:val="center"/>
          </w:tcPr>
          <w:p>
            <w:pPr>
              <w:pStyle w:val="39"/>
              <w:rPr>
                <w:rFonts w:ascii="Times New Roman" w:hAnsi="Times New Roman"/>
              </w:rPr>
            </w:pPr>
            <w:r>
              <w:rPr>
                <w:rFonts w:ascii="Times New Roman" w:hAnsi="Times New Roman"/>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restart"/>
            <w:vAlign w:val="center"/>
          </w:tcPr>
          <w:p>
            <w:pPr>
              <w:pStyle w:val="39"/>
              <w:rPr>
                <w:rFonts w:ascii="Times New Roman" w:hAnsi="Times New Roman"/>
              </w:rPr>
            </w:pPr>
            <w:r>
              <w:rPr>
                <w:rFonts w:ascii="Times New Roman" w:hAnsi="Times New Roman"/>
              </w:rPr>
              <w:t>废水</w:t>
            </w:r>
          </w:p>
        </w:tc>
        <w:tc>
          <w:tcPr>
            <w:tcW w:w="1493" w:type="dxa"/>
            <w:vAlign w:val="center"/>
          </w:tcPr>
          <w:p>
            <w:pPr>
              <w:pStyle w:val="39"/>
              <w:rPr>
                <w:rFonts w:ascii="Times New Roman" w:hAnsi="Times New Roman"/>
              </w:rPr>
            </w:pPr>
            <w:r>
              <w:rPr>
                <w:rFonts w:ascii="Times New Roman" w:hAnsi="Times New Roman"/>
              </w:rPr>
              <w:t>施工人员生活污水</w:t>
            </w:r>
          </w:p>
        </w:tc>
        <w:tc>
          <w:tcPr>
            <w:tcW w:w="1059" w:type="dxa"/>
            <w:vAlign w:val="center"/>
          </w:tcPr>
          <w:p>
            <w:pPr>
              <w:pStyle w:val="39"/>
              <w:rPr>
                <w:rFonts w:ascii="Times New Roman" w:hAnsi="Times New Roman"/>
              </w:rPr>
            </w:pPr>
            <w:r>
              <w:rPr>
                <w:rFonts w:ascii="Times New Roman" w:hAnsi="Times New Roman"/>
              </w:rPr>
              <w:t>1728m</w:t>
            </w:r>
            <w:r>
              <w:rPr>
                <w:rFonts w:ascii="Times New Roman" w:hAnsi="Times New Roman"/>
                <w:vertAlign w:val="superscript"/>
              </w:rPr>
              <w:t>3</w:t>
            </w:r>
          </w:p>
        </w:tc>
        <w:tc>
          <w:tcPr>
            <w:tcW w:w="1417" w:type="dxa"/>
            <w:vAlign w:val="center"/>
          </w:tcPr>
          <w:p>
            <w:pPr>
              <w:pStyle w:val="39"/>
              <w:rPr>
                <w:rFonts w:ascii="Times New Roman" w:hAnsi="Times New Roman"/>
              </w:rPr>
            </w:pPr>
            <w:r>
              <w:rPr>
                <w:rFonts w:ascii="Times New Roman" w:hAnsi="Times New Roman"/>
              </w:rPr>
              <w:t>间断</w:t>
            </w:r>
          </w:p>
        </w:tc>
        <w:tc>
          <w:tcPr>
            <w:tcW w:w="1673" w:type="dxa"/>
            <w:vAlign w:val="center"/>
          </w:tcPr>
          <w:p>
            <w:pPr>
              <w:pStyle w:val="39"/>
              <w:rPr>
                <w:rFonts w:ascii="Times New Roman" w:hAnsi="Times New Roman"/>
              </w:rPr>
            </w:pPr>
            <w:r>
              <w:rPr>
                <w:rFonts w:ascii="Times New Roman" w:hAnsi="Times New Roman"/>
              </w:rPr>
              <w:t>SS、COD、动植物油、氨氮等</w:t>
            </w:r>
          </w:p>
        </w:tc>
        <w:tc>
          <w:tcPr>
            <w:tcW w:w="1619" w:type="dxa"/>
            <w:vAlign w:val="center"/>
          </w:tcPr>
          <w:p>
            <w:pPr>
              <w:pStyle w:val="39"/>
              <w:rPr>
                <w:rFonts w:ascii="Times New Roman" w:hAnsi="Times New Roman"/>
              </w:rPr>
            </w:pPr>
            <w:r>
              <w:rPr>
                <w:rFonts w:ascii="Times New Roman" w:hAnsi="Times New Roman"/>
              </w:rPr>
              <w:t>依托当地生活污水处理系统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493" w:type="dxa"/>
            <w:vAlign w:val="center"/>
          </w:tcPr>
          <w:p>
            <w:pPr>
              <w:pStyle w:val="39"/>
              <w:rPr>
                <w:rFonts w:ascii="Times New Roman" w:hAnsi="Times New Roman"/>
              </w:rPr>
            </w:pPr>
            <w:r>
              <w:rPr>
                <w:rFonts w:ascii="Times New Roman" w:hAnsi="Times New Roman"/>
              </w:rPr>
              <w:t>试压废水</w:t>
            </w:r>
          </w:p>
        </w:tc>
        <w:tc>
          <w:tcPr>
            <w:tcW w:w="1059" w:type="dxa"/>
            <w:vAlign w:val="center"/>
          </w:tcPr>
          <w:p>
            <w:pPr>
              <w:pStyle w:val="39"/>
              <w:rPr>
                <w:rFonts w:ascii="Times New Roman" w:hAnsi="Times New Roman"/>
              </w:rPr>
            </w:pPr>
            <w:r>
              <w:rPr>
                <w:rFonts w:ascii="Times New Roman" w:hAnsi="Times New Roman"/>
              </w:rPr>
              <w:t>186 m</w:t>
            </w:r>
            <w:r>
              <w:rPr>
                <w:rFonts w:ascii="Times New Roman" w:hAnsi="Times New Roman"/>
                <w:vertAlign w:val="superscript"/>
              </w:rPr>
              <w:t>3</w:t>
            </w:r>
          </w:p>
        </w:tc>
        <w:tc>
          <w:tcPr>
            <w:tcW w:w="1417" w:type="dxa"/>
            <w:vAlign w:val="center"/>
          </w:tcPr>
          <w:p>
            <w:pPr>
              <w:pStyle w:val="39"/>
              <w:rPr>
                <w:rFonts w:ascii="Times New Roman" w:hAnsi="Times New Roman"/>
              </w:rPr>
            </w:pPr>
            <w:r>
              <w:rPr>
                <w:rFonts w:ascii="Times New Roman" w:hAnsi="Times New Roman"/>
              </w:rPr>
              <w:t>间断</w:t>
            </w:r>
          </w:p>
        </w:tc>
        <w:tc>
          <w:tcPr>
            <w:tcW w:w="1673" w:type="dxa"/>
            <w:vAlign w:val="center"/>
          </w:tcPr>
          <w:p>
            <w:pPr>
              <w:pStyle w:val="39"/>
              <w:rPr>
                <w:rFonts w:ascii="Times New Roman" w:hAnsi="Times New Roman"/>
              </w:rPr>
            </w:pPr>
            <w:r>
              <w:rPr>
                <w:rFonts w:ascii="Times New Roman" w:hAnsi="Times New Roman"/>
              </w:rPr>
              <w:t>SS</w:t>
            </w:r>
          </w:p>
        </w:tc>
        <w:tc>
          <w:tcPr>
            <w:tcW w:w="1619" w:type="dxa"/>
            <w:vAlign w:val="center"/>
          </w:tcPr>
          <w:p>
            <w:pPr>
              <w:pStyle w:val="39"/>
              <w:rPr>
                <w:rFonts w:ascii="Times New Roman" w:hAnsi="Times New Roman"/>
              </w:rPr>
            </w:pPr>
            <w:r>
              <w:rPr>
                <w:rFonts w:ascii="Times New Roman" w:hAnsi="Times New Roman"/>
              </w:rPr>
              <w:t>经沉淀过滤后排放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493" w:type="dxa"/>
            <w:vAlign w:val="center"/>
          </w:tcPr>
          <w:p>
            <w:pPr>
              <w:pStyle w:val="39"/>
              <w:rPr>
                <w:rFonts w:ascii="Times New Roman" w:hAnsi="Times New Roman"/>
              </w:rPr>
            </w:pPr>
            <w:r>
              <w:rPr>
                <w:rFonts w:ascii="Times New Roman" w:hAnsi="Times New Roman"/>
              </w:rPr>
              <w:t>施工废水</w:t>
            </w:r>
          </w:p>
        </w:tc>
        <w:tc>
          <w:tcPr>
            <w:tcW w:w="1059" w:type="dxa"/>
            <w:vAlign w:val="center"/>
          </w:tcPr>
          <w:p>
            <w:pPr>
              <w:pStyle w:val="39"/>
              <w:rPr>
                <w:rFonts w:ascii="Times New Roman" w:hAnsi="Times New Roman"/>
              </w:rPr>
            </w:pPr>
            <w:r>
              <w:rPr>
                <w:rFonts w:ascii="Times New Roman" w:hAnsi="Times New Roman"/>
              </w:rPr>
              <w:t>少量</w:t>
            </w:r>
          </w:p>
        </w:tc>
        <w:tc>
          <w:tcPr>
            <w:tcW w:w="1417" w:type="dxa"/>
            <w:vAlign w:val="center"/>
          </w:tcPr>
          <w:p>
            <w:pPr>
              <w:pStyle w:val="39"/>
              <w:rPr>
                <w:rFonts w:ascii="Times New Roman" w:hAnsi="Times New Roman"/>
              </w:rPr>
            </w:pPr>
            <w:r>
              <w:rPr>
                <w:rFonts w:ascii="Times New Roman" w:hAnsi="Times New Roman"/>
              </w:rPr>
              <w:t>间断</w:t>
            </w:r>
          </w:p>
        </w:tc>
        <w:tc>
          <w:tcPr>
            <w:tcW w:w="1673" w:type="dxa"/>
            <w:vAlign w:val="center"/>
          </w:tcPr>
          <w:p>
            <w:pPr>
              <w:pStyle w:val="39"/>
              <w:rPr>
                <w:rFonts w:ascii="Times New Roman" w:hAnsi="Times New Roman"/>
              </w:rPr>
            </w:pPr>
            <w:r>
              <w:rPr>
                <w:rFonts w:ascii="Times New Roman" w:hAnsi="Times New Roman"/>
              </w:rPr>
              <w:t>SS</w:t>
            </w:r>
          </w:p>
        </w:tc>
        <w:tc>
          <w:tcPr>
            <w:tcW w:w="1619" w:type="dxa"/>
            <w:vAlign w:val="center"/>
          </w:tcPr>
          <w:p>
            <w:pPr>
              <w:pStyle w:val="39"/>
              <w:rPr>
                <w:rFonts w:ascii="Times New Roman" w:hAnsi="Times New Roman"/>
              </w:rPr>
            </w:pPr>
            <w:r>
              <w:rPr>
                <w:rFonts w:ascii="Times New Roman" w:hAnsi="Times New Roman"/>
              </w:rPr>
              <w:t>经过沉淀后回用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restart"/>
            <w:vAlign w:val="center"/>
          </w:tcPr>
          <w:p>
            <w:pPr>
              <w:pStyle w:val="39"/>
              <w:rPr>
                <w:rFonts w:ascii="Times New Roman" w:hAnsi="Times New Roman"/>
              </w:rPr>
            </w:pPr>
            <w:r>
              <w:rPr>
                <w:rFonts w:ascii="Times New Roman" w:hAnsi="Times New Roman"/>
              </w:rPr>
              <w:t>废气</w:t>
            </w:r>
          </w:p>
        </w:tc>
        <w:tc>
          <w:tcPr>
            <w:tcW w:w="1493" w:type="dxa"/>
            <w:vAlign w:val="center"/>
          </w:tcPr>
          <w:p>
            <w:pPr>
              <w:pStyle w:val="39"/>
              <w:rPr>
                <w:rFonts w:ascii="Times New Roman" w:hAnsi="Times New Roman"/>
              </w:rPr>
            </w:pPr>
            <w:r>
              <w:rPr>
                <w:rFonts w:ascii="Times New Roman" w:hAnsi="Times New Roman"/>
              </w:rPr>
              <w:t>车辆行驶、地面开挖施工等施工扬尘</w:t>
            </w:r>
          </w:p>
        </w:tc>
        <w:tc>
          <w:tcPr>
            <w:tcW w:w="1059" w:type="dxa"/>
            <w:vAlign w:val="center"/>
          </w:tcPr>
          <w:p>
            <w:pPr>
              <w:pStyle w:val="39"/>
              <w:rPr>
                <w:rFonts w:ascii="Times New Roman" w:hAnsi="Times New Roman"/>
              </w:rPr>
            </w:pPr>
            <w:r>
              <w:rPr>
                <w:rFonts w:ascii="Times New Roman" w:hAnsi="Times New Roman"/>
              </w:rPr>
              <w:t>少量</w:t>
            </w:r>
          </w:p>
        </w:tc>
        <w:tc>
          <w:tcPr>
            <w:tcW w:w="1417" w:type="dxa"/>
            <w:vAlign w:val="center"/>
          </w:tcPr>
          <w:p>
            <w:pPr>
              <w:pStyle w:val="39"/>
              <w:rPr>
                <w:rFonts w:ascii="Times New Roman" w:hAnsi="Times New Roman"/>
              </w:rPr>
            </w:pPr>
            <w:r>
              <w:rPr>
                <w:rFonts w:ascii="Times New Roman" w:hAnsi="Times New Roman"/>
              </w:rPr>
              <w:t>间断</w:t>
            </w:r>
          </w:p>
        </w:tc>
        <w:tc>
          <w:tcPr>
            <w:tcW w:w="1673" w:type="dxa"/>
            <w:vAlign w:val="center"/>
          </w:tcPr>
          <w:p>
            <w:pPr>
              <w:pStyle w:val="39"/>
              <w:rPr>
                <w:rFonts w:ascii="Times New Roman" w:hAnsi="Times New Roman"/>
              </w:rPr>
            </w:pPr>
            <w:r>
              <w:rPr>
                <w:rFonts w:ascii="Times New Roman" w:hAnsi="Times New Roman"/>
              </w:rPr>
              <w:t>粉尘</w:t>
            </w:r>
          </w:p>
        </w:tc>
        <w:tc>
          <w:tcPr>
            <w:tcW w:w="1619" w:type="dxa"/>
            <w:vAlign w:val="center"/>
          </w:tcPr>
          <w:p>
            <w:pPr>
              <w:pStyle w:val="39"/>
              <w:rPr>
                <w:rFonts w:ascii="Times New Roman" w:hAnsi="Times New Roman"/>
              </w:rPr>
            </w:pPr>
            <w:r>
              <w:rPr>
                <w:rFonts w:ascii="Times New Roman" w:hAnsi="Times New Roman"/>
              </w:rPr>
              <w:t>环境空气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493" w:type="dxa"/>
            <w:vAlign w:val="center"/>
          </w:tcPr>
          <w:p>
            <w:pPr>
              <w:pStyle w:val="39"/>
              <w:rPr>
                <w:rFonts w:ascii="Times New Roman" w:hAnsi="Times New Roman"/>
              </w:rPr>
            </w:pPr>
            <w:r>
              <w:rPr>
                <w:rFonts w:ascii="Times New Roman" w:hAnsi="Times New Roman"/>
              </w:rPr>
              <w:t>施工机械烟气及车辆尾气</w:t>
            </w:r>
          </w:p>
        </w:tc>
        <w:tc>
          <w:tcPr>
            <w:tcW w:w="1059" w:type="dxa"/>
            <w:vAlign w:val="center"/>
          </w:tcPr>
          <w:p>
            <w:pPr>
              <w:pStyle w:val="39"/>
              <w:rPr>
                <w:rFonts w:ascii="Times New Roman" w:hAnsi="Times New Roman"/>
              </w:rPr>
            </w:pPr>
            <w:r>
              <w:rPr>
                <w:rFonts w:ascii="Times New Roman" w:hAnsi="Times New Roman"/>
              </w:rPr>
              <w:t>少量</w:t>
            </w:r>
          </w:p>
        </w:tc>
        <w:tc>
          <w:tcPr>
            <w:tcW w:w="1417" w:type="dxa"/>
            <w:vAlign w:val="center"/>
          </w:tcPr>
          <w:p>
            <w:pPr>
              <w:pStyle w:val="39"/>
              <w:rPr>
                <w:rFonts w:ascii="Times New Roman" w:hAnsi="Times New Roman"/>
              </w:rPr>
            </w:pPr>
            <w:r>
              <w:rPr>
                <w:rFonts w:ascii="Times New Roman" w:hAnsi="Times New Roman"/>
              </w:rPr>
              <w:t>间断</w:t>
            </w:r>
          </w:p>
        </w:tc>
        <w:tc>
          <w:tcPr>
            <w:tcW w:w="1673" w:type="dxa"/>
            <w:vAlign w:val="center"/>
          </w:tcPr>
          <w:p>
            <w:pPr>
              <w:pStyle w:val="39"/>
              <w:rPr>
                <w:rFonts w:ascii="Times New Roman" w:hAnsi="Times New Roman"/>
              </w:rPr>
            </w:pPr>
            <w:r>
              <w:rPr>
                <w:rFonts w:ascii="Times New Roman" w:hAnsi="Times New Roman"/>
              </w:rPr>
              <w:t>NOx、CO、SO</w:t>
            </w:r>
            <w:r>
              <w:rPr>
                <w:rFonts w:ascii="Times New Roman" w:hAnsi="Times New Roman"/>
                <w:vertAlign w:val="subscript"/>
              </w:rPr>
              <w:t>2</w:t>
            </w:r>
            <w:r>
              <w:rPr>
                <w:rFonts w:ascii="Times New Roman" w:hAnsi="Times New Roman"/>
              </w:rPr>
              <w:t>、CmHn</w:t>
            </w:r>
          </w:p>
        </w:tc>
        <w:tc>
          <w:tcPr>
            <w:tcW w:w="1619" w:type="dxa"/>
            <w:vAlign w:val="center"/>
          </w:tcPr>
          <w:p>
            <w:pPr>
              <w:pStyle w:val="39"/>
              <w:rPr>
                <w:rFonts w:ascii="Times New Roman" w:hAnsi="Times New Roman"/>
              </w:rPr>
            </w:pPr>
            <w:r>
              <w:rPr>
                <w:rFonts w:ascii="Times New Roman" w:hAnsi="Times New Roman"/>
              </w:rPr>
              <w:t>环境空气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493" w:type="dxa"/>
            <w:vAlign w:val="center"/>
          </w:tcPr>
          <w:p>
            <w:pPr>
              <w:pStyle w:val="39"/>
              <w:rPr>
                <w:rFonts w:ascii="Times New Roman" w:hAnsi="Times New Roman"/>
              </w:rPr>
            </w:pPr>
            <w:r>
              <w:rPr>
                <w:rFonts w:ascii="Times New Roman" w:hAnsi="Times New Roman"/>
              </w:rPr>
              <w:t>焊接烟尘</w:t>
            </w:r>
          </w:p>
        </w:tc>
        <w:tc>
          <w:tcPr>
            <w:tcW w:w="1059" w:type="dxa"/>
            <w:vAlign w:val="center"/>
          </w:tcPr>
          <w:p>
            <w:pPr>
              <w:pStyle w:val="39"/>
              <w:rPr>
                <w:rFonts w:ascii="Times New Roman" w:hAnsi="Times New Roman"/>
              </w:rPr>
            </w:pPr>
            <w:r>
              <w:rPr>
                <w:rFonts w:ascii="Times New Roman" w:hAnsi="Times New Roman"/>
              </w:rPr>
              <w:t>少量</w:t>
            </w:r>
          </w:p>
        </w:tc>
        <w:tc>
          <w:tcPr>
            <w:tcW w:w="1417" w:type="dxa"/>
            <w:vAlign w:val="center"/>
          </w:tcPr>
          <w:p>
            <w:pPr>
              <w:pStyle w:val="39"/>
              <w:rPr>
                <w:rFonts w:ascii="Times New Roman" w:hAnsi="Times New Roman"/>
              </w:rPr>
            </w:pPr>
            <w:r>
              <w:rPr>
                <w:rFonts w:ascii="Times New Roman" w:hAnsi="Times New Roman"/>
              </w:rPr>
              <w:t>间断</w:t>
            </w:r>
          </w:p>
        </w:tc>
        <w:tc>
          <w:tcPr>
            <w:tcW w:w="1673" w:type="dxa"/>
            <w:vAlign w:val="center"/>
          </w:tcPr>
          <w:p>
            <w:pPr>
              <w:pStyle w:val="39"/>
              <w:rPr>
                <w:rFonts w:ascii="Times New Roman" w:hAnsi="Times New Roman"/>
              </w:rPr>
            </w:pPr>
            <w:r>
              <w:rPr>
                <w:rFonts w:ascii="Times New Roman" w:hAnsi="Times New Roman"/>
              </w:rPr>
              <w:t>烟尘</w:t>
            </w:r>
          </w:p>
        </w:tc>
        <w:tc>
          <w:tcPr>
            <w:tcW w:w="1619" w:type="dxa"/>
            <w:vAlign w:val="center"/>
          </w:tcPr>
          <w:p>
            <w:pPr>
              <w:pStyle w:val="39"/>
              <w:rPr>
                <w:rFonts w:ascii="Times New Roman" w:hAnsi="Times New Roman"/>
              </w:rPr>
            </w:pPr>
            <w:r>
              <w:rPr>
                <w:rFonts w:ascii="Times New Roman" w:hAnsi="Times New Roman"/>
              </w:rPr>
              <w:t>环境空气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pStyle w:val="39"/>
              <w:rPr>
                <w:rFonts w:ascii="Times New Roman" w:hAnsi="Times New Roman"/>
              </w:rPr>
            </w:pPr>
            <w:r>
              <w:rPr>
                <w:rFonts w:ascii="Times New Roman" w:hAnsi="Times New Roman"/>
              </w:rPr>
              <w:t>噪声</w:t>
            </w:r>
          </w:p>
        </w:tc>
        <w:tc>
          <w:tcPr>
            <w:tcW w:w="1493" w:type="dxa"/>
            <w:vAlign w:val="center"/>
          </w:tcPr>
          <w:p>
            <w:pPr>
              <w:pStyle w:val="39"/>
              <w:rPr>
                <w:rFonts w:ascii="Times New Roman" w:hAnsi="Times New Roman"/>
              </w:rPr>
            </w:pPr>
            <w:r>
              <w:rPr>
                <w:rFonts w:ascii="Times New Roman" w:hAnsi="Times New Roman"/>
              </w:rPr>
              <w:t>施工机械、运输车辆噪声</w:t>
            </w:r>
          </w:p>
        </w:tc>
        <w:tc>
          <w:tcPr>
            <w:tcW w:w="1059" w:type="dxa"/>
            <w:vAlign w:val="center"/>
          </w:tcPr>
          <w:p>
            <w:pPr>
              <w:pStyle w:val="39"/>
              <w:rPr>
                <w:rFonts w:ascii="Times New Roman" w:hAnsi="Times New Roman"/>
              </w:rPr>
            </w:pPr>
            <w:r>
              <w:rPr>
                <w:rFonts w:ascii="Times New Roman" w:hAnsi="Times New Roman"/>
              </w:rPr>
              <w:t>81～90dB(A)</w:t>
            </w:r>
          </w:p>
        </w:tc>
        <w:tc>
          <w:tcPr>
            <w:tcW w:w="1417" w:type="dxa"/>
            <w:vAlign w:val="center"/>
          </w:tcPr>
          <w:p>
            <w:pPr>
              <w:pStyle w:val="39"/>
              <w:rPr>
                <w:rFonts w:ascii="Times New Roman" w:hAnsi="Times New Roman"/>
              </w:rPr>
            </w:pPr>
            <w:r>
              <w:rPr>
                <w:rFonts w:ascii="Times New Roman" w:hAnsi="Times New Roman"/>
              </w:rPr>
              <w:t>间断</w:t>
            </w:r>
          </w:p>
        </w:tc>
        <w:tc>
          <w:tcPr>
            <w:tcW w:w="1673" w:type="dxa"/>
            <w:vAlign w:val="center"/>
          </w:tcPr>
          <w:p>
            <w:pPr>
              <w:pStyle w:val="39"/>
              <w:rPr>
                <w:rFonts w:ascii="Times New Roman" w:hAnsi="Times New Roman"/>
              </w:rPr>
            </w:pPr>
            <w:r>
              <w:rPr>
                <w:rFonts w:ascii="Times New Roman" w:hAnsi="Times New Roman"/>
              </w:rPr>
              <w:t>噪声</w:t>
            </w:r>
          </w:p>
        </w:tc>
        <w:tc>
          <w:tcPr>
            <w:tcW w:w="1619" w:type="dxa"/>
            <w:vAlign w:val="center"/>
          </w:tcPr>
          <w:p>
            <w:pPr>
              <w:pStyle w:val="39"/>
              <w:rPr>
                <w:rFonts w:ascii="Times New Roman" w:hAnsi="Times New Roman"/>
              </w:rPr>
            </w:pPr>
            <w:r>
              <w:rPr>
                <w:rFonts w:ascii="Times New Roman" w:hAnsi="Times New Roman"/>
              </w:rPr>
              <w:t>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restart"/>
            <w:vAlign w:val="center"/>
          </w:tcPr>
          <w:p>
            <w:pPr>
              <w:pStyle w:val="39"/>
              <w:rPr>
                <w:rFonts w:ascii="Times New Roman" w:hAnsi="Times New Roman"/>
              </w:rPr>
            </w:pPr>
            <w:r>
              <w:rPr>
                <w:rFonts w:ascii="Times New Roman" w:hAnsi="Times New Roman"/>
              </w:rPr>
              <w:t>固体废物</w:t>
            </w:r>
          </w:p>
        </w:tc>
        <w:tc>
          <w:tcPr>
            <w:tcW w:w="1493" w:type="dxa"/>
            <w:vAlign w:val="center"/>
          </w:tcPr>
          <w:p>
            <w:pPr>
              <w:pStyle w:val="39"/>
              <w:rPr>
                <w:rFonts w:ascii="Times New Roman" w:hAnsi="Times New Roman"/>
              </w:rPr>
            </w:pPr>
            <w:r>
              <w:rPr>
                <w:rFonts w:ascii="Times New Roman" w:hAnsi="Times New Roman"/>
              </w:rPr>
              <w:t>施工废料</w:t>
            </w:r>
          </w:p>
        </w:tc>
        <w:tc>
          <w:tcPr>
            <w:tcW w:w="1059" w:type="dxa"/>
            <w:vAlign w:val="center"/>
          </w:tcPr>
          <w:p>
            <w:pPr>
              <w:pStyle w:val="39"/>
              <w:rPr>
                <w:rFonts w:ascii="Times New Roman" w:hAnsi="Times New Roman"/>
              </w:rPr>
            </w:pPr>
            <w:r>
              <w:rPr>
                <w:rFonts w:ascii="Times New Roman" w:hAnsi="Times New Roman"/>
              </w:rPr>
              <w:t>3.96t</w:t>
            </w:r>
          </w:p>
        </w:tc>
        <w:tc>
          <w:tcPr>
            <w:tcW w:w="1417" w:type="dxa"/>
            <w:vAlign w:val="center"/>
          </w:tcPr>
          <w:p>
            <w:pPr>
              <w:pStyle w:val="39"/>
              <w:rPr>
                <w:rFonts w:ascii="Times New Roman" w:hAnsi="Times New Roman"/>
              </w:rPr>
            </w:pPr>
            <w:r>
              <w:rPr>
                <w:rFonts w:ascii="Times New Roman" w:hAnsi="Times New Roman"/>
              </w:rPr>
              <w:t>间断</w:t>
            </w:r>
          </w:p>
        </w:tc>
        <w:tc>
          <w:tcPr>
            <w:tcW w:w="1673" w:type="dxa"/>
            <w:vAlign w:val="center"/>
          </w:tcPr>
          <w:p>
            <w:pPr>
              <w:pStyle w:val="39"/>
              <w:rPr>
                <w:rFonts w:ascii="Times New Roman" w:hAnsi="Times New Roman"/>
              </w:rPr>
            </w:pPr>
            <w:r>
              <w:rPr>
                <w:rFonts w:ascii="Times New Roman" w:hAnsi="Times New Roman"/>
              </w:rPr>
              <w:t>废焊条、废包装材料等</w:t>
            </w:r>
          </w:p>
        </w:tc>
        <w:tc>
          <w:tcPr>
            <w:tcW w:w="1619" w:type="dxa"/>
            <w:vAlign w:val="center"/>
          </w:tcPr>
          <w:p>
            <w:pPr>
              <w:pStyle w:val="39"/>
              <w:rPr>
                <w:rFonts w:ascii="Times New Roman" w:hAnsi="Times New Roman"/>
              </w:rPr>
            </w:pPr>
            <w:r>
              <w:rPr>
                <w:rFonts w:ascii="Times New Roman" w:hAnsi="Times New Roman"/>
              </w:rPr>
              <w:t>回收外售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493" w:type="dxa"/>
            <w:vAlign w:val="center"/>
          </w:tcPr>
          <w:p>
            <w:pPr>
              <w:pStyle w:val="39"/>
              <w:rPr>
                <w:rFonts w:ascii="Times New Roman" w:hAnsi="Times New Roman"/>
              </w:rPr>
            </w:pPr>
            <w:r>
              <w:rPr>
                <w:rFonts w:ascii="Times New Roman" w:hAnsi="Times New Roman"/>
              </w:rPr>
              <w:t>弃土弃渣</w:t>
            </w:r>
          </w:p>
        </w:tc>
        <w:tc>
          <w:tcPr>
            <w:tcW w:w="1059" w:type="dxa"/>
            <w:vAlign w:val="center"/>
          </w:tcPr>
          <w:p>
            <w:pPr>
              <w:pStyle w:val="39"/>
              <w:rPr>
                <w:rFonts w:ascii="Times New Roman" w:hAnsi="Times New Roman"/>
              </w:rPr>
            </w:pPr>
            <w:r>
              <w:rPr>
                <w:rFonts w:ascii="Times New Roman" w:hAnsi="Times New Roman"/>
              </w:rPr>
              <w:t>14620m</w:t>
            </w:r>
            <w:r>
              <w:rPr>
                <w:rFonts w:ascii="Times New Roman" w:hAnsi="Times New Roman"/>
                <w:vertAlign w:val="superscript"/>
              </w:rPr>
              <w:t>3</w:t>
            </w:r>
          </w:p>
        </w:tc>
        <w:tc>
          <w:tcPr>
            <w:tcW w:w="1417" w:type="dxa"/>
            <w:vAlign w:val="center"/>
          </w:tcPr>
          <w:p>
            <w:pPr>
              <w:pStyle w:val="39"/>
              <w:rPr>
                <w:rFonts w:ascii="Times New Roman" w:hAnsi="Times New Roman"/>
              </w:rPr>
            </w:pPr>
            <w:r>
              <w:rPr>
                <w:rFonts w:ascii="Times New Roman" w:hAnsi="Times New Roman"/>
              </w:rPr>
              <w:t>间断</w:t>
            </w:r>
          </w:p>
        </w:tc>
        <w:tc>
          <w:tcPr>
            <w:tcW w:w="1673" w:type="dxa"/>
            <w:vAlign w:val="center"/>
          </w:tcPr>
          <w:p>
            <w:pPr>
              <w:pStyle w:val="39"/>
              <w:rPr>
                <w:rFonts w:ascii="Times New Roman" w:hAnsi="Times New Roman"/>
              </w:rPr>
            </w:pPr>
            <w:r>
              <w:rPr>
                <w:rFonts w:ascii="Times New Roman" w:hAnsi="Times New Roman"/>
              </w:rPr>
              <w:t>弃土弃渣</w:t>
            </w:r>
          </w:p>
        </w:tc>
        <w:tc>
          <w:tcPr>
            <w:tcW w:w="1619" w:type="dxa"/>
            <w:vAlign w:val="center"/>
          </w:tcPr>
          <w:p>
            <w:pPr>
              <w:pStyle w:val="39"/>
              <w:rPr>
                <w:rFonts w:ascii="Times New Roman" w:hAnsi="Times New Roman"/>
              </w:rPr>
            </w:pPr>
            <w:r>
              <w:rPr>
                <w:rFonts w:ascii="Times New Roman" w:hAnsi="Times New Roman"/>
              </w:rPr>
              <w:t>指定地点外弃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493" w:type="dxa"/>
            <w:vAlign w:val="center"/>
          </w:tcPr>
          <w:p>
            <w:pPr>
              <w:pStyle w:val="39"/>
              <w:rPr>
                <w:rFonts w:ascii="Times New Roman" w:hAnsi="Times New Roman"/>
              </w:rPr>
            </w:pPr>
            <w:r>
              <w:rPr>
                <w:rFonts w:ascii="Times New Roman" w:hAnsi="Times New Roman"/>
              </w:rPr>
              <w:t>建筑垃圾</w:t>
            </w:r>
          </w:p>
        </w:tc>
        <w:tc>
          <w:tcPr>
            <w:tcW w:w="1059" w:type="dxa"/>
            <w:vAlign w:val="center"/>
          </w:tcPr>
          <w:p>
            <w:pPr>
              <w:pStyle w:val="39"/>
              <w:rPr>
                <w:rFonts w:ascii="Times New Roman" w:hAnsi="Times New Roman"/>
              </w:rPr>
            </w:pPr>
            <w:r>
              <w:rPr>
                <w:rFonts w:ascii="Times New Roman" w:hAnsi="Times New Roman"/>
              </w:rPr>
              <w:t>1405 m</w:t>
            </w:r>
            <w:r>
              <w:rPr>
                <w:rFonts w:ascii="Times New Roman" w:hAnsi="Times New Roman"/>
                <w:vertAlign w:val="superscript"/>
              </w:rPr>
              <w:t>3</w:t>
            </w:r>
          </w:p>
        </w:tc>
        <w:tc>
          <w:tcPr>
            <w:tcW w:w="1417" w:type="dxa"/>
            <w:vAlign w:val="center"/>
          </w:tcPr>
          <w:p>
            <w:pPr>
              <w:pStyle w:val="39"/>
              <w:rPr>
                <w:rFonts w:ascii="Times New Roman" w:hAnsi="Times New Roman"/>
              </w:rPr>
            </w:pPr>
            <w:r>
              <w:rPr>
                <w:rFonts w:ascii="Times New Roman" w:hAnsi="Times New Roman"/>
              </w:rPr>
              <w:t>间断</w:t>
            </w:r>
          </w:p>
        </w:tc>
        <w:tc>
          <w:tcPr>
            <w:tcW w:w="1673" w:type="dxa"/>
            <w:vAlign w:val="center"/>
          </w:tcPr>
          <w:p>
            <w:pPr>
              <w:pStyle w:val="39"/>
              <w:rPr>
                <w:rFonts w:ascii="Times New Roman" w:hAnsi="Times New Roman"/>
              </w:rPr>
            </w:pPr>
            <w:r>
              <w:rPr>
                <w:rFonts w:ascii="Times New Roman" w:hAnsi="Times New Roman"/>
              </w:rPr>
              <w:t>废混凝土</w:t>
            </w:r>
          </w:p>
        </w:tc>
        <w:tc>
          <w:tcPr>
            <w:tcW w:w="1619" w:type="dxa"/>
            <w:vAlign w:val="center"/>
          </w:tcPr>
          <w:p>
            <w:pPr>
              <w:pStyle w:val="39"/>
              <w:rPr>
                <w:rFonts w:ascii="Times New Roman" w:hAnsi="Times New Roman"/>
              </w:rPr>
            </w:pPr>
            <w:r>
              <w:rPr>
                <w:rFonts w:ascii="Times New Roman" w:hAnsi="Times New Roman"/>
              </w:rPr>
              <w:t>建渣消纳中心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493" w:type="dxa"/>
            <w:vAlign w:val="center"/>
          </w:tcPr>
          <w:p>
            <w:pPr>
              <w:pStyle w:val="39"/>
              <w:rPr>
                <w:rFonts w:ascii="Times New Roman" w:hAnsi="Times New Roman"/>
              </w:rPr>
            </w:pPr>
            <w:r>
              <w:rPr>
                <w:rFonts w:ascii="Times New Roman" w:hAnsi="Times New Roman"/>
              </w:rPr>
              <w:t>生活垃圾</w:t>
            </w:r>
          </w:p>
        </w:tc>
        <w:tc>
          <w:tcPr>
            <w:tcW w:w="1059" w:type="dxa"/>
            <w:vAlign w:val="center"/>
          </w:tcPr>
          <w:p>
            <w:pPr>
              <w:pStyle w:val="39"/>
              <w:rPr>
                <w:rFonts w:ascii="Times New Roman" w:hAnsi="Times New Roman"/>
              </w:rPr>
            </w:pPr>
            <w:r>
              <w:rPr>
                <w:rFonts w:ascii="Times New Roman" w:hAnsi="Times New Roman"/>
              </w:rPr>
              <w:t>9t</w:t>
            </w:r>
          </w:p>
        </w:tc>
        <w:tc>
          <w:tcPr>
            <w:tcW w:w="1417" w:type="dxa"/>
            <w:vAlign w:val="center"/>
          </w:tcPr>
          <w:p>
            <w:pPr>
              <w:pStyle w:val="39"/>
              <w:rPr>
                <w:rFonts w:ascii="Times New Roman" w:hAnsi="Times New Roman"/>
              </w:rPr>
            </w:pPr>
            <w:r>
              <w:rPr>
                <w:rFonts w:ascii="Times New Roman" w:hAnsi="Times New Roman"/>
              </w:rPr>
              <w:t>间断</w:t>
            </w:r>
          </w:p>
        </w:tc>
        <w:tc>
          <w:tcPr>
            <w:tcW w:w="1673" w:type="dxa"/>
            <w:vAlign w:val="center"/>
          </w:tcPr>
          <w:p>
            <w:pPr>
              <w:pStyle w:val="39"/>
              <w:rPr>
                <w:rFonts w:ascii="Times New Roman" w:hAnsi="Times New Roman"/>
              </w:rPr>
            </w:pPr>
            <w:r>
              <w:rPr>
                <w:rFonts w:ascii="Times New Roman" w:hAnsi="Times New Roman"/>
              </w:rPr>
              <w:t>/</w:t>
            </w:r>
          </w:p>
        </w:tc>
        <w:tc>
          <w:tcPr>
            <w:tcW w:w="1619" w:type="dxa"/>
            <w:vAlign w:val="center"/>
          </w:tcPr>
          <w:p>
            <w:pPr>
              <w:pStyle w:val="39"/>
              <w:rPr>
                <w:rFonts w:ascii="Times New Roman" w:hAnsi="Times New Roman"/>
              </w:rPr>
            </w:pPr>
            <w:r>
              <w:rPr>
                <w:rFonts w:ascii="Times New Roman" w:hAnsi="Times New Roman"/>
              </w:rPr>
              <w:t>收集后委托环卫部门处理</w:t>
            </w:r>
          </w:p>
        </w:tc>
      </w:tr>
    </w:tbl>
    <w:p>
      <w:pPr>
        <w:ind w:firstLine="480"/>
        <w:rPr>
          <w:rFonts w:ascii="Times New Roman" w:hAnsi="Times New Roman"/>
        </w:rPr>
      </w:pPr>
    </w:p>
    <w:p>
      <w:pPr>
        <w:pStyle w:val="3"/>
        <w:rPr>
          <w:rFonts w:ascii="Times New Roman" w:hAnsi="Times New Roman" w:cs="Times New Roman"/>
        </w:rPr>
      </w:pPr>
      <w:bookmarkStart w:id="98" w:name="_Toc162339408"/>
      <w:r>
        <w:rPr>
          <w:rFonts w:ascii="Times New Roman" w:hAnsi="Times New Roman" w:cs="Times New Roman"/>
        </w:rPr>
        <w:t>运营期工艺流程及产污分析</w:t>
      </w:r>
      <w:bookmarkEnd w:id="98"/>
    </w:p>
    <w:p>
      <w:pPr>
        <w:pStyle w:val="4"/>
        <w:rPr>
          <w:rFonts w:ascii="Times New Roman" w:hAnsi="Times New Roman" w:cs="Times New Roman"/>
        </w:rPr>
      </w:pPr>
      <w:r>
        <w:rPr>
          <w:rFonts w:ascii="Times New Roman" w:hAnsi="Times New Roman" w:cs="Times New Roman"/>
        </w:rPr>
        <w:t>工艺流程及产污环节</w:t>
      </w:r>
    </w:p>
    <w:p>
      <w:pPr>
        <w:ind w:firstLine="480"/>
        <w:rPr>
          <w:rFonts w:ascii="Times New Roman" w:hAnsi="Times New Roman"/>
        </w:rPr>
      </w:pPr>
      <w:r>
        <w:rPr>
          <w:rFonts w:ascii="Times New Roman" w:hAnsi="Times New Roman"/>
        </w:rPr>
        <w:t>（1）总工艺流程</w:t>
      </w:r>
    </w:p>
    <w:p>
      <w:pPr>
        <w:ind w:firstLine="480"/>
        <w:rPr>
          <w:rFonts w:ascii="Times New Roman" w:hAnsi="Times New Roman"/>
        </w:rPr>
      </w:pPr>
      <w:r>
        <w:rPr>
          <w:rFonts w:ascii="Times New Roman" w:hAnsi="Times New Roman"/>
        </w:rPr>
        <w:t>宣探、宣兴井站原料气在站内气液分离、交接计量后，湿气通过集气干线输至新建的宣探清管站。其中，中石化老君701井原料气在其站内分离计量后，接入附近的宣探阀室，经P304集气站及下游管网输往普光净化厂进行代净化处理，商品气经普光气田外输系统实现对外销售。</w:t>
      </w:r>
    </w:p>
    <w:p>
      <w:pPr>
        <w:ind w:firstLine="480"/>
        <w:rPr>
          <w:rFonts w:ascii="Times New Roman" w:hAnsi="Times New Roman"/>
        </w:rPr>
      </w:pPr>
      <w:r>
        <w:rPr>
          <w:rFonts w:ascii="Times New Roman" w:hAnsi="Times New Roman"/>
        </w:rPr>
        <w:t>集气支线、集气干线气液分输，井站主要采用825 耐蚀合金防腐方案，集气支线、集气干线采用碳钢+缓蚀剂方案。宣探1 井站、宣兴1 井站气液分离后气田水进入气田水罐闪蒸分离，气田水定期装车拉运至渡口河净化厂、黄龙004-X4井、蒲西4井等水处理装置处理后，回注至黄龙5井、黄龙2井或蒲西4井，气田水闪蒸气经站场放空火炬燃烧排放。</w:t>
      </w:r>
    </w:p>
    <w:p>
      <w:pPr>
        <w:ind w:firstLine="480"/>
        <w:rPr>
          <w:rFonts w:ascii="Times New Roman" w:hAnsi="Times New Roman"/>
        </w:rPr>
      </w:pPr>
      <w:r>
        <w:rPr>
          <w:rFonts w:ascii="Times New Roman" w:hAnsi="Times New Roman"/>
        </w:rPr>
        <w:t>2 座井站、宣探集气支线、宣探集气干线、宣探阀室、宣探清管站设计压力均为13MPa。</w:t>
      </w:r>
    </w:p>
    <w:p>
      <w:pPr>
        <w:ind w:firstLine="480"/>
        <w:rPr>
          <w:rFonts w:ascii="Times New Roman" w:hAnsi="Times New Roman"/>
        </w:rPr>
      </w:pPr>
      <w:r>
        <w:rPr>
          <w:rFonts w:ascii="Times New Roman" w:hAnsi="Times New Roman"/>
        </w:rPr>
        <w:t>总体工艺流程见</w:t>
      </w:r>
      <w:r>
        <w:rPr>
          <w:rFonts w:ascii="Times New Roman" w:hAnsi="Times New Roman"/>
        </w:rPr>
        <w:fldChar w:fldCharType="begin"/>
      </w:r>
      <w:r>
        <w:rPr>
          <w:rFonts w:ascii="Times New Roman" w:hAnsi="Times New Roman"/>
        </w:rPr>
        <w:instrText xml:space="preserve"> REF _Ref152144978 \h  \* MERGEFORMAT </w:instrText>
      </w:r>
      <w:r>
        <w:rPr>
          <w:rFonts w:ascii="Times New Roman" w:hAnsi="Times New Roman"/>
        </w:rPr>
        <w:fldChar w:fldCharType="separate"/>
      </w:r>
      <w:r>
        <w:rPr>
          <w:rFonts w:ascii="Times New Roman" w:hAnsi="Times New Roman"/>
        </w:rPr>
        <w:t>图 3</w:t>
      </w:r>
      <w:r>
        <w:rPr>
          <w:rFonts w:ascii="Times New Roman" w:hAnsi="Times New Roman"/>
        </w:rPr>
        <w:noBreakHyphen/>
      </w:r>
      <w:r>
        <w:rPr>
          <w:rFonts w:ascii="Times New Roman" w:hAnsi="Times New Roman"/>
        </w:rPr>
        <w:t>6</w:t>
      </w:r>
      <w:r>
        <w:rPr>
          <w:rFonts w:ascii="Times New Roman" w:hAnsi="Times New Roman"/>
        </w:rPr>
        <w:fldChar w:fldCharType="end"/>
      </w:r>
      <w:r>
        <w:rPr>
          <w:rFonts w:ascii="Times New Roman" w:hAnsi="Times New Roman"/>
        </w:rPr>
        <w:t>（附图20）。</w:t>
      </w:r>
    </w:p>
    <w:p>
      <w:pPr>
        <w:ind w:firstLine="480"/>
        <w:rPr>
          <w:rFonts w:ascii="Times New Roman" w:hAnsi="Times New Roman"/>
        </w:rPr>
      </w:pPr>
    </w:p>
    <w:p>
      <w:pPr>
        <w:ind w:firstLine="0" w:firstLineChars="0"/>
        <w:rPr>
          <w:rFonts w:ascii="Times New Roman" w:hAnsi="Times New Roman"/>
        </w:rPr>
        <w:sectPr>
          <w:pgSz w:w="11906" w:h="16838"/>
          <w:pgMar w:top="1440" w:right="1800" w:bottom="1440" w:left="1800" w:header="851" w:footer="992" w:gutter="0"/>
          <w:cols w:space="425" w:num="1"/>
          <w:docGrid w:type="lines" w:linePitch="312" w:charSpace="0"/>
        </w:sectPr>
      </w:pPr>
    </w:p>
    <w:p>
      <w:pPr>
        <w:ind w:firstLine="0" w:firstLineChars="0"/>
        <w:rPr>
          <w:rFonts w:ascii="Times New Roman" w:hAnsi="Times New Roman"/>
        </w:rPr>
      </w:pPr>
      <w:r>
        <w:rPr>
          <w:rFonts w:ascii="Times New Roman" w:hAnsi="Times New Roman"/>
        </w:rPr>
        <w:drawing>
          <wp:inline distT="0" distB="0" distL="0" distR="0">
            <wp:extent cx="5511165" cy="6076950"/>
            <wp:effectExtent l="0" t="0" r="0" b="0"/>
            <wp:docPr id="4138966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96621" name="图片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513365" cy="6079094"/>
                    </a:xfrm>
                    <a:prstGeom prst="rect">
                      <a:avLst/>
                    </a:prstGeom>
                    <a:noFill/>
                    <a:ln>
                      <a:noFill/>
                    </a:ln>
                  </pic:spPr>
                </pic:pic>
              </a:graphicData>
            </a:graphic>
          </wp:inline>
        </w:drawing>
      </w:r>
    </w:p>
    <w:p>
      <w:pPr>
        <w:pStyle w:val="37"/>
        <w:rPr>
          <w:rFonts w:ascii="Times New Roman" w:hAnsi="Times New Roman" w:cs="Times New Roman"/>
        </w:rPr>
      </w:pPr>
      <w:bookmarkStart w:id="99" w:name="_Ref152144978"/>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bookmarkEnd w:id="99"/>
      <w:r>
        <w:rPr>
          <w:rFonts w:ascii="Times New Roman" w:hAnsi="Times New Roman" w:cs="Times New Roman"/>
        </w:rPr>
        <w:t xml:space="preserve">  本项目总体工艺流程图</w:t>
      </w:r>
    </w:p>
    <w:p>
      <w:pPr>
        <w:ind w:firstLine="480"/>
        <w:rPr>
          <w:rFonts w:ascii="Times New Roman" w:hAnsi="Times New Roman"/>
        </w:rPr>
        <w:sectPr>
          <w:pgSz w:w="11907" w:h="16840"/>
          <w:pgMar w:top="1440" w:right="1797" w:bottom="1440" w:left="1797" w:header="851" w:footer="992" w:gutter="0"/>
          <w:cols w:space="425" w:num="1"/>
          <w:docGrid w:type="lines" w:linePitch="312" w:charSpace="0"/>
        </w:sectPr>
      </w:pPr>
    </w:p>
    <w:p>
      <w:pPr>
        <w:ind w:firstLine="480"/>
        <w:rPr>
          <w:rFonts w:ascii="Times New Roman" w:hAnsi="Times New Roman"/>
        </w:rPr>
      </w:pPr>
      <w:r>
        <w:rPr>
          <w:rFonts w:ascii="Times New Roman" w:hAnsi="Times New Roman"/>
        </w:rPr>
        <w:t>（2）宣探1井站</w:t>
      </w:r>
    </w:p>
    <w:p>
      <w:pPr>
        <w:ind w:firstLine="480"/>
        <w:rPr>
          <w:rFonts w:ascii="Times New Roman" w:hAnsi="Times New Roman"/>
        </w:rPr>
      </w:pPr>
      <w:r>
        <w:rPr>
          <w:rFonts w:ascii="Times New Roman" w:hAnsi="Times New Roman"/>
        </w:rPr>
        <w:t>宣探1井站下辖1口单井，原料气在井口经采气树一级节流后进入水套加热炉进行一级加热，待原料气温度升高后进行二级节流，后进入气液分离器进行计量，计量后气相通过气液分输至宣兴1 井站。液相进入气田水罐，进行装车拉运至渡口河净化厂等处理。气相通过集气支线输往宣兴1井站。气田水罐闪蒸气密闭输送至放空火炬燃烧。</w:t>
      </w:r>
    </w:p>
    <w:p>
      <w:pPr>
        <w:ind w:firstLine="480"/>
        <w:rPr>
          <w:rFonts w:ascii="Times New Roman" w:hAnsi="Times New Roman"/>
        </w:rPr>
      </w:pPr>
      <w:r>
        <w:rPr>
          <w:rFonts w:ascii="Times New Roman" w:hAnsi="Times New Roman"/>
        </w:rPr>
        <w:t>宣探1井工艺流程及产污环节图见</w:t>
      </w:r>
      <w:r>
        <w:rPr>
          <w:rFonts w:ascii="Times New Roman" w:hAnsi="Times New Roman"/>
        </w:rPr>
        <w:fldChar w:fldCharType="begin"/>
      </w:r>
      <w:r>
        <w:rPr>
          <w:rFonts w:ascii="Times New Roman" w:hAnsi="Times New Roman"/>
        </w:rPr>
        <w:instrText xml:space="preserve"> REF _Ref152145109 \h  \* MERGEFORMAT </w:instrText>
      </w:r>
      <w:r>
        <w:rPr>
          <w:rFonts w:ascii="Times New Roman" w:hAnsi="Times New Roman"/>
        </w:rPr>
        <w:fldChar w:fldCharType="separate"/>
      </w:r>
      <w:r>
        <w:rPr>
          <w:rFonts w:ascii="Times New Roman" w:hAnsi="Times New Roman"/>
        </w:rPr>
        <w:t>图 3</w:t>
      </w:r>
      <w:r>
        <w:rPr>
          <w:rFonts w:ascii="Times New Roman" w:hAnsi="Times New Roman"/>
        </w:rPr>
        <w:noBreakHyphen/>
      </w:r>
      <w:r>
        <w:rPr>
          <w:rFonts w:ascii="Times New Roman" w:hAnsi="Times New Roman"/>
        </w:rPr>
        <w:t>7</w:t>
      </w:r>
      <w:r>
        <w:rPr>
          <w:rFonts w:ascii="Times New Roman" w:hAnsi="Times New Roman"/>
        </w:rPr>
        <w:fldChar w:fldCharType="end"/>
      </w:r>
      <w:r>
        <w:rPr>
          <w:rFonts w:ascii="Times New Roman" w:hAnsi="Times New Roman"/>
        </w:rPr>
        <w:t>。</w:t>
      </w:r>
    </w:p>
    <w:p>
      <w:pPr>
        <w:ind w:firstLine="0" w:firstLineChars="0"/>
        <w:jc w:val="center"/>
        <w:rPr>
          <w:rFonts w:ascii="Times New Roman" w:hAnsi="Times New Roman"/>
        </w:rPr>
      </w:pPr>
      <w:r>
        <w:rPr>
          <w:rFonts w:ascii="Times New Roman" w:hAnsi="Times New Roman"/>
        </w:rPr>
        <w:drawing>
          <wp:inline distT="0" distB="0" distL="0" distR="0">
            <wp:extent cx="5017135" cy="2961005"/>
            <wp:effectExtent l="0" t="0" r="0" b="0"/>
            <wp:docPr id="10412119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211929" name="图片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021302" cy="2963451"/>
                    </a:xfrm>
                    <a:prstGeom prst="rect">
                      <a:avLst/>
                    </a:prstGeom>
                    <a:noFill/>
                    <a:ln>
                      <a:noFill/>
                    </a:ln>
                  </pic:spPr>
                </pic:pic>
              </a:graphicData>
            </a:graphic>
          </wp:inline>
        </w:drawing>
      </w:r>
    </w:p>
    <w:p>
      <w:pPr>
        <w:pStyle w:val="37"/>
        <w:rPr>
          <w:rFonts w:ascii="Times New Roman" w:hAnsi="Times New Roman" w:cs="Times New Roman"/>
        </w:rPr>
      </w:pPr>
      <w:bookmarkStart w:id="100" w:name="_Ref152145109"/>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bookmarkEnd w:id="100"/>
      <w:r>
        <w:rPr>
          <w:rFonts w:ascii="Times New Roman" w:hAnsi="Times New Roman" w:cs="Times New Roman"/>
        </w:rPr>
        <w:t xml:space="preserve">  宣探1井工艺流程及产污环节示意图</w:t>
      </w:r>
    </w:p>
    <w:p>
      <w:pPr>
        <w:ind w:firstLine="480"/>
        <w:rPr>
          <w:rFonts w:ascii="Times New Roman" w:hAnsi="Times New Roman"/>
        </w:rPr>
      </w:pPr>
    </w:p>
    <w:p>
      <w:pPr>
        <w:ind w:firstLine="480"/>
        <w:rPr>
          <w:rFonts w:ascii="Times New Roman" w:hAnsi="Times New Roman"/>
        </w:rPr>
      </w:pPr>
      <w:r>
        <w:rPr>
          <w:rFonts w:ascii="Times New Roman" w:hAnsi="Times New Roman"/>
        </w:rPr>
        <w:t>（3）宣兴1井</w:t>
      </w:r>
    </w:p>
    <w:p>
      <w:pPr>
        <w:ind w:firstLine="480"/>
        <w:rPr>
          <w:rFonts w:ascii="Times New Roman" w:hAnsi="Times New Roman"/>
        </w:rPr>
      </w:pPr>
      <w:r>
        <w:rPr>
          <w:rFonts w:ascii="Times New Roman" w:hAnsi="Times New Roman"/>
        </w:rPr>
        <w:t>宣兴1井站下辖1口单井，原料气在井口经采气树一级节流后进入水套加热炉进行一级加热，待原料气温度升高后进行二级节流，后与宣探1井站来气汇合，进入计量分离器进行分离，气相进入水套炉加热进行2级加热后计量，气液分输出站经宣探宣探阀室输往下游P304集气站。液相进入气田水罐，进行装车拉运至渡口河净化厂处理。</w:t>
      </w:r>
    </w:p>
    <w:p>
      <w:pPr>
        <w:ind w:firstLine="480"/>
        <w:rPr>
          <w:rFonts w:ascii="Times New Roman" w:hAnsi="Times New Roman"/>
        </w:rPr>
      </w:pPr>
      <w:r>
        <w:rPr>
          <w:rFonts w:ascii="Times New Roman" w:hAnsi="Times New Roman"/>
        </w:rPr>
        <w:t>井站内设置1台加热炉，用于原料气进行加热。设置1台气田水罐，用于气液分输之后，液相的存储和拉运转输。罐内液体达到一定液位后通过装车拉运，闪蒸气密闭输送至放空火炬燃烧。</w:t>
      </w:r>
    </w:p>
    <w:p>
      <w:pPr>
        <w:ind w:firstLine="480"/>
        <w:rPr>
          <w:rFonts w:ascii="Times New Roman" w:hAnsi="Times New Roman"/>
        </w:rPr>
      </w:pPr>
      <w:r>
        <w:rPr>
          <w:rFonts w:ascii="Times New Roman" w:hAnsi="Times New Roman"/>
        </w:rPr>
        <w:t>宣兴1井工艺流程及产污环节图见</w:t>
      </w:r>
      <w:r>
        <w:rPr>
          <w:rFonts w:ascii="Times New Roman" w:hAnsi="Times New Roman"/>
        </w:rPr>
        <w:fldChar w:fldCharType="begin"/>
      </w:r>
      <w:r>
        <w:rPr>
          <w:rFonts w:ascii="Times New Roman" w:hAnsi="Times New Roman"/>
        </w:rPr>
        <w:instrText xml:space="preserve"> REF _Ref154073968 \h  \* MERGEFORMAT </w:instrText>
      </w:r>
      <w:r>
        <w:rPr>
          <w:rFonts w:ascii="Times New Roman" w:hAnsi="Times New Roman"/>
        </w:rPr>
        <w:fldChar w:fldCharType="separate"/>
      </w:r>
      <w:r>
        <w:rPr>
          <w:rFonts w:ascii="Times New Roman" w:hAnsi="Times New Roman"/>
        </w:rPr>
        <w:t>图 3</w:t>
      </w:r>
      <w:r>
        <w:rPr>
          <w:rFonts w:ascii="Times New Roman" w:hAnsi="Times New Roman"/>
        </w:rPr>
        <w:noBreakHyphen/>
      </w:r>
      <w:r>
        <w:rPr>
          <w:rFonts w:ascii="Times New Roman" w:hAnsi="Times New Roman"/>
        </w:rPr>
        <w:t>8</w:t>
      </w:r>
      <w:r>
        <w:rPr>
          <w:rFonts w:ascii="Times New Roman" w:hAnsi="Times New Roman"/>
        </w:rPr>
        <w:fldChar w:fldCharType="end"/>
      </w:r>
      <w:r>
        <w:rPr>
          <w:rFonts w:ascii="Times New Roman" w:hAnsi="Times New Roman"/>
        </w:rPr>
        <w:t>。</w:t>
      </w:r>
    </w:p>
    <w:p>
      <w:pPr>
        <w:ind w:firstLine="0" w:firstLineChars="0"/>
        <w:jc w:val="center"/>
        <w:rPr>
          <w:rFonts w:ascii="Times New Roman" w:hAnsi="Times New Roman"/>
        </w:rPr>
      </w:pPr>
      <w:r>
        <w:rPr>
          <w:rFonts w:ascii="Times New Roman" w:hAnsi="Times New Roman"/>
        </w:rPr>
        <w:drawing>
          <wp:inline distT="0" distB="0" distL="0" distR="0">
            <wp:extent cx="5040630" cy="3613150"/>
            <wp:effectExtent l="0" t="0" r="7620" b="6350"/>
            <wp:docPr id="14098557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855796" name="图片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045095" cy="3616481"/>
                    </a:xfrm>
                    <a:prstGeom prst="rect">
                      <a:avLst/>
                    </a:prstGeom>
                    <a:noFill/>
                    <a:ln>
                      <a:noFill/>
                    </a:ln>
                  </pic:spPr>
                </pic:pic>
              </a:graphicData>
            </a:graphic>
          </wp:inline>
        </w:drawing>
      </w:r>
    </w:p>
    <w:p>
      <w:pPr>
        <w:pStyle w:val="37"/>
        <w:rPr>
          <w:rFonts w:ascii="Times New Roman" w:hAnsi="Times New Roman" w:cs="Times New Roman"/>
        </w:rPr>
      </w:pPr>
      <w:bookmarkStart w:id="101" w:name="_Ref154073968"/>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bookmarkEnd w:id="101"/>
      <w:r>
        <w:rPr>
          <w:rFonts w:ascii="Times New Roman" w:hAnsi="Times New Roman" w:cs="Times New Roman"/>
        </w:rPr>
        <w:t xml:space="preserve">  宣兴1井工艺流程图及产污环节示意图</w:t>
      </w:r>
    </w:p>
    <w:p>
      <w:pPr>
        <w:ind w:firstLine="480"/>
        <w:rPr>
          <w:rFonts w:ascii="Times New Roman" w:hAnsi="Times New Roman"/>
        </w:rPr>
      </w:pPr>
      <w:r>
        <w:rPr>
          <w:rFonts w:ascii="Times New Roman" w:hAnsi="Times New Roman"/>
        </w:rPr>
        <w:t>（4）宣探清管站</w:t>
      </w:r>
    </w:p>
    <w:p>
      <w:pPr>
        <w:ind w:firstLine="480"/>
        <w:rPr>
          <w:rFonts w:ascii="Times New Roman" w:hAnsi="Times New Roman"/>
        </w:rPr>
      </w:pPr>
      <w:r>
        <w:rPr>
          <w:rFonts w:ascii="Times New Roman" w:hAnsi="Times New Roman"/>
        </w:rPr>
        <w:t>宣探清管站主要接收集气干线来含硫原料气。站内设清管接收装置，定期接收上游站场发送的清管器（球），提高管输效率。</w:t>
      </w:r>
    </w:p>
    <w:p>
      <w:pPr>
        <w:ind w:firstLine="480"/>
        <w:rPr>
          <w:rFonts w:ascii="Times New Roman" w:hAnsi="Times New Roman"/>
        </w:rPr>
      </w:pPr>
      <w:r>
        <w:rPr>
          <w:rFonts w:ascii="Times New Roman" w:hAnsi="Times New Roman"/>
        </w:rPr>
        <w:t>宣探清管站的工艺流程及产污环节图见</w:t>
      </w:r>
      <w:r>
        <w:rPr>
          <w:rFonts w:ascii="Times New Roman" w:hAnsi="Times New Roman"/>
        </w:rPr>
        <w:fldChar w:fldCharType="begin"/>
      </w:r>
      <w:r>
        <w:rPr>
          <w:rFonts w:ascii="Times New Roman" w:hAnsi="Times New Roman"/>
        </w:rPr>
        <w:instrText xml:space="preserve"> REF _Ref154074892 \h  \* MERGEFORMAT </w:instrText>
      </w:r>
      <w:r>
        <w:rPr>
          <w:rFonts w:ascii="Times New Roman" w:hAnsi="Times New Roman"/>
        </w:rPr>
        <w:fldChar w:fldCharType="separate"/>
      </w:r>
      <w:r>
        <w:rPr>
          <w:rFonts w:ascii="Times New Roman" w:hAnsi="Times New Roman"/>
        </w:rPr>
        <w:t>图 3</w:t>
      </w:r>
      <w:r>
        <w:rPr>
          <w:rFonts w:ascii="Times New Roman" w:hAnsi="Times New Roman"/>
        </w:rPr>
        <w:noBreakHyphen/>
      </w:r>
      <w:r>
        <w:rPr>
          <w:rFonts w:ascii="Times New Roman" w:hAnsi="Times New Roman"/>
        </w:rPr>
        <w:t>9</w:t>
      </w:r>
      <w:r>
        <w:rPr>
          <w:rFonts w:ascii="Times New Roman" w:hAnsi="Times New Roman"/>
        </w:rPr>
        <w:fldChar w:fldCharType="end"/>
      </w:r>
      <w:r>
        <w:rPr>
          <w:rFonts w:ascii="Times New Roman" w:hAnsi="Times New Roman"/>
        </w:rPr>
        <w:t>。</w:t>
      </w:r>
    </w:p>
    <w:p>
      <w:pPr>
        <w:ind w:firstLine="0" w:firstLineChars="0"/>
        <w:jc w:val="center"/>
        <w:rPr>
          <w:rFonts w:ascii="Times New Roman" w:hAnsi="Times New Roman"/>
        </w:rPr>
      </w:pPr>
      <w:r>
        <w:rPr>
          <w:rFonts w:ascii="Times New Roman" w:hAnsi="Times New Roman"/>
        </w:rPr>
        <w:drawing>
          <wp:inline distT="0" distB="0" distL="0" distR="0">
            <wp:extent cx="4312920" cy="2124710"/>
            <wp:effectExtent l="0" t="0" r="0" b="8890"/>
            <wp:docPr id="4187674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67437" name="图片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4323726" cy="2130327"/>
                    </a:xfrm>
                    <a:prstGeom prst="rect">
                      <a:avLst/>
                    </a:prstGeom>
                    <a:noFill/>
                    <a:ln>
                      <a:noFill/>
                    </a:ln>
                  </pic:spPr>
                </pic:pic>
              </a:graphicData>
            </a:graphic>
          </wp:inline>
        </w:drawing>
      </w:r>
    </w:p>
    <w:p>
      <w:pPr>
        <w:pStyle w:val="37"/>
        <w:rPr>
          <w:rFonts w:ascii="Times New Roman" w:hAnsi="Times New Roman" w:cs="Times New Roman"/>
        </w:rPr>
      </w:pPr>
      <w:bookmarkStart w:id="102" w:name="_Ref154074892"/>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bookmarkEnd w:id="102"/>
      <w:r>
        <w:rPr>
          <w:rFonts w:ascii="Times New Roman" w:hAnsi="Times New Roman" w:cs="Times New Roman"/>
        </w:rPr>
        <w:t xml:space="preserve">  宣探清管站工艺流程及产污环节示意图</w:t>
      </w:r>
    </w:p>
    <w:p>
      <w:pPr>
        <w:ind w:firstLine="480"/>
        <w:rPr>
          <w:rFonts w:ascii="Times New Roman" w:hAnsi="Times New Roman"/>
        </w:rPr>
      </w:pPr>
      <w:r>
        <w:rPr>
          <w:rFonts w:ascii="Times New Roman" w:hAnsi="Times New Roman"/>
        </w:rPr>
        <w:t>（5）阀室</w:t>
      </w:r>
    </w:p>
    <w:p>
      <w:pPr>
        <w:ind w:firstLine="480"/>
        <w:rPr>
          <w:rFonts w:ascii="Times New Roman" w:hAnsi="Times New Roman"/>
        </w:rPr>
      </w:pPr>
      <w:r>
        <w:rPr>
          <w:rFonts w:ascii="Times New Roman" w:hAnsi="Times New Roman"/>
        </w:rPr>
        <w:t>集气干线设置1座线路截断阀室（RTU监控阀室），即宣探阀室，阀室设置紧急切断阀，宣探阀室内预留的老君701来气的截断球阀具备远程截断功能。</w:t>
      </w:r>
    </w:p>
    <w:p>
      <w:pPr>
        <w:pStyle w:val="4"/>
        <w:rPr>
          <w:rFonts w:ascii="Times New Roman" w:hAnsi="Times New Roman" w:cs="Times New Roman"/>
        </w:rPr>
      </w:pPr>
      <w:r>
        <w:rPr>
          <w:rFonts w:ascii="Times New Roman" w:hAnsi="Times New Roman" w:cs="Times New Roman"/>
        </w:rPr>
        <w:t>运营期污染源强分析</w:t>
      </w:r>
    </w:p>
    <w:p>
      <w:pPr>
        <w:pStyle w:val="5"/>
        <w:rPr>
          <w:rFonts w:ascii="Times New Roman" w:hAnsi="Times New Roman"/>
        </w:rPr>
      </w:pPr>
      <w:r>
        <w:rPr>
          <w:rFonts w:ascii="Times New Roman" w:hAnsi="Times New Roman"/>
        </w:rPr>
        <w:t>废水</w:t>
      </w:r>
    </w:p>
    <w:p>
      <w:pPr>
        <w:ind w:firstLine="480"/>
        <w:rPr>
          <w:rFonts w:ascii="Times New Roman" w:hAnsi="Times New Roman"/>
        </w:rPr>
      </w:pPr>
      <w:r>
        <w:rPr>
          <w:rFonts w:ascii="Times New Roman" w:hAnsi="Times New Roman"/>
        </w:rPr>
        <w:t>本项目运营期产生的废水主要包括气田水、工作人员产生的生活污水、设备外壁擦洗水和少量的设备检修废水。</w:t>
      </w:r>
    </w:p>
    <w:p>
      <w:pPr>
        <w:ind w:firstLine="480"/>
        <w:rPr>
          <w:rFonts w:ascii="Times New Roman" w:hAnsi="Times New Roman"/>
        </w:rPr>
      </w:pPr>
      <w:r>
        <w:rPr>
          <w:rFonts w:ascii="Times New Roman" w:hAnsi="Times New Roman"/>
        </w:rPr>
        <w:t>（1）气田水</w:t>
      </w:r>
    </w:p>
    <w:p>
      <w:pPr>
        <w:ind w:firstLine="480"/>
        <w:rPr>
          <w:rFonts w:ascii="Times New Roman" w:hAnsi="Times New Roman"/>
        </w:rPr>
      </w:pPr>
      <w:r>
        <w:rPr>
          <w:rFonts w:ascii="Times New Roman" w:hAnsi="Times New Roman"/>
        </w:rPr>
        <w:t>宣探1井组地层水参考老君区块，水气比为</w:t>
      </w:r>
      <w:r>
        <w:rPr>
          <w:rFonts w:ascii="Times New Roman" w:hAnsi="Times New Roman"/>
          <w:highlight w:val="black"/>
        </w:rPr>
        <w:t>0.18m</w:t>
      </w:r>
      <w:r>
        <w:rPr>
          <w:rFonts w:ascii="Times New Roman" w:hAnsi="Times New Roman"/>
          <w:highlight w:val="black"/>
          <w:vertAlign w:val="superscript"/>
        </w:rPr>
        <w:t>3</w:t>
      </w:r>
      <w:r>
        <w:rPr>
          <w:rFonts w:ascii="Times New Roman" w:hAnsi="Times New Roman"/>
          <w:highlight w:val="black"/>
        </w:rPr>
        <w:t>/10</w:t>
      </w:r>
      <w:r>
        <w:rPr>
          <w:rFonts w:ascii="Times New Roman" w:hAnsi="Times New Roman"/>
          <w:highlight w:val="black"/>
          <w:vertAlign w:val="superscript"/>
        </w:rPr>
        <w:t>4</w:t>
      </w:r>
      <w:r>
        <w:rPr>
          <w:rFonts w:ascii="Times New Roman" w:hAnsi="Times New Roman"/>
          <w:highlight w:val="black"/>
        </w:rPr>
        <w:t xml:space="preserve"> m</w:t>
      </w:r>
      <w:r>
        <w:rPr>
          <w:rFonts w:ascii="Times New Roman" w:hAnsi="Times New Roman"/>
          <w:highlight w:val="black"/>
          <w:vertAlign w:val="superscript"/>
        </w:rPr>
        <w:t>3</w:t>
      </w:r>
      <w:r>
        <w:rPr>
          <w:rFonts w:ascii="Times New Roman" w:hAnsi="Times New Roman"/>
          <w:highlight w:val="black"/>
        </w:rPr>
        <w:t>，</w:t>
      </w:r>
      <w:r>
        <w:rPr>
          <w:rFonts w:ascii="Times New Roman" w:hAnsi="Times New Roman"/>
        </w:rPr>
        <w:t>按照井站最大设计规模，宣探1井站每天产生量约为12.96 m</w:t>
      </w:r>
      <w:r>
        <w:rPr>
          <w:rFonts w:ascii="Times New Roman" w:hAnsi="Times New Roman"/>
          <w:vertAlign w:val="superscript"/>
        </w:rPr>
        <w:t>3</w:t>
      </w:r>
      <w:r>
        <w:rPr>
          <w:rFonts w:ascii="Times New Roman" w:hAnsi="Times New Roman"/>
        </w:rPr>
        <w:t>，宣兴1井站每天产生量约为8.64m</w:t>
      </w:r>
      <w:r>
        <w:rPr>
          <w:rFonts w:ascii="Times New Roman" w:hAnsi="Times New Roman"/>
          <w:vertAlign w:val="superscript"/>
        </w:rPr>
        <w:t>3</w:t>
      </w:r>
      <w:r>
        <w:rPr>
          <w:rFonts w:ascii="Times New Roman" w:hAnsi="Times New Roman"/>
        </w:rPr>
        <w:t>。气田水主要污染包含COD、氯化物、硫化物、SS和石油类。根据本项目气田水水质分析报告以及类比同类项目气田水污染物浓度，本项目气田水污染物的浓度分别为：COD为3000～4000mg/L，氯化物为50000～110000mg/L，硫化物为500～1800mg/L，SS为50～400mg/L，石油类为20mg/L。</w:t>
      </w:r>
    </w:p>
    <w:p>
      <w:pPr>
        <w:ind w:firstLine="480"/>
        <w:rPr>
          <w:rFonts w:ascii="Times New Roman" w:hAnsi="Times New Roman"/>
        </w:rPr>
      </w:pPr>
      <w:r>
        <w:rPr>
          <w:rFonts w:ascii="Times New Roman" w:hAnsi="Times New Roman"/>
        </w:rPr>
        <w:t>本项目试采产出气田水统一拉运至渡口河净化厂或蒲西4井处理，达标后输至黄龙5井（或黄龙2井）回注，或在蒲西4井回注。</w:t>
      </w:r>
    </w:p>
    <w:p>
      <w:pPr>
        <w:ind w:firstLine="480"/>
        <w:rPr>
          <w:rFonts w:ascii="Times New Roman" w:hAnsi="Times New Roman"/>
        </w:rPr>
      </w:pPr>
      <w:r>
        <w:rPr>
          <w:rFonts w:ascii="Times New Roman" w:hAnsi="Times New Roman"/>
        </w:rPr>
        <w:t>（2）生活污水</w:t>
      </w:r>
    </w:p>
    <w:p>
      <w:pPr>
        <w:ind w:firstLine="480"/>
        <w:rPr>
          <w:rFonts w:ascii="Times New Roman" w:hAnsi="Times New Roman"/>
        </w:rPr>
      </w:pPr>
      <w:r>
        <w:rPr>
          <w:rFonts w:ascii="Times New Roman" w:hAnsi="Times New Roman"/>
        </w:rPr>
        <w:t>本项目维抢修队的劳动定员为14人，实行轮换制，每轮班7人。根据四川省地方标准《用水定额》（DB51/T2138-2016）中农村居民东部盆地区生活用水120L/人·d，计。每天生活用水量约0.84m</w:t>
      </w:r>
      <w:r>
        <w:rPr>
          <w:rFonts w:ascii="Times New Roman" w:hAnsi="Times New Roman"/>
          <w:vertAlign w:val="superscript"/>
        </w:rPr>
        <w:t>3</w:t>
      </w:r>
      <w:r>
        <w:rPr>
          <w:rFonts w:ascii="Times New Roman" w:hAnsi="Times New Roman"/>
        </w:rPr>
        <w:t>/d，则年用水量约245.28m</w:t>
      </w:r>
      <w:r>
        <w:rPr>
          <w:rFonts w:ascii="Times New Roman" w:hAnsi="Times New Roman"/>
          <w:vertAlign w:val="superscript"/>
        </w:rPr>
        <w:t>3</w:t>
      </w:r>
      <w:r>
        <w:rPr>
          <w:rFonts w:ascii="Times New Roman" w:hAnsi="Times New Roman"/>
        </w:rPr>
        <w:t>，排放系数取0.8，则维抢修队运营期生活污水产生量约0.67m</w:t>
      </w:r>
      <w:r>
        <w:rPr>
          <w:rFonts w:ascii="Times New Roman" w:hAnsi="Times New Roman"/>
          <w:vertAlign w:val="superscript"/>
        </w:rPr>
        <w:t>3</w:t>
      </w:r>
      <w:r>
        <w:rPr>
          <w:rFonts w:ascii="Times New Roman" w:hAnsi="Times New Roman"/>
        </w:rPr>
        <w:t>/d，总计生活污水产生量约245.28m</w:t>
      </w:r>
      <w:r>
        <w:rPr>
          <w:rFonts w:ascii="Times New Roman" w:hAnsi="Times New Roman"/>
          <w:vertAlign w:val="superscript"/>
        </w:rPr>
        <w:t>3</w:t>
      </w:r>
      <w:r>
        <w:rPr>
          <w:rFonts w:ascii="Times New Roman" w:hAnsi="Times New Roman"/>
        </w:rPr>
        <w:t>/a。</w:t>
      </w:r>
    </w:p>
    <w:p>
      <w:pPr>
        <w:ind w:firstLine="480"/>
        <w:rPr>
          <w:rFonts w:ascii="Times New Roman" w:hAnsi="Times New Roman"/>
        </w:rPr>
      </w:pPr>
      <w:r>
        <w:rPr>
          <w:rFonts w:ascii="Times New Roman" w:hAnsi="Times New Roman"/>
        </w:rPr>
        <w:t>维抢修队常驻人员就</w:t>
      </w:r>
      <w:r>
        <w:rPr>
          <w:rFonts w:hint="eastAsia" w:ascii="Times New Roman" w:hAnsi="Times New Roman"/>
        </w:rPr>
        <w:t>近</w:t>
      </w:r>
      <w:r>
        <w:rPr>
          <w:rFonts w:ascii="Times New Roman" w:hAnsi="Times New Roman"/>
        </w:rPr>
        <w:t>租房居住，生活污水依托租房的排水系统排放处置后还田。</w:t>
      </w:r>
    </w:p>
    <w:p>
      <w:pPr>
        <w:ind w:firstLine="480"/>
        <w:rPr>
          <w:rFonts w:ascii="Times New Roman" w:hAnsi="Times New Roman"/>
        </w:rPr>
      </w:pPr>
      <w:r>
        <w:rPr>
          <w:rFonts w:ascii="Times New Roman" w:hAnsi="Times New Roman"/>
        </w:rPr>
        <w:t>（3）检修废水、开停工废水</w:t>
      </w:r>
    </w:p>
    <w:p>
      <w:pPr>
        <w:ind w:firstLine="480"/>
        <w:rPr>
          <w:rFonts w:ascii="Times New Roman" w:hAnsi="Times New Roman"/>
        </w:rPr>
      </w:pPr>
      <w:r>
        <w:rPr>
          <w:rFonts w:ascii="Times New Roman" w:hAnsi="Times New Roman"/>
        </w:rPr>
        <w:t>两井站和清管站装置设备检修时会产生检修废水，各井站用水量约2m</w:t>
      </w:r>
      <w:r>
        <w:rPr>
          <w:rFonts w:ascii="Times New Roman" w:hAnsi="Times New Roman"/>
          <w:vertAlign w:val="superscript"/>
        </w:rPr>
        <w:t>3</w:t>
      </w:r>
      <w:r>
        <w:rPr>
          <w:rFonts w:ascii="Times New Roman" w:hAnsi="Times New Roman"/>
        </w:rPr>
        <w:t>/次，及检修前后开停车排水量约2m</w:t>
      </w:r>
      <w:r>
        <w:rPr>
          <w:rFonts w:ascii="Times New Roman" w:hAnsi="Times New Roman"/>
          <w:vertAlign w:val="superscript"/>
        </w:rPr>
        <w:t>3</w:t>
      </w:r>
      <w:r>
        <w:rPr>
          <w:rFonts w:ascii="Times New Roman" w:hAnsi="Times New Roman"/>
        </w:rPr>
        <w:t>/次。每年进行2次检修，该类废水产生量为8m</w:t>
      </w:r>
      <w:r>
        <w:rPr>
          <w:rFonts w:ascii="Times New Roman" w:hAnsi="Times New Roman"/>
          <w:vertAlign w:val="superscript"/>
        </w:rPr>
        <w:t>3</w:t>
      </w:r>
      <w:r>
        <w:rPr>
          <w:rFonts w:ascii="Times New Roman" w:hAnsi="Times New Roman"/>
        </w:rPr>
        <w:t>/a，主要污染物为石油类，浓度约为20 mg/L。宣探1井站和宣兴1井站均排至站内气田水罐，定期用罐车拉运至渡口河净化厂等处置；宣探清管站将该股废水先排至放空分液罐内，定期拉运至宣兴1井站内气田水罐后，定期用罐车拉运至渡口河净化厂等处置。</w:t>
      </w:r>
    </w:p>
    <w:p>
      <w:pPr>
        <w:ind w:firstLine="480"/>
        <w:rPr>
          <w:rFonts w:ascii="Times New Roman" w:hAnsi="Times New Roman"/>
        </w:rPr>
      </w:pPr>
      <w:r>
        <w:rPr>
          <w:rFonts w:ascii="Times New Roman" w:hAnsi="Times New Roman"/>
        </w:rPr>
        <w:t>（4）外壁擦洗废水</w:t>
      </w:r>
    </w:p>
    <w:p>
      <w:pPr>
        <w:ind w:firstLine="480"/>
        <w:rPr>
          <w:rFonts w:ascii="Times New Roman" w:hAnsi="Times New Roman"/>
        </w:rPr>
      </w:pPr>
      <w:r>
        <w:rPr>
          <w:rFonts w:ascii="Times New Roman" w:hAnsi="Times New Roman"/>
        </w:rPr>
        <w:t>两井站每两周对设备外壁进行擦洗一次，每次废水产生量为3m</w:t>
      </w:r>
      <w:r>
        <w:rPr>
          <w:rFonts w:ascii="Times New Roman" w:hAnsi="Times New Roman"/>
          <w:vertAlign w:val="superscript"/>
        </w:rPr>
        <w:t>3</w:t>
      </w:r>
      <w:r>
        <w:rPr>
          <w:rFonts w:ascii="Times New Roman" w:hAnsi="Times New Roman"/>
        </w:rPr>
        <w:t>/次，每年的废水产生量为156m</w:t>
      </w:r>
      <w:r>
        <w:rPr>
          <w:rFonts w:ascii="Times New Roman" w:hAnsi="Times New Roman"/>
          <w:vertAlign w:val="superscript"/>
        </w:rPr>
        <w:t>3</w:t>
      </w:r>
      <w:r>
        <w:rPr>
          <w:rFonts w:ascii="Times New Roman" w:hAnsi="Times New Roman"/>
        </w:rPr>
        <w:t>，主要污染物为SS，浓度约为300mg/L。随站内道路雨水边沟排出站外。</w:t>
      </w:r>
    </w:p>
    <w:p>
      <w:pPr>
        <w:ind w:firstLine="480"/>
        <w:rPr>
          <w:rFonts w:ascii="Times New Roman" w:hAnsi="Times New Roman"/>
        </w:rPr>
      </w:pPr>
      <w:r>
        <w:rPr>
          <w:rFonts w:ascii="Times New Roman" w:hAnsi="Times New Roman"/>
        </w:rPr>
        <w:t>综上运营期各站场的废水产生情况见</w:t>
      </w:r>
      <w:r>
        <w:rPr>
          <w:rFonts w:ascii="Times New Roman" w:hAnsi="Times New Roman"/>
        </w:rPr>
        <w:fldChar w:fldCharType="begin"/>
      </w:r>
      <w:r>
        <w:rPr>
          <w:rFonts w:ascii="Times New Roman" w:hAnsi="Times New Roman"/>
        </w:rPr>
        <w:instrText xml:space="preserve"> REF _Ref152178147 \h  \* MERGEFORMAT </w:instrText>
      </w:r>
      <w:r>
        <w:rPr>
          <w:rFonts w:ascii="Times New Roman" w:hAnsi="Times New Roman"/>
        </w:rPr>
        <w:fldChar w:fldCharType="separate"/>
      </w:r>
      <w:r>
        <w:rPr>
          <w:rFonts w:ascii="Times New Roman" w:hAnsi="Times New Roman"/>
        </w:rPr>
        <w:t>表 3</w:t>
      </w:r>
      <w:r>
        <w:rPr>
          <w:rFonts w:ascii="Times New Roman" w:hAnsi="Times New Roman"/>
        </w:rPr>
        <w:noBreakHyphen/>
      </w:r>
      <w:r>
        <w:rPr>
          <w:rFonts w:ascii="Times New Roman" w:hAnsi="Times New Roman"/>
        </w:rPr>
        <w:t>5</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03" w:name="_Ref15217814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bookmarkEnd w:id="103"/>
      <w:r>
        <w:rPr>
          <w:rFonts w:ascii="Times New Roman" w:hAnsi="Times New Roman" w:cs="Times New Roman"/>
        </w:rPr>
        <w:t xml:space="preserve">  运营期各站场废水产生情况一览表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3"/>
        <w:gridCol w:w="1723"/>
        <w:gridCol w:w="1723"/>
        <w:gridCol w:w="1723"/>
        <w:gridCol w:w="15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vAlign w:val="center"/>
          </w:tcPr>
          <w:p>
            <w:pPr>
              <w:pStyle w:val="39"/>
              <w:rPr>
                <w:rFonts w:ascii="Times New Roman" w:hAnsi="Times New Roman"/>
              </w:rPr>
            </w:pPr>
            <w:r>
              <w:rPr>
                <w:rFonts w:ascii="Times New Roman" w:hAnsi="Times New Roman"/>
              </w:rPr>
              <w:t>废水</w:t>
            </w:r>
          </w:p>
        </w:tc>
        <w:tc>
          <w:tcPr>
            <w:tcW w:w="1723" w:type="dxa"/>
            <w:vAlign w:val="center"/>
          </w:tcPr>
          <w:p>
            <w:pPr>
              <w:pStyle w:val="39"/>
              <w:rPr>
                <w:rFonts w:ascii="Times New Roman" w:hAnsi="Times New Roman"/>
              </w:rPr>
            </w:pPr>
            <w:r>
              <w:rPr>
                <w:rFonts w:ascii="Times New Roman" w:hAnsi="Times New Roman"/>
              </w:rPr>
              <w:t>气田水（t/a）</w:t>
            </w:r>
          </w:p>
        </w:tc>
        <w:tc>
          <w:tcPr>
            <w:tcW w:w="1723" w:type="dxa"/>
            <w:vAlign w:val="center"/>
          </w:tcPr>
          <w:p>
            <w:pPr>
              <w:pStyle w:val="39"/>
              <w:rPr>
                <w:rFonts w:ascii="Times New Roman" w:hAnsi="Times New Roman"/>
              </w:rPr>
            </w:pPr>
            <w:r>
              <w:rPr>
                <w:rFonts w:ascii="Times New Roman" w:hAnsi="Times New Roman"/>
              </w:rPr>
              <w:t>生活污水（t/a）</w:t>
            </w:r>
          </w:p>
        </w:tc>
        <w:tc>
          <w:tcPr>
            <w:tcW w:w="1723" w:type="dxa"/>
            <w:vAlign w:val="center"/>
          </w:tcPr>
          <w:p>
            <w:pPr>
              <w:pStyle w:val="39"/>
              <w:rPr>
                <w:rFonts w:ascii="Times New Roman" w:hAnsi="Times New Roman"/>
              </w:rPr>
            </w:pPr>
            <w:r>
              <w:rPr>
                <w:rFonts w:ascii="Times New Roman" w:hAnsi="Times New Roman"/>
              </w:rPr>
              <w:t>检修废水</w:t>
            </w:r>
          </w:p>
          <w:p>
            <w:pPr>
              <w:pStyle w:val="39"/>
              <w:rPr>
                <w:rFonts w:ascii="Times New Roman" w:hAnsi="Times New Roman"/>
              </w:rPr>
            </w:pPr>
            <w:r>
              <w:rPr>
                <w:rFonts w:ascii="Times New Roman" w:hAnsi="Times New Roman"/>
              </w:rPr>
              <w:t>（t/a）</w:t>
            </w:r>
          </w:p>
        </w:tc>
        <w:tc>
          <w:tcPr>
            <w:tcW w:w="1534" w:type="dxa"/>
            <w:vAlign w:val="center"/>
          </w:tcPr>
          <w:p>
            <w:pPr>
              <w:pStyle w:val="39"/>
              <w:rPr>
                <w:rFonts w:ascii="Times New Roman" w:hAnsi="Times New Roman"/>
              </w:rPr>
            </w:pPr>
            <w:r>
              <w:rPr>
                <w:rFonts w:ascii="Times New Roman" w:hAnsi="Times New Roman"/>
              </w:rPr>
              <w:t>外壁擦洗废水</w:t>
            </w:r>
          </w:p>
          <w:p>
            <w:pPr>
              <w:pStyle w:val="39"/>
              <w:rPr>
                <w:rFonts w:ascii="Times New Roman" w:hAnsi="Times New Roman"/>
              </w:rPr>
            </w:pPr>
            <w:r>
              <w:rPr>
                <w:rFonts w:ascii="Times New Roman" w:hAnsi="Times New Roma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vAlign w:val="center"/>
          </w:tcPr>
          <w:p>
            <w:pPr>
              <w:pStyle w:val="39"/>
              <w:rPr>
                <w:rFonts w:ascii="Times New Roman" w:hAnsi="Times New Roman"/>
              </w:rPr>
            </w:pPr>
            <w:r>
              <w:rPr>
                <w:rFonts w:ascii="Times New Roman" w:hAnsi="Times New Roman"/>
              </w:rPr>
              <w:t>宣探1井站</w:t>
            </w:r>
          </w:p>
        </w:tc>
        <w:tc>
          <w:tcPr>
            <w:tcW w:w="1723" w:type="dxa"/>
            <w:vAlign w:val="center"/>
          </w:tcPr>
          <w:p>
            <w:pPr>
              <w:pStyle w:val="39"/>
              <w:rPr>
                <w:rFonts w:ascii="Times New Roman" w:hAnsi="Times New Roman"/>
              </w:rPr>
            </w:pPr>
            <w:r>
              <w:rPr>
                <w:rFonts w:ascii="Times New Roman" w:hAnsi="Times New Roman"/>
              </w:rPr>
              <w:t>4320</w:t>
            </w:r>
          </w:p>
        </w:tc>
        <w:tc>
          <w:tcPr>
            <w:tcW w:w="1723" w:type="dxa"/>
            <w:vAlign w:val="center"/>
          </w:tcPr>
          <w:p>
            <w:pPr>
              <w:pStyle w:val="39"/>
              <w:rPr>
                <w:rFonts w:ascii="Times New Roman" w:hAnsi="Times New Roman"/>
              </w:rPr>
            </w:pPr>
            <w:r>
              <w:rPr>
                <w:rFonts w:ascii="Times New Roman" w:hAnsi="Times New Roman"/>
              </w:rPr>
              <w:t>/</w:t>
            </w:r>
          </w:p>
        </w:tc>
        <w:tc>
          <w:tcPr>
            <w:tcW w:w="1723" w:type="dxa"/>
            <w:vAlign w:val="center"/>
          </w:tcPr>
          <w:p>
            <w:pPr>
              <w:pStyle w:val="39"/>
              <w:rPr>
                <w:rFonts w:ascii="Times New Roman" w:hAnsi="Times New Roman"/>
              </w:rPr>
            </w:pPr>
            <w:r>
              <w:rPr>
                <w:rFonts w:ascii="Times New Roman" w:hAnsi="Times New Roman"/>
              </w:rPr>
              <w:t>8</w:t>
            </w:r>
          </w:p>
        </w:tc>
        <w:tc>
          <w:tcPr>
            <w:tcW w:w="1534" w:type="dxa"/>
            <w:vAlign w:val="center"/>
          </w:tcPr>
          <w:p>
            <w:pPr>
              <w:pStyle w:val="39"/>
              <w:rPr>
                <w:rFonts w:ascii="Times New Roman" w:hAnsi="Times New Roman"/>
              </w:rPr>
            </w:pPr>
            <w:r>
              <w:rPr>
                <w:rFonts w:ascii="Times New Roman" w:hAnsi="Times New Roman"/>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593" w:type="dxa"/>
            <w:vAlign w:val="center"/>
          </w:tcPr>
          <w:p>
            <w:pPr>
              <w:pStyle w:val="39"/>
              <w:rPr>
                <w:rFonts w:ascii="Times New Roman" w:hAnsi="Times New Roman"/>
              </w:rPr>
            </w:pPr>
            <w:r>
              <w:rPr>
                <w:rFonts w:ascii="Times New Roman" w:hAnsi="Times New Roman"/>
              </w:rPr>
              <w:t>宣兴1井站</w:t>
            </w:r>
          </w:p>
        </w:tc>
        <w:tc>
          <w:tcPr>
            <w:tcW w:w="1723" w:type="dxa"/>
            <w:vAlign w:val="center"/>
          </w:tcPr>
          <w:p>
            <w:pPr>
              <w:pStyle w:val="39"/>
              <w:rPr>
                <w:rFonts w:ascii="Times New Roman" w:hAnsi="Times New Roman"/>
              </w:rPr>
            </w:pPr>
            <w:r>
              <w:rPr>
                <w:rFonts w:ascii="Times New Roman" w:hAnsi="Times New Roman"/>
              </w:rPr>
              <w:t>2880</w:t>
            </w:r>
          </w:p>
        </w:tc>
        <w:tc>
          <w:tcPr>
            <w:tcW w:w="1723" w:type="dxa"/>
            <w:vAlign w:val="center"/>
          </w:tcPr>
          <w:p>
            <w:pPr>
              <w:pStyle w:val="39"/>
              <w:rPr>
                <w:rFonts w:ascii="Times New Roman" w:hAnsi="Times New Roman"/>
              </w:rPr>
            </w:pPr>
            <w:r>
              <w:rPr>
                <w:rFonts w:ascii="Times New Roman" w:hAnsi="Times New Roman"/>
              </w:rPr>
              <w:t>/</w:t>
            </w:r>
          </w:p>
        </w:tc>
        <w:tc>
          <w:tcPr>
            <w:tcW w:w="1723" w:type="dxa"/>
            <w:vAlign w:val="center"/>
          </w:tcPr>
          <w:p>
            <w:pPr>
              <w:pStyle w:val="39"/>
              <w:rPr>
                <w:rFonts w:ascii="Times New Roman" w:hAnsi="Times New Roman"/>
              </w:rPr>
            </w:pPr>
            <w:r>
              <w:rPr>
                <w:rFonts w:ascii="Times New Roman" w:hAnsi="Times New Roman"/>
              </w:rPr>
              <w:t>8</w:t>
            </w:r>
          </w:p>
        </w:tc>
        <w:tc>
          <w:tcPr>
            <w:tcW w:w="1534" w:type="dxa"/>
            <w:vAlign w:val="center"/>
          </w:tcPr>
          <w:p>
            <w:pPr>
              <w:pStyle w:val="39"/>
              <w:rPr>
                <w:rFonts w:ascii="Times New Roman" w:hAnsi="Times New Roman"/>
              </w:rPr>
            </w:pPr>
            <w:r>
              <w:rPr>
                <w:rFonts w:ascii="Times New Roman" w:hAnsi="Times New Roman"/>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vAlign w:val="center"/>
          </w:tcPr>
          <w:p>
            <w:pPr>
              <w:pStyle w:val="39"/>
              <w:rPr>
                <w:rFonts w:ascii="Times New Roman" w:hAnsi="Times New Roman"/>
              </w:rPr>
            </w:pPr>
            <w:r>
              <w:rPr>
                <w:rFonts w:ascii="Times New Roman" w:hAnsi="Times New Roman"/>
              </w:rPr>
              <w:t>宣探清管站</w:t>
            </w:r>
          </w:p>
        </w:tc>
        <w:tc>
          <w:tcPr>
            <w:tcW w:w="1723" w:type="dxa"/>
            <w:vAlign w:val="center"/>
          </w:tcPr>
          <w:p>
            <w:pPr>
              <w:pStyle w:val="39"/>
              <w:rPr>
                <w:rFonts w:ascii="Times New Roman" w:hAnsi="Times New Roman"/>
              </w:rPr>
            </w:pPr>
            <w:r>
              <w:rPr>
                <w:rFonts w:ascii="Times New Roman" w:hAnsi="Times New Roman"/>
              </w:rPr>
              <w:t>/</w:t>
            </w:r>
          </w:p>
        </w:tc>
        <w:tc>
          <w:tcPr>
            <w:tcW w:w="1723" w:type="dxa"/>
            <w:vAlign w:val="center"/>
          </w:tcPr>
          <w:p>
            <w:pPr>
              <w:pStyle w:val="39"/>
              <w:rPr>
                <w:rFonts w:ascii="Times New Roman" w:hAnsi="Times New Roman"/>
              </w:rPr>
            </w:pPr>
            <w:r>
              <w:rPr>
                <w:rFonts w:ascii="Times New Roman" w:hAnsi="Times New Roman"/>
              </w:rPr>
              <w:t>/</w:t>
            </w:r>
          </w:p>
        </w:tc>
        <w:tc>
          <w:tcPr>
            <w:tcW w:w="1723" w:type="dxa"/>
            <w:vAlign w:val="center"/>
          </w:tcPr>
          <w:p>
            <w:pPr>
              <w:pStyle w:val="39"/>
              <w:rPr>
                <w:rFonts w:ascii="Times New Roman" w:hAnsi="Times New Roman"/>
              </w:rPr>
            </w:pPr>
            <w:r>
              <w:rPr>
                <w:rFonts w:ascii="Times New Roman" w:hAnsi="Times New Roman"/>
              </w:rPr>
              <w:t>8</w:t>
            </w:r>
          </w:p>
        </w:tc>
        <w:tc>
          <w:tcPr>
            <w:tcW w:w="1534"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vAlign w:val="center"/>
          </w:tcPr>
          <w:p>
            <w:pPr>
              <w:pStyle w:val="39"/>
              <w:rPr>
                <w:rFonts w:ascii="Times New Roman" w:hAnsi="Times New Roman"/>
              </w:rPr>
            </w:pPr>
            <w:r>
              <w:rPr>
                <w:rFonts w:ascii="Times New Roman" w:hAnsi="Times New Roman"/>
              </w:rPr>
              <w:t>维抢修队</w:t>
            </w:r>
          </w:p>
        </w:tc>
        <w:tc>
          <w:tcPr>
            <w:tcW w:w="1723" w:type="dxa"/>
            <w:vAlign w:val="center"/>
          </w:tcPr>
          <w:p>
            <w:pPr>
              <w:pStyle w:val="39"/>
              <w:rPr>
                <w:rFonts w:ascii="Times New Roman" w:hAnsi="Times New Roman"/>
              </w:rPr>
            </w:pPr>
            <w:r>
              <w:rPr>
                <w:rFonts w:ascii="Times New Roman" w:hAnsi="Times New Roman"/>
              </w:rPr>
              <w:t>/</w:t>
            </w:r>
          </w:p>
        </w:tc>
        <w:tc>
          <w:tcPr>
            <w:tcW w:w="1723" w:type="dxa"/>
            <w:vAlign w:val="center"/>
          </w:tcPr>
          <w:p>
            <w:pPr>
              <w:pStyle w:val="39"/>
              <w:rPr>
                <w:rFonts w:ascii="Times New Roman" w:hAnsi="Times New Roman"/>
              </w:rPr>
            </w:pPr>
            <w:r>
              <w:rPr>
                <w:rFonts w:ascii="Times New Roman" w:hAnsi="Times New Roman"/>
              </w:rPr>
              <w:t>245.28</w:t>
            </w:r>
          </w:p>
        </w:tc>
        <w:tc>
          <w:tcPr>
            <w:tcW w:w="1723" w:type="dxa"/>
            <w:vAlign w:val="center"/>
          </w:tcPr>
          <w:p>
            <w:pPr>
              <w:pStyle w:val="39"/>
              <w:rPr>
                <w:rFonts w:ascii="Times New Roman" w:hAnsi="Times New Roman"/>
              </w:rPr>
            </w:pPr>
            <w:r>
              <w:rPr>
                <w:rFonts w:ascii="Times New Roman" w:hAnsi="Times New Roman"/>
              </w:rPr>
              <w:t>/</w:t>
            </w:r>
          </w:p>
        </w:tc>
        <w:tc>
          <w:tcPr>
            <w:tcW w:w="1534" w:type="dxa"/>
            <w:vAlign w:val="center"/>
          </w:tcPr>
          <w:p>
            <w:pPr>
              <w:pStyle w:val="39"/>
              <w:rPr>
                <w:rFonts w:ascii="Times New Roman" w:hAnsi="Times New Roman"/>
              </w:rPr>
            </w:pPr>
            <w:r>
              <w:rPr>
                <w:rFonts w:ascii="Times New Roman" w:hAnsi="Times New Roman"/>
              </w:rPr>
              <w:t>/</w:t>
            </w:r>
          </w:p>
        </w:tc>
      </w:tr>
    </w:tbl>
    <w:p>
      <w:pPr>
        <w:pStyle w:val="5"/>
        <w:rPr>
          <w:rFonts w:ascii="Times New Roman" w:hAnsi="Times New Roman"/>
        </w:rPr>
      </w:pPr>
      <w:r>
        <w:rPr>
          <w:rFonts w:ascii="Times New Roman" w:hAnsi="Times New Roman"/>
        </w:rPr>
        <w:t>废气</w:t>
      </w:r>
    </w:p>
    <w:p>
      <w:pPr>
        <w:ind w:firstLine="480"/>
        <w:rPr>
          <w:rFonts w:ascii="Times New Roman" w:hAnsi="Times New Roman"/>
        </w:rPr>
      </w:pPr>
      <w:r>
        <w:rPr>
          <w:rFonts w:ascii="Times New Roman" w:hAnsi="Times New Roman"/>
        </w:rPr>
        <w:t>本项目输气管道采用密闭方式输送原料气和天然气，正常情况下对环境的影响主要来自井站等工艺站场的排污。</w:t>
      </w:r>
    </w:p>
    <w:p>
      <w:pPr>
        <w:ind w:firstLine="480"/>
        <w:rPr>
          <w:rFonts w:ascii="Times New Roman" w:hAnsi="Times New Roman"/>
        </w:rPr>
      </w:pPr>
      <w:r>
        <w:rPr>
          <w:rFonts w:ascii="Times New Roman" w:hAnsi="Times New Roman"/>
        </w:rPr>
        <w:t>（1）正常工况</w:t>
      </w:r>
    </w:p>
    <w:p>
      <w:pPr>
        <w:ind w:firstLine="480"/>
        <w:rPr>
          <w:rFonts w:ascii="Times New Roman" w:hAnsi="Times New Roman"/>
        </w:rPr>
      </w:pPr>
      <w:r>
        <w:rPr>
          <w:rFonts w:ascii="Times New Roman" w:hAnsi="Times New Roman"/>
        </w:rPr>
        <w:t>各井站在正常生产时产生的废气为水套加热炉燃料气燃烧产生的尾气，主要污染因子为SO</w:t>
      </w:r>
      <w:r>
        <w:rPr>
          <w:rFonts w:ascii="Times New Roman" w:hAnsi="Times New Roman"/>
          <w:vertAlign w:val="subscript"/>
        </w:rPr>
        <w:t>2</w:t>
      </w:r>
      <w:r>
        <w:rPr>
          <w:rFonts w:ascii="Times New Roman" w:hAnsi="Times New Roman"/>
        </w:rPr>
        <w:t>、NO</w:t>
      </w:r>
      <w:r>
        <w:rPr>
          <w:rFonts w:ascii="Times New Roman" w:hAnsi="Times New Roman"/>
          <w:vertAlign w:val="subscript"/>
        </w:rPr>
        <w:t>X</w:t>
      </w:r>
      <w:r>
        <w:rPr>
          <w:rFonts w:ascii="Times New Roman" w:hAnsi="Times New Roman"/>
        </w:rPr>
        <w:t>、PM</w:t>
      </w:r>
      <w:r>
        <w:rPr>
          <w:rFonts w:ascii="Times New Roman" w:hAnsi="Times New Roman"/>
          <w:vertAlign w:val="subscript"/>
        </w:rPr>
        <w:t>10</w:t>
      </w:r>
      <w:r>
        <w:rPr>
          <w:rFonts w:ascii="Times New Roman" w:hAnsi="Times New Roman"/>
        </w:rPr>
        <w:t>、PM</w:t>
      </w:r>
      <w:r>
        <w:rPr>
          <w:rFonts w:ascii="Times New Roman" w:hAnsi="Times New Roman"/>
          <w:vertAlign w:val="subscript"/>
        </w:rPr>
        <w:t>2.5</w:t>
      </w:r>
      <w:r>
        <w:rPr>
          <w:rFonts w:ascii="Times New Roman" w:hAnsi="Times New Roman"/>
        </w:rPr>
        <w:t>；以及井站无组织废气，主要污染因子为H</w:t>
      </w:r>
      <w:r>
        <w:rPr>
          <w:rFonts w:ascii="Times New Roman" w:hAnsi="Times New Roman"/>
          <w:vertAlign w:val="subscript"/>
        </w:rPr>
        <w:t>2</w:t>
      </w:r>
      <w:r>
        <w:rPr>
          <w:rFonts w:ascii="Times New Roman" w:hAnsi="Times New Roman"/>
        </w:rPr>
        <w:t>S和VOCs。</w:t>
      </w:r>
    </w:p>
    <w:p>
      <w:pPr>
        <w:ind w:firstLine="480"/>
        <w:rPr>
          <w:rFonts w:ascii="Times New Roman" w:hAnsi="Times New Roman"/>
        </w:rPr>
      </w:pPr>
      <w:r>
        <w:rPr>
          <w:rFonts w:ascii="Times New Roman" w:hAnsi="Times New Roman"/>
        </w:rPr>
        <w:t>1）水套加热炉</w:t>
      </w:r>
    </w:p>
    <w:p>
      <w:pPr>
        <w:ind w:firstLine="480"/>
        <w:rPr>
          <w:rFonts w:ascii="Times New Roman" w:hAnsi="Times New Roman"/>
        </w:rPr>
      </w:pPr>
      <w:r>
        <w:rPr>
          <w:rFonts w:ascii="Times New Roman" w:hAnsi="Times New Roman"/>
        </w:rPr>
        <w:t>两座井站各配置一台水套炉，采用宣汉净化厂的天然气作为燃料。燃烧后的废气经8m高的排气筒排放。</w:t>
      </w:r>
    </w:p>
    <w:p>
      <w:pPr>
        <w:ind w:firstLine="480"/>
        <w:rPr>
          <w:rFonts w:ascii="Times New Roman" w:hAnsi="Times New Roman"/>
        </w:rPr>
      </w:pPr>
      <w:r>
        <w:rPr>
          <w:rFonts w:ascii="Times New Roman" w:hAnsi="Times New Roman"/>
        </w:rPr>
        <w:t>两井站水套炉设置情况见</w:t>
      </w:r>
      <w:r>
        <w:rPr>
          <w:rFonts w:ascii="Times New Roman" w:hAnsi="Times New Roman"/>
        </w:rPr>
        <w:fldChar w:fldCharType="begin"/>
      </w:r>
      <w:r>
        <w:rPr>
          <w:rFonts w:ascii="Times New Roman" w:hAnsi="Times New Roman"/>
        </w:rPr>
        <w:instrText xml:space="preserve"> REF _Ref152167309 \h  \* MERGEFORMAT </w:instrText>
      </w:r>
      <w:r>
        <w:rPr>
          <w:rFonts w:ascii="Times New Roman" w:hAnsi="Times New Roman"/>
        </w:rPr>
        <w:fldChar w:fldCharType="separate"/>
      </w:r>
      <w:r>
        <w:rPr>
          <w:rFonts w:ascii="Times New Roman" w:hAnsi="Times New Roman"/>
        </w:rPr>
        <w:t>表 3</w:t>
      </w:r>
      <w:r>
        <w:rPr>
          <w:rFonts w:ascii="Times New Roman" w:hAnsi="Times New Roman"/>
        </w:rPr>
        <w:noBreakHyphen/>
      </w:r>
      <w:r>
        <w:rPr>
          <w:rFonts w:ascii="Times New Roman" w:hAnsi="Times New Roman"/>
        </w:rPr>
        <w:t>6</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04" w:name="_Ref15216730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bookmarkEnd w:id="104"/>
      <w:r>
        <w:rPr>
          <w:rFonts w:ascii="Times New Roman" w:hAnsi="Times New Roman" w:cs="Times New Roman"/>
        </w:rPr>
        <w:t xml:space="preserve">  本项目井站水套炉设置情况</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5"/>
        <w:gridCol w:w="2126"/>
        <w:gridCol w:w="1327"/>
        <w:gridCol w:w="1669"/>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dxa"/>
            <w:vAlign w:val="center"/>
          </w:tcPr>
          <w:p>
            <w:pPr>
              <w:pStyle w:val="39"/>
              <w:rPr>
                <w:rFonts w:ascii="Times New Roman" w:hAnsi="Times New Roman"/>
              </w:rPr>
            </w:pPr>
            <w:r>
              <w:rPr>
                <w:rFonts w:ascii="Times New Roman" w:hAnsi="Times New Roman"/>
              </w:rPr>
              <w:t>井站</w:t>
            </w:r>
          </w:p>
        </w:tc>
        <w:tc>
          <w:tcPr>
            <w:tcW w:w="2126" w:type="dxa"/>
            <w:vAlign w:val="center"/>
          </w:tcPr>
          <w:p>
            <w:pPr>
              <w:pStyle w:val="39"/>
              <w:rPr>
                <w:rFonts w:ascii="Times New Roman" w:hAnsi="Times New Roman"/>
              </w:rPr>
            </w:pPr>
            <w:r>
              <w:rPr>
                <w:rFonts w:ascii="Times New Roman" w:hAnsi="Times New Roman"/>
              </w:rPr>
              <w:t>水套炉规格</w:t>
            </w:r>
          </w:p>
        </w:tc>
        <w:tc>
          <w:tcPr>
            <w:tcW w:w="1327" w:type="dxa"/>
            <w:vAlign w:val="center"/>
          </w:tcPr>
          <w:p>
            <w:pPr>
              <w:pStyle w:val="39"/>
              <w:rPr>
                <w:rFonts w:ascii="Times New Roman" w:hAnsi="Times New Roman"/>
              </w:rPr>
            </w:pPr>
            <w:r>
              <w:rPr>
                <w:rFonts w:ascii="Times New Roman" w:hAnsi="Times New Roman"/>
              </w:rPr>
              <w:t>数量</w:t>
            </w:r>
          </w:p>
          <w:p>
            <w:pPr>
              <w:pStyle w:val="39"/>
              <w:rPr>
                <w:rFonts w:ascii="Times New Roman" w:hAnsi="Times New Roman"/>
              </w:rPr>
            </w:pPr>
            <w:r>
              <w:rPr>
                <w:rFonts w:ascii="Times New Roman" w:hAnsi="Times New Roman"/>
              </w:rPr>
              <w:t>（台）</w:t>
            </w:r>
          </w:p>
        </w:tc>
        <w:tc>
          <w:tcPr>
            <w:tcW w:w="1669" w:type="dxa"/>
            <w:vAlign w:val="center"/>
          </w:tcPr>
          <w:p>
            <w:pPr>
              <w:pStyle w:val="39"/>
              <w:rPr>
                <w:rFonts w:ascii="Times New Roman" w:hAnsi="Times New Roman"/>
              </w:rPr>
            </w:pPr>
            <w:r>
              <w:rPr>
                <w:rFonts w:ascii="Times New Roman" w:hAnsi="Times New Roman"/>
              </w:rPr>
              <w:t>耗气量（m</w:t>
            </w:r>
            <w:r>
              <w:rPr>
                <w:rFonts w:ascii="Times New Roman" w:hAnsi="Times New Roman"/>
                <w:vertAlign w:val="superscript"/>
              </w:rPr>
              <w:t>3</w:t>
            </w:r>
            <w:r>
              <w:rPr>
                <w:rFonts w:ascii="Times New Roman" w:hAnsi="Times New Roman"/>
              </w:rPr>
              <w:t>/h）</w:t>
            </w:r>
          </w:p>
        </w:tc>
        <w:tc>
          <w:tcPr>
            <w:tcW w:w="1619" w:type="dxa"/>
            <w:vAlign w:val="center"/>
          </w:tcPr>
          <w:p>
            <w:pPr>
              <w:pStyle w:val="39"/>
              <w:rPr>
                <w:rFonts w:ascii="Times New Roman" w:hAnsi="Times New Roman"/>
              </w:rPr>
            </w:pPr>
            <w:r>
              <w:rPr>
                <w:rFonts w:ascii="Times New Roman" w:hAnsi="Times New Roman"/>
              </w:rPr>
              <w:t>运行时长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dxa"/>
            <w:vAlign w:val="center"/>
          </w:tcPr>
          <w:p>
            <w:pPr>
              <w:pStyle w:val="39"/>
              <w:rPr>
                <w:rFonts w:ascii="Times New Roman" w:hAnsi="Times New Roman"/>
              </w:rPr>
            </w:pPr>
            <w:r>
              <w:rPr>
                <w:rFonts w:ascii="Times New Roman" w:hAnsi="Times New Roman"/>
              </w:rPr>
              <w:t>宣探1井站</w:t>
            </w:r>
          </w:p>
        </w:tc>
        <w:tc>
          <w:tcPr>
            <w:tcW w:w="2126" w:type="dxa"/>
            <w:vAlign w:val="center"/>
          </w:tcPr>
          <w:p>
            <w:pPr>
              <w:pStyle w:val="39"/>
              <w:rPr>
                <w:rFonts w:ascii="Times New Roman" w:hAnsi="Times New Roman"/>
              </w:rPr>
            </w:pPr>
            <w:r>
              <w:rPr>
                <w:rFonts w:ascii="Times New Roman" w:hAnsi="Times New Roman"/>
              </w:rPr>
              <w:t>P 33 Mpa，400 kW</w:t>
            </w:r>
          </w:p>
        </w:tc>
        <w:tc>
          <w:tcPr>
            <w:tcW w:w="1327" w:type="dxa"/>
            <w:vAlign w:val="center"/>
          </w:tcPr>
          <w:p>
            <w:pPr>
              <w:pStyle w:val="39"/>
              <w:rPr>
                <w:rFonts w:ascii="Times New Roman" w:hAnsi="Times New Roman"/>
              </w:rPr>
            </w:pPr>
            <w:r>
              <w:rPr>
                <w:rFonts w:ascii="Times New Roman" w:hAnsi="Times New Roman"/>
              </w:rPr>
              <w:t>1</w:t>
            </w:r>
          </w:p>
        </w:tc>
        <w:tc>
          <w:tcPr>
            <w:tcW w:w="1669" w:type="dxa"/>
            <w:vAlign w:val="center"/>
          </w:tcPr>
          <w:p>
            <w:pPr>
              <w:pStyle w:val="39"/>
              <w:rPr>
                <w:rFonts w:ascii="Times New Roman" w:hAnsi="Times New Roman"/>
              </w:rPr>
            </w:pPr>
            <w:r>
              <w:rPr>
                <w:rFonts w:ascii="Times New Roman" w:hAnsi="Times New Roman"/>
              </w:rPr>
              <w:t>46</w:t>
            </w:r>
          </w:p>
        </w:tc>
        <w:tc>
          <w:tcPr>
            <w:tcW w:w="1619" w:type="dxa"/>
            <w:vAlign w:val="center"/>
          </w:tcPr>
          <w:p>
            <w:pPr>
              <w:pStyle w:val="39"/>
              <w:rPr>
                <w:rFonts w:ascii="Times New Roman" w:hAnsi="Times New Roman"/>
              </w:rPr>
            </w:pPr>
            <w:r>
              <w:rPr>
                <w:rFonts w:ascii="Times New Roman" w:hAnsi="Times New Roman"/>
              </w:rPr>
              <w:t>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dxa"/>
            <w:vAlign w:val="center"/>
          </w:tcPr>
          <w:p>
            <w:pPr>
              <w:pStyle w:val="39"/>
              <w:rPr>
                <w:rFonts w:ascii="Times New Roman" w:hAnsi="Times New Roman"/>
              </w:rPr>
            </w:pPr>
            <w:r>
              <w:rPr>
                <w:rFonts w:ascii="Times New Roman" w:hAnsi="Times New Roman"/>
              </w:rPr>
              <w:t>宣兴1井站</w:t>
            </w:r>
          </w:p>
        </w:tc>
        <w:tc>
          <w:tcPr>
            <w:tcW w:w="2126" w:type="dxa"/>
            <w:vAlign w:val="center"/>
          </w:tcPr>
          <w:p>
            <w:pPr>
              <w:pStyle w:val="39"/>
              <w:jc w:val="left"/>
              <w:rPr>
                <w:rFonts w:ascii="Times New Roman" w:hAnsi="Times New Roman"/>
              </w:rPr>
            </w:pPr>
            <w:r>
              <w:rPr>
                <w:rFonts w:ascii="Times New Roman" w:hAnsi="Times New Roman"/>
              </w:rPr>
              <w:t>P 33 Mpa，1180kW</w:t>
            </w:r>
          </w:p>
        </w:tc>
        <w:tc>
          <w:tcPr>
            <w:tcW w:w="1327" w:type="dxa"/>
            <w:vAlign w:val="center"/>
          </w:tcPr>
          <w:p>
            <w:pPr>
              <w:pStyle w:val="39"/>
              <w:rPr>
                <w:rFonts w:ascii="Times New Roman" w:hAnsi="Times New Roman"/>
              </w:rPr>
            </w:pPr>
            <w:r>
              <w:rPr>
                <w:rFonts w:ascii="Times New Roman" w:hAnsi="Times New Roman"/>
              </w:rPr>
              <w:t>1</w:t>
            </w:r>
          </w:p>
        </w:tc>
        <w:tc>
          <w:tcPr>
            <w:tcW w:w="1669" w:type="dxa"/>
            <w:vAlign w:val="center"/>
          </w:tcPr>
          <w:p>
            <w:pPr>
              <w:pStyle w:val="39"/>
              <w:rPr>
                <w:rFonts w:ascii="Times New Roman" w:hAnsi="Times New Roman"/>
              </w:rPr>
            </w:pPr>
            <w:r>
              <w:rPr>
                <w:rFonts w:ascii="Times New Roman" w:hAnsi="Times New Roman"/>
              </w:rPr>
              <w:t>135</w:t>
            </w:r>
          </w:p>
        </w:tc>
        <w:tc>
          <w:tcPr>
            <w:tcW w:w="1619" w:type="dxa"/>
            <w:vAlign w:val="center"/>
          </w:tcPr>
          <w:p>
            <w:pPr>
              <w:pStyle w:val="39"/>
              <w:rPr>
                <w:rFonts w:ascii="Times New Roman" w:hAnsi="Times New Roman"/>
              </w:rPr>
            </w:pPr>
            <w:r>
              <w:rPr>
                <w:rFonts w:ascii="Times New Roman" w:hAnsi="Times New Roman"/>
              </w:rPr>
              <w:t>8000</w:t>
            </w:r>
          </w:p>
        </w:tc>
      </w:tr>
    </w:tbl>
    <w:p>
      <w:pPr>
        <w:ind w:firstLine="480"/>
        <w:rPr>
          <w:rFonts w:ascii="Times New Roman" w:hAnsi="Times New Roman"/>
        </w:rPr>
      </w:pPr>
    </w:p>
    <w:p>
      <w:pPr>
        <w:ind w:firstLine="480"/>
        <w:rPr>
          <w:rFonts w:ascii="Times New Roman" w:hAnsi="Times New Roman"/>
        </w:rPr>
      </w:pPr>
      <w:r>
        <w:rPr>
          <w:rFonts w:ascii="Times New Roman" w:hAnsi="Times New Roman"/>
        </w:rPr>
        <w:t>水套加热炉SO</w:t>
      </w:r>
      <w:r>
        <w:rPr>
          <w:rFonts w:ascii="Times New Roman" w:hAnsi="Times New Roman"/>
          <w:vertAlign w:val="subscript"/>
        </w:rPr>
        <w:t>2</w:t>
      </w:r>
      <w:r>
        <w:rPr>
          <w:rFonts w:ascii="Times New Roman" w:hAnsi="Times New Roman"/>
        </w:rPr>
        <w:t>、NO</w:t>
      </w:r>
      <w:r>
        <w:rPr>
          <w:rFonts w:ascii="Times New Roman" w:hAnsi="Times New Roman"/>
          <w:vertAlign w:val="subscript"/>
        </w:rPr>
        <w:t>X</w:t>
      </w:r>
      <w:r>
        <w:rPr>
          <w:rFonts w:ascii="Times New Roman" w:hAnsi="Times New Roman"/>
        </w:rPr>
        <w:t>、</w:t>
      </w:r>
      <w:bookmarkStart w:id="105" w:name="_Hlk154741784"/>
      <w:r>
        <w:rPr>
          <w:rFonts w:ascii="Times New Roman" w:hAnsi="Times New Roman"/>
        </w:rPr>
        <w:t>废气量均参照生态环境部发布的《排放源统计调查产排污核算方法和系数手册》的《4430工业锅炉（热力供应）行业系数手册》燃气工业锅炉产污系数表确定</w:t>
      </w:r>
      <w:bookmarkEnd w:id="105"/>
      <w:r>
        <w:rPr>
          <w:rFonts w:ascii="Times New Roman" w:hAnsi="Times New Roman"/>
        </w:rPr>
        <w:t>；颗粒物参照《环境保护实用数据手册》中工业锅炉产污系数确定。</w:t>
      </w:r>
    </w:p>
    <w:p>
      <w:pPr>
        <w:ind w:firstLine="480"/>
        <w:rPr>
          <w:rFonts w:ascii="Times New Roman" w:hAnsi="Times New Roman"/>
        </w:rPr>
      </w:pPr>
      <w:r>
        <w:rPr>
          <w:rFonts w:ascii="Times New Roman" w:hAnsi="Times New Roman"/>
        </w:rPr>
        <w:t>水套加热炉天然气产污系数见下表。由此计算的本项目水套炉的污染物产排情况见</w:t>
      </w:r>
      <w:r>
        <w:rPr>
          <w:rFonts w:ascii="Times New Roman" w:hAnsi="Times New Roman"/>
        </w:rPr>
        <w:fldChar w:fldCharType="begin"/>
      </w:r>
      <w:r>
        <w:rPr>
          <w:rFonts w:ascii="Times New Roman" w:hAnsi="Times New Roman"/>
        </w:rPr>
        <w:instrText xml:space="preserve"> REF _Ref152167782 \h  \* MERGEFORMAT </w:instrText>
      </w:r>
      <w:r>
        <w:rPr>
          <w:rFonts w:ascii="Times New Roman" w:hAnsi="Times New Roman"/>
        </w:rPr>
        <w:fldChar w:fldCharType="separate"/>
      </w:r>
      <w:r>
        <w:rPr>
          <w:rFonts w:ascii="Times New Roman" w:hAnsi="Times New Roman"/>
        </w:rPr>
        <w:t>表 3</w:t>
      </w:r>
      <w:r>
        <w:rPr>
          <w:rFonts w:ascii="Times New Roman" w:hAnsi="Times New Roman"/>
        </w:rPr>
        <w:noBreakHyphen/>
      </w:r>
      <w:r>
        <w:rPr>
          <w:rFonts w:ascii="Times New Roman" w:hAnsi="Times New Roman"/>
        </w:rPr>
        <w:t>9</w:t>
      </w:r>
      <w:r>
        <w:rPr>
          <w:rFonts w:ascii="Times New Roman" w:hAnsi="Times New Roman"/>
        </w:rPr>
        <w:fldChar w:fldCharType="end"/>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t xml:space="preserve">  井站水套加热炉产污系数一览表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7"/>
        <w:gridCol w:w="3842"/>
        <w:gridCol w:w="29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0" w:type="pct"/>
          </w:tcPr>
          <w:p>
            <w:pPr>
              <w:pStyle w:val="39"/>
              <w:rPr>
                <w:rFonts w:ascii="Times New Roman" w:hAnsi="Times New Roman"/>
              </w:rPr>
            </w:pPr>
            <w:bookmarkStart w:id="106" w:name="_Hlk154741800"/>
            <w:r>
              <w:rPr>
                <w:rFonts w:ascii="Times New Roman" w:hAnsi="Times New Roman"/>
              </w:rPr>
              <w:t>污染物指标</w:t>
            </w:r>
          </w:p>
        </w:tc>
        <w:tc>
          <w:tcPr>
            <w:tcW w:w="2255" w:type="pct"/>
          </w:tcPr>
          <w:p>
            <w:pPr>
              <w:pStyle w:val="39"/>
              <w:rPr>
                <w:rFonts w:ascii="Times New Roman" w:hAnsi="Times New Roman"/>
              </w:rPr>
            </w:pPr>
            <w:r>
              <w:rPr>
                <w:rFonts w:ascii="Times New Roman" w:hAnsi="Times New Roman"/>
              </w:rPr>
              <w:t>单位</w:t>
            </w:r>
          </w:p>
        </w:tc>
        <w:tc>
          <w:tcPr>
            <w:tcW w:w="1755" w:type="pct"/>
          </w:tcPr>
          <w:p>
            <w:pPr>
              <w:pStyle w:val="39"/>
              <w:rPr>
                <w:rFonts w:ascii="Times New Roman" w:hAnsi="Times New Roman"/>
              </w:rPr>
            </w:pPr>
            <w:r>
              <w:rPr>
                <w:rFonts w:ascii="Times New Roman" w:hAnsi="Times New Roman"/>
              </w:rPr>
              <w:t>产污系数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0" w:type="pct"/>
          </w:tcPr>
          <w:p>
            <w:pPr>
              <w:pStyle w:val="39"/>
              <w:rPr>
                <w:rFonts w:ascii="Times New Roman" w:hAnsi="Times New Roman"/>
              </w:rPr>
            </w:pPr>
            <w:r>
              <w:rPr>
                <w:rFonts w:ascii="Times New Roman" w:hAnsi="Times New Roman"/>
              </w:rPr>
              <w:t>工业废气量</w:t>
            </w:r>
          </w:p>
        </w:tc>
        <w:tc>
          <w:tcPr>
            <w:tcW w:w="2255" w:type="pct"/>
          </w:tcPr>
          <w:p>
            <w:pPr>
              <w:pStyle w:val="39"/>
              <w:rPr>
                <w:rFonts w:ascii="Times New Roman" w:hAnsi="Times New Roman"/>
              </w:rPr>
            </w:pPr>
            <w:r>
              <w:rPr>
                <w:rFonts w:ascii="Times New Roman" w:hAnsi="Times New Roman"/>
              </w:rPr>
              <w:t>标立方米/万立方米-原料</w:t>
            </w:r>
          </w:p>
        </w:tc>
        <w:tc>
          <w:tcPr>
            <w:tcW w:w="1755" w:type="pct"/>
          </w:tcPr>
          <w:p>
            <w:pPr>
              <w:pStyle w:val="39"/>
              <w:rPr>
                <w:rFonts w:ascii="Times New Roman" w:hAnsi="Times New Roman"/>
              </w:rPr>
            </w:pPr>
            <w:r>
              <w:rPr>
                <w:rFonts w:ascii="Times New Roman" w:hAnsi="Times New Roman"/>
              </w:rPr>
              <w:t>107753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0" w:type="pct"/>
          </w:tcPr>
          <w:p>
            <w:pPr>
              <w:pStyle w:val="39"/>
              <w:rPr>
                <w:rFonts w:ascii="Times New Roman" w:hAnsi="Times New Roman"/>
              </w:rPr>
            </w:pPr>
            <w:r>
              <w:rPr>
                <w:rFonts w:ascii="Times New Roman" w:hAnsi="Times New Roman"/>
              </w:rPr>
              <w:t>二氧化硫</w:t>
            </w:r>
          </w:p>
        </w:tc>
        <w:tc>
          <w:tcPr>
            <w:tcW w:w="2255" w:type="pct"/>
          </w:tcPr>
          <w:p>
            <w:pPr>
              <w:pStyle w:val="39"/>
              <w:rPr>
                <w:rFonts w:ascii="Times New Roman" w:hAnsi="Times New Roman"/>
              </w:rPr>
            </w:pPr>
            <w:r>
              <w:rPr>
                <w:rFonts w:ascii="Times New Roman" w:hAnsi="Times New Roman"/>
              </w:rPr>
              <w:t>千克/万立方米-原料</w:t>
            </w:r>
          </w:p>
        </w:tc>
        <w:tc>
          <w:tcPr>
            <w:tcW w:w="1755" w:type="pct"/>
          </w:tcPr>
          <w:p>
            <w:pPr>
              <w:pStyle w:val="39"/>
              <w:rPr>
                <w:rFonts w:ascii="Times New Roman" w:hAnsi="Times New Roman"/>
              </w:rPr>
            </w:pPr>
            <w:r>
              <w:rPr>
                <w:rFonts w:ascii="Times New Roman" w:hAnsi="Times New Roman"/>
              </w:rPr>
              <w:t>0.02S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0" w:type="pct"/>
          </w:tcPr>
          <w:p>
            <w:pPr>
              <w:pStyle w:val="39"/>
              <w:rPr>
                <w:rFonts w:ascii="Times New Roman" w:hAnsi="Times New Roman"/>
              </w:rPr>
            </w:pPr>
            <w:r>
              <w:rPr>
                <w:rFonts w:ascii="Times New Roman" w:hAnsi="Times New Roman"/>
              </w:rPr>
              <w:t>氮氧化物</w:t>
            </w:r>
          </w:p>
        </w:tc>
        <w:tc>
          <w:tcPr>
            <w:tcW w:w="2255" w:type="pct"/>
          </w:tcPr>
          <w:p>
            <w:pPr>
              <w:pStyle w:val="39"/>
              <w:rPr>
                <w:rFonts w:ascii="Times New Roman" w:hAnsi="Times New Roman"/>
              </w:rPr>
            </w:pPr>
            <w:r>
              <w:rPr>
                <w:rFonts w:ascii="Times New Roman" w:hAnsi="Times New Roman"/>
              </w:rPr>
              <w:t>千克/万立方米-原料</w:t>
            </w:r>
          </w:p>
        </w:tc>
        <w:tc>
          <w:tcPr>
            <w:tcW w:w="1755" w:type="pct"/>
          </w:tcPr>
          <w:p>
            <w:pPr>
              <w:pStyle w:val="39"/>
              <w:rPr>
                <w:rFonts w:ascii="Times New Roman" w:hAnsi="Times New Roman"/>
              </w:rPr>
            </w:pPr>
            <w:r>
              <w:rPr>
                <w:rFonts w:ascii="Times New Roman" w:hAnsi="Times New Roman"/>
              </w:rPr>
              <w:t>15.87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0" w:type="pct"/>
          </w:tcPr>
          <w:p>
            <w:pPr>
              <w:pStyle w:val="39"/>
              <w:rPr>
                <w:rFonts w:ascii="Times New Roman" w:hAnsi="Times New Roman"/>
              </w:rPr>
            </w:pPr>
            <w:r>
              <w:rPr>
                <w:rFonts w:ascii="Times New Roman" w:hAnsi="Times New Roman"/>
              </w:rPr>
              <w:t>颗粒物</w:t>
            </w:r>
          </w:p>
        </w:tc>
        <w:tc>
          <w:tcPr>
            <w:tcW w:w="2255" w:type="pct"/>
          </w:tcPr>
          <w:p>
            <w:pPr>
              <w:pStyle w:val="39"/>
              <w:rPr>
                <w:rFonts w:ascii="Times New Roman" w:hAnsi="Times New Roman"/>
              </w:rPr>
            </w:pPr>
            <w:r>
              <w:rPr>
                <w:rFonts w:ascii="Times New Roman" w:hAnsi="Times New Roman"/>
              </w:rPr>
              <w:t>千克/万立方米-原料</w:t>
            </w:r>
          </w:p>
        </w:tc>
        <w:tc>
          <w:tcPr>
            <w:tcW w:w="1755" w:type="pct"/>
          </w:tcPr>
          <w:p>
            <w:pPr>
              <w:pStyle w:val="39"/>
              <w:rPr>
                <w:rFonts w:ascii="Times New Roman" w:hAnsi="Times New Roman"/>
              </w:rPr>
            </w:pPr>
            <w:r>
              <w:rPr>
                <w:rFonts w:ascii="Times New Roman" w:hAnsi="Times New Roman"/>
              </w:rPr>
              <w:t>0.8~2.4（本次按照1.6 计）</w:t>
            </w:r>
          </w:p>
        </w:tc>
      </w:tr>
      <w:bookmarkEnd w:id="106"/>
    </w:tbl>
    <w:p>
      <w:pPr>
        <w:pStyle w:val="41"/>
        <w:spacing w:before="156" w:after="156"/>
        <w:rPr>
          <w:rFonts w:ascii="Times New Roman" w:hAnsi="Times New Roman" w:cs="Times New Roman"/>
        </w:rPr>
      </w:pPr>
      <w:r>
        <w:rPr>
          <w:rFonts w:ascii="Times New Roman" w:hAnsi="Times New Roman" w:cs="Times New Roman"/>
        </w:rPr>
        <w:t>注：燃料气为宣汉净化厂净化气，能达到一类天然气标准，本次二氧化硫产污系数中S取值20。</w:t>
      </w:r>
    </w:p>
    <w:p>
      <w:pPr>
        <w:ind w:firstLine="480"/>
        <w:rPr>
          <w:rFonts w:ascii="Times New Roman" w:hAnsi="Times New Roman"/>
        </w:rPr>
      </w:pPr>
      <w:r>
        <w:rPr>
          <w:rFonts w:ascii="Times New Roman" w:hAnsi="Times New Roman"/>
        </w:rPr>
        <w:t>2）无组织废气</w:t>
      </w:r>
    </w:p>
    <w:p>
      <w:pPr>
        <w:ind w:firstLine="480"/>
        <w:rPr>
          <w:rFonts w:ascii="Times New Roman" w:hAnsi="Times New Roman"/>
        </w:rPr>
      </w:pPr>
      <w:r>
        <w:rPr>
          <w:rFonts w:ascii="Times New Roman" w:hAnsi="Times New Roman"/>
        </w:rPr>
        <w:t>根据天然气采输作业的特点，所有过程均在高压密闭环境下实施天然气的闭路循环开采，站场内仅在工艺管道设备区存在一定量的逃逸无组织排放，主要污染物为VOCs和H</w:t>
      </w:r>
      <w:r>
        <w:rPr>
          <w:rFonts w:ascii="Times New Roman" w:hAnsi="Times New Roman"/>
          <w:vertAlign w:val="subscript"/>
        </w:rPr>
        <w:t>2</w:t>
      </w:r>
      <w:r>
        <w:rPr>
          <w:rFonts w:ascii="Times New Roman" w:hAnsi="Times New Roman"/>
        </w:rPr>
        <w:t>S。</w:t>
      </w:r>
    </w:p>
    <w:p>
      <w:pPr>
        <w:ind w:firstLine="480"/>
        <w:rPr>
          <w:rFonts w:ascii="Times New Roman" w:hAnsi="Times New Roman"/>
        </w:rPr>
      </w:pPr>
      <w:r>
        <w:rPr>
          <w:rFonts w:ascii="Times New Roman" w:hAnsi="Times New Roman"/>
        </w:rPr>
        <w:t>参考《排污许可证申请与核发技术规范 石化工业》（HJ853-2017）中核算方法，对机泵、阀门、法兰等设备动静密封点泄漏挥发性有机物（VOCs）进行核算，具体的核算公式如下：</w:t>
      </w:r>
    </w:p>
    <w:p>
      <w:pPr>
        <w:ind w:firstLine="0" w:firstLineChars="0"/>
        <w:jc w:val="center"/>
        <w:rPr>
          <w:rFonts w:ascii="Times New Roman" w:hAnsi="Times New Roman"/>
        </w:rPr>
      </w:pPr>
      <w:r>
        <w:rPr>
          <w:rFonts w:ascii="Times New Roman" w:hAnsi="Times New Roman"/>
        </w:rPr>
        <w:drawing>
          <wp:inline distT="0" distB="0" distL="114300" distR="114300">
            <wp:extent cx="2522855" cy="446405"/>
            <wp:effectExtent l="0" t="0" r="6985" b="1079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67"/>
                    <a:stretch>
                      <a:fillRect/>
                    </a:stretch>
                  </pic:blipFill>
                  <pic:spPr>
                    <a:xfrm>
                      <a:off x="0" y="0"/>
                      <a:ext cx="2522855" cy="446405"/>
                    </a:xfrm>
                    <a:prstGeom prst="rect">
                      <a:avLst/>
                    </a:prstGeom>
                    <a:noFill/>
                    <a:ln>
                      <a:noFill/>
                    </a:ln>
                  </pic:spPr>
                </pic:pic>
              </a:graphicData>
            </a:graphic>
          </wp:inline>
        </w:drawing>
      </w:r>
    </w:p>
    <w:p>
      <w:pPr>
        <w:ind w:firstLine="0" w:firstLineChars="0"/>
        <w:rPr>
          <w:rFonts w:ascii="Times New Roman" w:hAnsi="Times New Roman"/>
          <w:kern w:val="24"/>
        </w:rPr>
      </w:pPr>
      <w:r>
        <w:rPr>
          <w:rFonts w:ascii="Times New Roman" w:hAnsi="Times New Roman"/>
        </w:rPr>
        <w:t>式中：</w:t>
      </w:r>
      <w:r>
        <w:rPr>
          <w:rFonts w:ascii="Times New Roman" w:hAnsi="Times New Roman"/>
          <w:kern w:val="24"/>
        </w:rPr>
        <w:t>E</w:t>
      </w:r>
      <w:r>
        <w:rPr>
          <w:rFonts w:ascii="Times New Roman" w:hAnsi="Times New Roman"/>
          <w:kern w:val="24"/>
          <w:vertAlign w:val="subscript"/>
        </w:rPr>
        <w:t>设备</w:t>
      </w:r>
      <w:r>
        <w:rPr>
          <w:rFonts w:ascii="Times New Roman" w:hAnsi="Times New Roman"/>
          <w:kern w:val="24"/>
        </w:rPr>
        <w:t>—设备与管线组件密封点泄漏的挥发性有机物年排放量，kg/a；</w:t>
      </w:r>
    </w:p>
    <w:p>
      <w:pPr>
        <w:ind w:firstLine="679" w:firstLineChars="283"/>
        <w:rPr>
          <w:rFonts w:ascii="Times New Roman" w:hAnsi="Times New Roman"/>
          <w:kern w:val="24"/>
        </w:rPr>
      </w:pPr>
      <w:r>
        <w:rPr>
          <w:rFonts w:ascii="Times New Roman" w:hAnsi="Times New Roman"/>
          <w:kern w:val="24"/>
        </w:rPr>
        <w:t>t</w:t>
      </w:r>
      <w:r>
        <w:rPr>
          <w:rFonts w:ascii="Times New Roman" w:hAnsi="Times New Roman"/>
          <w:kern w:val="24"/>
          <w:vertAlign w:val="subscript"/>
        </w:rPr>
        <w:t>i</w:t>
      </w:r>
      <w:r>
        <w:rPr>
          <w:rFonts w:ascii="Times New Roman" w:hAnsi="Times New Roman"/>
          <w:kern w:val="24"/>
        </w:rPr>
        <w:t xml:space="preserve"> —密封点 i 的年运行时间，h/a；</w:t>
      </w:r>
    </w:p>
    <w:p>
      <w:pPr>
        <w:ind w:firstLine="720" w:firstLineChars="300"/>
        <w:rPr>
          <w:rFonts w:ascii="Times New Roman" w:hAnsi="Times New Roman"/>
          <w:kern w:val="24"/>
        </w:rPr>
      </w:pPr>
      <w:r>
        <w:rPr>
          <w:rFonts w:ascii="Times New Roman" w:hAnsi="Times New Roman"/>
          <w:kern w:val="24"/>
        </w:rPr>
        <w:t>e</w:t>
      </w:r>
      <w:r>
        <w:rPr>
          <w:rFonts w:ascii="Times New Roman" w:hAnsi="Times New Roman"/>
          <w:kern w:val="24"/>
          <w:vertAlign w:val="subscript"/>
        </w:rPr>
        <w:t>TOC ,i</w:t>
      </w:r>
      <w:r>
        <w:rPr>
          <w:rFonts w:ascii="Times New Roman" w:hAnsi="Times New Roman"/>
          <w:kern w:val="24"/>
        </w:rPr>
        <w:t xml:space="preserve"> —密封点 i 的总有机碳（TOC）排放速率，kg/h；</w:t>
      </w:r>
    </w:p>
    <w:p>
      <w:pPr>
        <w:ind w:firstLine="679" w:firstLineChars="283"/>
        <w:rPr>
          <w:rFonts w:ascii="Times New Roman" w:hAnsi="Times New Roman"/>
          <w:kern w:val="24"/>
        </w:rPr>
      </w:pPr>
      <w:r>
        <w:rPr>
          <w:rFonts w:ascii="Times New Roman" w:hAnsi="Times New Roman"/>
          <w:kern w:val="24"/>
        </w:rPr>
        <w:t>WF</w:t>
      </w:r>
      <w:r>
        <w:rPr>
          <w:rFonts w:ascii="Times New Roman" w:hAnsi="Times New Roman"/>
          <w:kern w:val="24"/>
          <w:vertAlign w:val="subscript"/>
        </w:rPr>
        <w:t>VOCs,i</w:t>
      </w:r>
      <w:r>
        <w:rPr>
          <w:rFonts w:ascii="Times New Roman" w:hAnsi="Times New Roman"/>
          <w:kern w:val="24"/>
        </w:rPr>
        <w:t xml:space="preserve"> —流经密封点 i 的物料中挥发性有机物平均质量分数；</w:t>
      </w:r>
    </w:p>
    <w:p>
      <w:pPr>
        <w:ind w:firstLine="720" w:firstLineChars="300"/>
        <w:rPr>
          <w:rFonts w:ascii="Times New Roman" w:hAnsi="Times New Roman"/>
          <w:kern w:val="24"/>
        </w:rPr>
      </w:pPr>
      <w:r>
        <w:rPr>
          <w:rFonts w:ascii="Times New Roman" w:hAnsi="Times New Roman"/>
          <w:kern w:val="24"/>
        </w:rPr>
        <w:t>WF</w:t>
      </w:r>
      <w:r>
        <w:rPr>
          <w:rFonts w:ascii="Times New Roman" w:hAnsi="Times New Roman"/>
          <w:kern w:val="24"/>
          <w:vertAlign w:val="subscript"/>
        </w:rPr>
        <w:t>TOC ,i</w:t>
      </w:r>
      <w:r>
        <w:rPr>
          <w:rFonts w:ascii="Times New Roman" w:hAnsi="Times New Roman"/>
          <w:kern w:val="24"/>
        </w:rPr>
        <w:t xml:space="preserve"> —流经密封点 i 的物料中总有机碳（TOC）平均质量分数；</w:t>
      </w:r>
    </w:p>
    <w:p>
      <w:pPr>
        <w:ind w:firstLine="720" w:firstLineChars="300"/>
        <w:rPr>
          <w:rFonts w:ascii="Times New Roman" w:hAnsi="Times New Roman"/>
          <w:kern w:val="24"/>
        </w:rPr>
      </w:pPr>
      <w:r>
        <w:rPr>
          <w:rFonts w:ascii="Times New Roman" w:hAnsi="Times New Roman"/>
          <w:kern w:val="24"/>
        </w:rPr>
        <w:t>本次核算WF</w:t>
      </w:r>
      <w:r>
        <w:rPr>
          <w:rFonts w:ascii="Times New Roman" w:hAnsi="Times New Roman"/>
          <w:kern w:val="24"/>
          <w:vertAlign w:val="subscript"/>
        </w:rPr>
        <w:t>VOCs,i</w:t>
      </w:r>
      <w:r>
        <w:rPr>
          <w:rFonts w:ascii="Times New Roman" w:hAnsi="Times New Roman"/>
          <w:kern w:val="24"/>
        </w:rPr>
        <w:t>/ WF</w:t>
      </w:r>
      <w:r>
        <w:rPr>
          <w:rFonts w:ascii="Times New Roman" w:hAnsi="Times New Roman"/>
          <w:kern w:val="24"/>
          <w:vertAlign w:val="subscript"/>
        </w:rPr>
        <w:t>TOC ,i</w:t>
      </w:r>
      <w:r>
        <w:rPr>
          <w:rFonts w:ascii="Times New Roman" w:hAnsi="Times New Roman"/>
          <w:kern w:val="24"/>
        </w:rPr>
        <w:t>取值为1；</w:t>
      </w:r>
    </w:p>
    <w:p>
      <w:pPr>
        <w:ind w:firstLine="679" w:firstLineChars="283"/>
        <w:rPr>
          <w:rFonts w:ascii="Times New Roman" w:hAnsi="Times New Roman"/>
          <w:kern w:val="24"/>
        </w:rPr>
      </w:pPr>
      <w:r>
        <w:rPr>
          <w:rFonts w:ascii="Times New Roman" w:hAnsi="Times New Roman"/>
          <w:kern w:val="24"/>
        </w:rPr>
        <w:t>n—挥发性有机物流经的设备与管线组件密封点数。</w:t>
      </w:r>
    </w:p>
    <w:p>
      <w:pPr>
        <w:ind w:firstLine="480"/>
        <w:rPr>
          <w:rFonts w:ascii="Times New Roman" w:hAnsi="Times New Roman"/>
        </w:rPr>
      </w:pPr>
      <w:r>
        <w:rPr>
          <w:rFonts w:ascii="Times New Roman" w:hAnsi="Times New Roman"/>
        </w:rPr>
        <w:t>经过核算，采用排污许可方法核算的本项目设备与管线组件密封点挥发性有机物（VOCs）排放量为0.6472t/a，根据原料气中硫化氢和甲烷的摩尔比可得硫化氢的排放量为0.1283 t/a。其具体估算结果见</w:t>
      </w:r>
      <w:r>
        <w:rPr>
          <w:rFonts w:ascii="Times New Roman" w:hAnsi="Times New Roman"/>
        </w:rPr>
        <w:fldChar w:fldCharType="begin"/>
      </w:r>
      <w:r>
        <w:rPr>
          <w:rFonts w:ascii="Times New Roman" w:hAnsi="Times New Roman"/>
        </w:rPr>
        <w:instrText xml:space="preserve"> REF _Ref155082082 \h  \* MERGEFORMAT </w:instrText>
      </w:r>
      <w:r>
        <w:rPr>
          <w:rFonts w:ascii="Times New Roman" w:hAnsi="Times New Roman"/>
        </w:rPr>
        <w:fldChar w:fldCharType="separate"/>
      </w:r>
      <w:r>
        <w:rPr>
          <w:rFonts w:ascii="Times New Roman" w:hAnsi="Times New Roman"/>
        </w:rPr>
        <w:t>表 3</w:t>
      </w:r>
      <w:r>
        <w:rPr>
          <w:rFonts w:ascii="Times New Roman" w:hAnsi="Times New Roman"/>
        </w:rPr>
        <w:noBreakHyphen/>
      </w:r>
      <w:r>
        <w:rPr>
          <w:rFonts w:ascii="Times New Roman" w:hAnsi="Times New Roman"/>
        </w:rPr>
        <w:t>8</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07" w:name="_Ref15508208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bookmarkEnd w:id="107"/>
      <w:r>
        <w:rPr>
          <w:rFonts w:ascii="Times New Roman" w:hAnsi="Times New Roman" w:cs="Times New Roman"/>
        </w:rPr>
        <w:t xml:space="preserve">  动静密封点泄漏计算表</w:t>
      </w:r>
    </w:p>
    <w:tbl>
      <w:tblPr>
        <w:tblStyle w:val="28"/>
        <w:tblW w:w="92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6"/>
        <w:gridCol w:w="988"/>
        <w:gridCol w:w="856"/>
        <w:gridCol w:w="1606"/>
        <w:gridCol w:w="1276"/>
        <w:gridCol w:w="1153"/>
        <w:gridCol w:w="1269"/>
        <w:gridCol w:w="11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dxa"/>
            <w:vMerge w:val="restart"/>
            <w:vAlign w:val="center"/>
          </w:tcPr>
          <w:p>
            <w:pPr>
              <w:pStyle w:val="39"/>
              <w:rPr>
                <w:rFonts w:ascii="Times New Roman" w:hAnsi="Times New Roman"/>
              </w:rPr>
            </w:pPr>
            <w:r>
              <w:rPr>
                <w:rFonts w:ascii="Times New Roman" w:hAnsi="Times New Roman"/>
              </w:rPr>
              <w:t>站场</w:t>
            </w:r>
          </w:p>
        </w:tc>
        <w:tc>
          <w:tcPr>
            <w:tcW w:w="988" w:type="dxa"/>
            <w:vMerge w:val="restart"/>
            <w:vAlign w:val="center"/>
          </w:tcPr>
          <w:p>
            <w:pPr>
              <w:pStyle w:val="39"/>
              <w:rPr>
                <w:rFonts w:ascii="Times New Roman" w:hAnsi="Times New Roman"/>
              </w:rPr>
            </w:pPr>
            <w:r>
              <w:rPr>
                <w:rFonts w:ascii="Times New Roman" w:hAnsi="Times New Roman"/>
              </w:rPr>
              <w:t>密封点类型</w:t>
            </w:r>
          </w:p>
        </w:tc>
        <w:tc>
          <w:tcPr>
            <w:tcW w:w="856" w:type="dxa"/>
            <w:vMerge w:val="restart"/>
            <w:vAlign w:val="center"/>
          </w:tcPr>
          <w:p>
            <w:pPr>
              <w:pStyle w:val="39"/>
              <w:rPr>
                <w:rFonts w:ascii="Times New Roman" w:hAnsi="Times New Roman"/>
              </w:rPr>
            </w:pPr>
            <w:r>
              <w:rPr>
                <w:rFonts w:ascii="Times New Roman" w:hAnsi="Times New Roman"/>
              </w:rPr>
              <w:t>数量（个）</w:t>
            </w:r>
          </w:p>
        </w:tc>
        <w:tc>
          <w:tcPr>
            <w:tcW w:w="1606" w:type="dxa"/>
            <w:vMerge w:val="restart"/>
            <w:vAlign w:val="center"/>
          </w:tcPr>
          <w:p>
            <w:pPr>
              <w:pStyle w:val="39"/>
              <w:rPr>
                <w:rFonts w:ascii="Times New Roman" w:hAnsi="Times New Roman"/>
              </w:rPr>
            </w:pPr>
            <w:r>
              <w:rPr>
                <w:rFonts w:ascii="Times New Roman" w:hAnsi="Times New Roman"/>
              </w:rPr>
              <w:t>排放速率eTOC,i/（kg/h/排放源）</w:t>
            </w:r>
          </w:p>
        </w:tc>
        <w:tc>
          <w:tcPr>
            <w:tcW w:w="2429" w:type="dxa"/>
            <w:gridSpan w:val="2"/>
            <w:vAlign w:val="center"/>
          </w:tcPr>
          <w:p>
            <w:pPr>
              <w:pStyle w:val="39"/>
              <w:rPr>
                <w:rFonts w:ascii="Times New Roman" w:hAnsi="Times New Roman"/>
              </w:rPr>
            </w:pPr>
            <w:r>
              <w:rPr>
                <w:rFonts w:ascii="Times New Roman" w:hAnsi="Times New Roman"/>
              </w:rPr>
              <w:t>VOCs排放量</w:t>
            </w:r>
          </w:p>
        </w:tc>
        <w:tc>
          <w:tcPr>
            <w:tcW w:w="2375" w:type="dxa"/>
            <w:gridSpan w:val="2"/>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dxa"/>
            <w:vMerge w:val="continue"/>
            <w:vAlign w:val="center"/>
          </w:tcPr>
          <w:p>
            <w:pPr>
              <w:pStyle w:val="39"/>
              <w:rPr>
                <w:rFonts w:ascii="Times New Roman" w:hAnsi="Times New Roman"/>
              </w:rPr>
            </w:pPr>
          </w:p>
        </w:tc>
        <w:tc>
          <w:tcPr>
            <w:tcW w:w="988" w:type="dxa"/>
            <w:vMerge w:val="continue"/>
            <w:vAlign w:val="center"/>
          </w:tcPr>
          <w:p>
            <w:pPr>
              <w:pStyle w:val="39"/>
              <w:rPr>
                <w:rFonts w:ascii="Times New Roman" w:hAnsi="Times New Roman"/>
              </w:rPr>
            </w:pPr>
          </w:p>
        </w:tc>
        <w:tc>
          <w:tcPr>
            <w:tcW w:w="856" w:type="dxa"/>
            <w:vMerge w:val="continue"/>
            <w:vAlign w:val="center"/>
          </w:tcPr>
          <w:p>
            <w:pPr>
              <w:pStyle w:val="39"/>
              <w:rPr>
                <w:rFonts w:ascii="Times New Roman" w:hAnsi="Times New Roman"/>
              </w:rPr>
            </w:pPr>
          </w:p>
        </w:tc>
        <w:tc>
          <w:tcPr>
            <w:tcW w:w="1606" w:type="dxa"/>
            <w:vMerge w:val="continue"/>
            <w:vAlign w:val="center"/>
          </w:tcPr>
          <w:p>
            <w:pPr>
              <w:pStyle w:val="39"/>
              <w:rPr>
                <w:rFonts w:ascii="Times New Roman" w:hAnsi="Times New Roman"/>
              </w:rPr>
            </w:pPr>
          </w:p>
        </w:tc>
        <w:tc>
          <w:tcPr>
            <w:tcW w:w="1276" w:type="dxa"/>
            <w:vAlign w:val="center"/>
          </w:tcPr>
          <w:p>
            <w:pPr>
              <w:pStyle w:val="39"/>
              <w:rPr>
                <w:rFonts w:ascii="Times New Roman" w:hAnsi="Times New Roman"/>
              </w:rPr>
            </w:pPr>
            <w:r>
              <w:rPr>
                <w:rFonts w:ascii="Times New Roman" w:hAnsi="Times New Roman"/>
              </w:rPr>
              <w:t>小时排放量（kg/h）</w:t>
            </w:r>
          </w:p>
        </w:tc>
        <w:tc>
          <w:tcPr>
            <w:tcW w:w="1153" w:type="dxa"/>
            <w:vAlign w:val="center"/>
          </w:tcPr>
          <w:p>
            <w:pPr>
              <w:pStyle w:val="39"/>
              <w:rPr>
                <w:rFonts w:ascii="Times New Roman" w:hAnsi="Times New Roman"/>
              </w:rPr>
            </w:pPr>
            <w:r>
              <w:rPr>
                <w:rFonts w:ascii="Times New Roman" w:hAnsi="Times New Roman"/>
              </w:rPr>
              <w:t>年排放量（t/a）</w:t>
            </w:r>
          </w:p>
        </w:tc>
        <w:tc>
          <w:tcPr>
            <w:tcW w:w="1269" w:type="dxa"/>
            <w:vAlign w:val="center"/>
          </w:tcPr>
          <w:p>
            <w:pPr>
              <w:pStyle w:val="39"/>
              <w:rPr>
                <w:rFonts w:ascii="Times New Roman" w:hAnsi="Times New Roman"/>
              </w:rPr>
            </w:pPr>
            <w:r>
              <w:rPr>
                <w:rFonts w:ascii="Times New Roman" w:hAnsi="Times New Roman"/>
              </w:rPr>
              <w:t>小时排放量（kg/h）</w:t>
            </w:r>
          </w:p>
        </w:tc>
        <w:tc>
          <w:tcPr>
            <w:tcW w:w="1106" w:type="dxa"/>
            <w:vAlign w:val="center"/>
          </w:tcPr>
          <w:p>
            <w:pPr>
              <w:pStyle w:val="39"/>
              <w:rPr>
                <w:rFonts w:ascii="Times New Roman" w:hAnsi="Times New Roman"/>
              </w:rPr>
            </w:pPr>
            <w:r>
              <w:rPr>
                <w:rFonts w:ascii="Times New Roman" w:hAnsi="Times New Roman"/>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dxa"/>
            <w:vMerge w:val="restart"/>
            <w:vAlign w:val="center"/>
          </w:tcPr>
          <w:p>
            <w:pPr>
              <w:pStyle w:val="39"/>
              <w:rPr>
                <w:rFonts w:ascii="Times New Roman" w:hAnsi="Times New Roman"/>
              </w:rPr>
            </w:pPr>
            <w:r>
              <w:rPr>
                <w:rFonts w:ascii="Times New Roman" w:hAnsi="Times New Roman"/>
              </w:rPr>
              <w:t>宣探1井站</w:t>
            </w:r>
          </w:p>
        </w:tc>
        <w:tc>
          <w:tcPr>
            <w:tcW w:w="988" w:type="dxa"/>
            <w:vAlign w:val="center"/>
          </w:tcPr>
          <w:p>
            <w:pPr>
              <w:pStyle w:val="39"/>
              <w:rPr>
                <w:rFonts w:ascii="Times New Roman" w:hAnsi="Times New Roman"/>
              </w:rPr>
            </w:pPr>
            <w:r>
              <w:rPr>
                <w:rFonts w:ascii="Times New Roman" w:hAnsi="Times New Roman"/>
              </w:rPr>
              <w:t>法兰</w:t>
            </w:r>
          </w:p>
        </w:tc>
        <w:tc>
          <w:tcPr>
            <w:tcW w:w="856" w:type="dxa"/>
            <w:vAlign w:val="center"/>
          </w:tcPr>
          <w:p>
            <w:pPr>
              <w:pStyle w:val="39"/>
              <w:rPr>
                <w:rFonts w:ascii="Times New Roman" w:hAnsi="Times New Roman"/>
              </w:rPr>
            </w:pPr>
            <w:r>
              <w:rPr>
                <w:rFonts w:ascii="Times New Roman" w:hAnsi="Times New Roman"/>
              </w:rPr>
              <w:t>63</w:t>
            </w:r>
          </w:p>
        </w:tc>
        <w:tc>
          <w:tcPr>
            <w:tcW w:w="1606" w:type="dxa"/>
            <w:vAlign w:val="center"/>
          </w:tcPr>
          <w:p>
            <w:pPr>
              <w:pStyle w:val="39"/>
              <w:rPr>
                <w:rFonts w:ascii="Times New Roman" w:hAnsi="Times New Roman"/>
              </w:rPr>
            </w:pPr>
            <w:r>
              <w:rPr>
                <w:rFonts w:ascii="Times New Roman" w:hAnsi="Times New Roman"/>
              </w:rPr>
              <w:t>0.024</w:t>
            </w:r>
          </w:p>
        </w:tc>
        <w:tc>
          <w:tcPr>
            <w:tcW w:w="1276" w:type="dxa"/>
            <w:vAlign w:val="center"/>
          </w:tcPr>
          <w:p>
            <w:pPr>
              <w:pStyle w:val="39"/>
              <w:rPr>
                <w:rFonts w:ascii="Times New Roman" w:hAnsi="Times New Roman"/>
              </w:rPr>
            </w:pPr>
            <w:r>
              <w:rPr>
                <w:rFonts w:ascii="Times New Roman" w:hAnsi="Times New Roman"/>
              </w:rPr>
              <w:t>0.0045</w:t>
            </w:r>
          </w:p>
        </w:tc>
        <w:tc>
          <w:tcPr>
            <w:tcW w:w="1153" w:type="dxa"/>
            <w:vAlign w:val="center"/>
          </w:tcPr>
          <w:p>
            <w:pPr>
              <w:pStyle w:val="39"/>
              <w:rPr>
                <w:rFonts w:ascii="Times New Roman" w:hAnsi="Times New Roman"/>
              </w:rPr>
            </w:pPr>
            <w:r>
              <w:rPr>
                <w:rFonts w:ascii="Times New Roman" w:hAnsi="Times New Roman"/>
              </w:rPr>
              <w:t>0.0363</w:t>
            </w:r>
          </w:p>
        </w:tc>
        <w:tc>
          <w:tcPr>
            <w:tcW w:w="1269" w:type="dxa"/>
            <w:vAlign w:val="center"/>
          </w:tcPr>
          <w:p>
            <w:pPr>
              <w:pStyle w:val="39"/>
              <w:rPr>
                <w:rFonts w:ascii="Times New Roman" w:hAnsi="Times New Roman"/>
              </w:rPr>
            </w:pPr>
            <w:r>
              <w:rPr>
                <w:rFonts w:ascii="Times New Roman" w:hAnsi="Times New Roman"/>
              </w:rPr>
              <w:t>0.0006</w:t>
            </w:r>
          </w:p>
        </w:tc>
        <w:tc>
          <w:tcPr>
            <w:tcW w:w="1106" w:type="dxa"/>
            <w:vAlign w:val="center"/>
          </w:tcPr>
          <w:p>
            <w:pPr>
              <w:pStyle w:val="39"/>
              <w:rPr>
                <w:rFonts w:ascii="Times New Roman" w:hAnsi="Times New Roman"/>
              </w:rPr>
            </w:pPr>
            <w:r>
              <w:rPr>
                <w:rFonts w:ascii="Times New Roman" w:hAnsi="Times New Roman"/>
              </w:rPr>
              <w:t>0.0048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dxa"/>
            <w:vMerge w:val="continue"/>
            <w:vAlign w:val="center"/>
          </w:tcPr>
          <w:p>
            <w:pPr>
              <w:pStyle w:val="39"/>
              <w:rPr>
                <w:rFonts w:ascii="Times New Roman" w:hAnsi="Times New Roman"/>
              </w:rPr>
            </w:pPr>
          </w:p>
        </w:tc>
        <w:tc>
          <w:tcPr>
            <w:tcW w:w="988" w:type="dxa"/>
            <w:vAlign w:val="center"/>
          </w:tcPr>
          <w:p>
            <w:pPr>
              <w:pStyle w:val="39"/>
              <w:rPr>
                <w:rFonts w:ascii="Times New Roman" w:hAnsi="Times New Roman"/>
              </w:rPr>
            </w:pPr>
            <w:r>
              <w:rPr>
                <w:rFonts w:ascii="Times New Roman" w:hAnsi="Times New Roman"/>
              </w:rPr>
              <w:t>阀门</w:t>
            </w:r>
          </w:p>
        </w:tc>
        <w:tc>
          <w:tcPr>
            <w:tcW w:w="856" w:type="dxa"/>
            <w:vAlign w:val="center"/>
          </w:tcPr>
          <w:p>
            <w:pPr>
              <w:pStyle w:val="39"/>
              <w:rPr>
                <w:rFonts w:ascii="Times New Roman" w:hAnsi="Times New Roman"/>
              </w:rPr>
            </w:pPr>
            <w:r>
              <w:rPr>
                <w:rFonts w:ascii="Times New Roman" w:hAnsi="Times New Roman"/>
              </w:rPr>
              <w:t>136</w:t>
            </w:r>
          </w:p>
        </w:tc>
        <w:tc>
          <w:tcPr>
            <w:tcW w:w="1606" w:type="dxa"/>
            <w:vAlign w:val="center"/>
          </w:tcPr>
          <w:p>
            <w:pPr>
              <w:pStyle w:val="39"/>
              <w:rPr>
                <w:rFonts w:ascii="Times New Roman" w:hAnsi="Times New Roman"/>
              </w:rPr>
            </w:pPr>
            <w:r>
              <w:rPr>
                <w:rFonts w:ascii="Times New Roman" w:hAnsi="Times New Roman"/>
              </w:rPr>
              <w:t>0.044</w:t>
            </w:r>
          </w:p>
        </w:tc>
        <w:tc>
          <w:tcPr>
            <w:tcW w:w="1276" w:type="dxa"/>
            <w:vAlign w:val="center"/>
          </w:tcPr>
          <w:p>
            <w:pPr>
              <w:pStyle w:val="39"/>
              <w:rPr>
                <w:rFonts w:ascii="Times New Roman" w:hAnsi="Times New Roman"/>
              </w:rPr>
            </w:pPr>
            <w:r>
              <w:rPr>
                <w:rFonts w:ascii="Times New Roman" w:hAnsi="Times New Roman"/>
              </w:rPr>
              <w:t>0.0180</w:t>
            </w:r>
          </w:p>
        </w:tc>
        <w:tc>
          <w:tcPr>
            <w:tcW w:w="1153" w:type="dxa"/>
            <w:vAlign w:val="center"/>
          </w:tcPr>
          <w:p>
            <w:pPr>
              <w:pStyle w:val="39"/>
              <w:rPr>
                <w:rFonts w:ascii="Times New Roman" w:hAnsi="Times New Roman"/>
              </w:rPr>
            </w:pPr>
            <w:r>
              <w:rPr>
                <w:rFonts w:ascii="Times New Roman" w:hAnsi="Times New Roman"/>
              </w:rPr>
              <w:t>0.1436</w:t>
            </w:r>
          </w:p>
        </w:tc>
        <w:tc>
          <w:tcPr>
            <w:tcW w:w="1269" w:type="dxa"/>
            <w:vAlign w:val="center"/>
          </w:tcPr>
          <w:p>
            <w:pPr>
              <w:pStyle w:val="39"/>
              <w:rPr>
                <w:rFonts w:ascii="Times New Roman" w:hAnsi="Times New Roman"/>
              </w:rPr>
            </w:pPr>
            <w:r>
              <w:rPr>
                <w:rFonts w:ascii="Times New Roman" w:hAnsi="Times New Roman"/>
              </w:rPr>
              <w:t>0.0024</w:t>
            </w:r>
          </w:p>
        </w:tc>
        <w:tc>
          <w:tcPr>
            <w:tcW w:w="1106" w:type="dxa"/>
            <w:vAlign w:val="center"/>
          </w:tcPr>
          <w:p>
            <w:pPr>
              <w:pStyle w:val="39"/>
              <w:rPr>
                <w:rFonts w:ascii="Times New Roman" w:hAnsi="Times New Roman"/>
              </w:rPr>
            </w:pPr>
            <w:r>
              <w:rPr>
                <w:rFonts w:ascii="Times New Roman" w:hAnsi="Times New Roman"/>
              </w:rPr>
              <w:t>0.0191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dxa"/>
            <w:vMerge w:val="continue"/>
            <w:vAlign w:val="center"/>
          </w:tcPr>
          <w:p>
            <w:pPr>
              <w:pStyle w:val="39"/>
              <w:rPr>
                <w:rFonts w:ascii="Times New Roman" w:hAnsi="Times New Roman"/>
              </w:rPr>
            </w:pPr>
          </w:p>
        </w:tc>
        <w:tc>
          <w:tcPr>
            <w:tcW w:w="988" w:type="dxa"/>
            <w:vAlign w:val="center"/>
          </w:tcPr>
          <w:p>
            <w:pPr>
              <w:pStyle w:val="39"/>
              <w:rPr>
                <w:rFonts w:ascii="Times New Roman" w:hAnsi="Times New Roman"/>
              </w:rPr>
            </w:pPr>
            <w:r>
              <w:rPr>
                <w:rFonts w:ascii="Times New Roman" w:hAnsi="Times New Roman"/>
              </w:rPr>
              <w:t>小计</w:t>
            </w:r>
          </w:p>
        </w:tc>
        <w:tc>
          <w:tcPr>
            <w:tcW w:w="856" w:type="dxa"/>
            <w:vAlign w:val="center"/>
          </w:tcPr>
          <w:p>
            <w:pPr>
              <w:pStyle w:val="39"/>
              <w:rPr>
                <w:rFonts w:ascii="Times New Roman" w:hAnsi="Times New Roman"/>
              </w:rPr>
            </w:pPr>
            <w:r>
              <w:rPr>
                <w:rFonts w:ascii="Times New Roman" w:hAnsi="Times New Roman"/>
              </w:rPr>
              <w:t>199</w:t>
            </w:r>
          </w:p>
        </w:tc>
        <w:tc>
          <w:tcPr>
            <w:tcW w:w="1606" w:type="dxa"/>
            <w:vAlign w:val="center"/>
          </w:tcPr>
          <w:p>
            <w:pPr>
              <w:pStyle w:val="39"/>
              <w:rPr>
                <w:rFonts w:ascii="Times New Roman" w:hAnsi="Times New Roman"/>
              </w:rPr>
            </w:pPr>
            <w:r>
              <w:rPr>
                <w:rFonts w:ascii="Times New Roman" w:hAnsi="Times New Roman"/>
              </w:rPr>
              <w:t>/</w:t>
            </w:r>
          </w:p>
        </w:tc>
        <w:tc>
          <w:tcPr>
            <w:tcW w:w="1276" w:type="dxa"/>
            <w:vAlign w:val="center"/>
          </w:tcPr>
          <w:p>
            <w:pPr>
              <w:pStyle w:val="39"/>
              <w:rPr>
                <w:rFonts w:ascii="Times New Roman" w:hAnsi="Times New Roman"/>
              </w:rPr>
            </w:pPr>
            <w:r>
              <w:rPr>
                <w:rFonts w:ascii="Times New Roman" w:hAnsi="Times New Roman"/>
              </w:rPr>
              <w:t>0.0225</w:t>
            </w:r>
          </w:p>
        </w:tc>
        <w:tc>
          <w:tcPr>
            <w:tcW w:w="1153" w:type="dxa"/>
            <w:vAlign w:val="center"/>
          </w:tcPr>
          <w:p>
            <w:pPr>
              <w:pStyle w:val="39"/>
              <w:rPr>
                <w:rFonts w:ascii="Times New Roman" w:hAnsi="Times New Roman"/>
              </w:rPr>
            </w:pPr>
            <w:r>
              <w:rPr>
                <w:rFonts w:ascii="Times New Roman" w:hAnsi="Times New Roman"/>
              </w:rPr>
              <w:t>0.1799</w:t>
            </w:r>
          </w:p>
        </w:tc>
        <w:tc>
          <w:tcPr>
            <w:tcW w:w="1269" w:type="dxa"/>
            <w:vAlign w:val="center"/>
          </w:tcPr>
          <w:p>
            <w:pPr>
              <w:pStyle w:val="39"/>
              <w:rPr>
                <w:rFonts w:ascii="Times New Roman" w:hAnsi="Times New Roman"/>
              </w:rPr>
            </w:pPr>
            <w:r>
              <w:rPr>
                <w:rFonts w:ascii="Times New Roman" w:hAnsi="Times New Roman"/>
              </w:rPr>
              <w:t>0.0030</w:t>
            </w:r>
          </w:p>
        </w:tc>
        <w:tc>
          <w:tcPr>
            <w:tcW w:w="1106" w:type="dxa"/>
            <w:vAlign w:val="center"/>
          </w:tcPr>
          <w:p>
            <w:pPr>
              <w:pStyle w:val="39"/>
              <w:rPr>
                <w:rFonts w:ascii="Times New Roman" w:hAnsi="Times New Roman"/>
              </w:rPr>
            </w:pPr>
            <w:r>
              <w:rPr>
                <w:rFonts w:ascii="Times New Roman" w:hAnsi="Times New Roman"/>
              </w:rPr>
              <w:t>0.0240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dxa"/>
            <w:vMerge w:val="restart"/>
            <w:vAlign w:val="center"/>
          </w:tcPr>
          <w:p>
            <w:pPr>
              <w:pStyle w:val="39"/>
              <w:rPr>
                <w:rFonts w:ascii="Times New Roman" w:hAnsi="Times New Roman"/>
              </w:rPr>
            </w:pPr>
            <w:r>
              <w:rPr>
                <w:rFonts w:ascii="Times New Roman" w:hAnsi="Times New Roman"/>
              </w:rPr>
              <w:t>宣兴1井站</w:t>
            </w:r>
          </w:p>
        </w:tc>
        <w:tc>
          <w:tcPr>
            <w:tcW w:w="988" w:type="dxa"/>
            <w:vAlign w:val="center"/>
          </w:tcPr>
          <w:p>
            <w:pPr>
              <w:pStyle w:val="39"/>
              <w:rPr>
                <w:rFonts w:ascii="Times New Roman" w:hAnsi="Times New Roman"/>
              </w:rPr>
            </w:pPr>
            <w:r>
              <w:rPr>
                <w:rFonts w:ascii="Times New Roman" w:hAnsi="Times New Roman"/>
              </w:rPr>
              <w:t>法兰</w:t>
            </w:r>
          </w:p>
        </w:tc>
        <w:tc>
          <w:tcPr>
            <w:tcW w:w="856" w:type="dxa"/>
            <w:vAlign w:val="center"/>
          </w:tcPr>
          <w:p>
            <w:pPr>
              <w:pStyle w:val="39"/>
              <w:rPr>
                <w:rFonts w:ascii="Times New Roman" w:hAnsi="Times New Roman"/>
              </w:rPr>
            </w:pPr>
            <w:r>
              <w:rPr>
                <w:rFonts w:ascii="Times New Roman" w:hAnsi="Times New Roman"/>
              </w:rPr>
              <w:t>144</w:t>
            </w:r>
          </w:p>
        </w:tc>
        <w:tc>
          <w:tcPr>
            <w:tcW w:w="1606" w:type="dxa"/>
            <w:vAlign w:val="center"/>
          </w:tcPr>
          <w:p>
            <w:pPr>
              <w:pStyle w:val="39"/>
              <w:rPr>
                <w:rFonts w:ascii="Times New Roman" w:hAnsi="Times New Roman"/>
              </w:rPr>
            </w:pPr>
            <w:r>
              <w:rPr>
                <w:rFonts w:ascii="Times New Roman" w:hAnsi="Times New Roman"/>
              </w:rPr>
              <w:t>0.024</w:t>
            </w:r>
          </w:p>
        </w:tc>
        <w:tc>
          <w:tcPr>
            <w:tcW w:w="1276" w:type="dxa"/>
            <w:vAlign w:val="center"/>
          </w:tcPr>
          <w:p>
            <w:pPr>
              <w:pStyle w:val="39"/>
              <w:rPr>
                <w:rFonts w:ascii="Times New Roman" w:hAnsi="Times New Roman"/>
              </w:rPr>
            </w:pPr>
            <w:r>
              <w:rPr>
                <w:rFonts w:ascii="Times New Roman" w:hAnsi="Times New Roman"/>
              </w:rPr>
              <w:t>0.0104</w:t>
            </w:r>
          </w:p>
        </w:tc>
        <w:tc>
          <w:tcPr>
            <w:tcW w:w="1153" w:type="dxa"/>
            <w:vAlign w:val="center"/>
          </w:tcPr>
          <w:p>
            <w:pPr>
              <w:pStyle w:val="39"/>
              <w:rPr>
                <w:rFonts w:ascii="Times New Roman" w:hAnsi="Times New Roman"/>
              </w:rPr>
            </w:pPr>
            <w:r>
              <w:rPr>
                <w:rFonts w:ascii="Times New Roman" w:hAnsi="Times New Roman"/>
              </w:rPr>
              <w:t>0.0829</w:t>
            </w:r>
          </w:p>
        </w:tc>
        <w:tc>
          <w:tcPr>
            <w:tcW w:w="1269" w:type="dxa"/>
            <w:vAlign w:val="center"/>
          </w:tcPr>
          <w:p>
            <w:pPr>
              <w:pStyle w:val="39"/>
              <w:rPr>
                <w:rFonts w:ascii="Times New Roman" w:hAnsi="Times New Roman"/>
              </w:rPr>
            </w:pPr>
            <w:r>
              <w:rPr>
                <w:rFonts w:ascii="Times New Roman" w:hAnsi="Times New Roman"/>
              </w:rPr>
              <w:t>0.0023</w:t>
            </w:r>
          </w:p>
        </w:tc>
        <w:tc>
          <w:tcPr>
            <w:tcW w:w="1106" w:type="dxa"/>
            <w:vAlign w:val="center"/>
          </w:tcPr>
          <w:p>
            <w:pPr>
              <w:pStyle w:val="39"/>
              <w:rPr>
                <w:rFonts w:ascii="Times New Roman" w:hAnsi="Times New Roman"/>
              </w:rPr>
            </w:pPr>
            <w:r>
              <w:rPr>
                <w:rFonts w:ascii="Times New Roman" w:hAnsi="Times New Roman"/>
              </w:rPr>
              <w:t>0.0185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dxa"/>
            <w:vMerge w:val="continue"/>
            <w:vAlign w:val="center"/>
          </w:tcPr>
          <w:p>
            <w:pPr>
              <w:pStyle w:val="39"/>
              <w:rPr>
                <w:rFonts w:ascii="Times New Roman" w:hAnsi="Times New Roman"/>
              </w:rPr>
            </w:pPr>
          </w:p>
        </w:tc>
        <w:tc>
          <w:tcPr>
            <w:tcW w:w="988" w:type="dxa"/>
            <w:vAlign w:val="center"/>
          </w:tcPr>
          <w:p>
            <w:pPr>
              <w:pStyle w:val="39"/>
              <w:rPr>
                <w:rFonts w:ascii="Times New Roman" w:hAnsi="Times New Roman"/>
              </w:rPr>
            </w:pPr>
            <w:r>
              <w:rPr>
                <w:rFonts w:ascii="Times New Roman" w:hAnsi="Times New Roman"/>
              </w:rPr>
              <w:t>阀门</w:t>
            </w:r>
          </w:p>
        </w:tc>
        <w:tc>
          <w:tcPr>
            <w:tcW w:w="856" w:type="dxa"/>
            <w:vAlign w:val="center"/>
          </w:tcPr>
          <w:p>
            <w:pPr>
              <w:pStyle w:val="39"/>
              <w:rPr>
                <w:rFonts w:ascii="Times New Roman" w:hAnsi="Times New Roman"/>
              </w:rPr>
            </w:pPr>
            <w:r>
              <w:rPr>
                <w:rFonts w:ascii="Times New Roman" w:hAnsi="Times New Roman"/>
              </w:rPr>
              <w:t>364</w:t>
            </w:r>
          </w:p>
        </w:tc>
        <w:tc>
          <w:tcPr>
            <w:tcW w:w="1606" w:type="dxa"/>
            <w:vAlign w:val="center"/>
          </w:tcPr>
          <w:p>
            <w:pPr>
              <w:pStyle w:val="39"/>
              <w:rPr>
                <w:rFonts w:ascii="Times New Roman" w:hAnsi="Times New Roman"/>
              </w:rPr>
            </w:pPr>
            <w:r>
              <w:rPr>
                <w:rFonts w:ascii="Times New Roman" w:hAnsi="Times New Roman"/>
              </w:rPr>
              <w:t>0.044</w:t>
            </w:r>
          </w:p>
        </w:tc>
        <w:tc>
          <w:tcPr>
            <w:tcW w:w="1276" w:type="dxa"/>
            <w:vAlign w:val="center"/>
          </w:tcPr>
          <w:p>
            <w:pPr>
              <w:pStyle w:val="39"/>
              <w:rPr>
                <w:rFonts w:ascii="Times New Roman" w:hAnsi="Times New Roman"/>
              </w:rPr>
            </w:pPr>
            <w:r>
              <w:rPr>
                <w:rFonts w:ascii="Times New Roman" w:hAnsi="Times New Roman"/>
              </w:rPr>
              <w:t>0.0480</w:t>
            </w:r>
          </w:p>
        </w:tc>
        <w:tc>
          <w:tcPr>
            <w:tcW w:w="1153" w:type="dxa"/>
            <w:vAlign w:val="center"/>
          </w:tcPr>
          <w:p>
            <w:pPr>
              <w:pStyle w:val="39"/>
              <w:rPr>
                <w:rFonts w:ascii="Times New Roman" w:hAnsi="Times New Roman"/>
              </w:rPr>
            </w:pPr>
            <w:r>
              <w:rPr>
                <w:rFonts w:ascii="Times New Roman" w:hAnsi="Times New Roman"/>
              </w:rPr>
              <w:t>0.3844</w:t>
            </w:r>
          </w:p>
        </w:tc>
        <w:tc>
          <w:tcPr>
            <w:tcW w:w="1269" w:type="dxa"/>
            <w:vAlign w:val="center"/>
          </w:tcPr>
          <w:p>
            <w:pPr>
              <w:pStyle w:val="39"/>
              <w:rPr>
                <w:rFonts w:ascii="Times New Roman" w:hAnsi="Times New Roman"/>
              </w:rPr>
            </w:pPr>
            <w:r>
              <w:rPr>
                <w:rFonts w:ascii="Times New Roman" w:hAnsi="Times New Roman"/>
              </w:rPr>
              <w:t>0.0107</w:t>
            </w:r>
          </w:p>
        </w:tc>
        <w:tc>
          <w:tcPr>
            <w:tcW w:w="1106" w:type="dxa"/>
            <w:vAlign w:val="center"/>
          </w:tcPr>
          <w:p>
            <w:pPr>
              <w:pStyle w:val="39"/>
              <w:rPr>
                <w:rFonts w:ascii="Times New Roman" w:hAnsi="Times New Roman"/>
              </w:rPr>
            </w:pPr>
            <w:r>
              <w:rPr>
                <w:rFonts w:ascii="Times New Roman" w:hAnsi="Times New Roman"/>
              </w:rPr>
              <w:t>0.0859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dxa"/>
            <w:vMerge w:val="continue"/>
            <w:vAlign w:val="center"/>
          </w:tcPr>
          <w:p>
            <w:pPr>
              <w:pStyle w:val="39"/>
              <w:rPr>
                <w:rFonts w:ascii="Times New Roman" w:hAnsi="Times New Roman"/>
              </w:rPr>
            </w:pPr>
          </w:p>
        </w:tc>
        <w:tc>
          <w:tcPr>
            <w:tcW w:w="988" w:type="dxa"/>
            <w:vAlign w:val="center"/>
          </w:tcPr>
          <w:p>
            <w:pPr>
              <w:pStyle w:val="39"/>
              <w:rPr>
                <w:rFonts w:ascii="Times New Roman" w:hAnsi="Times New Roman"/>
              </w:rPr>
            </w:pPr>
            <w:r>
              <w:rPr>
                <w:rFonts w:ascii="Times New Roman" w:hAnsi="Times New Roman"/>
              </w:rPr>
              <w:t>小计</w:t>
            </w:r>
          </w:p>
        </w:tc>
        <w:tc>
          <w:tcPr>
            <w:tcW w:w="856" w:type="dxa"/>
            <w:vAlign w:val="center"/>
          </w:tcPr>
          <w:p>
            <w:pPr>
              <w:pStyle w:val="39"/>
              <w:rPr>
                <w:rFonts w:ascii="Times New Roman" w:hAnsi="Times New Roman"/>
              </w:rPr>
            </w:pPr>
            <w:r>
              <w:rPr>
                <w:rFonts w:ascii="Times New Roman" w:hAnsi="Times New Roman"/>
              </w:rPr>
              <w:t>508</w:t>
            </w:r>
          </w:p>
        </w:tc>
        <w:tc>
          <w:tcPr>
            <w:tcW w:w="1606" w:type="dxa"/>
            <w:vAlign w:val="center"/>
          </w:tcPr>
          <w:p>
            <w:pPr>
              <w:pStyle w:val="39"/>
              <w:rPr>
                <w:rFonts w:ascii="Times New Roman" w:hAnsi="Times New Roman"/>
              </w:rPr>
            </w:pPr>
            <w:r>
              <w:rPr>
                <w:rFonts w:ascii="Times New Roman" w:hAnsi="Times New Roman"/>
              </w:rPr>
              <w:t>/</w:t>
            </w:r>
          </w:p>
        </w:tc>
        <w:tc>
          <w:tcPr>
            <w:tcW w:w="1276" w:type="dxa"/>
            <w:vAlign w:val="center"/>
          </w:tcPr>
          <w:p>
            <w:pPr>
              <w:pStyle w:val="39"/>
              <w:rPr>
                <w:rFonts w:ascii="Times New Roman" w:hAnsi="Times New Roman"/>
              </w:rPr>
            </w:pPr>
            <w:r>
              <w:rPr>
                <w:rFonts w:ascii="Times New Roman" w:hAnsi="Times New Roman"/>
              </w:rPr>
              <w:t>0.0584</w:t>
            </w:r>
          </w:p>
        </w:tc>
        <w:tc>
          <w:tcPr>
            <w:tcW w:w="1153" w:type="dxa"/>
            <w:vAlign w:val="center"/>
          </w:tcPr>
          <w:p>
            <w:pPr>
              <w:pStyle w:val="39"/>
              <w:rPr>
                <w:rFonts w:ascii="Times New Roman" w:hAnsi="Times New Roman"/>
              </w:rPr>
            </w:pPr>
            <w:r>
              <w:rPr>
                <w:rFonts w:ascii="Times New Roman" w:hAnsi="Times New Roman"/>
              </w:rPr>
              <w:t>0.4673</w:t>
            </w:r>
          </w:p>
        </w:tc>
        <w:tc>
          <w:tcPr>
            <w:tcW w:w="1269" w:type="dxa"/>
            <w:vAlign w:val="center"/>
          </w:tcPr>
          <w:p>
            <w:pPr>
              <w:pStyle w:val="39"/>
              <w:rPr>
                <w:rFonts w:ascii="Times New Roman" w:hAnsi="Times New Roman"/>
              </w:rPr>
            </w:pPr>
            <w:r>
              <w:rPr>
                <w:rFonts w:ascii="Times New Roman" w:hAnsi="Times New Roman"/>
              </w:rPr>
              <w:t>0.0130</w:t>
            </w:r>
          </w:p>
        </w:tc>
        <w:tc>
          <w:tcPr>
            <w:tcW w:w="1106" w:type="dxa"/>
            <w:vAlign w:val="center"/>
          </w:tcPr>
          <w:p>
            <w:pPr>
              <w:pStyle w:val="39"/>
              <w:rPr>
                <w:rFonts w:ascii="Times New Roman" w:hAnsi="Times New Roman"/>
              </w:rPr>
            </w:pPr>
            <w:r>
              <w:rPr>
                <w:rFonts w:ascii="Times New Roman" w:hAnsi="Times New Roman"/>
              </w:rPr>
              <w:t>0.1043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74" w:type="dxa"/>
            <w:gridSpan w:val="2"/>
            <w:vAlign w:val="center"/>
          </w:tcPr>
          <w:p>
            <w:pPr>
              <w:pStyle w:val="39"/>
              <w:rPr>
                <w:rFonts w:ascii="Times New Roman" w:hAnsi="Times New Roman"/>
              </w:rPr>
            </w:pPr>
            <w:r>
              <w:rPr>
                <w:rFonts w:ascii="Times New Roman" w:hAnsi="Times New Roman"/>
              </w:rPr>
              <w:t>合计</w:t>
            </w:r>
          </w:p>
        </w:tc>
        <w:tc>
          <w:tcPr>
            <w:tcW w:w="856" w:type="dxa"/>
            <w:vAlign w:val="center"/>
          </w:tcPr>
          <w:p>
            <w:pPr>
              <w:pStyle w:val="39"/>
              <w:rPr>
                <w:rFonts w:ascii="Times New Roman" w:hAnsi="Times New Roman"/>
              </w:rPr>
            </w:pPr>
            <w:r>
              <w:rPr>
                <w:rFonts w:ascii="Times New Roman" w:hAnsi="Times New Roman"/>
              </w:rPr>
              <w:t>/</w:t>
            </w:r>
          </w:p>
        </w:tc>
        <w:tc>
          <w:tcPr>
            <w:tcW w:w="1606" w:type="dxa"/>
            <w:vAlign w:val="center"/>
          </w:tcPr>
          <w:p>
            <w:pPr>
              <w:pStyle w:val="39"/>
              <w:rPr>
                <w:rFonts w:ascii="Times New Roman" w:hAnsi="Times New Roman"/>
              </w:rPr>
            </w:pPr>
            <w:r>
              <w:rPr>
                <w:rFonts w:ascii="Times New Roman" w:hAnsi="Times New Roman"/>
              </w:rPr>
              <w:t>/</w:t>
            </w:r>
          </w:p>
        </w:tc>
        <w:tc>
          <w:tcPr>
            <w:tcW w:w="1276" w:type="dxa"/>
            <w:vAlign w:val="center"/>
          </w:tcPr>
          <w:p>
            <w:pPr>
              <w:pStyle w:val="39"/>
              <w:rPr>
                <w:rFonts w:ascii="Times New Roman" w:hAnsi="Times New Roman"/>
              </w:rPr>
            </w:pPr>
            <w:r>
              <w:rPr>
                <w:rFonts w:ascii="Times New Roman" w:hAnsi="Times New Roman"/>
              </w:rPr>
              <w:t>/</w:t>
            </w:r>
          </w:p>
        </w:tc>
        <w:tc>
          <w:tcPr>
            <w:tcW w:w="1153" w:type="dxa"/>
            <w:vAlign w:val="center"/>
          </w:tcPr>
          <w:p>
            <w:pPr>
              <w:pStyle w:val="39"/>
              <w:rPr>
                <w:rFonts w:ascii="Times New Roman" w:hAnsi="Times New Roman"/>
              </w:rPr>
            </w:pPr>
            <w:r>
              <w:rPr>
                <w:rFonts w:ascii="Times New Roman" w:hAnsi="Times New Roman"/>
              </w:rPr>
              <w:t>0.6472</w:t>
            </w:r>
          </w:p>
        </w:tc>
        <w:tc>
          <w:tcPr>
            <w:tcW w:w="1269" w:type="dxa"/>
            <w:vAlign w:val="center"/>
          </w:tcPr>
          <w:p>
            <w:pPr>
              <w:pStyle w:val="39"/>
              <w:rPr>
                <w:rFonts w:ascii="Times New Roman" w:hAnsi="Times New Roman"/>
              </w:rPr>
            </w:pPr>
            <w:r>
              <w:rPr>
                <w:rFonts w:ascii="Times New Roman" w:hAnsi="Times New Roman"/>
              </w:rPr>
              <w:t>/</w:t>
            </w:r>
          </w:p>
        </w:tc>
        <w:tc>
          <w:tcPr>
            <w:tcW w:w="1106" w:type="dxa"/>
            <w:vAlign w:val="center"/>
          </w:tcPr>
          <w:p>
            <w:pPr>
              <w:pStyle w:val="39"/>
              <w:rPr>
                <w:rFonts w:ascii="Times New Roman" w:hAnsi="Times New Roman"/>
              </w:rPr>
            </w:pPr>
            <w:r>
              <w:rPr>
                <w:rFonts w:ascii="Times New Roman" w:hAnsi="Times New Roman"/>
              </w:rPr>
              <w:t>0.1283</w:t>
            </w:r>
          </w:p>
        </w:tc>
      </w:tr>
    </w:tbl>
    <w:p>
      <w:pPr>
        <w:ind w:firstLine="480"/>
        <w:rPr>
          <w:rFonts w:ascii="Times New Roman" w:hAnsi="Times New Roman"/>
        </w:rPr>
      </w:pPr>
    </w:p>
    <w:p>
      <w:pPr>
        <w:ind w:firstLine="480"/>
        <w:rPr>
          <w:rFonts w:ascii="Times New Roman" w:hAnsi="Times New Roman"/>
        </w:rPr>
      </w:pPr>
      <w:r>
        <w:rPr>
          <w:rFonts w:ascii="Times New Roman" w:hAnsi="Times New Roman"/>
        </w:rPr>
        <w:t>正常工况时，各井站废气产生情况见</w:t>
      </w:r>
      <w:r>
        <w:rPr>
          <w:rFonts w:ascii="Times New Roman" w:hAnsi="Times New Roman"/>
        </w:rPr>
        <w:fldChar w:fldCharType="begin"/>
      </w:r>
      <w:r>
        <w:rPr>
          <w:rFonts w:ascii="Times New Roman" w:hAnsi="Times New Roman"/>
        </w:rPr>
        <w:instrText xml:space="preserve"> REF _Ref152167782 \h  \* MERGEFORMAT </w:instrText>
      </w:r>
      <w:r>
        <w:rPr>
          <w:rFonts w:ascii="Times New Roman" w:hAnsi="Times New Roman"/>
        </w:rPr>
        <w:fldChar w:fldCharType="separate"/>
      </w:r>
      <w:r>
        <w:rPr>
          <w:rFonts w:ascii="Times New Roman" w:hAnsi="Times New Roman"/>
        </w:rPr>
        <w:t>表 3</w:t>
      </w:r>
      <w:r>
        <w:rPr>
          <w:rFonts w:ascii="Times New Roman" w:hAnsi="Times New Roman"/>
        </w:rPr>
        <w:noBreakHyphen/>
      </w:r>
      <w:r>
        <w:rPr>
          <w:rFonts w:ascii="Times New Roman" w:hAnsi="Times New Roman"/>
        </w:rPr>
        <w:t>9</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sectPr>
          <w:pgSz w:w="11906" w:h="16838"/>
          <w:pgMar w:top="1440" w:right="1800" w:bottom="1440" w:left="1800" w:header="851" w:footer="992" w:gutter="0"/>
          <w:cols w:space="425" w:num="1"/>
          <w:docGrid w:type="lines" w:linePitch="312" w:charSpace="0"/>
        </w:sectPr>
      </w:pPr>
      <w:bookmarkStart w:id="108" w:name="_Ref152158554"/>
    </w:p>
    <w:p>
      <w:pPr>
        <w:pStyle w:val="37"/>
        <w:rPr>
          <w:rFonts w:ascii="Times New Roman" w:hAnsi="Times New Roman" w:cs="Times New Roman"/>
        </w:rPr>
      </w:pPr>
      <w:bookmarkStart w:id="109" w:name="_Ref15216778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bookmarkEnd w:id="108"/>
      <w:bookmarkEnd w:id="109"/>
      <w:r>
        <w:rPr>
          <w:rFonts w:ascii="Times New Roman" w:hAnsi="Times New Roman" w:cs="Times New Roman"/>
        </w:rPr>
        <w:t xml:space="preserve">  </w:t>
      </w:r>
      <w:bookmarkStart w:id="110" w:name="_Hlk155086780"/>
      <w:r>
        <w:rPr>
          <w:rFonts w:ascii="Times New Roman" w:hAnsi="Times New Roman" w:cs="Times New Roman"/>
        </w:rPr>
        <w:t>正常工况时，各井站有组织废气产排情况表</w:t>
      </w:r>
      <w:bookmarkEnd w:id="110"/>
    </w:p>
    <w:tbl>
      <w:tblPr>
        <w:tblStyle w:val="28"/>
        <w:tblW w:w="143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2"/>
        <w:gridCol w:w="1026"/>
        <w:gridCol w:w="676"/>
        <w:gridCol w:w="1208"/>
        <w:gridCol w:w="1239"/>
        <w:gridCol w:w="1033"/>
        <w:gridCol w:w="665"/>
        <w:gridCol w:w="869"/>
        <w:gridCol w:w="1208"/>
        <w:gridCol w:w="1239"/>
        <w:gridCol w:w="1033"/>
        <w:gridCol w:w="863"/>
        <w:gridCol w:w="863"/>
        <w:gridCol w:w="881"/>
        <w:gridCol w:w="6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2" w:type="dxa"/>
            <w:vMerge w:val="restart"/>
            <w:vAlign w:val="center"/>
          </w:tcPr>
          <w:p>
            <w:pPr>
              <w:pStyle w:val="39"/>
              <w:rPr>
                <w:rFonts w:ascii="Times New Roman" w:hAnsi="Times New Roman"/>
              </w:rPr>
            </w:pPr>
            <w:r>
              <w:rPr>
                <w:rFonts w:ascii="Times New Roman" w:hAnsi="Times New Roman"/>
              </w:rPr>
              <w:t>污染源</w:t>
            </w:r>
          </w:p>
        </w:tc>
        <w:tc>
          <w:tcPr>
            <w:tcW w:w="1026" w:type="dxa"/>
            <w:vMerge w:val="restart"/>
            <w:vAlign w:val="center"/>
          </w:tcPr>
          <w:p>
            <w:pPr>
              <w:pStyle w:val="39"/>
              <w:rPr>
                <w:rFonts w:ascii="Times New Roman" w:hAnsi="Times New Roman"/>
              </w:rPr>
            </w:pPr>
            <w:r>
              <w:rPr>
                <w:rFonts w:ascii="Times New Roman" w:hAnsi="Times New Roman"/>
              </w:rPr>
              <w:t>污染物</w:t>
            </w:r>
          </w:p>
        </w:tc>
        <w:tc>
          <w:tcPr>
            <w:tcW w:w="4156" w:type="dxa"/>
            <w:gridSpan w:val="4"/>
            <w:vAlign w:val="center"/>
          </w:tcPr>
          <w:p>
            <w:pPr>
              <w:pStyle w:val="39"/>
              <w:rPr>
                <w:rFonts w:ascii="Times New Roman" w:hAnsi="Times New Roman"/>
              </w:rPr>
            </w:pPr>
            <w:r>
              <w:rPr>
                <w:rFonts w:ascii="Times New Roman" w:hAnsi="Times New Roman"/>
              </w:rPr>
              <w:t>污染物产生</w:t>
            </w:r>
          </w:p>
        </w:tc>
        <w:tc>
          <w:tcPr>
            <w:tcW w:w="1534" w:type="dxa"/>
            <w:gridSpan w:val="2"/>
            <w:vAlign w:val="center"/>
          </w:tcPr>
          <w:p>
            <w:pPr>
              <w:pStyle w:val="39"/>
              <w:rPr>
                <w:rFonts w:ascii="Times New Roman" w:hAnsi="Times New Roman"/>
              </w:rPr>
            </w:pPr>
            <w:r>
              <w:rPr>
                <w:rFonts w:ascii="Times New Roman" w:hAnsi="Times New Roman"/>
              </w:rPr>
              <w:t>治理措施</w:t>
            </w:r>
          </w:p>
        </w:tc>
        <w:tc>
          <w:tcPr>
            <w:tcW w:w="3480" w:type="dxa"/>
            <w:gridSpan w:val="3"/>
            <w:vAlign w:val="center"/>
          </w:tcPr>
          <w:p>
            <w:pPr>
              <w:pStyle w:val="39"/>
              <w:rPr>
                <w:rFonts w:ascii="Times New Roman" w:hAnsi="Times New Roman"/>
              </w:rPr>
            </w:pPr>
            <w:r>
              <w:rPr>
                <w:rFonts w:ascii="Times New Roman" w:hAnsi="Times New Roman"/>
              </w:rPr>
              <w:t>污染物排放</w:t>
            </w:r>
          </w:p>
        </w:tc>
        <w:tc>
          <w:tcPr>
            <w:tcW w:w="2607" w:type="dxa"/>
            <w:gridSpan w:val="3"/>
            <w:vAlign w:val="center"/>
          </w:tcPr>
          <w:p>
            <w:pPr>
              <w:pStyle w:val="39"/>
              <w:rPr>
                <w:rFonts w:ascii="Times New Roman" w:hAnsi="Times New Roman"/>
              </w:rPr>
            </w:pPr>
            <w:r>
              <w:rPr>
                <w:rFonts w:ascii="Times New Roman" w:hAnsi="Times New Roman"/>
              </w:rPr>
              <w:t>排放口参数</w:t>
            </w:r>
          </w:p>
        </w:tc>
        <w:tc>
          <w:tcPr>
            <w:tcW w:w="665" w:type="dxa"/>
            <w:vMerge w:val="restart"/>
            <w:vAlign w:val="center"/>
          </w:tcPr>
          <w:p>
            <w:pPr>
              <w:pStyle w:val="39"/>
              <w:rPr>
                <w:rFonts w:ascii="Times New Roman" w:hAnsi="Times New Roman"/>
              </w:rPr>
            </w:pPr>
            <w:r>
              <w:rPr>
                <w:rFonts w:ascii="Times New Roman" w:hAnsi="Times New Roman"/>
              </w:rPr>
              <w:t>排放时间（h）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2" w:type="dxa"/>
            <w:vMerge w:val="continue"/>
            <w:vAlign w:val="center"/>
          </w:tcPr>
          <w:p>
            <w:pPr>
              <w:pStyle w:val="39"/>
              <w:rPr>
                <w:rFonts w:ascii="Times New Roman" w:hAnsi="Times New Roman"/>
              </w:rPr>
            </w:pPr>
          </w:p>
        </w:tc>
        <w:tc>
          <w:tcPr>
            <w:tcW w:w="1026" w:type="dxa"/>
            <w:vMerge w:val="continue"/>
            <w:vAlign w:val="center"/>
          </w:tcPr>
          <w:p>
            <w:pPr>
              <w:pStyle w:val="39"/>
              <w:rPr>
                <w:rFonts w:ascii="Times New Roman" w:hAnsi="Times New Roman"/>
              </w:rPr>
            </w:pPr>
          </w:p>
        </w:tc>
        <w:tc>
          <w:tcPr>
            <w:tcW w:w="676" w:type="dxa"/>
            <w:vAlign w:val="center"/>
          </w:tcPr>
          <w:p>
            <w:pPr>
              <w:pStyle w:val="39"/>
              <w:rPr>
                <w:rFonts w:ascii="Times New Roman" w:hAnsi="Times New Roman"/>
              </w:rPr>
            </w:pPr>
            <w:r>
              <w:rPr>
                <w:rFonts w:ascii="Times New Roman" w:hAnsi="Times New Roman"/>
              </w:rPr>
              <w:t>核算方法</w:t>
            </w:r>
          </w:p>
        </w:tc>
        <w:tc>
          <w:tcPr>
            <w:tcW w:w="1208" w:type="dxa"/>
            <w:vAlign w:val="center"/>
          </w:tcPr>
          <w:p>
            <w:pPr>
              <w:pStyle w:val="39"/>
              <w:rPr>
                <w:rFonts w:ascii="Times New Roman" w:hAnsi="Times New Roman"/>
              </w:rPr>
            </w:pPr>
            <w:r>
              <w:rPr>
                <w:rFonts w:ascii="Times New Roman" w:hAnsi="Times New Roman"/>
              </w:rPr>
              <w:t>废气量（Nm³/h）</w:t>
            </w:r>
          </w:p>
        </w:tc>
        <w:tc>
          <w:tcPr>
            <w:tcW w:w="1239" w:type="dxa"/>
            <w:vAlign w:val="center"/>
          </w:tcPr>
          <w:p>
            <w:pPr>
              <w:pStyle w:val="39"/>
              <w:rPr>
                <w:rFonts w:ascii="Times New Roman" w:hAnsi="Times New Roman"/>
              </w:rPr>
            </w:pPr>
            <w:r>
              <w:rPr>
                <w:rFonts w:ascii="Times New Roman" w:hAnsi="Times New Roman"/>
              </w:rPr>
              <w:t>产生浓度（mg/m</w:t>
            </w:r>
            <w:r>
              <w:rPr>
                <w:rFonts w:ascii="Times New Roman" w:hAnsi="Times New Roman"/>
                <w:vertAlign w:val="superscript"/>
              </w:rPr>
              <w:t>3</w:t>
            </w:r>
            <w:r>
              <w:rPr>
                <w:rFonts w:ascii="Times New Roman" w:hAnsi="Times New Roman"/>
              </w:rPr>
              <w:t>）</w:t>
            </w:r>
          </w:p>
        </w:tc>
        <w:tc>
          <w:tcPr>
            <w:tcW w:w="1033" w:type="dxa"/>
            <w:vAlign w:val="center"/>
          </w:tcPr>
          <w:p>
            <w:pPr>
              <w:pStyle w:val="39"/>
              <w:rPr>
                <w:rFonts w:ascii="Times New Roman" w:hAnsi="Times New Roman"/>
              </w:rPr>
            </w:pPr>
            <w:r>
              <w:rPr>
                <w:rFonts w:ascii="Times New Roman" w:hAnsi="Times New Roman"/>
              </w:rPr>
              <w:t>产生速率（kg/h）</w:t>
            </w:r>
          </w:p>
        </w:tc>
        <w:tc>
          <w:tcPr>
            <w:tcW w:w="665" w:type="dxa"/>
            <w:vAlign w:val="center"/>
          </w:tcPr>
          <w:p>
            <w:pPr>
              <w:pStyle w:val="39"/>
              <w:rPr>
                <w:rFonts w:ascii="Times New Roman" w:hAnsi="Times New Roman"/>
              </w:rPr>
            </w:pPr>
            <w:r>
              <w:rPr>
                <w:rFonts w:ascii="Times New Roman" w:hAnsi="Times New Roman"/>
              </w:rPr>
              <w:t>工艺</w:t>
            </w:r>
          </w:p>
        </w:tc>
        <w:tc>
          <w:tcPr>
            <w:tcW w:w="869" w:type="dxa"/>
            <w:vAlign w:val="center"/>
          </w:tcPr>
          <w:p>
            <w:pPr>
              <w:pStyle w:val="39"/>
              <w:rPr>
                <w:rFonts w:ascii="Times New Roman" w:hAnsi="Times New Roman"/>
              </w:rPr>
            </w:pPr>
            <w:r>
              <w:rPr>
                <w:rFonts w:ascii="Times New Roman" w:hAnsi="Times New Roman"/>
              </w:rPr>
              <w:t>效率（%）</w:t>
            </w:r>
          </w:p>
        </w:tc>
        <w:tc>
          <w:tcPr>
            <w:tcW w:w="1208" w:type="dxa"/>
            <w:vAlign w:val="center"/>
          </w:tcPr>
          <w:p>
            <w:pPr>
              <w:pStyle w:val="39"/>
              <w:rPr>
                <w:rFonts w:ascii="Times New Roman" w:hAnsi="Times New Roman"/>
              </w:rPr>
            </w:pPr>
            <w:r>
              <w:rPr>
                <w:rFonts w:ascii="Times New Roman" w:hAnsi="Times New Roman"/>
              </w:rPr>
              <w:t>废气量</w:t>
            </w:r>
          </w:p>
          <w:p>
            <w:pPr>
              <w:pStyle w:val="39"/>
              <w:rPr>
                <w:rFonts w:ascii="Times New Roman" w:hAnsi="Times New Roman"/>
              </w:rPr>
            </w:pPr>
            <w:r>
              <w:rPr>
                <w:rFonts w:ascii="Times New Roman" w:hAnsi="Times New Roman"/>
              </w:rPr>
              <w:t>（Nm³/h）</w:t>
            </w:r>
          </w:p>
        </w:tc>
        <w:tc>
          <w:tcPr>
            <w:tcW w:w="1239" w:type="dxa"/>
            <w:vAlign w:val="center"/>
          </w:tcPr>
          <w:p>
            <w:pPr>
              <w:pStyle w:val="39"/>
              <w:rPr>
                <w:rFonts w:ascii="Times New Roman" w:hAnsi="Times New Roman"/>
              </w:rPr>
            </w:pPr>
            <w:r>
              <w:rPr>
                <w:rFonts w:ascii="Times New Roman" w:hAnsi="Times New Roman"/>
              </w:rPr>
              <w:t>排放浓度（mg/m</w:t>
            </w:r>
            <w:r>
              <w:rPr>
                <w:rFonts w:ascii="Times New Roman" w:hAnsi="Times New Roman"/>
                <w:vertAlign w:val="superscript"/>
              </w:rPr>
              <w:t>3</w:t>
            </w:r>
            <w:r>
              <w:rPr>
                <w:rFonts w:ascii="Times New Roman" w:hAnsi="Times New Roman"/>
              </w:rPr>
              <w:t>）</w:t>
            </w:r>
          </w:p>
        </w:tc>
        <w:tc>
          <w:tcPr>
            <w:tcW w:w="1033" w:type="dxa"/>
            <w:vAlign w:val="center"/>
          </w:tcPr>
          <w:p>
            <w:pPr>
              <w:pStyle w:val="39"/>
              <w:rPr>
                <w:rFonts w:ascii="Times New Roman" w:hAnsi="Times New Roman"/>
              </w:rPr>
            </w:pPr>
            <w:r>
              <w:rPr>
                <w:rFonts w:ascii="Times New Roman" w:hAnsi="Times New Roman"/>
              </w:rPr>
              <w:t>排放速率（kg/h）</w:t>
            </w:r>
          </w:p>
        </w:tc>
        <w:tc>
          <w:tcPr>
            <w:tcW w:w="863" w:type="dxa"/>
            <w:vAlign w:val="center"/>
          </w:tcPr>
          <w:p>
            <w:pPr>
              <w:pStyle w:val="39"/>
              <w:rPr>
                <w:rFonts w:ascii="Times New Roman" w:hAnsi="Times New Roman"/>
              </w:rPr>
            </w:pPr>
            <w:r>
              <w:rPr>
                <w:rFonts w:ascii="Times New Roman" w:hAnsi="Times New Roman"/>
              </w:rPr>
              <w:t>高度（m）</w:t>
            </w:r>
          </w:p>
        </w:tc>
        <w:tc>
          <w:tcPr>
            <w:tcW w:w="863" w:type="dxa"/>
            <w:vAlign w:val="center"/>
          </w:tcPr>
          <w:p>
            <w:pPr>
              <w:pStyle w:val="39"/>
              <w:rPr>
                <w:rFonts w:ascii="Times New Roman" w:hAnsi="Times New Roman"/>
              </w:rPr>
            </w:pPr>
            <w:r>
              <w:rPr>
                <w:rFonts w:ascii="Times New Roman" w:hAnsi="Times New Roman"/>
              </w:rPr>
              <w:t>直径（m）</w:t>
            </w:r>
          </w:p>
        </w:tc>
        <w:tc>
          <w:tcPr>
            <w:tcW w:w="881" w:type="dxa"/>
            <w:vAlign w:val="center"/>
          </w:tcPr>
          <w:p>
            <w:pPr>
              <w:pStyle w:val="39"/>
              <w:rPr>
                <w:rFonts w:ascii="Times New Roman" w:hAnsi="Times New Roman"/>
              </w:rPr>
            </w:pPr>
            <w:r>
              <w:rPr>
                <w:rFonts w:ascii="Times New Roman" w:hAnsi="Times New Roman"/>
              </w:rPr>
              <w:t>温度（℃）</w:t>
            </w:r>
          </w:p>
        </w:tc>
        <w:tc>
          <w:tcPr>
            <w:tcW w:w="665"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2" w:type="dxa"/>
            <w:vMerge w:val="restart"/>
            <w:vAlign w:val="center"/>
          </w:tcPr>
          <w:p>
            <w:pPr>
              <w:pStyle w:val="39"/>
              <w:rPr>
                <w:rFonts w:ascii="Times New Roman" w:hAnsi="Times New Roman"/>
              </w:rPr>
            </w:pPr>
            <w:r>
              <w:rPr>
                <w:rFonts w:ascii="Times New Roman" w:hAnsi="Times New Roman"/>
              </w:rPr>
              <w:t>宣探1井水套加热炉</w:t>
            </w:r>
          </w:p>
        </w:tc>
        <w:tc>
          <w:tcPr>
            <w:tcW w:w="1026" w:type="dxa"/>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676" w:type="dxa"/>
            <w:vAlign w:val="center"/>
          </w:tcPr>
          <w:p>
            <w:pPr>
              <w:pStyle w:val="39"/>
              <w:rPr>
                <w:rFonts w:ascii="Times New Roman" w:hAnsi="Times New Roman"/>
              </w:rPr>
            </w:pPr>
            <w:r>
              <w:rPr>
                <w:rFonts w:ascii="Times New Roman" w:hAnsi="Times New Roman"/>
              </w:rPr>
              <w:t>排污系数</w:t>
            </w:r>
          </w:p>
        </w:tc>
        <w:tc>
          <w:tcPr>
            <w:tcW w:w="1208" w:type="dxa"/>
            <w:vMerge w:val="restart"/>
            <w:vAlign w:val="center"/>
          </w:tcPr>
          <w:p>
            <w:pPr>
              <w:pStyle w:val="39"/>
              <w:rPr>
                <w:rFonts w:ascii="Times New Roman" w:hAnsi="Times New Roman"/>
              </w:rPr>
            </w:pPr>
            <w:r>
              <w:rPr>
                <w:rFonts w:ascii="Times New Roman" w:hAnsi="Times New Roman"/>
              </w:rPr>
              <w:t>496</w:t>
            </w:r>
          </w:p>
        </w:tc>
        <w:tc>
          <w:tcPr>
            <w:tcW w:w="1239" w:type="dxa"/>
            <w:vAlign w:val="center"/>
          </w:tcPr>
          <w:p>
            <w:pPr>
              <w:pStyle w:val="39"/>
              <w:rPr>
                <w:rFonts w:ascii="Times New Roman" w:hAnsi="Times New Roman"/>
              </w:rPr>
            </w:pPr>
            <w:r>
              <w:rPr>
                <w:rFonts w:ascii="Times New Roman" w:hAnsi="Times New Roman"/>
              </w:rPr>
              <w:t>3.71</w:t>
            </w:r>
          </w:p>
        </w:tc>
        <w:tc>
          <w:tcPr>
            <w:tcW w:w="1033" w:type="dxa"/>
            <w:vAlign w:val="center"/>
          </w:tcPr>
          <w:p>
            <w:pPr>
              <w:pStyle w:val="39"/>
              <w:rPr>
                <w:rFonts w:ascii="Times New Roman" w:hAnsi="Times New Roman"/>
              </w:rPr>
            </w:pPr>
            <w:r>
              <w:rPr>
                <w:rFonts w:ascii="Times New Roman" w:hAnsi="Times New Roman"/>
              </w:rPr>
              <w:t>0.0018</w:t>
            </w:r>
          </w:p>
        </w:tc>
        <w:tc>
          <w:tcPr>
            <w:tcW w:w="665" w:type="dxa"/>
            <w:vAlign w:val="center"/>
          </w:tcPr>
          <w:p>
            <w:pPr>
              <w:pStyle w:val="39"/>
              <w:rPr>
                <w:rFonts w:ascii="Times New Roman" w:hAnsi="Times New Roman"/>
              </w:rPr>
            </w:pPr>
            <w:r>
              <w:rPr>
                <w:rFonts w:ascii="Times New Roman" w:hAnsi="Times New Roman"/>
              </w:rPr>
              <w:t>清洁能源</w:t>
            </w:r>
          </w:p>
        </w:tc>
        <w:tc>
          <w:tcPr>
            <w:tcW w:w="869" w:type="dxa"/>
            <w:vAlign w:val="center"/>
          </w:tcPr>
          <w:p>
            <w:pPr>
              <w:pStyle w:val="39"/>
              <w:rPr>
                <w:rFonts w:ascii="Times New Roman" w:hAnsi="Times New Roman"/>
              </w:rPr>
            </w:pPr>
            <w:r>
              <w:rPr>
                <w:rFonts w:ascii="Times New Roman" w:hAnsi="Times New Roman"/>
              </w:rPr>
              <w:t>/</w:t>
            </w:r>
          </w:p>
        </w:tc>
        <w:tc>
          <w:tcPr>
            <w:tcW w:w="1208" w:type="dxa"/>
            <w:vMerge w:val="restart"/>
            <w:vAlign w:val="center"/>
          </w:tcPr>
          <w:p>
            <w:pPr>
              <w:pStyle w:val="39"/>
              <w:rPr>
                <w:rFonts w:ascii="Times New Roman" w:hAnsi="Times New Roman"/>
              </w:rPr>
            </w:pPr>
            <w:r>
              <w:rPr>
                <w:rFonts w:ascii="Times New Roman" w:hAnsi="Times New Roman"/>
              </w:rPr>
              <w:t>496</w:t>
            </w:r>
          </w:p>
        </w:tc>
        <w:tc>
          <w:tcPr>
            <w:tcW w:w="1239" w:type="dxa"/>
            <w:vAlign w:val="center"/>
          </w:tcPr>
          <w:p>
            <w:pPr>
              <w:pStyle w:val="39"/>
              <w:rPr>
                <w:rFonts w:ascii="Times New Roman" w:hAnsi="Times New Roman"/>
                <w:b/>
                <w:bCs/>
              </w:rPr>
            </w:pPr>
            <w:r>
              <w:rPr>
                <w:rFonts w:ascii="Times New Roman" w:hAnsi="Times New Roman"/>
              </w:rPr>
              <w:t>3.71</w:t>
            </w:r>
          </w:p>
        </w:tc>
        <w:tc>
          <w:tcPr>
            <w:tcW w:w="1033" w:type="dxa"/>
            <w:vAlign w:val="center"/>
          </w:tcPr>
          <w:p>
            <w:pPr>
              <w:pStyle w:val="39"/>
              <w:rPr>
                <w:rFonts w:ascii="Times New Roman" w:hAnsi="Times New Roman"/>
                <w:b/>
                <w:bCs/>
              </w:rPr>
            </w:pPr>
            <w:r>
              <w:rPr>
                <w:rFonts w:ascii="Times New Roman" w:hAnsi="Times New Roman"/>
              </w:rPr>
              <w:t>0.0018</w:t>
            </w:r>
          </w:p>
        </w:tc>
        <w:tc>
          <w:tcPr>
            <w:tcW w:w="863" w:type="dxa"/>
            <w:vMerge w:val="restart"/>
            <w:vAlign w:val="center"/>
          </w:tcPr>
          <w:p>
            <w:pPr>
              <w:pStyle w:val="39"/>
              <w:rPr>
                <w:rFonts w:ascii="Times New Roman" w:hAnsi="Times New Roman"/>
              </w:rPr>
            </w:pPr>
            <w:r>
              <w:rPr>
                <w:rFonts w:ascii="Times New Roman" w:hAnsi="Times New Roman"/>
              </w:rPr>
              <w:t>8</w:t>
            </w:r>
          </w:p>
        </w:tc>
        <w:tc>
          <w:tcPr>
            <w:tcW w:w="863" w:type="dxa"/>
            <w:vMerge w:val="restart"/>
            <w:vAlign w:val="center"/>
          </w:tcPr>
          <w:p>
            <w:pPr>
              <w:pStyle w:val="39"/>
              <w:rPr>
                <w:rFonts w:ascii="Times New Roman" w:hAnsi="Times New Roman"/>
              </w:rPr>
            </w:pPr>
            <w:r>
              <w:rPr>
                <w:rFonts w:ascii="Times New Roman" w:hAnsi="Times New Roman"/>
              </w:rPr>
              <w:t>0.2</w:t>
            </w:r>
          </w:p>
        </w:tc>
        <w:tc>
          <w:tcPr>
            <w:tcW w:w="881" w:type="dxa"/>
            <w:vMerge w:val="restart"/>
            <w:vAlign w:val="center"/>
          </w:tcPr>
          <w:p>
            <w:pPr>
              <w:pStyle w:val="39"/>
              <w:rPr>
                <w:rFonts w:ascii="Times New Roman" w:hAnsi="Times New Roman"/>
              </w:rPr>
            </w:pPr>
            <w:r>
              <w:rPr>
                <w:rFonts w:ascii="Times New Roman" w:hAnsi="Times New Roman"/>
              </w:rPr>
              <w:t>200</w:t>
            </w:r>
          </w:p>
        </w:tc>
        <w:tc>
          <w:tcPr>
            <w:tcW w:w="665" w:type="dxa"/>
            <w:vMerge w:val="restart"/>
            <w:vAlign w:val="center"/>
          </w:tcPr>
          <w:p>
            <w:pPr>
              <w:pStyle w:val="39"/>
              <w:rPr>
                <w:rFonts w:ascii="Times New Roman" w:hAnsi="Times New Roman"/>
              </w:rPr>
            </w:pPr>
            <w:r>
              <w:rPr>
                <w:rFonts w:ascii="Times New Roman" w:hAnsi="Times New Roman"/>
              </w:rPr>
              <w:t>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2" w:type="dxa"/>
            <w:vMerge w:val="continue"/>
            <w:vAlign w:val="center"/>
          </w:tcPr>
          <w:p>
            <w:pPr>
              <w:pStyle w:val="39"/>
              <w:rPr>
                <w:rFonts w:ascii="Times New Roman" w:hAnsi="Times New Roman"/>
              </w:rPr>
            </w:pPr>
          </w:p>
        </w:tc>
        <w:tc>
          <w:tcPr>
            <w:tcW w:w="1026" w:type="dxa"/>
            <w:vAlign w:val="center"/>
          </w:tcPr>
          <w:p>
            <w:pPr>
              <w:pStyle w:val="39"/>
              <w:rPr>
                <w:rFonts w:ascii="Times New Roman" w:hAnsi="Times New Roman"/>
              </w:rPr>
            </w:pPr>
            <w:r>
              <w:rPr>
                <w:rFonts w:ascii="Times New Roman" w:hAnsi="Times New Roman"/>
              </w:rPr>
              <w:t>NOx</w:t>
            </w:r>
          </w:p>
        </w:tc>
        <w:tc>
          <w:tcPr>
            <w:tcW w:w="676" w:type="dxa"/>
            <w:vAlign w:val="center"/>
          </w:tcPr>
          <w:p>
            <w:pPr>
              <w:pStyle w:val="39"/>
              <w:rPr>
                <w:rFonts w:ascii="Times New Roman" w:hAnsi="Times New Roman"/>
              </w:rPr>
            </w:pPr>
            <w:r>
              <w:rPr>
                <w:rFonts w:ascii="Times New Roman" w:hAnsi="Times New Roman"/>
              </w:rPr>
              <w:t>排污系数</w:t>
            </w:r>
          </w:p>
        </w:tc>
        <w:tc>
          <w:tcPr>
            <w:tcW w:w="1208" w:type="dxa"/>
            <w:vMerge w:val="continue"/>
            <w:vAlign w:val="center"/>
          </w:tcPr>
          <w:p>
            <w:pPr>
              <w:pStyle w:val="39"/>
              <w:rPr>
                <w:rFonts w:ascii="Times New Roman" w:hAnsi="Times New Roman"/>
              </w:rPr>
            </w:pPr>
          </w:p>
        </w:tc>
        <w:tc>
          <w:tcPr>
            <w:tcW w:w="1239" w:type="dxa"/>
            <w:vAlign w:val="center"/>
          </w:tcPr>
          <w:p>
            <w:pPr>
              <w:pStyle w:val="39"/>
              <w:rPr>
                <w:rFonts w:ascii="Times New Roman" w:hAnsi="Times New Roman"/>
              </w:rPr>
            </w:pPr>
            <w:r>
              <w:rPr>
                <w:rFonts w:ascii="Times New Roman" w:hAnsi="Times New Roman"/>
              </w:rPr>
              <w:t>147.28</w:t>
            </w:r>
          </w:p>
        </w:tc>
        <w:tc>
          <w:tcPr>
            <w:tcW w:w="1033" w:type="dxa"/>
            <w:vAlign w:val="center"/>
          </w:tcPr>
          <w:p>
            <w:pPr>
              <w:pStyle w:val="39"/>
              <w:rPr>
                <w:rFonts w:ascii="Times New Roman" w:hAnsi="Times New Roman"/>
              </w:rPr>
            </w:pPr>
            <w:r>
              <w:rPr>
                <w:rFonts w:ascii="Times New Roman" w:hAnsi="Times New Roman"/>
              </w:rPr>
              <w:t>0.0730</w:t>
            </w:r>
          </w:p>
        </w:tc>
        <w:tc>
          <w:tcPr>
            <w:tcW w:w="665" w:type="dxa"/>
            <w:vAlign w:val="center"/>
          </w:tcPr>
          <w:p>
            <w:pPr>
              <w:pStyle w:val="39"/>
              <w:rPr>
                <w:rFonts w:ascii="Times New Roman" w:hAnsi="Times New Roman"/>
              </w:rPr>
            </w:pPr>
            <w:r>
              <w:rPr>
                <w:rFonts w:ascii="Times New Roman" w:hAnsi="Times New Roman"/>
              </w:rPr>
              <w:t>/</w:t>
            </w:r>
          </w:p>
        </w:tc>
        <w:tc>
          <w:tcPr>
            <w:tcW w:w="869" w:type="dxa"/>
            <w:vAlign w:val="center"/>
          </w:tcPr>
          <w:p>
            <w:pPr>
              <w:pStyle w:val="39"/>
              <w:rPr>
                <w:rFonts w:ascii="Times New Roman" w:hAnsi="Times New Roman"/>
              </w:rPr>
            </w:pPr>
            <w:r>
              <w:rPr>
                <w:rFonts w:ascii="Times New Roman" w:hAnsi="Times New Roman"/>
              </w:rPr>
              <w:t>/</w:t>
            </w:r>
          </w:p>
        </w:tc>
        <w:tc>
          <w:tcPr>
            <w:tcW w:w="1208" w:type="dxa"/>
            <w:vMerge w:val="continue"/>
            <w:vAlign w:val="center"/>
          </w:tcPr>
          <w:p>
            <w:pPr>
              <w:pStyle w:val="39"/>
              <w:rPr>
                <w:rFonts w:ascii="Times New Roman" w:hAnsi="Times New Roman"/>
              </w:rPr>
            </w:pPr>
          </w:p>
        </w:tc>
        <w:tc>
          <w:tcPr>
            <w:tcW w:w="1239" w:type="dxa"/>
            <w:vAlign w:val="center"/>
          </w:tcPr>
          <w:p>
            <w:pPr>
              <w:pStyle w:val="39"/>
              <w:rPr>
                <w:rFonts w:ascii="Times New Roman" w:hAnsi="Times New Roman"/>
                <w:b/>
                <w:bCs/>
              </w:rPr>
            </w:pPr>
            <w:r>
              <w:rPr>
                <w:rFonts w:ascii="Times New Roman" w:hAnsi="Times New Roman"/>
              </w:rPr>
              <w:t>147.28</w:t>
            </w:r>
          </w:p>
        </w:tc>
        <w:tc>
          <w:tcPr>
            <w:tcW w:w="1033" w:type="dxa"/>
            <w:vAlign w:val="center"/>
          </w:tcPr>
          <w:p>
            <w:pPr>
              <w:pStyle w:val="39"/>
              <w:rPr>
                <w:rFonts w:ascii="Times New Roman" w:hAnsi="Times New Roman"/>
                <w:b/>
                <w:bCs/>
              </w:rPr>
            </w:pPr>
            <w:r>
              <w:rPr>
                <w:rFonts w:ascii="Times New Roman" w:hAnsi="Times New Roman"/>
              </w:rPr>
              <w:t>0.0730</w:t>
            </w:r>
          </w:p>
        </w:tc>
        <w:tc>
          <w:tcPr>
            <w:tcW w:w="863" w:type="dxa"/>
            <w:vMerge w:val="continue"/>
            <w:vAlign w:val="center"/>
          </w:tcPr>
          <w:p>
            <w:pPr>
              <w:pStyle w:val="39"/>
              <w:rPr>
                <w:rFonts w:ascii="Times New Roman" w:hAnsi="Times New Roman"/>
              </w:rPr>
            </w:pPr>
          </w:p>
        </w:tc>
        <w:tc>
          <w:tcPr>
            <w:tcW w:w="863" w:type="dxa"/>
            <w:vMerge w:val="continue"/>
            <w:vAlign w:val="center"/>
          </w:tcPr>
          <w:p>
            <w:pPr>
              <w:pStyle w:val="39"/>
              <w:rPr>
                <w:rFonts w:ascii="Times New Roman" w:hAnsi="Times New Roman"/>
              </w:rPr>
            </w:pPr>
          </w:p>
        </w:tc>
        <w:tc>
          <w:tcPr>
            <w:tcW w:w="881" w:type="dxa"/>
            <w:vMerge w:val="continue"/>
            <w:vAlign w:val="center"/>
          </w:tcPr>
          <w:p>
            <w:pPr>
              <w:pStyle w:val="39"/>
              <w:rPr>
                <w:rFonts w:ascii="Times New Roman" w:hAnsi="Times New Roman"/>
              </w:rPr>
            </w:pPr>
          </w:p>
        </w:tc>
        <w:tc>
          <w:tcPr>
            <w:tcW w:w="665"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2" w:type="dxa"/>
            <w:vMerge w:val="continue"/>
            <w:vAlign w:val="center"/>
          </w:tcPr>
          <w:p>
            <w:pPr>
              <w:pStyle w:val="39"/>
              <w:rPr>
                <w:rFonts w:ascii="Times New Roman" w:hAnsi="Times New Roman"/>
              </w:rPr>
            </w:pPr>
          </w:p>
        </w:tc>
        <w:tc>
          <w:tcPr>
            <w:tcW w:w="1026" w:type="dxa"/>
            <w:vAlign w:val="center"/>
          </w:tcPr>
          <w:p>
            <w:pPr>
              <w:pStyle w:val="39"/>
              <w:rPr>
                <w:rFonts w:ascii="Times New Roman" w:hAnsi="Times New Roman"/>
              </w:rPr>
            </w:pPr>
            <w:r>
              <w:rPr>
                <w:rFonts w:ascii="Times New Roman" w:hAnsi="Times New Roman"/>
              </w:rPr>
              <w:t>颗粒物</w:t>
            </w:r>
          </w:p>
        </w:tc>
        <w:tc>
          <w:tcPr>
            <w:tcW w:w="676" w:type="dxa"/>
            <w:vAlign w:val="center"/>
          </w:tcPr>
          <w:p>
            <w:pPr>
              <w:pStyle w:val="39"/>
              <w:rPr>
                <w:rFonts w:ascii="Times New Roman" w:hAnsi="Times New Roman"/>
              </w:rPr>
            </w:pPr>
            <w:r>
              <w:rPr>
                <w:rFonts w:ascii="Times New Roman" w:hAnsi="Times New Roman"/>
              </w:rPr>
              <w:t>排污系数</w:t>
            </w:r>
          </w:p>
        </w:tc>
        <w:tc>
          <w:tcPr>
            <w:tcW w:w="1208" w:type="dxa"/>
            <w:vMerge w:val="continue"/>
            <w:vAlign w:val="center"/>
          </w:tcPr>
          <w:p>
            <w:pPr>
              <w:pStyle w:val="39"/>
              <w:rPr>
                <w:rFonts w:ascii="Times New Roman" w:hAnsi="Times New Roman"/>
              </w:rPr>
            </w:pPr>
          </w:p>
        </w:tc>
        <w:tc>
          <w:tcPr>
            <w:tcW w:w="1239" w:type="dxa"/>
            <w:vAlign w:val="center"/>
          </w:tcPr>
          <w:p>
            <w:pPr>
              <w:pStyle w:val="39"/>
              <w:rPr>
                <w:rFonts w:ascii="Times New Roman" w:hAnsi="Times New Roman"/>
              </w:rPr>
            </w:pPr>
            <w:r>
              <w:rPr>
                <w:rFonts w:ascii="Times New Roman" w:hAnsi="Times New Roman"/>
              </w:rPr>
              <w:t>14.85</w:t>
            </w:r>
          </w:p>
        </w:tc>
        <w:tc>
          <w:tcPr>
            <w:tcW w:w="1033" w:type="dxa"/>
            <w:vAlign w:val="center"/>
          </w:tcPr>
          <w:p>
            <w:pPr>
              <w:pStyle w:val="39"/>
              <w:rPr>
                <w:rFonts w:ascii="Times New Roman" w:hAnsi="Times New Roman"/>
              </w:rPr>
            </w:pPr>
            <w:r>
              <w:rPr>
                <w:rFonts w:ascii="Times New Roman" w:hAnsi="Times New Roman"/>
              </w:rPr>
              <w:t>0.0074</w:t>
            </w:r>
          </w:p>
        </w:tc>
        <w:tc>
          <w:tcPr>
            <w:tcW w:w="665" w:type="dxa"/>
            <w:vAlign w:val="center"/>
          </w:tcPr>
          <w:p>
            <w:pPr>
              <w:pStyle w:val="39"/>
              <w:rPr>
                <w:rFonts w:ascii="Times New Roman" w:hAnsi="Times New Roman"/>
              </w:rPr>
            </w:pPr>
            <w:r>
              <w:rPr>
                <w:rFonts w:ascii="Times New Roman" w:hAnsi="Times New Roman"/>
              </w:rPr>
              <w:t>清洁能源</w:t>
            </w:r>
          </w:p>
        </w:tc>
        <w:tc>
          <w:tcPr>
            <w:tcW w:w="869" w:type="dxa"/>
            <w:vAlign w:val="center"/>
          </w:tcPr>
          <w:p>
            <w:pPr>
              <w:pStyle w:val="39"/>
              <w:rPr>
                <w:rFonts w:ascii="Times New Roman" w:hAnsi="Times New Roman"/>
              </w:rPr>
            </w:pPr>
            <w:r>
              <w:rPr>
                <w:rFonts w:ascii="Times New Roman" w:hAnsi="Times New Roman"/>
              </w:rPr>
              <w:t>/</w:t>
            </w:r>
          </w:p>
        </w:tc>
        <w:tc>
          <w:tcPr>
            <w:tcW w:w="1208" w:type="dxa"/>
            <w:vMerge w:val="continue"/>
            <w:vAlign w:val="center"/>
          </w:tcPr>
          <w:p>
            <w:pPr>
              <w:pStyle w:val="39"/>
              <w:rPr>
                <w:rFonts w:ascii="Times New Roman" w:hAnsi="Times New Roman"/>
              </w:rPr>
            </w:pPr>
          </w:p>
        </w:tc>
        <w:tc>
          <w:tcPr>
            <w:tcW w:w="1239" w:type="dxa"/>
            <w:vAlign w:val="center"/>
          </w:tcPr>
          <w:p>
            <w:pPr>
              <w:pStyle w:val="39"/>
              <w:rPr>
                <w:rFonts w:ascii="Times New Roman" w:hAnsi="Times New Roman"/>
                <w:b/>
                <w:bCs/>
              </w:rPr>
            </w:pPr>
            <w:r>
              <w:rPr>
                <w:rFonts w:ascii="Times New Roman" w:hAnsi="Times New Roman"/>
              </w:rPr>
              <w:t>14.85</w:t>
            </w:r>
          </w:p>
        </w:tc>
        <w:tc>
          <w:tcPr>
            <w:tcW w:w="1033" w:type="dxa"/>
            <w:vAlign w:val="center"/>
          </w:tcPr>
          <w:p>
            <w:pPr>
              <w:pStyle w:val="39"/>
              <w:rPr>
                <w:rFonts w:ascii="Times New Roman" w:hAnsi="Times New Roman"/>
                <w:b/>
                <w:bCs/>
              </w:rPr>
            </w:pPr>
            <w:r>
              <w:rPr>
                <w:rFonts w:ascii="Times New Roman" w:hAnsi="Times New Roman"/>
              </w:rPr>
              <w:t>0.0074</w:t>
            </w:r>
          </w:p>
        </w:tc>
        <w:tc>
          <w:tcPr>
            <w:tcW w:w="863" w:type="dxa"/>
            <w:vMerge w:val="continue"/>
            <w:vAlign w:val="center"/>
          </w:tcPr>
          <w:p>
            <w:pPr>
              <w:pStyle w:val="39"/>
              <w:rPr>
                <w:rFonts w:ascii="Times New Roman" w:hAnsi="Times New Roman"/>
              </w:rPr>
            </w:pPr>
          </w:p>
        </w:tc>
        <w:tc>
          <w:tcPr>
            <w:tcW w:w="863" w:type="dxa"/>
            <w:vMerge w:val="continue"/>
            <w:vAlign w:val="center"/>
          </w:tcPr>
          <w:p>
            <w:pPr>
              <w:pStyle w:val="39"/>
              <w:rPr>
                <w:rFonts w:ascii="Times New Roman" w:hAnsi="Times New Roman"/>
              </w:rPr>
            </w:pPr>
          </w:p>
        </w:tc>
        <w:tc>
          <w:tcPr>
            <w:tcW w:w="881" w:type="dxa"/>
            <w:vMerge w:val="continue"/>
            <w:vAlign w:val="center"/>
          </w:tcPr>
          <w:p>
            <w:pPr>
              <w:pStyle w:val="39"/>
              <w:rPr>
                <w:rFonts w:ascii="Times New Roman" w:hAnsi="Times New Roman"/>
              </w:rPr>
            </w:pPr>
          </w:p>
        </w:tc>
        <w:tc>
          <w:tcPr>
            <w:tcW w:w="665"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2" w:type="dxa"/>
            <w:vMerge w:val="restart"/>
            <w:vAlign w:val="center"/>
          </w:tcPr>
          <w:p>
            <w:pPr>
              <w:pStyle w:val="39"/>
              <w:rPr>
                <w:rFonts w:ascii="Times New Roman" w:hAnsi="Times New Roman"/>
              </w:rPr>
            </w:pPr>
            <w:r>
              <w:rPr>
                <w:rFonts w:ascii="Times New Roman" w:hAnsi="Times New Roman"/>
              </w:rPr>
              <w:t>宣兴1井水套加热炉</w:t>
            </w:r>
          </w:p>
        </w:tc>
        <w:tc>
          <w:tcPr>
            <w:tcW w:w="1026" w:type="dxa"/>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676" w:type="dxa"/>
            <w:vAlign w:val="center"/>
          </w:tcPr>
          <w:p>
            <w:pPr>
              <w:pStyle w:val="39"/>
              <w:rPr>
                <w:rFonts w:ascii="Times New Roman" w:hAnsi="Times New Roman"/>
              </w:rPr>
            </w:pPr>
            <w:r>
              <w:rPr>
                <w:rFonts w:ascii="Times New Roman" w:hAnsi="Times New Roman"/>
              </w:rPr>
              <w:t>排污系数</w:t>
            </w:r>
          </w:p>
        </w:tc>
        <w:tc>
          <w:tcPr>
            <w:tcW w:w="1208" w:type="dxa"/>
            <w:vMerge w:val="restart"/>
            <w:vAlign w:val="center"/>
          </w:tcPr>
          <w:p>
            <w:pPr>
              <w:pStyle w:val="39"/>
              <w:rPr>
                <w:rFonts w:ascii="Times New Roman" w:hAnsi="Times New Roman"/>
              </w:rPr>
            </w:pPr>
            <w:r>
              <w:rPr>
                <w:rFonts w:ascii="Times New Roman" w:hAnsi="Times New Roman"/>
              </w:rPr>
              <w:t>1455</w:t>
            </w:r>
          </w:p>
        </w:tc>
        <w:tc>
          <w:tcPr>
            <w:tcW w:w="1239" w:type="dxa"/>
            <w:vAlign w:val="center"/>
          </w:tcPr>
          <w:p>
            <w:pPr>
              <w:pStyle w:val="39"/>
              <w:rPr>
                <w:rFonts w:ascii="Times New Roman" w:hAnsi="Times New Roman"/>
              </w:rPr>
            </w:pPr>
            <w:r>
              <w:rPr>
                <w:rFonts w:ascii="Times New Roman" w:hAnsi="Times New Roman"/>
              </w:rPr>
              <w:t>3.71</w:t>
            </w:r>
          </w:p>
        </w:tc>
        <w:tc>
          <w:tcPr>
            <w:tcW w:w="1033" w:type="dxa"/>
            <w:vAlign w:val="center"/>
          </w:tcPr>
          <w:p>
            <w:pPr>
              <w:pStyle w:val="39"/>
              <w:rPr>
                <w:rFonts w:ascii="Times New Roman" w:hAnsi="Times New Roman"/>
              </w:rPr>
            </w:pPr>
            <w:r>
              <w:rPr>
                <w:rFonts w:ascii="Times New Roman" w:hAnsi="Times New Roman"/>
              </w:rPr>
              <w:t>0.0054</w:t>
            </w:r>
          </w:p>
        </w:tc>
        <w:tc>
          <w:tcPr>
            <w:tcW w:w="665" w:type="dxa"/>
            <w:vAlign w:val="center"/>
          </w:tcPr>
          <w:p>
            <w:pPr>
              <w:pStyle w:val="39"/>
              <w:rPr>
                <w:rFonts w:ascii="Times New Roman" w:hAnsi="Times New Roman"/>
              </w:rPr>
            </w:pPr>
            <w:r>
              <w:rPr>
                <w:rFonts w:ascii="Times New Roman" w:hAnsi="Times New Roman"/>
              </w:rPr>
              <w:t>清洁能源</w:t>
            </w:r>
          </w:p>
        </w:tc>
        <w:tc>
          <w:tcPr>
            <w:tcW w:w="869" w:type="dxa"/>
            <w:vAlign w:val="center"/>
          </w:tcPr>
          <w:p>
            <w:pPr>
              <w:pStyle w:val="39"/>
              <w:rPr>
                <w:rFonts w:ascii="Times New Roman" w:hAnsi="Times New Roman"/>
              </w:rPr>
            </w:pPr>
            <w:r>
              <w:rPr>
                <w:rFonts w:ascii="Times New Roman" w:hAnsi="Times New Roman"/>
              </w:rPr>
              <w:t>/</w:t>
            </w:r>
          </w:p>
        </w:tc>
        <w:tc>
          <w:tcPr>
            <w:tcW w:w="1208" w:type="dxa"/>
            <w:vMerge w:val="restart"/>
            <w:vAlign w:val="center"/>
          </w:tcPr>
          <w:p>
            <w:pPr>
              <w:pStyle w:val="39"/>
              <w:rPr>
                <w:rFonts w:ascii="Times New Roman" w:hAnsi="Times New Roman"/>
              </w:rPr>
            </w:pPr>
            <w:r>
              <w:rPr>
                <w:rFonts w:ascii="Times New Roman" w:hAnsi="Times New Roman"/>
              </w:rPr>
              <w:t>1455</w:t>
            </w:r>
          </w:p>
        </w:tc>
        <w:tc>
          <w:tcPr>
            <w:tcW w:w="1239" w:type="dxa"/>
            <w:vAlign w:val="center"/>
          </w:tcPr>
          <w:p>
            <w:pPr>
              <w:pStyle w:val="39"/>
              <w:rPr>
                <w:rFonts w:ascii="Times New Roman" w:hAnsi="Times New Roman"/>
                <w:b/>
                <w:bCs/>
              </w:rPr>
            </w:pPr>
            <w:r>
              <w:rPr>
                <w:rFonts w:ascii="Times New Roman" w:hAnsi="Times New Roman"/>
              </w:rPr>
              <w:t>3.71</w:t>
            </w:r>
          </w:p>
        </w:tc>
        <w:tc>
          <w:tcPr>
            <w:tcW w:w="1033" w:type="dxa"/>
            <w:vAlign w:val="center"/>
          </w:tcPr>
          <w:p>
            <w:pPr>
              <w:pStyle w:val="39"/>
              <w:rPr>
                <w:rFonts w:ascii="Times New Roman" w:hAnsi="Times New Roman"/>
                <w:b/>
                <w:bCs/>
              </w:rPr>
            </w:pPr>
            <w:r>
              <w:rPr>
                <w:rFonts w:ascii="Times New Roman" w:hAnsi="Times New Roman"/>
              </w:rPr>
              <w:t>0.0054</w:t>
            </w:r>
          </w:p>
        </w:tc>
        <w:tc>
          <w:tcPr>
            <w:tcW w:w="863" w:type="dxa"/>
            <w:vMerge w:val="restart"/>
            <w:vAlign w:val="center"/>
          </w:tcPr>
          <w:p>
            <w:pPr>
              <w:pStyle w:val="39"/>
              <w:rPr>
                <w:rFonts w:ascii="Times New Roman" w:hAnsi="Times New Roman"/>
              </w:rPr>
            </w:pPr>
            <w:r>
              <w:rPr>
                <w:rFonts w:ascii="Times New Roman" w:hAnsi="Times New Roman"/>
              </w:rPr>
              <w:t>8</w:t>
            </w:r>
          </w:p>
        </w:tc>
        <w:tc>
          <w:tcPr>
            <w:tcW w:w="863" w:type="dxa"/>
            <w:vMerge w:val="restart"/>
            <w:vAlign w:val="center"/>
          </w:tcPr>
          <w:p>
            <w:pPr>
              <w:pStyle w:val="39"/>
              <w:rPr>
                <w:rFonts w:ascii="Times New Roman" w:hAnsi="Times New Roman"/>
              </w:rPr>
            </w:pPr>
            <w:r>
              <w:rPr>
                <w:rFonts w:ascii="Times New Roman" w:hAnsi="Times New Roman"/>
              </w:rPr>
              <w:t>0.35</w:t>
            </w:r>
          </w:p>
        </w:tc>
        <w:tc>
          <w:tcPr>
            <w:tcW w:w="881" w:type="dxa"/>
            <w:vMerge w:val="restart"/>
            <w:vAlign w:val="center"/>
          </w:tcPr>
          <w:p>
            <w:pPr>
              <w:pStyle w:val="39"/>
              <w:rPr>
                <w:rFonts w:ascii="Times New Roman" w:hAnsi="Times New Roman"/>
              </w:rPr>
            </w:pPr>
            <w:r>
              <w:rPr>
                <w:rFonts w:ascii="Times New Roman" w:hAnsi="Times New Roman"/>
              </w:rPr>
              <w:t>200</w:t>
            </w:r>
          </w:p>
        </w:tc>
        <w:tc>
          <w:tcPr>
            <w:tcW w:w="665" w:type="dxa"/>
            <w:vMerge w:val="restart"/>
            <w:vAlign w:val="center"/>
          </w:tcPr>
          <w:p>
            <w:pPr>
              <w:pStyle w:val="39"/>
              <w:rPr>
                <w:rFonts w:ascii="Times New Roman" w:hAnsi="Times New Roman"/>
              </w:rPr>
            </w:pPr>
            <w:r>
              <w:rPr>
                <w:rFonts w:ascii="Times New Roman" w:hAnsi="Times New Roman"/>
              </w:rPr>
              <w:t>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2" w:type="dxa"/>
            <w:vMerge w:val="continue"/>
            <w:vAlign w:val="center"/>
          </w:tcPr>
          <w:p>
            <w:pPr>
              <w:pStyle w:val="39"/>
              <w:rPr>
                <w:rFonts w:ascii="Times New Roman" w:hAnsi="Times New Roman"/>
              </w:rPr>
            </w:pPr>
          </w:p>
        </w:tc>
        <w:tc>
          <w:tcPr>
            <w:tcW w:w="1026" w:type="dxa"/>
            <w:vAlign w:val="center"/>
          </w:tcPr>
          <w:p>
            <w:pPr>
              <w:pStyle w:val="39"/>
              <w:rPr>
                <w:rFonts w:ascii="Times New Roman" w:hAnsi="Times New Roman"/>
              </w:rPr>
            </w:pPr>
            <w:r>
              <w:rPr>
                <w:rFonts w:ascii="Times New Roman" w:hAnsi="Times New Roman"/>
              </w:rPr>
              <w:t>NOx</w:t>
            </w:r>
          </w:p>
        </w:tc>
        <w:tc>
          <w:tcPr>
            <w:tcW w:w="676" w:type="dxa"/>
            <w:vAlign w:val="center"/>
          </w:tcPr>
          <w:p>
            <w:pPr>
              <w:pStyle w:val="39"/>
              <w:rPr>
                <w:rFonts w:ascii="Times New Roman" w:hAnsi="Times New Roman"/>
              </w:rPr>
            </w:pPr>
            <w:r>
              <w:rPr>
                <w:rFonts w:ascii="Times New Roman" w:hAnsi="Times New Roman"/>
              </w:rPr>
              <w:t>排污系数</w:t>
            </w:r>
          </w:p>
        </w:tc>
        <w:tc>
          <w:tcPr>
            <w:tcW w:w="1208" w:type="dxa"/>
            <w:vMerge w:val="continue"/>
            <w:vAlign w:val="center"/>
          </w:tcPr>
          <w:p>
            <w:pPr>
              <w:pStyle w:val="39"/>
              <w:rPr>
                <w:rFonts w:ascii="Times New Roman" w:hAnsi="Times New Roman"/>
              </w:rPr>
            </w:pPr>
          </w:p>
        </w:tc>
        <w:tc>
          <w:tcPr>
            <w:tcW w:w="1239" w:type="dxa"/>
            <w:vAlign w:val="center"/>
          </w:tcPr>
          <w:p>
            <w:pPr>
              <w:pStyle w:val="39"/>
              <w:rPr>
                <w:rFonts w:ascii="Times New Roman" w:hAnsi="Times New Roman"/>
              </w:rPr>
            </w:pPr>
            <w:r>
              <w:rPr>
                <w:rFonts w:ascii="Times New Roman" w:hAnsi="Times New Roman"/>
              </w:rPr>
              <w:t>147.28</w:t>
            </w:r>
          </w:p>
        </w:tc>
        <w:tc>
          <w:tcPr>
            <w:tcW w:w="1033" w:type="dxa"/>
            <w:vAlign w:val="center"/>
          </w:tcPr>
          <w:p>
            <w:pPr>
              <w:pStyle w:val="39"/>
              <w:rPr>
                <w:rFonts w:ascii="Times New Roman" w:hAnsi="Times New Roman"/>
              </w:rPr>
            </w:pPr>
            <w:r>
              <w:rPr>
                <w:rFonts w:ascii="Times New Roman" w:hAnsi="Times New Roman"/>
              </w:rPr>
              <w:t>0.2142</w:t>
            </w:r>
          </w:p>
        </w:tc>
        <w:tc>
          <w:tcPr>
            <w:tcW w:w="665" w:type="dxa"/>
            <w:vAlign w:val="center"/>
          </w:tcPr>
          <w:p>
            <w:pPr>
              <w:pStyle w:val="39"/>
              <w:rPr>
                <w:rFonts w:ascii="Times New Roman" w:hAnsi="Times New Roman"/>
              </w:rPr>
            </w:pPr>
            <w:r>
              <w:rPr>
                <w:rFonts w:ascii="Times New Roman" w:hAnsi="Times New Roman"/>
              </w:rPr>
              <w:t>/</w:t>
            </w:r>
          </w:p>
        </w:tc>
        <w:tc>
          <w:tcPr>
            <w:tcW w:w="869" w:type="dxa"/>
            <w:vAlign w:val="center"/>
          </w:tcPr>
          <w:p>
            <w:pPr>
              <w:pStyle w:val="39"/>
              <w:rPr>
                <w:rFonts w:ascii="Times New Roman" w:hAnsi="Times New Roman"/>
              </w:rPr>
            </w:pPr>
            <w:r>
              <w:rPr>
                <w:rFonts w:ascii="Times New Roman" w:hAnsi="Times New Roman"/>
              </w:rPr>
              <w:t>/</w:t>
            </w:r>
          </w:p>
        </w:tc>
        <w:tc>
          <w:tcPr>
            <w:tcW w:w="1208" w:type="dxa"/>
            <w:vMerge w:val="continue"/>
            <w:vAlign w:val="center"/>
          </w:tcPr>
          <w:p>
            <w:pPr>
              <w:pStyle w:val="39"/>
              <w:rPr>
                <w:rFonts w:ascii="Times New Roman" w:hAnsi="Times New Roman"/>
              </w:rPr>
            </w:pPr>
          </w:p>
        </w:tc>
        <w:tc>
          <w:tcPr>
            <w:tcW w:w="1239" w:type="dxa"/>
            <w:vAlign w:val="center"/>
          </w:tcPr>
          <w:p>
            <w:pPr>
              <w:pStyle w:val="39"/>
              <w:rPr>
                <w:rFonts w:ascii="Times New Roman" w:hAnsi="Times New Roman"/>
                <w:b/>
                <w:bCs/>
              </w:rPr>
            </w:pPr>
            <w:r>
              <w:rPr>
                <w:rFonts w:ascii="Times New Roman" w:hAnsi="Times New Roman"/>
              </w:rPr>
              <w:t>147.28</w:t>
            </w:r>
          </w:p>
        </w:tc>
        <w:tc>
          <w:tcPr>
            <w:tcW w:w="1033" w:type="dxa"/>
            <w:vAlign w:val="center"/>
          </w:tcPr>
          <w:p>
            <w:pPr>
              <w:pStyle w:val="39"/>
              <w:rPr>
                <w:rFonts w:ascii="Times New Roman" w:hAnsi="Times New Roman"/>
                <w:b/>
                <w:bCs/>
              </w:rPr>
            </w:pPr>
            <w:r>
              <w:rPr>
                <w:rFonts w:ascii="Times New Roman" w:hAnsi="Times New Roman"/>
              </w:rPr>
              <w:t>0.2142</w:t>
            </w:r>
          </w:p>
        </w:tc>
        <w:tc>
          <w:tcPr>
            <w:tcW w:w="863" w:type="dxa"/>
            <w:vMerge w:val="continue"/>
            <w:vAlign w:val="center"/>
          </w:tcPr>
          <w:p>
            <w:pPr>
              <w:pStyle w:val="39"/>
              <w:rPr>
                <w:rFonts w:ascii="Times New Roman" w:hAnsi="Times New Roman"/>
              </w:rPr>
            </w:pPr>
          </w:p>
        </w:tc>
        <w:tc>
          <w:tcPr>
            <w:tcW w:w="863" w:type="dxa"/>
            <w:vMerge w:val="continue"/>
            <w:vAlign w:val="center"/>
          </w:tcPr>
          <w:p>
            <w:pPr>
              <w:pStyle w:val="39"/>
              <w:rPr>
                <w:rFonts w:ascii="Times New Roman" w:hAnsi="Times New Roman"/>
              </w:rPr>
            </w:pPr>
          </w:p>
        </w:tc>
        <w:tc>
          <w:tcPr>
            <w:tcW w:w="881" w:type="dxa"/>
            <w:vMerge w:val="continue"/>
            <w:vAlign w:val="center"/>
          </w:tcPr>
          <w:p>
            <w:pPr>
              <w:pStyle w:val="39"/>
              <w:rPr>
                <w:rFonts w:ascii="Times New Roman" w:hAnsi="Times New Roman"/>
              </w:rPr>
            </w:pPr>
          </w:p>
        </w:tc>
        <w:tc>
          <w:tcPr>
            <w:tcW w:w="665"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2" w:type="dxa"/>
            <w:vMerge w:val="continue"/>
            <w:vAlign w:val="center"/>
          </w:tcPr>
          <w:p>
            <w:pPr>
              <w:pStyle w:val="39"/>
              <w:rPr>
                <w:rFonts w:ascii="Times New Roman" w:hAnsi="Times New Roman"/>
              </w:rPr>
            </w:pPr>
          </w:p>
        </w:tc>
        <w:tc>
          <w:tcPr>
            <w:tcW w:w="1026" w:type="dxa"/>
            <w:vAlign w:val="center"/>
          </w:tcPr>
          <w:p>
            <w:pPr>
              <w:pStyle w:val="39"/>
              <w:rPr>
                <w:rFonts w:ascii="Times New Roman" w:hAnsi="Times New Roman"/>
              </w:rPr>
            </w:pPr>
            <w:r>
              <w:rPr>
                <w:rFonts w:ascii="Times New Roman" w:hAnsi="Times New Roman"/>
              </w:rPr>
              <w:t>颗粒物</w:t>
            </w:r>
          </w:p>
        </w:tc>
        <w:tc>
          <w:tcPr>
            <w:tcW w:w="676" w:type="dxa"/>
            <w:vAlign w:val="center"/>
          </w:tcPr>
          <w:p>
            <w:pPr>
              <w:pStyle w:val="39"/>
              <w:rPr>
                <w:rFonts w:ascii="Times New Roman" w:hAnsi="Times New Roman"/>
              </w:rPr>
            </w:pPr>
            <w:r>
              <w:rPr>
                <w:rFonts w:ascii="Times New Roman" w:hAnsi="Times New Roman"/>
              </w:rPr>
              <w:t>排污系数</w:t>
            </w:r>
          </w:p>
        </w:tc>
        <w:tc>
          <w:tcPr>
            <w:tcW w:w="1208" w:type="dxa"/>
            <w:vMerge w:val="continue"/>
            <w:vAlign w:val="center"/>
          </w:tcPr>
          <w:p>
            <w:pPr>
              <w:pStyle w:val="39"/>
              <w:rPr>
                <w:rFonts w:ascii="Times New Roman" w:hAnsi="Times New Roman"/>
              </w:rPr>
            </w:pPr>
          </w:p>
        </w:tc>
        <w:tc>
          <w:tcPr>
            <w:tcW w:w="1239" w:type="dxa"/>
            <w:vAlign w:val="center"/>
          </w:tcPr>
          <w:p>
            <w:pPr>
              <w:pStyle w:val="39"/>
              <w:rPr>
                <w:rFonts w:ascii="Times New Roman" w:hAnsi="Times New Roman"/>
              </w:rPr>
            </w:pPr>
            <w:r>
              <w:rPr>
                <w:rFonts w:ascii="Times New Roman" w:hAnsi="Times New Roman"/>
              </w:rPr>
              <w:t>14.85</w:t>
            </w:r>
          </w:p>
        </w:tc>
        <w:tc>
          <w:tcPr>
            <w:tcW w:w="1033" w:type="dxa"/>
            <w:vAlign w:val="center"/>
          </w:tcPr>
          <w:p>
            <w:pPr>
              <w:pStyle w:val="39"/>
              <w:rPr>
                <w:rFonts w:ascii="Times New Roman" w:hAnsi="Times New Roman"/>
              </w:rPr>
            </w:pPr>
            <w:r>
              <w:rPr>
                <w:rFonts w:ascii="Times New Roman" w:hAnsi="Times New Roman"/>
              </w:rPr>
              <w:t>0.0216</w:t>
            </w:r>
          </w:p>
        </w:tc>
        <w:tc>
          <w:tcPr>
            <w:tcW w:w="665" w:type="dxa"/>
            <w:vAlign w:val="center"/>
          </w:tcPr>
          <w:p>
            <w:pPr>
              <w:pStyle w:val="39"/>
              <w:rPr>
                <w:rFonts w:ascii="Times New Roman" w:hAnsi="Times New Roman"/>
              </w:rPr>
            </w:pPr>
            <w:r>
              <w:rPr>
                <w:rFonts w:ascii="Times New Roman" w:hAnsi="Times New Roman"/>
              </w:rPr>
              <w:t>清洁能源</w:t>
            </w:r>
          </w:p>
        </w:tc>
        <w:tc>
          <w:tcPr>
            <w:tcW w:w="869" w:type="dxa"/>
            <w:vAlign w:val="center"/>
          </w:tcPr>
          <w:p>
            <w:pPr>
              <w:pStyle w:val="39"/>
              <w:rPr>
                <w:rFonts w:ascii="Times New Roman" w:hAnsi="Times New Roman"/>
              </w:rPr>
            </w:pPr>
            <w:r>
              <w:rPr>
                <w:rFonts w:ascii="Times New Roman" w:hAnsi="Times New Roman"/>
              </w:rPr>
              <w:t>/</w:t>
            </w:r>
          </w:p>
        </w:tc>
        <w:tc>
          <w:tcPr>
            <w:tcW w:w="1208" w:type="dxa"/>
            <w:vMerge w:val="continue"/>
            <w:vAlign w:val="center"/>
          </w:tcPr>
          <w:p>
            <w:pPr>
              <w:pStyle w:val="39"/>
              <w:rPr>
                <w:rFonts w:ascii="Times New Roman" w:hAnsi="Times New Roman"/>
              </w:rPr>
            </w:pPr>
          </w:p>
        </w:tc>
        <w:tc>
          <w:tcPr>
            <w:tcW w:w="1239" w:type="dxa"/>
            <w:vAlign w:val="center"/>
          </w:tcPr>
          <w:p>
            <w:pPr>
              <w:pStyle w:val="39"/>
              <w:rPr>
                <w:rFonts w:ascii="Times New Roman" w:hAnsi="Times New Roman"/>
                <w:b/>
                <w:bCs/>
              </w:rPr>
            </w:pPr>
            <w:r>
              <w:rPr>
                <w:rFonts w:ascii="Times New Roman" w:hAnsi="Times New Roman"/>
              </w:rPr>
              <w:t>14.85</w:t>
            </w:r>
          </w:p>
        </w:tc>
        <w:tc>
          <w:tcPr>
            <w:tcW w:w="1033" w:type="dxa"/>
            <w:vAlign w:val="center"/>
          </w:tcPr>
          <w:p>
            <w:pPr>
              <w:pStyle w:val="39"/>
              <w:rPr>
                <w:rFonts w:ascii="Times New Roman" w:hAnsi="Times New Roman"/>
                <w:b/>
                <w:bCs/>
              </w:rPr>
            </w:pPr>
            <w:r>
              <w:rPr>
                <w:rFonts w:ascii="Times New Roman" w:hAnsi="Times New Roman"/>
              </w:rPr>
              <w:t>0.0216</w:t>
            </w:r>
          </w:p>
        </w:tc>
        <w:tc>
          <w:tcPr>
            <w:tcW w:w="863" w:type="dxa"/>
            <w:vMerge w:val="continue"/>
            <w:vAlign w:val="center"/>
          </w:tcPr>
          <w:p>
            <w:pPr>
              <w:pStyle w:val="39"/>
              <w:rPr>
                <w:rFonts w:ascii="Times New Roman" w:hAnsi="Times New Roman"/>
              </w:rPr>
            </w:pPr>
          </w:p>
        </w:tc>
        <w:tc>
          <w:tcPr>
            <w:tcW w:w="863" w:type="dxa"/>
            <w:vMerge w:val="continue"/>
            <w:vAlign w:val="center"/>
          </w:tcPr>
          <w:p>
            <w:pPr>
              <w:pStyle w:val="39"/>
              <w:rPr>
                <w:rFonts w:ascii="Times New Roman" w:hAnsi="Times New Roman"/>
              </w:rPr>
            </w:pPr>
          </w:p>
        </w:tc>
        <w:tc>
          <w:tcPr>
            <w:tcW w:w="881" w:type="dxa"/>
            <w:vMerge w:val="continue"/>
            <w:vAlign w:val="center"/>
          </w:tcPr>
          <w:p>
            <w:pPr>
              <w:pStyle w:val="39"/>
              <w:rPr>
                <w:rFonts w:ascii="Times New Roman" w:hAnsi="Times New Roman"/>
              </w:rPr>
            </w:pPr>
          </w:p>
        </w:tc>
        <w:tc>
          <w:tcPr>
            <w:tcW w:w="665" w:type="dxa"/>
            <w:vMerge w:val="continue"/>
            <w:vAlign w:val="center"/>
          </w:tcPr>
          <w:p>
            <w:pPr>
              <w:pStyle w:val="39"/>
              <w:rPr>
                <w:rFonts w:ascii="Times New Roman" w:hAnsi="Times New Roman"/>
              </w:rPr>
            </w:pPr>
          </w:p>
        </w:tc>
      </w:tr>
    </w:tbl>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r>
        <w:rPr>
          <w:rFonts w:ascii="Times New Roman" w:hAnsi="Times New Roman" w:cs="Times New Roman"/>
        </w:rPr>
        <w:t xml:space="preserve">  正常工况时，各井站无组织废气产排情况表</w:t>
      </w:r>
    </w:p>
    <w:tbl>
      <w:tblPr>
        <w:tblStyle w:val="28"/>
        <w:tblW w:w="138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5"/>
        <w:gridCol w:w="1842"/>
        <w:gridCol w:w="1985"/>
        <w:gridCol w:w="1843"/>
        <w:gridCol w:w="1931"/>
        <w:gridCol w:w="1680"/>
        <w:gridCol w:w="1344"/>
        <w:gridCol w:w="16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Merge w:val="restart"/>
            <w:vAlign w:val="center"/>
          </w:tcPr>
          <w:p>
            <w:pPr>
              <w:pStyle w:val="39"/>
              <w:rPr>
                <w:rFonts w:ascii="Times New Roman" w:hAnsi="Times New Roman"/>
              </w:rPr>
            </w:pPr>
            <w:r>
              <w:rPr>
                <w:rFonts w:ascii="Times New Roman" w:hAnsi="Times New Roman"/>
              </w:rPr>
              <w:t>井站</w:t>
            </w:r>
          </w:p>
        </w:tc>
        <w:tc>
          <w:tcPr>
            <w:tcW w:w="1842" w:type="dxa"/>
            <w:vMerge w:val="restart"/>
            <w:vAlign w:val="center"/>
          </w:tcPr>
          <w:p>
            <w:pPr>
              <w:pStyle w:val="39"/>
              <w:rPr>
                <w:rFonts w:ascii="Times New Roman" w:hAnsi="Times New Roman"/>
              </w:rPr>
            </w:pPr>
            <w:r>
              <w:rPr>
                <w:rFonts w:ascii="Times New Roman" w:hAnsi="Times New Roman"/>
              </w:rPr>
              <w:t>污染物</w:t>
            </w:r>
          </w:p>
        </w:tc>
        <w:tc>
          <w:tcPr>
            <w:tcW w:w="3828" w:type="dxa"/>
            <w:gridSpan w:val="2"/>
            <w:vAlign w:val="center"/>
          </w:tcPr>
          <w:p>
            <w:pPr>
              <w:pStyle w:val="39"/>
              <w:rPr>
                <w:rFonts w:ascii="Times New Roman" w:hAnsi="Times New Roman"/>
              </w:rPr>
            </w:pPr>
            <w:r>
              <w:rPr>
                <w:rFonts w:ascii="Times New Roman" w:hAnsi="Times New Roman"/>
              </w:rPr>
              <w:t>产生情况</w:t>
            </w:r>
          </w:p>
        </w:tc>
        <w:tc>
          <w:tcPr>
            <w:tcW w:w="3611" w:type="dxa"/>
            <w:gridSpan w:val="2"/>
            <w:vAlign w:val="center"/>
          </w:tcPr>
          <w:p>
            <w:pPr>
              <w:pStyle w:val="39"/>
              <w:rPr>
                <w:rFonts w:ascii="Times New Roman" w:hAnsi="Times New Roman"/>
              </w:rPr>
            </w:pPr>
            <w:r>
              <w:rPr>
                <w:rFonts w:ascii="Times New Roman" w:hAnsi="Times New Roman"/>
              </w:rPr>
              <w:t>排放情况</w:t>
            </w:r>
          </w:p>
        </w:tc>
        <w:tc>
          <w:tcPr>
            <w:tcW w:w="1344" w:type="dxa"/>
            <w:vMerge w:val="restart"/>
            <w:vAlign w:val="center"/>
          </w:tcPr>
          <w:p>
            <w:pPr>
              <w:pStyle w:val="39"/>
              <w:rPr>
                <w:rFonts w:ascii="Times New Roman" w:hAnsi="Times New Roman"/>
              </w:rPr>
            </w:pPr>
            <w:r>
              <w:rPr>
                <w:rFonts w:ascii="Times New Roman" w:hAnsi="Times New Roman"/>
              </w:rPr>
              <w:t>排放规律</w:t>
            </w:r>
          </w:p>
        </w:tc>
        <w:tc>
          <w:tcPr>
            <w:tcW w:w="1694" w:type="dxa"/>
            <w:vMerge w:val="restart"/>
            <w:vAlign w:val="center"/>
          </w:tcPr>
          <w:p>
            <w:pPr>
              <w:pStyle w:val="39"/>
              <w:rPr>
                <w:rFonts w:ascii="Times New Roman" w:hAnsi="Times New Roman"/>
              </w:rPr>
            </w:pPr>
            <w:r>
              <w:rPr>
                <w:rFonts w:ascii="Times New Roman" w:hAnsi="Times New Roman"/>
              </w:rPr>
              <w:t>排放时间</w:t>
            </w:r>
          </w:p>
          <w:p>
            <w:pPr>
              <w:pStyle w:val="39"/>
              <w:rPr>
                <w:rFonts w:ascii="Times New Roman" w:hAnsi="Times New Roman"/>
              </w:rPr>
            </w:pPr>
            <w:r>
              <w:rPr>
                <w:rFonts w:ascii="Times New Roman" w:hAnsi="Times New Roma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Merge w:val="continue"/>
            <w:vAlign w:val="center"/>
          </w:tcPr>
          <w:p>
            <w:pPr>
              <w:pStyle w:val="39"/>
              <w:rPr>
                <w:rFonts w:ascii="Times New Roman" w:hAnsi="Times New Roman"/>
              </w:rPr>
            </w:pPr>
          </w:p>
        </w:tc>
        <w:tc>
          <w:tcPr>
            <w:tcW w:w="1842" w:type="dxa"/>
            <w:vMerge w:val="continue"/>
            <w:vAlign w:val="center"/>
          </w:tcPr>
          <w:p>
            <w:pPr>
              <w:pStyle w:val="39"/>
              <w:rPr>
                <w:rFonts w:ascii="Times New Roman" w:hAnsi="Times New Roman"/>
              </w:rPr>
            </w:pPr>
          </w:p>
        </w:tc>
        <w:tc>
          <w:tcPr>
            <w:tcW w:w="1985" w:type="dxa"/>
            <w:vAlign w:val="center"/>
          </w:tcPr>
          <w:p>
            <w:pPr>
              <w:pStyle w:val="39"/>
              <w:rPr>
                <w:rFonts w:ascii="Times New Roman" w:hAnsi="Times New Roman"/>
              </w:rPr>
            </w:pPr>
            <w:r>
              <w:rPr>
                <w:rFonts w:ascii="Times New Roman" w:hAnsi="Times New Roman"/>
              </w:rPr>
              <w:t>产生速率（kg/h）</w:t>
            </w:r>
          </w:p>
        </w:tc>
        <w:tc>
          <w:tcPr>
            <w:tcW w:w="1843" w:type="dxa"/>
            <w:vAlign w:val="center"/>
          </w:tcPr>
          <w:p>
            <w:pPr>
              <w:pStyle w:val="39"/>
              <w:rPr>
                <w:rFonts w:ascii="Times New Roman" w:hAnsi="Times New Roman"/>
              </w:rPr>
            </w:pPr>
            <w:r>
              <w:rPr>
                <w:rFonts w:ascii="Times New Roman" w:hAnsi="Times New Roman"/>
              </w:rPr>
              <w:t>产生量（t/a）</w:t>
            </w:r>
          </w:p>
        </w:tc>
        <w:tc>
          <w:tcPr>
            <w:tcW w:w="1931" w:type="dxa"/>
            <w:vAlign w:val="center"/>
          </w:tcPr>
          <w:p>
            <w:pPr>
              <w:pStyle w:val="39"/>
              <w:rPr>
                <w:rFonts w:ascii="Times New Roman" w:hAnsi="Times New Roman"/>
              </w:rPr>
            </w:pPr>
            <w:r>
              <w:rPr>
                <w:rFonts w:ascii="Times New Roman" w:hAnsi="Times New Roman"/>
              </w:rPr>
              <w:t>产生速率（kg/h）</w:t>
            </w:r>
          </w:p>
        </w:tc>
        <w:tc>
          <w:tcPr>
            <w:tcW w:w="1680" w:type="dxa"/>
            <w:vAlign w:val="center"/>
          </w:tcPr>
          <w:p>
            <w:pPr>
              <w:pStyle w:val="39"/>
              <w:rPr>
                <w:rFonts w:ascii="Times New Roman" w:hAnsi="Times New Roman"/>
              </w:rPr>
            </w:pPr>
            <w:r>
              <w:rPr>
                <w:rFonts w:ascii="Times New Roman" w:hAnsi="Times New Roman"/>
              </w:rPr>
              <w:t>排放量（t/a）</w:t>
            </w:r>
          </w:p>
        </w:tc>
        <w:tc>
          <w:tcPr>
            <w:tcW w:w="1344" w:type="dxa"/>
            <w:vMerge w:val="continue"/>
            <w:vAlign w:val="center"/>
          </w:tcPr>
          <w:p>
            <w:pPr>
              <w:pStyle w:val="39"/>
              <w:rPr>
                <w:rFonts w:ascii="Times New Roman" w:hAnsi="Times New Roman"/>
              </w:rPr>
            </w:pPr>
          </w:p>
        </w:tc>
        <w:tc>
          <w:tcPr>
            <w:tcW w:w="1694"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Merge w:val="restart"/>
            <w:vAlign w:val="center"/>
          </w:tcPr>
          <w:p>
            <w:pPr>
              <w:pStyle w:val="39"/>
              <w:rPr>
                <w:rFonts w:ascii="Times New Roman" w:hAnsi="Times New Roman"/>
              </w:rPr>
            </w:pPr>
            <w:r>
              <w:rPr>
                <w:rFonts w:ascii="Times New Roman" w:hAnsi="Times New Roman"/>
              </w:rPr>
              <w:t>宣探1井站</w:t>
            </w:r>
          </w:p>
        </w:tc>
        <w:tc>
          <w:tcPr>
            <w:tcW w:w="1842" w:type="dxa"/>
            <w:vAlign w:val="center"/>
          </w:tcPr>
          <w:p>
            <w:pPr>
              <w:pStyle w:val="39"/>
              <w:rPr>
                <w:rFonts w:ascii="Times New Roman" w:hAnsi="Times New Roman"/>
              </w:rPr>
            </w:pPr>
            <w:r>
              <w:rPr>
                <w:rFonts w:ascii="Times New Roman" w:hAnsi="Times New Roman"/>
              </w:rPr>
              <w:t>VOCs</w:t>
            </w:r>
          </w:p>
        </w:tc>
        <w:tc>
          <w:tcPr>
            <w:tcW w:w="1985" w:type="dxa"/>
            <w:vAlign w:val="center"/>
          </w:tcPr>
          <w:p>
            <w:pPr>
              <w:pStyle w:val="39"/>
              <w:rPr>
                <w:rFonts w:ascii="Times New Roman" w:hAnsi="Times New Roman"/>
              </w:rPr>
            </w:pPr>
            <w:r>
              <w:rPr>
                <w:rFonts w:ascii="Times New Roman" w:hAnsi="Times New Roman"/>
              </w:rPr>
              <w:t>0.0225</w:t>
            </w:r>
          </w:p>
        </w:tc>
        <w:tc>
          <w:tcPr>
            <w:tcW w:w="1843" w:type="dxa"/>
            <w:vAlign w:val="center"/>
          </w:tcPr>
          <w:p>
            <w:pPr>
              <w:pStyle w:val="39"/>
              <w:rPr>
                <w:rFonts w:ascii="Times New Roman" w:hAnsi="Times New Roman"/>
              </w:rPr>
            </w:pPr>
            <w:r>
              <w:rPr>
                <w:rFonts w:ascii="Times New Roman" w:hAnsi="Times New Roman"/>
              </w:rPr>
              <w:t>0.1799</w:t>
            </w:r>
          </w:p>
        </w:tc>
        <w:tc>
          <w:tcPr>
            <w:tcW w:w="1931" w:type="dxa"/>
            <w:vAlign w:val="center"/>
          </w:tcPr>
          <w:p>
            <w:pPr>
              <w:pStyle w:val="39"/>
              <w:rPr>
                <w:rFonts w:ascii="Times New Roman" w:hAnsi="Times New Roman"/>
              </w:rPr>
            </w:pPr>
            <w:r>
              <w:rPr>
                <w:rFonts w:ascii="Times New Roman" w:hAnsi="Times New Roman"/>
              </w:rPr>
              <w:t>0.0225</w:t>
            </w:r>
          </w:p>
        </w:tc>
        <w:tc>
          <w:tcPr>
            <w:tcW w:w="1680" w:type="dxa"/>
            <w:vAlign w:val="center"/>
          </w:tcPr>
          <w:p>
            <w:pPr>
              <w:pStyle w:val="39"/>
              <w:rPr>
                <w:rFonts w:ascii="Times New Roman" w:hAnsi="Times New Roman"/>
              </w:rPr>
            </w:pPr>
            <w:r>
              <w:rPr>
                <w:rFonts w:ascii="Times New Roman" w:hAnsi="Times New Roman"/>
              </w:rPr>
              <w:t>0.1799</w:t>
            </w:r>
          </w:p>
        </w:tc>
        <w:tc>
          <w:tcPr>
            <w:tcW w:w="1344" w:type="dxa"/>
            <w:vAlign w:val="center"/>
          </w:tcPr>
          <w:p>
            <w:pPr>
              <w:pStyle w:val="39"/>
              <w:rPr>
                <w:rFonts w:ascii="Times New Roman" w:hAnsi="Times New Roman"/>
              </w:rPr>
            </w:pPr>
            <w:r>
              <w:rPr>
                <w:rFonts w:ascii="Times New Roman" w:hAnsi="Times New Roman"/>
              </w:rPr>
              <w:t>连续</w:t>
            </w:r>
          </w:p>
        </w:tc>
        <w:tc>
          <w:tcPr>
            <w:tcW w:w="1694" w:type="dxa"/>
            <w:vAlign w:val="center"/>
          </w:tcPr>
          <w:p>
            <w:pPr>
              <w:pStyle w:val="39"/>
              <w:rPr>
                <w:rFonts w:ascii="Times New Roman" w:hAnsi="Times New Roman"/>
              </w:rPr>
            </w:pPr>
            <w:r>
              <w:rPr>
                <w:rFonts w:ascii="Times New Roman" w:hAnsi="Times New Roman"/>
              </w:rPr>
              <w:t>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Merge w:val="continue"/>
            <w:vAlign w:val="center"/>
          </w:tcPr>
          <w:p>
            <w:pPr>
              <w:pStyle w:val="39"/>
              <w:rPr>
                <w:rFonts w:ascii="Times New Roman" w:hAnsi="Times New Roman"/>
              </w:rPr>
            </w:pPr>
          </w:p>
        </w:tc>
        <w:tc>
          <w:tcPr>
            <w:tcW w:w="1842" w:type="dxa"/>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1985" w:type="dxa"/>
            <w:vAlign w:val="center"/>
          </w:tcPr>
          <w:p>
            <w:pPr>
              <w:pStyle w:val="39"/>
              <w:rPr>
                <w:rFonts w:ascii="Times New Roman" w:hAnsi="Times New Roman"/>
              </w:rPr>
            </w:pPr>
            <w:r>
              <w:rPr>
                <w:rFonts w:ascii="Times New Roman" w:hAnsi="Times New Roman"/>
              </w:rPr>
              <w:t>0.0030</w:t>
            </w:r>
          </w:p>
        </w:tc>
        <w:tc>
          <w:tcPr>
            <w:tcW w:w="1843" w:type="dxa"/>
            <w:vAlign w:val="center"/>
          </w:tcPr>
          <w:p>
            <w:pPr>
              <w:pStyle w:val="39"/>
              <w:rPr>
                <w:rFonts w:ascii="Times New Roman" w:hAnsi="Times New Roman"/>
              </w:rPr>
            </w:pPr>
            <w:r>
              <w:rPr>
                <w:rFonts w:ascii="Times New Roman" w:hAnsi="Times New Roman"/>
              </w:rPr>
              <w:t>0.0240</w:t>
            </w:r>
          </w:p>
        </w:tc>
        <w:tc>
          <w:tcPr>
            <w:tcW w:w="1931" w:type="dxa"/>
            <w:vAlign w:val="center"/>
          </w:tcPr>
          <w:p>
            <w:pPr>
              <w:pStyle w:val="39"/>
              <w:rPr>
                <w:rFonts w:ascii="Times New Roman" w:hAnsi="Times New Roman"/>
              </w:rPr>
            </w:pPr>
            <w:r>
              <w:rPr>
                <w:rFonts w:ascii="Times New Roman" w:hAnsi="Times New Roman"/>
              </w:rPr>
              <w:t>0.0030</w:t>
            </w:r>
          </w:p>
        </w:tc>
        <w:tc>
          <w:tcPr>
            <w:tcW w:w="1680" w:type="dxa"/>
            <w:vAlign w:val="center"/>
          </w:tcPr>
          <w:p>
            <w:pPr>
              <w:pStyle w:val="39"/>
              <w:rPr>
                <w:rFonts w:ascii="Times New Roman" w:hAnsi="Times New Roman"/>
              </w:rPr>
            </w:pPr>
            <w:r>
              <w:rPr>
                <w:rFonts w:ascii="Times New Roman" w:hAnsi="Times New Roman"/>
              </w:rPr>
              <w:t>0.0240</w:t>
            </w:r>
          </w:p>
        </w:tc>
        <w:tc>
          <w:tcPr>
            <w:tcW w:w="1344" w:type="dxa"/>
            <w:vAlign w:val="center"/>
          </w:tcPr>
          <w:p>
            <w:pPr>
              <w:pStyle w:val="39"/>
              <w:rPr>
                <w:rFonts w:ascii="Times New Roman" w:hAnsi="Times New Roman"/>
              </w:rPr>
            </w:pPr>
            <w:r>
              <w:rPr>
                <w:rFonts w:ascii="Times New Roman" w:hAnsi="Times New Roman"/>
              </w:rPr>
              <w:t>连续</w:t>
            </w:r>
          </w:p>
        </w:tc>
        <w:tc>
          <w:tcPr>
            <w:tcW w:w="1694" w:type="dxa"/>
            <w:vAlign w:val="center"/>
          </w:tcPr>
          <w:p>
            <w:pPr>
              <w:pStyle w:val="39"/>
              <w:rPr>
                <w:rFonts w:ascii="Times New Roman" w:hAnsi="Times New Roman"/>
              </w:rPr>
            </w:pPr>
            <w:r>
              <w:rPr>
                <w:rFonts w:ascii="Times New Roman" w:hAnsi="Times New Roman"/>
              </w:rPr>
              <w:t>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Merge w:val="restart"/>
            <w:vAlign w:val="center"/>
          </w:tcPr>
          <w:p>
            <w:pPr>
              <w:pStyle w:val="39"/>
              <w:rPr>
                <w:rFonts w:ascii="Times New Roman" w:hAnsi="Times New Roman"/>
              </w:rPr>
            </w:pPr>
            <w:r>
              <w:rPr>
                <w:rFonts w:ascii="Times New Roman" w:hAnsi="Times New Roman"/>
              </w:rPr>
              <w:t>宣兴1井站</w:t>
            </w:r>
          </w:p>
        </w:tc>
        <w:tc>
          <w:tcPr>
            <w:tcW w:w="1842" w:type="dxa"/>
            <w:vAlign w:val="center"/>
          </w:tcPr>
          <w:p>
            <w:pPr>
              <w:pStyle w:val="39"/>
              <w:rPr>
                <w:rFonts w:ascii="Times New Roman" w:hAnsi="Times New Roman"/>
              </w:rPr>
            </w:pPr>
            <w:r>
              <w:rPr>
                <w:rFonts w:ascii="Times New Roman" w:hAnsi="Times New Roman"/>
              </w:rPr>
              <w:t>VOCs</w:t>
            </w:r>
          </w:p>
        </w:tc>
        <w:tc>
          <w:tcPr>
            <w:tcW w:w="1985" w:type="dxa"/>
            <w:vAlign w:val="center"/>
          </w:tcPr>
          <w:p>
            <w:pPr>
              <w:pStyle w:val="39"/>
              <w:rPr>
                <w:rFonts w:ascii="Times New Roman" w:hAnsi="Times New Roman"/>
              </w:rPr>
            </w:pPr>
            <w:r>
              <w:rPr>
                <w:rFonts w:ascii="Times New Roman" w:hAnsi="Times New Roman"/>
              </w:rPr>
              <w:t>0.0584</w:t>
            </w:r>
          </w:p>
        </w:tc>
        <w:tc>
          <w:tcPr>
            <w:tcW w:w="1843" w:type="dxa"/>
            <w:vAlign w:val="center"/>
          </w:tcPr>
          <w:p>
            <w:pPr>
              <w:pStyle w:val="39"/>
              <w:rPr>
                <w:rFonts w:ascii="Times New Roman" w:hAnsi="Times New Roman"/>
              </w:rPr>
            </w:pPr>
            <w:r>
              <w:rPr>
                <w:rFonts w:ascii="Times New Roman" w:hAnsi="Times New Roman"/>
              </w:rPr>
              <w:t>0.4673</w:t>
            </w:r>
          </w:p>
        </w:tc>
        <w:tc>
          <w:tcPr>
            <w:tcW w:w="1931" w:type="dxa"/>
            <w:vAlign w:val="center"/>
          </w:tcPr>
          <w:p>
            <w:pPr>
              <w:pStyle w:val="39"/>
              <w:rPr>
                <w:rFonts w:ascii="Times New Roman" w:hAnsi="Times New Roman"/>
              </w:rPr>
            </w:pPr>
            <w:r>
              <w:rPr>
                <w:rFonts w:ascii="Times New Roman" w:hAnsi="Times New Roman"/>
              </w:rPr>
              <w:t>0.0584</w:t>
            </w:r>
          </w:p>
        </w:tc>
        <w:tc>
          <w:tcPr>
            <w:tcW w:w="1680" w:type="dxa"/>
            <w:vAlign w:val="center"/>
          </w:tcPr>
          <w:p>
            <w:pPr>
              <w:pStyle w:val="39"/>
              <w:rPr>
                <w:rFonts w:ascii="Times New Roman" w:hAnsi="Times New Roman"/>
              </w:rPr>
            </w:pPr>
            <w:r>
              <w:rPr>
                <w:rFonts w:ascii="Times New Roman" w:hAnsi="Times New Roman"/>
              </w:rPr>
              <w:t>0.4673</w:t>
            </w:r>
          </w:p>
        </w:tc>
        <w:tc>
          <w:tcPr>
            <w:tcW w:w="1344" w:type="dxa"/>
            <w:vAlign w:val="center"/>
          </w:tcPr>
          <w:p>
            <w:pPr>
              <w:pStyle w:val="39"/>
              <w:rPr>
                <w:rFonts w:ascii="Times New Roman" w:hAnsi="Times New Roman"/>
              </w:rPr>
            </w:pPr>
            <w:r>
              <w:rPr>
                <w:rFonts w:ascii="Times New Roman" w:hAnsi="Times New Roman"/>
              </w:rPr>
              <w:t>连续</w:t>
            </w:r>
          </w:p>
        </w:tc>
        <w:tc>
          <w:tcPr>
            <w:tcW w:w="1694" w:type="dxa"/>
            <w:vAlign w:val="center"/>
          </w:tcPr>
          <w:p>
            <w:pPr>
              <w:pStyle w:val="39"/>
              <w:rPr>
                <w:rFonts w:ascii="Times New Roman" w:hAnsi="Times New Roman"/>
              </w:rPr>
            </w:pPr>
            <w:r>
              <w:rPr>
                <w:rFonts w:ascii="Times New Roman" w:hAnsi="Times New Roman"/>
              </w:rPr>
              <w:t>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Merge w:val="continue"/>
            <w:vAlign w:val="center"/>
          </w:tcPr>
          <w:p>
            <w:pPr>
              <w:pStyle w:val="39"/>
              <w:rPr>
                <w:rFonts w:ascii="Times New Roman" w:hAnsi="Times New Roman"/>
              </w:rPr>
            </w:pPr>
          </w:p>
        </w:tc>
        <w:tc>
          <w:tcPr>
            <w:tcW w:w="1842" w:type="dxa"/>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1985" w:type="dxa"/>
            <w:vAlign w:val="center"/>
          </w:tcPr>
          <w:p>
            <w:pPr>
              <w:pStyle w:val="39"/>
              <w:rPr>
                <w:rFonts w:ascii="Times New Roman" w:hAnsi="Times New Roman"/>
              </w:rPr>
            </w:pPr>
            <w:r>
              <w:rPr>
                <w:rFonts w:ascii="Times New Roman" w:hAnsi="Times New Roman"/>
              </w:rPr>
              <w:t>0.0130</w:t>
            </w:r>
          </w:p>
        </w:tc>
        <w:tc>
          <w:tcPr>
            <w:tcW w:w="1843" w:type="dxa"/>
            <w:vAlign w:val="center"/>
          </w:tcPr>
          <w:p>
            <w:pPr>
              <w:pStyle w:val="39"/>
              <w:rPr>
                <w:rFonts w:ascii="Times New Roman" w:hAnsi="Times New Roman"/>
              </w:rPr>
            </w:pPr>
            <w:r>
              <w:rPr>
                <w:rFonts w:ascii="Times New Roman" w:hAnsi="Times New Roman"/>
              </w:rPr>
              <w:t>0.1043</w:t>
            </w:r>
          </w:p>
        </w:tc>
        <w:tc>
          <w:tcPr>
            <w:tcW w:w="1931" w:type="dxa"/>
            <w:vAlign w:val="center"/>
          </w:tcPr>
          <w:p>
            <w:pPr>
              <w:pStyle w:val="39"/>
              <w:rPr>
                <w:rFonts w:ascii="Times New Roman" w:hAnsi="Times New Roman"/>
              </w:rPr>
            </w:pPr>
            <w:r>
              <w:rPr>
                <w:rFonts w:ascii="Times New Roman" w:hAnsi="Times New Roman"/>
              </w:rPr>
              <w:t>0.0130</w:t>
            </w:r>
          </w:p>
        </w:tc>
        <w:tc>
          <w:tcPr>
            <w:tcW w:w="1680" w:type="dxa"/>
            <w:vAlign w:val="center"/>
          </w:tcPr>
          <w:p>
            <w:pPr>
              <w:pStyle w:val="39"/>
              <w:rPr>
                <w:rFonts w:ascii="Times New Roman" w:hAnsi="Times New Roman"/>
              </w:rPr>
            </w:pPr>
            <w:r>
              <w:rPr>
                <w:rFonts w:ascii="Times New Roman" w:hAnsi="Times New Roman"/>
              </w:rPr>
              <w:t>0.1043</w:t>
            </w:r>
          </w:p>
        </w:tc>
        <w:tc>
          <w:tcPr>
            <w:tcW w:w="1344" w:type="dxa"/>
            <w:vAlign w:val="center"/>
          </w:tcPr>
          <w:p>
            <w:pPr>
              <w:pStyle w:val="39"/>
              <w:rPr>
                <w:rFonts w:ascii="Times New Roman" w:hAnsi="Times New Roman"/>
              </w:rPr>
            </w:pPr>
            <w:r>
              <w:rPr>
                <w:rFonts w:ascii="Times New Roman" w:hAnsi="Times New Roman"/>
              </w:rPr>
              <w:t>连续</w:t>
            </w:r>
          </w:p>
        </w:tc>
        <w:tc>
          <w:tcPr>
            <w:tcW w:w="1694" w:type="dxa"/>
            <w:vAlign w:val="center"/>
          </w:tcPr>
          <w:p>
            <w:pPr>
              <w:pStyle w:val="39"/>
              <w:rPr>
                <w:rFonts w:ascii="Times New Roman" w:hAnsi="Times New Roman"/>
              </w:rPr>
            </w:pPr>
            <w:r>
              <w:rPr>
                <w:rFonts w:ascii="Times New Roman" w:hAnsi="Times New Roman"/>
              </w:rPr>
              <w:t>8000</w:t>
            </w:r>
          </w:p>
        </w:tc>
      </w:tr>
    </w:tbl>
    <w:p>
      <w:pPr>
        <w:ind w:firstLine="480"/>
        <w:rPr>
          <w:rFonts w:ascii="Times New Roman" w:hAnsi="Times New Roman"/>
        </w:rPr>
        <w:sectPr>
          <w:pgSz w:w="16838" w:h="11906" w:orient="landscape"/>
          <w:pgMar w:top="1797" w:right="1440" w:bottom="1797" w:left="1440" w:header="851" w:footer="992" w:gutter="0"/>
          <w:cols w:space="425" w:num="1"/>
          <w:docGrid w:type="linesAndChars" w:linePitch="312" w:charSpace="0"/>
        </w:sectPr>
      </w:pPr>
    </w:p>
    <w:p>
      <w:pPr>
        <w:ind w:firstLine="480"/>
        <w:rPr>
          <w:rFonts w:ascii="Times New Roman" w:hAnsi="Times New Roman"/>
        </w:rPr>
      </w:pPr>
      <w:r>
        <w:rPr>
          <w:rFonts w:ascii="Times New Roman" w:hAnsi="Times New Roman"/>
        </w:rPr>
        <w:t>（2）非正常工况</w:t>
      </w:r>
    </w:p>
    <w:p>
      <w:pPr>
        <w:ind w:firstLine="480"/>
        <w:rPr>
          <w:rFonts w:ascii="Times New Roman" w:hAnsi="Times New Roman"/>
        </w:rPr>
      </w:pPr>
      <w:r>
        <w:rPr>
          <w:rFonts w:ascii="Times New Roman" w:hAnsi="Times New Roman"/>
        </w:rPr>
        <w:t>设备检修前为保证检修过程的安全，需排空设备及管道内的残留天然气，将待检设备中残留原料天然气通过放空火炬燃烧排放，污染物主要为SO</w:t>
      </w:r>
      <w:r>
        <w:rPr>
          <w:rFonts w:ascii="Times New Roman" w:hAnsi="Times New Roman"/>
          <w:vertAlign w:val="subscript"/>
        </w:rPr>
        <w:t>2</w:t>
      </w:r>
      <w:r>
        <w:rPr>
          <w:rFonts w:ascii="Times New Roman" w:hAnsi="Times New Roman"/>
        </w:rPr>
        <w:t>，检修频率一般为2次/年，1次排放24h。单次放空气量由设备容积、运行压力计算得出，本项目火炬单次放空量为60×10</w:t>
      </w:r>
      <w:r>
        <w:rPr>
          <w:rFonts w:ascii="Times New Roman" w:hAnsi="Times New Roman"/>
          <w:vertAlign w:val="superscript"/>
        </w:rPr>
        <w:t>4</w:t>
      </w:r>
      <w:r>
        <w:rPr>
          <w:rFonts w:ascii="Times New Roman" w:hAnsi="Times New Roman"/>
        </w:rPr>
        <w:t>m³。由此计算非正常工况下SO</w:t>
      </w:r>
      <w:r>
        <w:rPr>
          <w:rFonts w:ascii="Times New Roman" w:hAnsi="Times New Roman"/>
          <w:vertAlign w:val="subscript"/>
        </w:rPr>
        <w:t>2</w:t>
      </w:r>
      <w:r>
        <w:rPr>
          <w:rFonts w:ascii="Times New Roman" w:hAnsi="Times New Roman"/>
        </w:rPr>
        <w:t>排放量，计算结果见</w:t>
      </w:r>
      <w:r>
        <w:rPr>
          <w:rFonts w:ascii="Times New Roman" w:hAnsi="Times New Roman"/>
        </w:rPr>
        <w:fldChar w:fldCharType="begin"/>
      </w:r>
      <w:r>
        <w:rPr>
          <w:rFonts w:ascii="Times New Roman" w:hAnsi="Times New Roman"/>
        </w:rPr>
        <w:instrText xml:space="preserve"> REF _Ref154145768 \h  \* MERGEFORMAT </w:instrText>
      </w:r>
      <w:r>
        <w:rPr>
          <w:rFonts w:ascii="Times New Roman" w:hAnsi="Times New Roman"/>
        </w:rPr>
        <w:fldChar w:fldCharType="separate"/>
      </w:r>
      <w:r>
        <w:rPr>
          <w:rFonts w:ascii="Times New Roman" w:hAnsi="Times New Roman"/>
        </w:rPr>
        <w:t>表 3</w:t>
      </w:r>
      <w:r>
        <w:rPr>
          <w:rFonts w:ascii="Times New Roman" w:hAnsi="Times New Roman"/>
        </w:rPr>
        <w:noBreakHyphen/>
      </w:r>
      <w:r>
        <w:rPr>
          <w:rFonts w:ascii="Times New Roman" w:hAnsi="Times New Roman"/>
        </w:rPr>
        <w:t>11</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11" w:name="_Ref154145768"/>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bookmarkEnd w:id="111"/>
      <w:r>
        <w:rPr>
          <w:rFonts w:ascii="Times New Roman" w:hAnsi="Times New Roman" w:cs="Times New Roman"/>
        </w:rPr>
        <w:t xml:space="preserve">  非正常工况下废气排放情况</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5"/>
        <w:gridCol w:w="1125"/>
        <w:gridCol w:w="1248"/>
        <w:gridCol w:w="1248"/>
        <w:gridCol w:w="794"/>
        <w:gridCol w:w="1054"/>
        <w:gridCol w:w="1055"/>
        <w:gridCol w:w="1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507" w:type="pct"/>
            <w:vMerge w:val="restart"/>
            <w:tcMar>
              <w:left w:w="20" w:type="dxa"/>
              <w:right w:w="20" w:type="dxa"/>
            </w:tcMar>
            <w:vAlign w:val="center"/>
          </w:tcPr>
          <w:p>
            <w:pPr>
              <w:pStyle w:val="39"/>
              <w:rPr>
                <w:rFonts w:ascii="Times New Roman" w:hAnsi="Times New Roman"/>
              </w:rPr>
            </w:pPr>
            <w:r>
              <w:rPr>
                <w:rFonts w:ascii="Times New Roman" w:hAnsi="Times New Roman"/>
              </w:rPr>
              <w:t>污染源</w:t>
            </w:r>
          </w:p>
        </w:tc>
        <w:tc>
          <w:tcPr>
            <w:tcW w:w="667" w:type="pct"/>
            <w:vMerge w:val="restart"/>
            <w:tcMar>
              <w:left w:w="20" w:type="dxa"/>
              <w:right w:w="20" w:type="dxa"/>
            </w:tcMar>
            <w:vAlign w:val="center"/>
          </w:tcPr>
          <w:p>
            <w:pPr>
              <w:pStyle w:val="39"/>
              <w:rPr>
                <w:rFonts w:ascii="Times New Roman" w:hAnsi="Times New Roman"/>
              </w:rPr>
            </w:pPr>
            <w:r>
              <w:rPr>
                <w:rFonts w:ascii="Times New Roman" w:hAnsi="Times New Roman"/>
              </w:rPr>
              <w:t>放空</w:t>
            </w:r>
          </w:p>
          <w:p>
            <w:pPr>
              <w:pStyle w:val="39"/>
              <w:rPr>
                <w:rFonts w:ascii="Times New Roman" w:hAnsi="Times New Roman"/>
              </w:rPr>
            </w:pPr>
            <w:r>
              <w:rPr>
                <w:rFonts w:ascii="Times New Roman" w:hAnsi="Times New Roman"/>
              </w:rPr>
              <w:t>气量（10</w:t>
            </w:r>
            <w:r>
              <w:rPr>
                <w:rFonts w:ascii="Times New Roman" w:hAnsi="Times New Roman"/>
                <w:vertAlign w:val="superscript"/>
              </w:rPr>
              <w:t>4</w:t>
            </w:r>
            <w:r>
              <w:rPr>
                <w:rFonts w:ascii="Times New Roman" w:hAnsi="Times New Roman"/>
              </w:rPr>
              <w:t>m³）</w:t>
            </w:r>
          </w:p>
        </w:tc>
        <w:tc>
          <w:tcPr>
            <w:tcW w:w="740" w:type="pct"/>
            <w:vMerge w:val="restart"/>
            <w:vAlign w:val="center"/>
          </w:tcPr>
          <w:p>
            <w:pPr>
              <w:pStyle w:val="39"/>
              <w:rPr>
                <w:rFonts w:ascii="Times New Roman" w:hAnsi="Times New Roman"/>
              </w:rPr>
            </w:pPr>
            <w:r>
              <w:rPr>
                <w:rFonts w:ascii="Times New Roman" w:hAnsi="Times New Roman"/>
              </w:rPr>
              <w:t>放空气中硫化氢含量（g/m³）</w:t>
            </w:r>
          </w:p>
        </w:tc>
        <w:tc>
          <w:tcPr>
            <w:tcW w:w="740" w:type="pct"/>
            <w:vMerge w:val="restart"/>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r>
              <w:rPr>
                <w:rFonts w:ascii="Times New Roman" w:hAnsi="Times New Roman"/>
              </w:rPr>
              <w:t>排放量（kg/h）</w:t>
            </w:r>
          </w:p>
        </w:tc>
        <w:tc>
          <w:tcPr>
            <w:tcW w:w="471" w:type="pct"/>
            <w:vMerge w:val="restart"/>
            <w:vAlign w:val="center"/>
          </w:tcPr>
          <w:p>
            <w:pPr>
              <w:pStyle w:val="39"/>
              <w:rPr>
                <w:rFonts w:ascii="Times New Roman" w:hAnsi="Times New Roman"/>
              </w:rPr>
            </w:pPr>
            <w:r>
              <w:rPr>
                <w:rFonts w:ascii="Times New Roman" w:hAnsi="Times New Roman"/>
              </w:rPr>
              <w:t>排放时间（h）</w:t>
            </w:r>
          </w:p>
        </w:tc>
        <w:tc>
          <w:tcPr>
            <w:tcW w:w="1875" w:type="pct"/>
            <w:gridSpan w:val="3"/>
            <w:vAlign w:val="center"/>
          </w:tcPr>
          <w:p>
            <w:pPr>
              <w:pStyle w:val="39"/>
              <w:rPr>
                <w:rFonts w:ascii="Times New Roman" w:hAnsi="Times New Roman"/>
              </w:rPr>
            </w:pPr>
            <w:r>
              <w:rPr>
                <w:rFonts w:ascii="Times New Roman" w:hAnsi="Times New Roman"/>
              </w:rPr>
              <w:t>排气筒参数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507" w:type="pct"/>
            <w:vMerge w:val="continue"/>
            <w:tcMar>
              <w:left w:w="20" w:type="dxa"/>
              <w:right w:w="20" w:type="dxa"/>
            </w:tcMar>
            <w:vAlign w:val="center"/>
          </w:tcPr>
          <w:p>
            <w:pPr>
              <w:pStyle w:val="39"/>
              <w:rPr>
                <w:rFonts w:ascii="Times New Roman" w:hAnsi="Times New Roman"/>
              </w:rPr>
            </w:pPr>
          </w:p>
        </w:tc>
        <w:tc>
          <w:tcPr>
            <w:tcW w:w="667" w:type="pct"/>
            <w:vMerge w:val="continue"/>
            <w:tcMar>
              <w:left w:w="20" w:type="dxa"/>
              <w:right w:w="20" w:type="dxa"/>
            </w:tcMar>
            <w:vAlign w:val="center"/>
          </w:tcPr>
          <w:p>
            <w:pPr>
              <w:pStyle w:val="39"/>
              <w:rPr>
                <w:rFonts w:ascii="Times New Roman" w:hAnsi="Times New Roman"/>
              </w:rPr>
            </w:pPr>
          </w:p>
        </w:tc>
        <w:tc>
          <w:tcPr>
            <w:tcW w:w="740" w:type="pct"/>
            <w:vMerge w:val="continue"/>
            <w:vAlign w:val="center"/>
          </w:tcPr>
          <w:p>
            <w:pPr>
              <w:pStyle w:val="39"/>
              <w:rPr>
                <w:rFonts w:ascii="Times New Roman" w:hAnsi="Times New Roman"/>
              </w:rPr>
            </w:pPr>
          </w:p>
        </w:tc>
        <w:tc>
          <w:tcPr>
            <w:tcW w:w="740" w:type="pct"/>
            <w:vMerge w:val="continue"/>
            <w:vAlign w:val="center"/>
          </w:tcPr>
          <w:p>
            <w:pPr>
              <w:pStyle w:val="39"/>
              <w:rPr>
                <w:rFonts w:ascii="Times New Roman" w:hAnsi="Times New Roman"/>
              </w:rPr>
            </w:pPr>
          </w:p>
        </w:tc>
        <w:tc>
          <w:tcPr>
            <w:tcW w:w="471" w:type="pct"/>
            <w:vMerge w:val="continue"/>
            <w:vAlign w:val="center"/>
          </w:tcPr>
          <w:p>
            <w:pPr>
              <w:pStyle w:val="39"/>
              <w:rPr>
                <w:rFonts w:ascii="Times New Roman" w:hAnsi="Times New Roman"/>
              </w:rPr>
            </w:pPr>
          </w:p>
        </w:tc>
        <w:tc>
          <w:tcPr>
            <w:tcW w:w="625" w:type="pct"/>
            <w:vAlign w:val="center"/>
          </w:tcPr>
          <w:p>
            <w:pPr>
              <w:pStyle w:val="39"/>
              <w:rPr>
                <w:rFonts w:ascii="Times New Roman" w:hAnsi="Times New Roman"/>
              </w:rPr>
            </w:pPr>
            <w:r>
              <w:rPr>
                <w:rFonts w:ascii="Times New Roman" w:hAnsi="Times New Roman"/>
              </w:rPr>
              <w:t>高度（m）</w:t>
            </w:r>
          </w:p>
        </w:tc>
        <w:tc>
          <w:tcPr>
            <w:tcW w:w="625" w:type="pct"/>
            <w:vAlign w:val="center"/>
          </w:tcPr>
          <w:p>
            <w:pPr>
              <w:pStyle w:val="39"/>
              <w:rPr>
                <w:rFonts w:ascii="Times New Roman" w:hAnsi="Times New Roman"/>
              </w:rPr>
            </w:pPr>
            <w:r>
              <w:rPr>
                <w:rFonts w:ascii="Times New Roman" w:hAnsi="Times New Roman"/>
              </w:rPr>
              <w:t>内径（m）</w:t>
            </w:r>
          </w:p>
        </w:tc>
        <w:tc>
          <w:tcPr>
            <w:tcW w:w="625" w:type="pct"/>
            <w:vAlign w:val="center"/>
          </w:tcPr>
          <w:p>
            <w:pPr>
              <w:pStyle w:val="39"/>
              <w:rPr>
                <w:rFonts w:ascii="Times New Roman" w:hAnsi="Times New Roman"/>
              </w:rPr>
            </w:pPr>
            <w:r>
              <w:rPr>
                <w:rFonts w:ascii="Times New Roman" w:hAnsi="Times New Roman"/>
              </w:rPr>
              <w:t>温度（℃）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7" w:type="pct"/>
            <w:tcMar>
              <w:left w:w="20" w:type="dxa"/>
              <w:right w:w="20" w:type="dxa"/>
            </w:tcMar>
            <w:vAlign w:val="center"/>
          </w:tcPr>
          <w:p>
            <w:pPr>
              <w:pStyle w:val="39"/>
              <w:rPr>
                <w:rFonts w:ascii="Times New Roman" w:hAnsi="Times New Roman"/>
              </w:rPr>
            </w:pPr>
            <w:r>
              <w:rPr>
                <w:rFonts w:ascii="Times New Roman" w:hAnsi="Times New Roman"/>
              </w:rPr>
              <w:t>宣探1井站火炬</w:t>
            </w:r>
          </w:p>
        </w:tc>
        <w:tc>
          <w:tcPr>
            <w:tcW w:w="667" w:type="pct"/>
            <w:tcMar>
              <w:left w:w="20" w:type="dxa"/>
              <w:right w:w="20" w:type="dxa"/>
            </w:tcMar>
            <w:vAlign w:val="center"/>
          </w:tcPr>
          <w:p>
            <w:pPr>
              <w:pStyle w:val="39"/>
              <w:rPr>
                <w:rFonts w:ascii="Times New Roman" w:hAnsi="Times New Roman"/>
              </w:rPr>
            </w:pPr>
            <w:r>
              <w:rPr>
                <w:rFonts w:ascii="Times New Roman" w:hAnsi="Times New Roman"/>
              </w:rPr>
              <w:t>60</w:t>
            </w:r>
          </w:p>
        </w:tc>
        <w:tc>
          <w:tcPr>
            <w:tcW w:w="740" w:type="pct"/>
            <w:vAlign w:val="center"/>
          </w:tcPr>
          <w:p>
            <w:pPr>
              <w:pStyle w:val="39"/>
              <w:rPr>
                <w:rFonts w:ascii="Times New Roman" w:hAnsi="Times New Roman"/>
              </w:rPr>
            </w:pPr>
            <w:r>
              <w:rPr>
                <w:rFonts w:ascii="Times New Roman" w:hAnsi="Times New Roman"/>
              </w:rPr>
              <w:t>239.95</w:t>
            </w:r>
          </w:p>
        </w:tc>
        <w:tc>
          <w:tcPr>
            <w:tcW w:w="740" w:type="pct"/>
            <w:vAlign w:val="center"/>
          </w:tcPr>
          <w:p>
            <w:pPr>
              <w:pStyle w:val="39"/>
              <w:rPr>
                <w:rFonts w:ascii="Times New Roman" w:hAnsi="Times New Roman"/>
              </w:rPr>
            </w:pPr>
            <w:r>
              <w:rPr>
                <w:rFonts w:ascii="Times New Roman" w:hAnsi="Times New Roman"/>
              </w:rPr>
              <w:t>11997.5</w:t>
            </w:r>
          </w:p>
        </w:tc>
        <w:tc>
          <w:tcPr>
            <w:tcW w:w="471" w:type="pct"/>
            <w:vAlign w:val="center"/>
          </w:tcPr>
          <w:p>
            <w:pPr>
              <w:pStyle w:val="39"/>
              <w:rPr>
                <w:rFonts w:ascii="Times New Roman" w:hAnsi="Times New Roman"/>
              </w:rPr>
            </w:pPr>
            <w:r>
              <w:rPr>
                <w:rFonts w:ascii="Times New Roman" w:hAnsi="Times New Roman"/>
              </w:rPr>
              <w:t>48</w:t>
            </w:r>
          </w:p>
        </w:tc>
        <w:tc>
          <w:tcPr>
            <w:tcW w:w="625" w:type="pct"/>
            <w:vAlign w:val="center"/>
          </w:tcPr>
          <w:p>
            <w:pPr>
              <w:pStyle w:val="39"/>
              <w:rPr>
                <w:rFonts w:ascii="Times New Roman" w:hAnsi="Times New Roman"/>
              </w:rPr>
            </w:pPr>
            <w:r>
              <w:rPr>
                <w:rFonts w:ascii="Times New Roman" w:hAnsi="Times New Roman"/>
              </w:rPr>
              <w:t>30</w:t>
            </w:r>
          </w:p>
        </w:tc>
        <w:tc>
          <w:tcPr>
            <w:tcW w:w="625" w:type="pct"/>
            <w:vAlign w:val="center"/>
          </w:tcPr>
          <w:p>
            <w:pPr>
              <w:pStyle w:val="39"/>
              <w:rPr>
                <w:rFonts w:ascii="Times New Roman" w:hAnsi="Times New Roman"/>
              </w:rPr>
            </w:pPr>
            <w:r>
              <w:rPr>
                <w:rFonts w:ascii="Times New Roman" w:hAnsi="Times New Roman"/>
              </w:rPr>
              <w:t>0.25</w:t>
            </w:r>
          </w:p>
        </w:tc>
        <w:tc>
          <w:tcPr>
            <w:tcW w:w="625" w:type="pct"/>
            <w:vAlign w:val="center"/>
          </w:tcPr>
          <w:p>
            <w:pPr>
              <w:pStyle w:val="39"/>
              <w:rPr>
                <w:rFonts w:ascii="Times New Roman" w:hAnsi="Times New Roman"/>
              </w:rPr>
            </w:pPr>
            <w:r>
              <w:rPr>
                <w:rFonts w:ascii="Times New Roman" w:hAnsi="Times New Roma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7" w:type="pct"/>
            <w:tcMar>
              <w:left w:w="20" w:type="dxa"/>
              <w:right w:w="20" w:type="dxa"/>
            </w:tcMar>
            <w:vAlign w:val="center"/>
          </w:tcPr>
          <w:p>
            <w:pPr>
              <w:pStyle w:val="39"/>
              <w:rPr>
                <w:rFonts w:ascii="Times New Roman" w:hAnsi="Times New Roman"/>
              </w:rPr>
            </w:pPr>
            <w:r>
              <w:rPr>
                <w:rFonts w:ascii="Times New Roman" w:hAnsi="Times New Roman"/>
              </w:rPr>
              <w:t>宣兴1井站火炬</w:t>
            </w:r>
          </w:p>
        </w:tc>
        <w:tc>
          <w:tcPr>
            <w:tcW w:w="667" w:type="pct"/>
            <w:tcMar>
              <w:left w:w="20" w:type="dxa"/>
              <w:right w:w="20" w:type="dxa"/>
            </w:tcMar>
            <w:vAlign w:val="center"/>
          </w:tcPr>
          <w:p>
            <w:pPr>
              <w:pStyle w:val="39"/>
              <w:rPr>
                <w:rFonts w:ascii="Times New Roman" w:hAnsi="Times New Roman"/>
              </w:rPr>
            </w:pPr>
            <w:r>
              <w:rPr>
                <w:rFonts w:ascii="Times New Roman" w:hAnsi="Times New Roman"/>
              </w:rPr>
              <w:t>60</w:t>
            </w:r>
          </w:p>
        </w:tc>
        <w:tc>
          <w:tcPr>
            <w:tcW w:w="740" w:type="pct"/>
            <w:vAlign w:val="center"/>
          </w:tcPr>
          <w:p>
            <w:pPr>
              <w:pStyle w:val="39"/>
              <w:rPr>
                <w:rFonts w:ascii="Times New Roman" w:hAnsi="Times New Roman"/>
              </w:rPr>
            </w:pPr>
            <w:r>
              <w:rPr>
                <w:rFonts w:ascii="Times New Roman" w:hAnsi="Times New Roman"/>
              </w:rPr>
              <w:t>239.95</w:t>
            </w:r>
          </w:p>
        </w:tc>
        <w:tc>
          <w:tcPr>
            <w:tcW w:w="740" w:type="pct"/>
            <w:vAlign w:val="center"/>
          </w:tcPr>
          <w:p>
            <w:pPr>
              <w:pStyle w:val="39"/>
              <w:rPr>
                <w:rFonts w:ascii="Times New Roman" w:hAnsi="Times New Roman"/>
              </w:rPr>
            </w:pPr>
            <w:r>
              <w:rPr>
                <w:rFonts w:ascii="Times New Roman" w:hAnsi="Times New Roman"/>
              </w:rPr>
              <w:t>11997.5</w:t>
            </w:r>
          </w:p>
        </w:tc>
        <w:tc>
          <w:tcPr>
            <w:tcW w:w="471" w:type="pct"/>
            <w:vAlign w:val="center"/>
          </w:tcPr>
          <w:p>
            <w:pPr>
              <w:pStyle w:val="39"/>
              <w:rPr>
                <w:rFonts w:ascii="Times New Roman" w:hAnsi="Times New Roman"/>
              </w:rPr>
            </w:pPr>
            <w:r>
              <w:rPr>
                <w:rFonts w:ascii="Times New Roman" w:hAnsi="Times New Roman"/>
              </w:rPr>
              <w:t>48</w:t>
            </w:r>
          </w:p>
        </w:tc>
        <w:tc>
          <w:tcPr>
            <w:tcW w:w="625" w:type="pct"/>
            <w:vAlign w:val="center"/>
          </w:tcPr>
          <w:p>
            <w:pPr>
              <w:pStyle w:val="39"/>
              <w:rPr>
                <w:rFonts w:ascii="Times New Roman" w:hAnsi="Times New Roman"/>
              </w:rPr>
            </w:pPr>
            <w:r>
              <w:rPr>
                <w:rFonts w:ascii="Times New Roman" w:hAnsi="Times New Roman"/>
              </w:rPr>
              <w:t>30</w:t>
            </w:r>
          </w:p>
        </w:tc>
        <w:tc>
          <w:tcPr>
            <w:tcW w:w="625" w:type="pct"/>
            <w:vAlign w:val="center"/>
          </w:tcPr>
          <w:p>
            <w:pPr>
              <w:pStyle w:val="39"/>
              <w:rPr>
                <w:rFonts w:ascii="Times New Roman" w:hAnsi="Times New Roman"/>
              </w:rPr>
            </w:pPr>
            <w:r>
              <w:rPr>
                <w:rFonts w:ascii="Times New Roman" w:hAnsi="Times New Roman"/>
              </w:rPr>
              <w:t>0.25</w:t>
            </w:r>
          </w:p>
        </w:tc>
        <w:tc>
          <w:tcPr>
            <w:tcW w:w="625" w:type="pct"/>
            <w:vAlign w:val="center"/>
          </w:tcPr>
          <w:p>
            <w:pPr>
              <w:pStyle w:val="39"/>
              <w:rPr>
                <w:rFonts w:ascii="Times New Roman" w:hAnsi="Times New Roman"/>
              </w:rPr>
            </w:pPr>
            <w:r>
              <w:rPr>
                <w:rFonts w:ascii="Times New Roman" w:hAnsi="Times New Roma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7" w:type="pct"/>
            <w:tcMar>
              <w:left w:w="20" w:type="dxa"/>
              <w:right w:w="20" w:type="dxa"/>
            </w:tcMar>
            <w:vAlign w:val="center"/>
          </w:tcPr>
          <w:p>
            <w:pPr>
              <w:pStyle w:val="39"/>
              <w:rPr>
                <w:rFonts w:ascii="Times New Roman" w:hAnsi="Times New Roman"/>
              </w:rPr>
            </w:pPr>
            <w:r>
              <w:rPr>
                <w:rFonts w:ascii="Times New Roman" w:hAnsi="Times New Roman"/>
              </w:rPr>
              <w:t>清管站火炬</w:t>
            </w:r>
          </w:p>
        </w:tc>
        <w:tc>
          <w:tcPr>
            <w:tcW w:w="667" w:type="pct"/>
            <w:tcMar>
              <w:left w:w="20" w:type="dxa"/>
              <w:right w:w="20" w:type="dxa"/>
            </w:tcMar>
            <w:vAlign w:val="center"/>
          </w:tcPr>
          <w:p>
            <w:pPr>
              <w:pStyle w:val="39"/>
              <w:rPr>
                <w:rFonts w:ascii="Times New Roman" w:hAnsi="Times New Roman"/>
              </w:rPr>
            </w:pPr>
            <w:r>
              <w:rPr>
                <w:rFonts w:ascii="Times New Roman" w:hAnsi="Times New Roman"/>
              </w:rPr>
              <w:t>60</w:t>
            </w:r>
          </w:p>
        </w:tc>
        <w:tc>
          <w:tcPr>
            <w:tcW w:w="740" w:type="pct"/>
            <w:vAlign w:val="center"/>
          </w:tcPr>
          <w:p>
            <w:pPr>
              <w:pStyle w:val="39"/>
              <w:rPr>
                <w:rFonts w:ascii="Times New Roman" w:hAnsi="Times New Roman"/>
              </w:rPr>
            </w:pPr>
            <w:r>
              <w:rPr>
                <w:rFonts w:ascii="Times New Roman" w:hAnsi="Times New Roman"/>
              </w:rPr>
              <w:t>239.95</w:t>
            </w:r>
          </w:p>
        </w:tc>
        <w:tc>
          <w:tcPr>
            <w:tcW w:w="740" w:type="pct"/>
            <w:vAlign w:val="center"/>
          </w:tcPr>
          <w:p>
            <w:pPr>
              <w:pStyle w:val="39"/>
              <w:rPr>
                <w:rFonts w:ascii="Times New Roman" w:hAnsi="Times New Roman"/>
              </w:rPr>
            </w:pPr>
            <w:r>
              <w:rPr>
                <w:rFonts w:ascii="Times New Roman" w:hAnsi="Times New Roman"/>
              </w:rPr>
              <w:t>11997.5</w:t>
            </w:r>
          </w:p>
        </w:tc>
        <w:tc>
          <w:tcPr>
            <w:tcW w:w="471" w:type="pct"/>
            <w:vAlign w:val="center"/>
          </w:tcPr>
          <w:p>
            <w:pPr>
              <w:pStyle w:val="39"/>
              <w:rPr>
                <w:rFonts w:ascii="Times New Roman" w:hAnsi="Times New Roman"/>
              </w:rPr>
            </w:pPr>
            <w:r>
              <w:rPr>
                <w:rFonts w:ascii="Times New Roman" w:hAnsi="Times New Roman"/>
              </w:rPr>
              <w:t>48</w:t>
            </w:r>
          </w:p>
        </w:tc>
        <w:tc>
          <w:tcPr>
            <w:tcW w:w="625" w:type="pct"/>
            <w:vAlign w:val="center"/>
          </w:tcPr>
          <w:p>
            <w:pPr>
              <w:pStyle w:val="39"/>
              <w:rPr>
                <w:rFonts w:ascii="Times New Roman" w:hAnsi="Times New Roman"/>
              </w:rPr>
            </w:pPr>
            <w:r>
              <w:rPr>
                <w:rFonts w:ascii="Times New Roman" w:hAnsi="Times New Roman"/>
              </w:rPr>
              <w:t>22</w:t>
            </w:r>
          </w:p>
        </w:tc>
        <w:tc>
          <w:tcPr>
            <w:tcW w:w="625" w:type="pct"/>
            <w:vAlign w:val="center"/>
          </w:tcPr>
          <w:p>
            <w:pPr>
              <w:pStyle w:val="39"/>
              <w:rPr>
                <w:rFonts w:ascii="Times New Roman" w:hAnsi="Times New Roman"/>
              </w:rPr>
            </w:pPr>
            <w:r>
              <w:rPr>
                <w:rFonts w:ascii="Times New Roman" w:hAnsi="Times New Roman"/>
              </w:rPr>
              <w:t>0.25</w:t>
            </w:r>
          </w:p>
        </w:tc>
        <w:tc>
          <w:tcPr>
            <w:tcW w:w="625" w:type="pct"/>
            <w:vAlign w:val="center"/>
          </w:tcPr>
          <w:p>
            <w:pPr>
              <w:pStyle w:val="39"/>
              <w:rPr>
                <w:rFonts w:ascii="Times New Roman" w:hAnsi="Times New Roman"/>
              </w:rPr>
            </w:pPr>
            <w:r>
              <w:rPr>
                <w:rFonts w:ascii="Times New Roman" w:hAnsi="Times New Roman"/>
              </w:rPr>
              <w:t>1000</w:t>
            </w:r>
          </w:p>
        </w:tc>
      </w:tr>
    </w:tbl>
    <w:p>
      <w:pPr>
        <w:pStyle w:val="5"/>
        <w:rPr>
          <w:rFonts w:ascii="Times New Roman" w:hAnsi="Times New Roman"/>
        </w:rPr>
      </w:pPr>
      <w:r>
        <w:rPr>
          <w:rFonts w:ascii="Times New Roman" w:hAnsi="Times New Roman"/>
        </w:rPr>
        <w:t>噪声</w:t>
      </w:r>
    </w:p>
    <w:p>
      <w:pPr>
        <w:ind w:firstLine="480"/>
        <w:rPr>
          <w:rFonts w:ascii="Times New Roman" w:hAnsi="Times New Roman"/>
        </w:rPr>
      </w:pPr>
      <w:r>
        <w:rPr>
          <w:rFonts w:ascii="Times New Roman" w:hAnsi="Times New Roman"/>
        </w:rPr>
        <w:t>项目正常生产时，各站场的噪声主要来源于机泵、节流阀、分离器等设备产生的气流噪声，噪声大小与天然气产量有关，一般天然气产量越大，噪声也越大。</w:t>
      </w:r>
    </w:p>
    <w:p>
      <w:pPr>
        <w:ind w:firstLine="480"/>
        <w:rPr>
          <w:rFonts w:ascii="Times New Roman" w:hAnsi="Times New Roman"/>
        </w:rPr>
      </w:pPr>
      <w:r>
        <w:rPr>
          <w:rFonts w:ascii="Times New Roman" w:hAnsi="Times New Roman"/>
        </w:rPr>
        <w:t>检修或事故时，噪声主要来源于放空火炬的气流声，其声级大小取决于放空量的大小。经类比调查，放空噪声一般较大，其声级一般为100~110dB（A），但放空时间短，一般为30min。</w:t>
      </w:r>
    </w:p>
    <w:p>
      <w:pPr>
        <w:ind w:firstLine="480"/>
        <w:rPr>
          <w:rFonts w:ascii="Times New Roman" w:hAnsi="Times New Roman"/>
        </w:rPr>
      </w:pPr>
      <w:r>
        <w:rPr>
          <w:rFonts w:ascii="Times New Roman" w:hAnsi="Times New Roman"/>
        </w:rPr>
        <w:t>本项目运营期各站场的噪声源强见</w:t>
      </w:r>
      <w:r>
        <w:rPr>
          <w:rFonts w:ascii="Times New Roman" w:hAnsi="Times New Roman"/>
        </w:rPr>
        <w:fldChar w:fldCharType="begin"/>
      </w:r>
      <w:r>
        <w:rPr>
          <w:rFonts w:ascii="Times New Roman" w:hAnsi="Times New Roman"/>
        </w:rPr>
        <w:instrText xml:space="preserve"> REF _Ref152172952 \h  \* MERGEFORMAT </w:instrText>
      </w:r>
      <w:r>
        <w:rPr>
          <w:rFonts w:ascii="Times New Roman" w:hAnsi="Times New Roman"/>
        </w:rPr>
        <w:fldChar w:fldCharType="separate"/>
      </w:r>
      <w:r>
        <w:rPr>
          <w:rFonts w:ascii="Times New Roman" w:hAnsi="Times New Roman"/>
        </w:rPr>
        <w:t>表 3</w:t>
      </w:r>
      <w:r>
        <w:rPr>
          <w:rFonts w:ascii="Times New Roman" w:hAnsi="Times New Roman"/>
        </w:rPr>
        <w:noBreakHyphen/>
      </w:r>
      <w:r>
        <w:rPr>
          <w:rFonts w:ascii="Times New Roman" w:hAnsi="Times New Roman"/>
        </w:rPr>
        <w:t>12</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12" w:name="_Ref15217295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bookmarkEnd w:id="112"/>
      <w:r>
        <w:rPr>
          <w:rFonts w:ascii="Times New Roman" w:hAnsi="Times New Roman" w:cs="Times New Roman"/>
        </w:rPr>
        <w:t xml:space="preserve">  各站场运营期主要噪声源</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9"/>
        <w:gridCol w:w="1659"/>
        <w:gridCol w:w="1659"/>
        <w:gridCol w:w="1659"/>
        <w:gridCol w:w="1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vAlign w:val="center"/>
          </w:tcPr>
          <w:p>
            <w:pPr>
              <w:pStyle w:val="39"/>
              <w:rPr>
                <w:rFonts w:ascii="Times New Roman" w:hAnsi="Times New Roman"/>
              </w:rPr>
            </w:pPr>
            <w:r>
              <w:rPr>
                <w:rFonts w:ascii="Times New Roman" w:hAnsi="Times New Roman"/>
              </w:rPr>
              <w:t>站场</w:t>
            </w:r>
          </w:p>
        </w:tc>
        <w:tc>
          <w:tcPr>
            <w:tcW w:w="1659" w:type="dxa"/>
            <w:vAlign w:val="center"/>
          </w:tcPr>
          <w:p>
            <w:pPr>
              <w:pStyle w:val="39"/>
              <w:rPr>
                <w:rFonts w:ascii="Times New Roman" w:hAnsi="Times New Roman"/>
              </w:rPr>
            </w:pPr>
            <w:r>
              <w:rPr>
                <w:rFonts w:ascii="Times New Roman" w:hAnsi="Times New Roman"/>
              </w:rPr>
              <w:t>噪声源</w:t>
            </w:r>
          </w:p>
        </w:tc>
        <w:tc>
          <w:tcPr>
            <w:tcW w:w="1659" w:type="dxa"/>
            <w:vAlign w:val="center"/>
          </w:tcPr>
          <w:p>
            <w:pPr>
              <w:pStyle w:val="39"/>
              <w:rPr>
                <w:rFonts w:ascii="Times New Roman" w:hAnsi="Times New Roman"/>
              </w:rPr>
            </w:pPr>
            <w:r>
              <w:rPr>
                <w:rFonts w:ascii="Times New Roman" w:hAnsi="Times New Roman"/>
              </w:rPr>
              <w:t>单台声功率级</w:t>
            </w:r>
          </w:p>
          <w:p>
            <w:pPr>
              <w:pStyle w:val="39"/>
              <w:rPr>
                <w:rFonts w:ascii="Times New Roman" w:hAnsi="Times New Roman"/>
              </w:rPr>
            </w:pPr>
            <w:r>
              <w:rPr>
                <w:rFonts w:ascii="Times New Roman" w:hAnsi="Times New Roman"/>
              </w:rPr>
              <w:t>（dB（A））</w:t>
            </w:r>
          </w:p>
        </w:tc>
        <w:tc>
          <w:tcPr>
            <w:tcW w:w="1659" w:type="dxa"/>
            <w:vAlign w:val="center"/>
          </w:tcPr>
          <w:p>
            <w:pPr>
              <w:pStyle w:val="39"/>
              <w:rPr>
                <w:rFonts w:ascii="Times New Roman" w:hAnsi="Times New Roman"/>
              </w:rPr>
            </w:pPr>
            <w:r>
              <w:rPr>
                <w:rFonts w:ascii="Times New Roman" w:hAnsi="Times New Roman"/>
              </w:rPr>
              <w:t>数量</w:t>
            </w:r>
          </w:p>
        </w:tc>
        <w:tc>
          <w:tcPr>
            <w:tcW w:w="1660" w:type="dxa"/>
            <w:vAlign w:val="center"/>
          </w:tcPr>
          <w:p>
            <w:pPr>
              <w:pStyle w:val="39"/>
              <w:rPr>
                <w:rFonts w:ascii="Times New Roman" w:hAnsi="Times New Roman"/>
              </w:rPr>
            </w:pPr>
            <w:r>
              <w:rPr>
                <w:rFonts w:ascii="Times New Roman" w:hAnsi="Times New Roman"/>
              </w:rPr>
              <w:t>排放规律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vMerge w:val="restart"/>
            <w:vAlign w:val="center"/>
          </w:tcPr>
          <w:p>
            <w:pPr>
              <w:pStyle w:val="39"/>
              <w:rPr>
                <w:rFonts w:ascii="Times New Roman" w:hAnsi="Times New Roman"/>
              </w:rPr>
            </w:pPr>
            <w:r>
              <w:rPr>
                <w:rFonts w:ascii="Times New Roman" w:hAnsi="Times New Roman"/>
              </w:rPr>
              <w:t>宣探1井站</w:t>
            </w:r>
          </w:p>
        </w:tc>
        <w:tc>
          <w:tcPr>
            <w:tcW w:w="1659" w:type="dxa"/>
            <w:vAlign w:val="center"/>
          </w:tcPr>
          <w:p>
            <w:pPr>
              <w:pStyle w:val="39"/>
              <w:rPr>
                <w:rFonts w:ascii="Times New Roman" w:hAnsi="Times New Roman"/>
              </w:rPr>
            </w:pPr>
            <w:r>
              <w:rPr>
                <w:rFonts w:ascii="Times New Roman" w:hAnsi="Times New Roman"/>
              </w:rPr>
              <w:t>节流阀</w:t>
            </w:r>
          </w:p>
        </w:tc>
        <w:tc>
          <w:tcPr>
            <w:tcW w:w="1659" w:type="dxa"/>
            <w:vAlign w:val="center"/>
          </w:tcPr>
          <w:p>
            <w:pPr>
              <w:pStyle w:val="39"/>
              <w:rPr>
                <w:rFonts w:ascii="Times New Roman" w:hAnsi="Times New Roman"/>
              </w:rPr>
            </w:pPr>
            <w:r>
              <w:rPr>
                <w:rFonts w:ascii="Times New Roman" w:hAnsi="Times New Roman"/>
              </w:rPr>
              <w:t>62</w:t>
            </w:r>
          </w:p>
        </w:tc>
        <w:tc>
          <w:tcPr>
            <w:tcW w:w="1659" w:type="dxa"/>
            <w:vAlign w:val="center"/>
          </w:tcPr>
          <w:p>
            <w:pPr>
              <w:pStyle w:val="39"/>
              <w:rPr>
                <w:rFonts w:ascii="Times New Roman" w:hAnsi="Times New Roman"/>
              </w:rPr>
            </w:pPr>
            <w:r>
              <w:rPr>
                <w:rFonts w:ascii="Times New Roman" w:hAnsi="Times New Roman"/>
              </w:rPr>
              <w:t>2</w:t>
            </w:r>
          </w:p>
        </w:tc>
        <w:tc>
          <w:tcPr>
            <w:tcW w:w="1660" w:type="dxa"/>
            <w:vAlign w:val="center"/>
          </w:tcPr>
          <w:p>
            <w:pPr>
              <w:pStyle w:val="39"/>
              <w:rPr>
                <w:rFonts w:ascii="Times New Roman" w:hAnsi="Times New Roman"/>
              </w:rPr>
            </w:pPr>
            <w:r>
              <w:rPr>
                <w:rFonts w:ascii="Times New Roman" w:hAnsi="Times New Roman"/>
              </w:rPr>
              <w:t>连续排放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vMerge w:val="continue"/>
            <w:vAlign w:val="center"/>
          </w:tcPr>
          <w:p>
            <w:pPr>
              <w:pStyle w:val="39"/>
              <w:rPr>
                <w:rFonts w:ascii="Times New Roman" w:hAnsi="Times New Roman"/>
              </w:rPr>
            </w:pPr>
          </w:p>
        </w:tc>
        <w:tc>
          <w:tcPr>
            <w:tcW w:w="1659" w:type="dxa"/>
            <w:vAlign w:val="center"/>
          </w:tcPr>
          <w:p>
            <w:pPr>
              <w:pStyle w:val="39"/>
              <w:rPr>
                <w:rFonts w:ascii="Times New Roman" w:hAnsi="Times New Roman"/>
              </w:rPr>
            </w:pPr>
            <w:r>
              <w:rPr>
                <w:rFonts w:ascii="Times New Roman" w:hAnsi="Times New Roman"/>
              </w:rPr>
              <w:t>计量分离器</w:t>
            </w:r>
          </w:p>
        </w:tc>
        <w:tc>
          <w:tcPr>
            <w:tcW w:w="1659" w:type="dxa"/>
            <w:vAlign w:val="center"/>
          </w:tcPr>
          <w:p>
            <w:pPr>
              <w:pStyle w:val="39"/>
              <w:rPr>
                <w:rFonts w:ascii="Times New Roman" w:hAnsi="Times New Roman"/>
              </w:rPr>
            </w:pPr>
            <w:r>
              <w:rPr>
                <w:rFonts w:ascii="Times New Roman" w:hAnsi="Times New Roman"/>
              </w:rPr>
              <w:t>65</w:t>
            </w:r>
          </w:p>
        </w:tc>
        <w:tc>
          <w:tcPr>
            <w:tcW w:w="1659" w:type="dxa"/>
            <w:vAlign w:val="center"/>
          </w:tcPr>
          <w:p>
            <w:pPr>
              <w:pStyle w:val="39"/>
              <w:rPr>
                <w:rFonts w:ascii="Times New Roman" w:hAnsi="Times New Roman"/>
              </w:rPr>
            </w:pPr>
            <w:r>
              <w:rPr>
                <w:rFonts w:ascii="Times New Roman" w:hAnsi="Times New Roman"/>
              </w:rPr>
              <w:t>1</w:t>
            </w:r>
          </w:p>
        </w:tc>
        <w:tc>
          <w:tcPr>
            <w:tcW w:w="1660" w:type="dxa"/>
            <w:vAlign w:val="center"/>
          </w:tcPr>
          <w:p>
            <w:pPr>
              <w:pStyle w:val="39"/>
              <w:rPr>
                <w:rFonts w:ascii="Times New Roman" w:hAnsi="Times New Roman"/>
              </w:rPr>
            </w:pPr>
            <w:r>
              <w:rPr>
                <w:rFonts w:ascii="Times New Roman" w:hAnsi="Times New Roman"/>
              </w:rPr>
              <w:t>连续排放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vMerge w:val="continue"/>
            <w:vAlign w:val="center"/>
          </w:tcPr>
          <w:p>
            <w:pPr>
              <w:pStyle w:val="39"/>
              <w:rPr>
                <w:rFonts w:ascii="Times New Roman" w:hAnsi="Times New Roman"/>
              </w:rPr>
            </w:pPr>
          </w:p>
        </w:tc>
        <w:tc>
          <w:tcPr>
            <w:tcW w:w="1659" w:type="dxa"/>
            <w:vAlign w:val="center"/>
          </w:tcPr>
          <w:p>
            <w:pPr>
              <w:pStyle w:val="39"/>
              <w:rPr>
                <w:rFonts w:ascii="Times New Roman" w:hAnsi="Times New Roman"/>
              </w:rPr>
            </w:pPr>
            <w:r>
              <w:rPr>
                <w:rFonts w:ascii="Times New Roman" w:hAnsi="Times New Roman"/>
              </w:rPr>
              <w:t>放空火炬</w:t>
            </w:r>
          </w:p>
        </w:tc>
        <w:tc>
          <w:tcPr>
            <w:tcW w:w="1659" w:type="dxa"/>
            <w:vAlign w:val="center"/>
          </w:tcPr>
          <w:p>
            <w:pPr>
              <w:pStyle w:val="39"/>
              <w:rPr>
                <w:rFonts w:ascii="Times New Roman" w:hAnsi="Times New Roman"/>
              </w:rPr>
            </w:pPr>
            <w:r>
              <w:rPr>
                <w:rFonts w:ascii="Times New Roman" w:hAnsi="Times New Roman"/>
              </w:rPr>
              <w:t>100～110</w:t>
            </w:r>
          </w:p>
        </w:tc>
        <w:tc>
          <w:tcPr>
            <w:tcW w:w="1659" w:type="dxa"/>
            <w:vAlign w:val="center"/>
          </w:tcPr>
          <w:p>
            <w:pPr>
              <w:pStyle w:val="39"/>
              <w:rPr>
                <w:rFonts w:ascii="Times New Roman" w:hAnsi="Times New Roman"/>
              </w:rPr>
            </w:pPr>
            <w:r>
              <w:rPr>
                <w:rFonts w:ascii="Times New Roman" w:hAnsi="Times New Roman"/>
              </w:rPr>
              <w:t>1</w:t>
            </w:r>
          </w:p>
        </w:tc>
        <w:tc>
          <w:tcPr>
            <w:tcW w:w="1660" w:type="dxa"/>
            <w:vAlign w:val="center"/>
          </w:tcPr>
          <w:p>
            <w:pPr>
              <w:pStyle w:val="39"/>
              <w:rPr>
                <w:rFonts w:ascii="Times New Roman" w:hAnsi="Times New Roman"/>
              </w:rPr>
            </w:pPr>
            <w:r>
              <w:rPr>
                <w:rFonts w:ascii="Times New Roman" w:hAnsi="Times New Roman"/>
              </w:rPr>
              <w:t>临时排放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vMerge w:val="restart"/>
            <w:vAlign w:val="center"/>
          </w:tcPr>
          <w:p>
            <w:pPr>
              <w:pStyle w:val="39"/>
              <w:rPr>
                <w:rFonts w:ascii="Times New Roman" w:hAnsi="Times New Roman"/>
              </w:rPr>
            </w:pPr>
            <w:r>
              <w:rPr>
                <w:rFonts w:ascii="Times New Roman" w:hAnsi="Times New Roman"/>
              </w:rPr>
              <w:t>宣兴1井站</w:t>
            </w:r>
          </w:p>
        </w:tc>
        <w:tc>
          <w:tcPr>
            <w:tcW w:w="1659" w:type="dxa"/>
            <w:vAlign w:val="center"/>
          </w:tcPr>
          <w:p>
            <w:pPr>
              <w:pStyle w:val="39"/>
              <w:rPr>
                <w:rFonts w:ascii="Times New Roman" w:hAnsi="Times New Roman"/>
              </w:rPr>
            </w:pPr>
            <w:r>
              <w:rPr>
                <w:rFonts w:ascii="Times New Roman" w:hAnsi="Times New Roman"/>
              </w:rPr>
              <w:t>节流阀</w:t>
            </w:r>
          </w:p>
        </w:tc>
        <w:tc>
          <w:tcPr>
            <w:tcW w:w="1659" w:type="dxa"/>
            <w:vAlign w:val="center"/>
          </w:tcPr>
          <w:p>
            <w:pPr>
              <w:pStyle w:val="39"/>
              <w:rPr>
                <w:rFonts w:ascii="Times New Roman" w:hAnsi="Times New Roman"/>
              </w:rPr>
            </w:pPr>
            <w:r>
              <w:rPr>
                <w:rFonts w:ascii="Times New Roman" w:hAnsi="Times New Roman"/>
              </w:rPr>
              <w:t>62</w:t>
            </w:r>
          </w:p>
        </w:tc>
        <w:tc>
          <w:tcPr>
            <w:tcW w:w="1659" w:type="dxa"/>
            <w:vAlign w:val="center"/>
          </w:tcPr>
          <w:p>
            <w:pPr>
              <w:pStyle w:val="39"/>
              <w:rPr>
                <w:rFonts w:ascii="Times New Roman" w:hAnsi="Times New Roman"/>
              </w:rPr>
            </w:pPr>
            <w:r>
              <w:rPr>
                <w:rFonts w:ascii="Times New Roman" w:hAnsi="Times New Roman"/>
              </w:rPr>
              <w:t>2</w:t>
            </w:r>
          </w:p>
        </w:tc>
        <w:tc>
          <w:tcPr>
            <w:tcW w:w="1660" w:type="dxa"/>
            <w:vAlign w:val="center"/>
          </w:tcPr>
          <w:p>
            <w:pPr>
              <w:pStyle w:val="39"/>
              <w:rPr>
                <w:rFonts w:ascii="Times New Roman" w:hAnsi="Times New Roman"/>
              </w:rPr>
            </w:pPr>
            <w:r>
              <w:rPr>
                <w:rFonts w:ascii="Times New Roman" w:hAnsi="Times New Roman"/>
              </w:rPr>
              <w:t>连续排放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vMerge w:val="continue"/>
            <w:vAlign w:val="center"/>
          </w:tcPr>
          <w:p>
            <w:pPr>
              <w:pStyle w:val="39"/>
              <w:rPr>
                <w:rFonts w:ascii="Times New Roman" w:hAnsi="Times New Roman"/>
              </w:rPr>
            </w:pPr>
          </w:p>
        </w:tc>
        <w:tc>
          <w:tcPr>
            <w:tcW w:w="1659" w:type="dxa"/>
            <w:vAlign w:val="center"/>
          </w:tcPr>
          <w:p>
            <w:pPr>
              <w:pStyle w:val="39"/>
              <w:rPr>
                <w:rFonts w:ascii="Times New Roman" w:hAnsi="Times New Roman"/>
              </w:rPr>
            </w:pPr>
            <w:r>
              <w:rPr>
                <w:rFonts w:ascii="Times New Roman" w:hAnsi="Times New Roman"/>
              </w:rPr>
              <w:t>计量分离器</w:t>
            </w:r>
          </w:p>
        </w:tc>
        <w:tc>
          <w:tcPr>
            <w:tcW w:w="1659" w:type="dxa"/>
            <w:vAlign w:val="center"/>
          </w:tcPr>
          <w:p>
            <w:pPr>
              <w:pStyle w:val="39"/>
              <w:rPr>
                <w:rFonts w:ascii="Times New Roman" w:hAnsi="Times New Roman"/>
              </w:rPr>
            </w:pPr>
            <w:r>
              <w:rPr>
                <w:rFonts w:ascii="Times New Roman" w:hAnsi="Times New Roman"/>
              </w:rPr>
              <w:t>65</w:t>
            </w:r>
          </w:p>
        </w:tc>
        <w:tc>
          <w:tcPr>
            <w:tcW w:w="1659" w:type="dxa"/>
            <w:vAlign w:val="center"/>
          </w:tcPr>
          <w:p>
            <w:pPr>
              <w:pStyle w:val="39"/>
              <w:rPr>
                <w:rFonts w:ascii="Times New Roman" w:hAnsi="Times New Roman"/>
              </w:rPr>
            </w:pPr>
            <w:r>
              <w:rPr>
                <w:rFonts w:ascii="Times New Roman" w:hAnsi="Times New Roman"/>
              </w:rPr>
              <w:t>1</w:t>
            </w:r>
          </w:p>
        </w:tc>
        <w:tc>
          <w:tcPr>
            <w:tcW w:w="1660" w:type="dxa"/>
            <w:vAlign w:val="center"/>
          </w:tcPr>
          <w:p>
            <w:pPr>
              <w:pStyle w:val="39"/>
              <w:rPr>
                <w:rFonts w:ascii="Times New Roman" w:hAnsi="Times New Roman"/>
              </w:rPr>
            </w:pPr>
            <w:r>
              <w:rPr>
                <w:rFonts w:ascii="Times New Roman" w:hAnsi="Times New Roman"/>
              </w:rPr>
              <w:t>连续排放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vMerge w:val="continue"/>
            <w:vAlign w:val="center"/>
          </w:tcPr>
          <w:p>
            <w:pPr>
              <w:pStyle w:val="39"/>
              <w:rPr>
                <w:rFonts w:ascii="Times New Roman" w:hAnsi="Times New Roman"/>
              </w:rPr>
            </w:pPr>
          </w:p>
        </w:tc>
        <w:tc>
          <w:tcPr>
            <w:tcW w:w="1659" w:type="dxa"/>
            <w:vAlign w:val="center"/>
          </w:tcPr>
          <w:p>
            <w:pPr>
              <w:pStyle w:val="39"/>
              <w:rPr>
                <w:rFonts w:ascii="Times New Roman" w:hAnsi="Times New Roman"/>
              </w:rPr>
            </w:pPr>
            <w:r>
              <w:rPr>
                <w:rFonts w:ascii="Times New Roman" w:hAnsi="Times New Roman"/>
              </w:rPr>
              <w:t>放空火炬</w:t>
            </w:r>
          </w:p>
        </w:tc>
        <w:tc>
          <w:tcPr>
            <w:tcW w:w="1659" w:type="dxa"/>
            <w:vAlign w:val="center"/>
          </w:tcPr>
          <w:p>
            <w:pPr>
              <w:pStyle w:val="39"/>
              <w:rPr>
                <w:rFonts w:ascii="Times New Roman" w:hAnsi="Times New Roman"/>
              </w:rPr>
            </w:pPr>
            <w:r>
              <w:rPr>
                <w:rFonts w:ascii="Times New Roman" w:hAnsi="Times New Roman"/>
              </w:rPr>
              <w:t>100～110</w:t>
            </w:r>
          </w:p>
        </w:tc>
        <w:tc>
          <w:tcPr>
            <w:tcW w:w="1659" w:type="dxa"/>
            <w:vAlign w:val="center"/>
          </w:tcPr>
          <w:p>
            <w:pPr>
              <w:pStyle w:val="39"/>
              <w:rPr>
                <w:rFonts w:ascii="Times New Roman" w:hAnsi="Times New Roman"/>
              </w:rPr>
            </w:pPr>
            <w:r>
              <w:rPr>
                <w:rFonts w:ascii="Times New Roman" w:hAnsi="Times New Roman"/>
              </w:rPr>
              <w:t>1</w:t>
            </w:r>
          </w:p>
        </w:tc>
        <w:tc>
          <w:tcPr>
            <w:tcW w:w="1660" w:type="dxa"/>
            <w:vAlign w:val="center"/>
          </w:tcPr>
          <w:p>
            <w:pPr>
              <w:pStyle w:val="39"/>
              <w:rPr>
                <w:rFonts w:ascii="Times New Roman" w:hAnsi="Times New Roman"/>
              </w:rPr>
            </w:pPr>
            <w:r>
              <w:rPr>
                <w:rFonts w:ascii="Times New Roman" w:hAnsi="Times New Roman"/>
              </w:rPr>
              <w:t>临时排放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vAlign w:val="center"/>
          </w:tcPr>
          <w:p>
            <w:pPr>
              <w:pStyle w:val="39"/>
              <w:rPr>
                <w:rFonts w:ascii="Times New Roman" w:hAnsi="Times New Roman"/>
              </w:rPr>
            </w:pPr>
            <w:r>
              <w:rPr>
                <w:rFonts w:ascii="Times New Roman" w:hAnsi="Times New Roman"/>
              </w:rPr>
              <w:t>清管站</w:t>
            </w:r>
          </w:p>
        </w:tc>
        <w:tc>
          <w:tcPr>
            <w:tcW w:w="1659" w:type="dxa"/>
            <w:vAlign w:val="center"/>
          </w:tcPr>
          <w:p>
            <w:pPr>
              <w:pStyle w:val="39"/>
              <w:rPr>
                <w:rFonts w:ascii="Times New Roman" w:hAnsi="Times New Roman"/>
              </w:rPr>
            </w:pPr>
            <w:r>
              <w:rPr>
                <w:rFonts w:ascii="Times New Roman" w:hAnsi="Times New Roman"/>
              </w:rPr>
              <w:t>放空火炬</w:t>
            </w:r>
          </w:p>
        </w:tc>
        <w:tc>
          <w:tcPr>
            <w:tcW w:w="1659" w:type="dxa"/>
            <w:vAlign w:val="center"/>
          </w:tcPr>
          <w:p>
            <w:pPr>
              <w:pStyle w:val="39"/>
              <w:rPr>
                <w:rFonts w:ascii="Times New Roman" w:hAnsi="Times New Roman"/>
              </w:rPr>
            </w:pPr>
            <w:r>
              <w:rPr>
                <w:rFonts w:ascii="Times New Roman" w:hAnsi="Times New Roman"/>
              </w:rPr>
              <w:t>100～110</w:t>
            </w:r>
          </w:p>
        </w:tc>
        <w:tc>
          <w:tcPr>
            <w:tcW w:w="1659" w:type="dxa"/>
            <w:vAlign w:val="center"/>
          </w:tcPr>
          <w:p>
            <w:pPr>
              <w:pStyle w:val="39"/>
              <w:rPr>
                <w:rFonts w:ascii="Times New Roman" w:hAnsi="Times New Roman"/>
              </w:rPr>
            </w:pPr>
            <w:r>
              <w:rPr>
                <w:rFonts w:ascii="Times New Roman" w:hAnsi="Times New Roman"/>
              </w:rPr>
              <w:t>1</w:t>
            </w:r>
          </w:p>
        </w:tc>
        <w:tc>
          <w:tcPr>
            <w:tcW w:w="1660" w:type="dxa"/>
            <w:vAlign w:val="center"/>
          </w:tcPr>
          <w:p>
            <w:pPr>
              <w:pStyle w:val="39"/>
              <w:rPr>
                <w:rFonts w:ascii="Times New Roman" w:hAnsi="Times New Roman"/>
              </w:rPr>
            </w:pPr>
            <w:r>
              <w:rPr>
                <w:rFonts w:ascii="Times New Roman" w:hAnsi="Times New Roman"/>
              </w:rPr>
              <w:t>临时排放</w:t>
            </w:r>
          </w:p>
        </w:tc>
      </w:tr>
    </w:tbl>
    <w:p>
      <w:pPr>
        <w:pStyle w:val="5"/>
        <w:rPr>
          <w:rFonts w:ascii="Times New Roman" w:hAnsi="Times New Roman"/>
        </w:rPr>
      </w:pPr>
      <w:r>
        <w:rPr>
          <w:rFonts w:ascii="Times New Roman" w:hAnsi="Times New Roman"/>
        </w:rPr>
        <w:t>固体废物</w:t>
      </w:r>
    </w:p>
    <w:p>
      <w:pPr>
        <w:ind w:firstLine="480"/>
        <w:rPr>
          <w:rFonts w:ascii="Times New Roman" w:hAnsi="Times New Roman"/>
        </w:rPr>
      </w:pPr>
      <w:r>
        <w:rPr>
          <w:rFonts w:ascii="Times New Roman" w:hAnsi="Times New Roman"/>
        </w:rPr>
        <w:t>运营期固体废物主要为清管废渣、日常检修产生废油废抹布等、以及工作人员的生活垃圾等。</w:t>
      </w:r>
    </w:p>
    <w:p>
      <w:pPr>
        <w:ind w:firstLine="482"/>
        <w:rPr>
          <w:rFonts w:ascii="Times New Roman" w:hAnsi="Times New Roman"/>
          <w:b/>
          <w:bCs/>
        </w:rPr>
      </w:pPr>
      <w:r>
        <w:rPr>
          <w:rFonts w:ascii="Times New Roman" w:hAnsi="Times New Roman"/>
          <w:b/>
          <w:bCs/>
        </w:rPr>
        <w:t>（1）清管废渣</w:t>
      </w:r>
    </w:p>
    <w:p>
      <w:pPr>
        <w:ind w:firstLine="480"/>
        <w:rPr>
          <w:rFonts w:ascii="Times New Roman" w:hAnsi="Times New Roman"/>
        </w:rPr>
      </w:pPr>
      <w:r>
        <w:rPr>
          <w:rFonts w:ascii="Times New Roman" w:hAnsi="Times New Roman"/>
        </w:rPr>
        <w:t>运营期采气井站、采气管线无固废产生，清管器接收装置产生的清管废渣，</w:t>
      </w:r>
      <w:r>
        <w:rPr>
          <w:rFonts w:hint="eastAsia" w:ascii="Times New Roman" w:hAnsi="Times New Roman"/>
          <w:lang w:eastAsia="zh-CN"/>
        </w:rPr>
        <w:t>主要成分</w:t>
      </w:r>
      <w:r>
        <w:rPr>
          <w:rFonts w:ascii="Times New Roman" w:hAnsi="Times New Roman"/>
        </w:rPr>
        <w:t>有硫化亚铁、井内杂屑、机械杂质等，属于一般固体废物。根据类比调查，含硫管道清管作业频率为4次/年，每次清管废渣产生量约1.5kg/km，本项目清管线路总长16.7km，清管废渣产生量约0.12t/a（28.95kg/次），其中宣兴1井站产生量为0.021t/a，宣探清管站产生量为0.099t/a。产生后定期送第三方处置。</w:t>
      </w:r>
    </w:p>
    <w:p>
      <w:pPr>
        <w:ind w:firstLine="482"/>
        <w:rPr>
          <w:rFonts w:ascii="Times New Roman" w:hAnsi="Times New Roman"/>
          <w:b/>
          <w:bCs/>
        </w:rPr>
      </w:pPr>
      <w:r>
        <w:rPr>
          <w:rFonts w:ascii="Times New Roman" w:hAnsi="Times New Roman"/>
          <w:b/>
          <w:bCs/>
        </w:rPr>
        <w:t>（2）含油废抹布等</w:t>
      </w:r>
    </w:p>
    <w:p>
      <w:pPr>
        <w:ind w:firstLine="480"/>
        <w:rPr>
          <w:rFonts w:ascii="Times New Roman" w:hAnsi="Times New Roman"/>
        </w:rPr>
      </w:pPr>
      <w:r>
        <w:rPr>
          <w:rFonts w:ascii="Times New Roman" w:hAnsi="Times New Roman"/>
        </w:rPr>
        <w:t>本项目产生的油类主要为保养空气压缩机等设备更换产生的含油废抹布等，两井站各产生量约为0.05t/a，含油废抹布属于危险废物（类别为HW49，代码900-041-49），不在站内储存，产生后由管理单位进行统一收集，最后交由具有危险废物处理资质的单位拉运处理。</w:t>
      </w:r>
    </w:p>
    <w:p>
      <w:pPr>
        <w:ind w:firstLine="482"/>
        <w:rPr>
          <w:rFonts w:ascii="Times New Roman" w:hAnsi="Times New Roman"/>
          <w:b/>
          <w:bCs/>
        </w:rPr>
      </w:pPr>
      <w:r>
        <w:rPr>
          <w:rFonts w:ascii="Times New Roman" w:hAnsi="Times New Roman"/>
          <w:b/>
          <w:bCs/>
        </w:rPr>
        <w:t>（3）化学品空桶</w:t>
      </w:r>
    </w:p>
    <w:p>
      <w:pPr>
        <w:ind w:firstLine="480"/>
        <w:rPr>
          <w:rFonts w:ascii="Times New Roman" w:hAnsi="Times New Roman"/>
        </w:rPr>
      </w:pPr>
      <w:r>
        <w:rPr>
          <w:rFonts w:ascii="Times New Roman" w:hAnsi="Times New Roman"/>
        </w:rPr>
        <w:t>本项目井站需要投加缓蚀剂和抑制剂，缓蚀剂为连续加注工艺，抑制剂为开井工况或极端低温天气条件下应急加注，会产生药剂空桶。根据站场药剂投加速率，每个站场化学品空桶产生量约10个/月（约0.04t），两站场每年产生量为0.96t，属于危险废物（类别为HW49，代码900-041-49），不在站内暂存，由厂家回收利用。</w:t>
      </w:r>
    </w:p>
    <w:p>
      <w:pPr>
        <w:ind w:firstLine="482"/>
        <w:rPr>
          <w:rFonts w:ascii="Times New Roman" w:hAnsi="Times New Roman"/>
          <w:b/>
          <w:bCs/>
        </w:rPr>
      </w:pPr>
      <w:r>
        <w:rPr>
          <w:rFonts w:ascii="Times New Roman" w:hAnsi="Times New Roman"/>
          <w:b/>
          <w:bCs/>
        </w:rPr>
        <w:t>（4）生活垃圾</w:t>
      </w:r>
    </w:p>
    <w:p>
      <w:pPr>
        <w:ind w:firstLine="480"/>
        <w:rPr>
          <w:rFonts w:ascii="Times New Roman" w:hAnsi="Times New Roman"/>
        </w:rPr>
      </w:pPr>
      <w:r>
        <w:rPr>
          <w:rFonts w:ascii="Times New Roman" w:hAnsi="Times New Roman"/>
        </w:rPr>
        <w:t>本项目维抢修队的劳动定员为14人，实行轮换制，实际在岗7人。生活垃圾产生量按每人每天产生0.5kg计，项目生活垃圾产生量约1.28t/a，统一手收集后，由当地环卫部门统一处理。</w:t>
      </w:r>
    </w:p>
    <w:p>
      <w:pPr>
        <w:pStyle w:val="4"/>
        <w:rPr>
          <w:rFonts w:ascii="Times New Roman" w:hAnsi="Times New Roman" w:cs="Times New Roman"/>
        </w:rPr>
      </w:pPr>
      <w:r>
        <w:rPr>
          <w:rFonts w:ascii="Times New Roman" w:hAnsi="Times New Roman" w:cs="Times New Roman"/>
        </w:rPr>
        <w:t>硫平衡</w:t>
      </w:r>
    </w:p>
    <w:p>
      <w:pPr>
        <w:ind w:firstLine="480"/>
        <w:rPr>
          <w:rFonts w:ascii="Times New Roman" w:hAnsi="Times New Roman"/>
        </w:rPr>
      </w:pPr>
      <w:r>
        <w:rPr>
          <w:rFonts w:ascii="Times New Roman" w:hAnsi="Times New Roman"/>
        </w:rPr>
        <w:t>宣探1井站测试原料气中硫化氢含量为153.28g/m</w:t>
      </w:r>
      <w:r>
        <w:rPr>
          <w:rFonts w:ascii="Times New Roman" w:hAnsi="Times New Roman"/>
          <w:vertAlign w:val="superscript"/>
        </w:rPr>
        <w:t>3</w:t>
      </w:r>
      <w:r>
        <w:rPr>
          <w:rFonts w:ascii="Times New Roman" w:hAnsi="Times New Roman"/>
        </w:rPr>
        <w:t>，宣兴1井站参考邻区中石化老君L701-3井气质组分，原料气中硫化氢含量为239.95 g/m</w:t>
      </w:r>
      <w:r>
        <w:rPr>
          <w:rFonts w:ascii="Times New Roman" w:hAnsi="Times New Roman"/>
          <w:vertAlign w:val="superscript"/>
        </w:rPr>
        <w:t>3</w:t>
      </w:r>
      <w:r>
        <w:rPr>
          <w:rFonts w:ascii="Times New Roman" w:hAnsi="Times New Roman"/>
        </w:rPr>
        <w:t>。</w:t>
      </w:r>
    </w:p>
    <w:p>
      <w:pPr>
        <w:ind w:firstLine="480"/>
        <w:rPr>
          <w:rFonts w:ascii="Times New Roman" w:hAnsi="Times New Roman"/>
        </w:rPr>
      </w:pPr>
      <w:r>
        <w:rPr>
          <w:rFonts w:ascii="Times New Roman" w:hAnsi="Times New Roman"/>
        </w:rPr>
        <w:t>本项目硫平衡情况见</w:t>
      </w:r>
      <w:r>
        <w:rPr>
          <w:rFonts w:ascii="Times New Roman" w:hAnsi="Times New Roman"/>
        </w:rPr>
        <w:fldChar w:fldCharType="begin"/>
      </w:r>
      <w:r>
        <w:rPr>
          <w:rFonts w:ascii="Times New Roman" w:hAnsi="Times New Roman"/>
        </w:rPr>
        <w:instrText xml:space="preserve"> REF _Ref154390807 \h  \* MERGEFORMAT </w:instrText>
      </w:r>
      <w:r>
        <w:rPr>
          <w:rFonts w:ascii="Times New Roman" w:hAnsi="Times New Roman"/>
        </w:rPr>
        <w:fldChar w:fldCharType="separate"/>
      </w:r>
      <w:r>
        <w:rPr>
          <w:rFonts w:ascii="Times New Roman" w:hAnsi="Times New Roman"/>
        </w:rPr>
        <w:t>图 3</w:t>
      </w:r>
      <w:r>
        <w:rPr>
          <w:rFonts w:ascii="Times New Roman" w:hAnsi="Times New Roman"/>
        </w:rPr>
        <w:noBreakHyphen/>
      </w:r>
      <w:r>
        <w:rPr>
          <w:rFonts w:ascii="Times New Roman" w:hAnsi="Times New Roman"/>
        </w:rPr>
        <w:t>10</w:t>
      </w:r>
      <w:r>
        <w:rPr>
          <w:rFonts w:ascii="Times New Roman" w:hAnsi="Times New Roman"/>
        </w:rPr>
        <w:fldChar w:fldCharType="end"/>
      </w:r>
      <w:r>
        <w:rPr>
          <w:rFonts w:ascii="Times New Roman" w:hAnsi="Times New Roman"/>
        </w:rPr>
        <w:t>。</w:t>
      </w:r>
    </w:p>
    <w:p>
      <w:pPr>
        <w:ind w:firstLine="480"/>
        <w:rPr>
          <w:rFonts w:ascii="Times New Roman" w:hAnsi="Times New Roman"/>
        </w:rPr>
      </w:pPr>
    </w:p>
    <w:p>
      <w:pPr>
        <w:ind w:firstLine="0" w:firstLineChars="0"/>
        <w:rPr>
          <w:rFonts w:ascii="Times New Roman" w:hAnsi="Times New Roman"/>
        </w:rPr>
      </w:pPr>
    </w:p>
    <w:p>
      <w:pPr>
        <w:pStyle w:val="37"/>
        <w:rPr>
          <w:rFonts w:ascii="Times New Roman" w:hAnsi="Times New Roman" w:cs="Times New Roman"/>
        </w:rPr>
      </w:pPr>
      <w:bookmarkStart w:id="113" w:name="_Ref154390807"/>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bookmarkEnd w:id="113"/>
      <w:r>
        <w:rPr>
          <w:rFonts w:ascii="Times New Roman" w:hAnsi="Times New Roman" w:cs="Times New Roman"/>
        </w:rPr>
        <w:t xml:space="preserve">  本项目硫平衡图</w:t>
      </w:r>
    </w:p>
    <w:p>
      <w:pPr>
        <w:pStyle w:val="3"/>
        <w:rPr>
          <w:rFonts w:ascii="Times New Roman" w:hAnsi="Times New Roman" w:cs="Times New Roman"/>
        </w:rPr>
      </w:pPr>
      <w:bookmarkStart w:id="114" w:name="_Toc162339409"/>
      <w:r>
        <w:rPr>
          <w:rFonts w:ascii="Times New Roman" w:hAnsi="Times New Roman" w:cs="Times New Roman"/>
        </w:rPr>
        <w:t>污染物排放汇总和达标排放分析</w:t>
      </w:r>
      <w:bookmarkEnd w:id="114"/>
    </w:p>
    <w:p>
      <w:pPr>
        <w:pStyle w:val="4"/>
        <w:rPr>
          <w:rFonts w:ascii="Times New Roman" w:hAnsi="Times New Roman" w:cs="Times New Roman"/>
        </w:rPr>
      </w:pPr>
      <w:r>
        <w:rPr>
          <w:rFonts w:ascii="Times New Roman" w:hAnsi="Times New Roman" w:cs="Times New Roman"/>
        </w:rPr>
        <w:t>废水污染源</w:t>
      </w:r>
    </w:p>
    <w:p>
      <w:pPr>
        <w:ind w:firstLine="480"/>
        <w:rPr>
          <w:rFonts w:ascii="Times New Roman" w:hAnsi="Times New Roman"/>
        </w:rPr>
      </w:pPr>
      <w:r>
        <w:rPr>
          <w:rFonts w:ascii="Times New Roman" w:hAnsi="Times New Roman"/>
        </w:rPr>
        <w:t>本项目废水主要包括气田水、检修废水、设备外壁擦洗废水和生活污水，项目运营期废水的产排情况见</w:t>
      </w:r>
      <w:r>
        <w:rPr>
          <w:rFonts w:ascii="Times New Roman" w:hAnsi="Times New Roman"/>
        </w:rPr>
        <w:fldChar w:fldCharType="begin"/>
      </w:r>
      <w:r>
        <w:rPr>
          <w:rFonts w:ascii="Times New Roman" w:hAnsi="Times New Roman"/>
        </w:rPr>
        <w:instrText xml:space="preserve"> REF _Ref154482360 \h  \* MERGEFORMAT </w:instrText>
      </w:r>
      <w:r>
        <w:rPr>
          <w:rFonts w:ascii="Times New Roman" w:hAnsi="Times New Roman"/>
        </w:rPr>
        <w:fldChar w:fldCharType="separate"/>
      </w:r>
      <w:r>
        <w:rPr>
          <w:rFonts w:ascii="Times New Roman" w:hAnsi="Times New Roman"/>
        </w:rPr>
        <w:t>表 3</w:t>
      </w:r>
      <w:r>
        <w:rPr>
          <w:rFonts w:ascii="Times New Roman" w:hAnsi="Times New Roman"/>
        </w:rPr>
        <w:noBreakHyphen/>
      </w:r>
      <w:r>
        <w:rPr>
          <w:rFonts w:ascii="Times New Roman" w:hAnsi="Times New Roman"/>
        </w:rPr>
        <w:t>13</w:t>
      </w:r>
      <w:r>
        <w:rPr>
          <w:rFonts w:ascii="Times New Roman" w:hAnsi="Times New Roman"/>
        </w:rPr>
        <w:fldChar w:fldCharType="end"/>
      </w:r>
      <w:r>
        <w:rPr>
          <w:rFonts w:ascii="Times New Roman" w:hAnsi="Times New Roman"/>
        </w:rPr>
        <w:t>。</w:t>
      </w:r>
    </w:p>
    <w:p>
      <w:pPr>
        <w:ind w:firstLine="480"/>
        <w:rPr>
          <w:rFonts w:ascii="Times New Roman" w:hAnsi="Times New Roman"/>
        </w:rPr>
      </w:pPr>
    </w:p>
    <w:p>
      <w:pPr>
        <w:ind w:firstLine="480"/>
        <w:rPr>
          <w:rFonts w:ascii="Times New Roman" w:hAnsi="Times New Roman"/>
        </w:rPr>
        <w:sectPr>
          <w:headerReference r:id="rId15" w:type="default"/>
          <w:footerReference r:id="rId16" w:type="default"/>
          <w:pgSz w:w="11906" w:h="16838"/>
          <w:pgMar w:top="1440" w:right="1800" w:bottom="1440" w:left="1800" w:header="851" w:footer="992" w:gutter="0"/>
          <w:cols w:space="425" w:num="1"/>
          <w:docGrid w:type="lines" w:linePitch="312" w:charSpace="0"/>
        </w:sectPr>
      </w:pPr>
    </w:p>
    <w:p>
      <w:pPr>
        <w:pStyle w:val="37"/>
        <w:rPr>
          <w:rFonts w:ascii="Times New Roman" w:hAnsi="Times New Roman" w:cs="Times New Roman"/>
        </w:rPr>
      </w:pPr>
      <w:bookmarkStart w:id="115" w:name="_Ref154482360"/>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13</w:t>
      </w:r>
      <w:r>
        <w:rPr>
          <w:rFonts w:ascii="Times New Roman" w:hAnsi="Times New Roman" w:cs="Times New Roman"/>
        </w:rPr>
        <w:fldChar w:fldCharType="end"/>
      </w:r>
      <w:bookmarkEnd w:id="115"/>
      <w:r>
        <w:rPr>
          <w:rFonts w:ascii="Times New Roman" w:hAnsi="Times New Roman" w:cs="Times New Roman"/>
        </w:rPr>
        <w:t xml:space="preserve">  本项目废水污染源产排情况一览表</w:t>
      </w:r>
    </w:p>
    <w:tbl>
      <w:tblPr>
        <w:tblStyle w:val="28"/>
        <w:tblW w:w="153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3"/>
        <w:gridCol w:w="1163"/>
        <w:gridCol w:w="1399"/>
        <w:gridCol w:w="1163"/>
        <w:gridCol w:w="1162"/>
        <w:gridCol w:w="14"/>
        <w:gridCol w:w="1148"/>
        <w:gridCol w:w="1162"/>
        <w:gridCol w:w="14"/>
        <w:gridCol w:w="1384"/>
        <w:gridCol w:w="1162"/>
        <w:gridCol w:w="1843"/>
        <w:gridCol w:w="1162"/>
        <w:gridCol w:w="13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restart"/>
            <w:vAlign w:val="center"/>
          </w:tcPr>
          <w:p>
            <w:pPr>
              <w:pStyle w:val="39"/>
              <w:rPr>
                <w:rFonts w:ascii="Times New Roman" w:hAnsi="Times New Roman"/>
              </w:rPr>
            </w:pPr>
            <w:r>
              <w:rPr>
                <w:rFonts w:ascii="Times New Roman" w:hAnsi="Times New Roman"/>
              </w:rPr>
              <w:t>污染源</w:t>
            </w:r>
          </w:p>
        </w:tc>
        <w:tc>
          <w:tcPr>
            <w:tcW w:w="1163" w:type="dxa"/>
            <w:vMerge w:val="restart"/>
            <w:vAlign w:val="center"/>
          </w:tcPr>
          <w:p>
            <w:pPr>
              <w:pStyle w:val="39"/>
              <w:rPr>
                <w:rFonts w:ascii="Times New Roman" w:hAnsi="Times New Roman"/>
              </w:rPr>
            </w:pPr>
            <w:r>
              <w:rPr>
                <w:rFonts w:ascii="Times New Roman" w:hAnsi="Times New Roman"/>
              </w:rPr>
              <w:t>污染物</w:t>
            </w:r>
          </w:p>
        </w:tc>
        <w:tc>
          <w:tcPr>
            <w:tcW w:w="3738" w:type="dxa"/>
            <w:gridSpan w:val="4"/>
            <w:vAlign w:val="center"/>
          </w:tcPr>
          <w:p>
            <w:pPr>
              <w:pStyle w:val="39"/>
              <w:rPr>
                <w:rFonts w:ascii="Times New Roman" w:hAnsi="Times New Roman"/>
              </w:rPr>
            </w:pPr>
            <w:r>
              <w:rPr>
                <w:rFonts w:ascii="Times New Roman" w:hAnsi="Times New Roman"/>
              </w:rPr>
              <w:t>污染物产生</w:t>
            </w:r>
          </w:p>
        </w:tc>
        <w:tc>
          <w:tcPr>
            <w:tcW w:w="2324" w:type="dxa"/>
            <w:gridSpan w:val="3"/>
            <w:vAlign w:val="center"/>
          </w:tcPr>
          <w:p>
            <w:pPr>
              <w:pStyle w:val="39"/>
              <w:rPr>
                <w:rFonts w:ascii="Times New Roman" w:hAnsi="Times New Roman"/>
              </w:rPr>
            </w:pPr>
            <w:r>
              <w:rPr>
                <w:rFonts w:ascii="Times New Roman" w:hAnsi="Times New Roman"/>
              </w:rPr>
              <w:t>治理措施</w:t>
            </w:r>
          </w:p>
        </w:tc>
        <w:tc>
          <w:tcPr>
            <w:tcW w:w="4389" w:type="dxa"/>
            <w:gridSpan w:val="3"/>
            <w:vAlign w:val="center"/>
          </w:tcPr>
          <w:p>
            <w:pPr>
              <w:pStyle w:val="39"/>
              <w:rPr>
                <w:rFonts w:ascii="Times New Roman" w:hAnsi="Times New Roman"/>
              </w:rPr>
            </w:pPr>
            <w:r>
              <w:rPr>
                <w:rFonts w:ascii="Times New Roman" w:hAnsi="Times New Roman"/>
              </w:rPr>
              <w:t>污染物排放</w:t>
            </w:r>
          </w:p>
        </w:tc>
        <w:tc>
          <w:tcPr>
            <w:tcW w:w="1162" w:type="dxa"/>
            <w:vMerge w:val="restart"/>
            <w:vAlign w:val="center"/>
          </w:tcPr>
          <w:p>
            <w:pPr>
              <w:pStyle w:val="39"/>
              <w:rPr>
                <w:rFonts w:ascii="Times New Roman" w:hAnsi="Times New Roman"/>
              </w:rPr>
            </w:pPr>
            <w:r>
              <w:rPr>
                <w:rFonts w:ascii="Times New Roman" w:hAnsi="Times New Roman"/>
              </w:rPr>
              <w:t>排放时间（h）/排放规律</w:t>
            </w:r>
          </w:p>
        </w:tc>
        <w:tc>
          <w:tcPr>
            <w:tcW w:w="1398" w:type="dxa"/>
            <w:vMerge w:val="restart"/>
            <w:vAlign w:val="center"/>
          </w:tcPr>
          <w:p>
            <w:pPr>
              <w:pStyle w:val="39"/>
              <w:rPr>
                <w:rFonts w:ascii="Times New Roman" w:hAnsi="Times New Roman"/>
              </w:rPr>
            </w:pPr>
            <w:r>
              <w:rPr>
                <w:rFonts w:ascii="Times New Roman" w:hAnsi="Times New Roman"/>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continue"/>
            <w:vAlign w:val="center"/>
          </w:tcPr>
          <w:p>
            <w:pPr>
              <w:pStyle w:val="39"/>
              <w:rPr>
                <w:rFonts w:ascii="Times New Roman" w:hAnsi="Times New Roman"/>
              </w:rPr>
            </w:pPr>
          </w:p>
        </w:tc>
        <w:tc>
          <w:tcPr>
            <w:tcW w:w="1163" w:type="dxa"/>
            <w:vMerge w:val="continue"/>
            <w:vAlign w:val="center"/>
          </w:tcPr>
          <w:p>
            <w:pPr>
              <w:pStyle w:val="39"/>
              <w:rPr>
                <w:rFonts w:ascii="Times New Roman" w:hAnsi="Times New Roman"/>
              </w:rPr>
            </w:pPr>
          </w:p>
        </w:tc>
        <w:tc>
          <w:tcPr>
            <w:tcW w:w="1399" w:type="dxa"/>
            <w:vAlign w:val="center"/>
          </w:tcPr>
          <w:p>
            <w:pPr>
              <w:pStyle w:val="39"/>
              <w:rPr>
                <w:rFonts w:ascii="Times New Roman" w:hAnsi="Times New Roman"/>
              </w:rPr>
            </w:pPr>
            <w:r>
              <w:rPr>
                <w:rFonts w:ascii="Times New Roman" w:hAnsi="Times New Roman"/>
              </w:rPr>
              <w:t>核算方法</w:t>
            </w:r>
          </w:p>
        </w:tc>
        <w:tc>
          <w:tcPr>
            <w:tcW w:w="1163" w:type="dxa"/>
            <w:vAlign w:val="center"/>
          </w:tcPr>
          <w:p>
            <w:pPr>
              <w:pStyle w:val="39"/>
              <w:rPr>
                <w:rFonts w:ascii="Times New Roman" w:hAnsi="Times New Roman"/>
              </w:rPr>
            </w:pPr>
            <w:r>
              <w:rPr>
                <w:rFonts w:ascii="Times New Roman" w:hAnsi="Times New Roman"/>
              </w:rPr>
              <w:t>产生浓度（mg/L）</w:t>
            </w:r>
          </w:p>
        </w:tc>
        <w:tc>
          <w:tcPr>
            <w:tcW w:w="1162" w:type="dxa"/>
            <w:vAlign w:val="center"/>
          </w:tcPr>
          <w:p>
            <w:pPr>
              <w:pStyle w:val="39"/>
              <w:rPr>
                <w:rFonts w:ascii="Times New Roman" w:hAnsi="Times New Roman"/>
              </w:rPr>
            </w:pPr>
            <w:r>
              <w:rPr>
                <w:rFonts w:ascii="Times New Roman" w:hAnsi="Times New Roman"/>
              </w:rPr>
              <w:t>产生量（t/a）</w:t>
            </w:r>
          </w:p>
        </w:tc>
        <w:tc>
          <w:tcPr>
            <w:tcW w:w="1162" w:type="dxa"/>
            <w:gridSpan w:val="2"/>
            <w:vAlign w:val="center"/>
          </w:tcPr>
          <w:p>
            <w:pPr>
              <w:pStyle w:val="39"/>
              <w:rPr>
                <w:rFonts w:ascii="Times New Roman" w:hAnsi="Times New Roman"/>
              </w:rPr>
            </w:pPr>
            <w:r>
              <w:rPr>
                <w:rFonts w:ascii="Times New Roman" w:hAnsi="Times New Roman"/>
              </w:rPr>
              <w:t>工艺</w:t>
            </w:r>
          </w:p>
        </w:tc>
        <w:tc>
          <w:tcPr>
            <w:tcW w:w="1162" w:type="dxa"/>
            <w:vAlign w:val="center"/>
          </w:tcPr>
          <w:p>
            <w:pPr>
              <w:pStyle w:val="39"/>
              <w:rPr>
                <w:rFonts w:ascii="Times New Roman" w:hAnsi="Times New Roman"/>
              </w:rPr>
            </w:pPr>
            <w:r>
              <w:rPr>
                <w:rFonts w:ascii="Times New Roman" w:hAnsi="Times New Roman"/>
              </w:rPr>
              <w:t>效率（%）</w:t>
            </w:r>
          </w:p>
        </w:tc>
        <w:tc>
          <w:tcPr>
            <w:tcW w:w="1398" w:type="dxa"/>
            <w:gridSpan w:val="2"/>
            <w:vAlign w:val="center"/>
          </w:tcPr>
          <w:p>
            <w:pPr>
              <w:pStyle w:val="39"/>
              <w:rPr>
                <w:rFonts w:ascii="Times New Roman" w:hAnsi="Times New Roman"/>
              </w:rPr>
            </w:pPr>
            <w:r>
              <w:rPr>
                <w:rFonts w:ascii="Times New Roman" w:hAnsi="Times New Roman"/>
              </w:rPr>
              <w:t>核算方法</w:t>
            </w:r>
          </w:p>
        </w:tc>
        <w:tc>
          <w:tcPr>
            <w:tcW w:w="1162" w:type="dxa"/>
            <w:vAlign w:val="center"/>
          </w:tcPr>
          <w:p>
            <w:pPr>
              <w:pStyle w:val="39"/>
              <w:rPr>
                <w:rFonts w:ascii="Times New Roman" w:hAnsi="Times New Roman"/>
              </w:rPr>
            </w:pPr>
            <w:r>
              <w:rPr>
                <w:rFonts w:ascii="Times New Roman" w:hAnsi="Times New Roman"/>
              </w:rPr>
              <w:t>排放浓度（mg/L）</w:t>
            </w:r>
          </w:p>
        </w:tc>
        <w:tc>
          <w:tcPr>
            <w:tcW w:w="1843" w:type="dxa"/>
            <w:vAlign w:val="center"/>
          </w:tcPr>
          <w:p>
            <w:pPr>
              <w:pStyle w:val="39"/>
              <w:rPr>
                <w:rFonts w:ascii="Times New Roman" w:hAnsi="Times New Roman"/>
              </w:rPr>
            </w:pPr>
            <w:r>
              <w:rPr>
                <w:rFonts w:ascii="Times New Roman" w:hAnsi="Times New Roman"/>
              </w:rPr>
              <w:t>排放量（kg/h）</w:t>
            </w:r>
          </w:p>
        </w:tc>
        <w:tc>
          <w:tcPr>
            <w:tcW w:w="1162" w:type="dxa"/>
            <w:vMerge w:val="continue"/>
            <w:vAlign w:val="center"/>
          </w:tcPr>
          <w:p>
            <w:pPr>
              <w:pStyle w:val="39"/>
              <w:rPr>
                <w:rFonts w:ascii="Times New Roman" w:hAnsi="Times New Roman"/>
              </w:rPr>
            </w:pPr>
          </w:p>
        </w:tc>
        <w:tc>
          <w:tcPr>
            <w:tcW w:w="1398"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restart"/>
            <w:vAlign w:val="center"/>
          </w:tcPr>
          <w:p>
            <w:pPr>
              <w:pStyle w:val="39"/>
              <w:rPr>
                <w:rFonts w:ascii="Times New Roman" w:hAnsi="Times New Roman"/>
              </w:rPr>
            </w:pPr>
            <w:r>
              <w:rPr>
                <w:rFonts w:ascii="Times New Roman" w:hAnsi="Times New Roman"/>
              </w:rPr>
              <w:t>气田水</w:t>
            </w:r>
          </w:p>
        </w:tc>
        <w:tc>
          <w:tcPr>
            <w:tcW w:w="1163" w:type="dxa"/>
            <w:vAlign w:val="center"/>
          </w:tcPr>
          <w:p>
            <w:pPr>
              <w:pStyle w:val="39"/>
              <w:rPr>
                <w:rFonts w:ascii="Times New Roman" w:hAnsi="Times New Roman"/>
              </w:rPr>
            </w:pPr>
            <w:r>
              <w:rPr>
                <w:rFonts w:ascii="Times New Roman" w:hAnsi="Times New Roman"/>
              </w:rPr>
              <w:t>废水量</w:t>
            </w:r>
          </w:p>
        </w:tc>
        <w:tc>
          <w:tcPr>
            <w:tcW w:w="1399" w:type="dxa"/>
            <w:vAlign w:val="center"/>
          </w:tcPr>
          <w:p>
            <w:pPr>
              <w:pStyle w:val="39"/>
              <w:rPr>
                <w:rFonts w:ascii="Times New Roman" w:hAnsi="Times New Roman"/>
              </w:rPr>
            </w:pPr>
            <w:r>
              <w:rPr>
                <w:rFonts w:ascii="Times New Roman" w:hAnsi="Times New Roman"/>
              </w:rPr>
              <w:t>物料衡算</w:t>
            </w:r>
          </w:p>
        </w:tc>
        <w:tc>
          <w:tcPr>
            <w:tcW w:w="1163" w:type="dxa"/>
            <w:vAlign w:val="center"/>
          </w:tcPr>
          <w:p>
            <w:pPr>
              <w:pStyle w:val="39"/>
              <w:rPr>
                <w:rFonts w:ascii="Times New Roman" w:hAnsi="Times New Roman"/>
              </w:rPr>
            </w:pPr>
            <w:r>
              <w:rPr>
                <w:rFonts w:ascii="Times New Roman" w:hAnsi="Times New Roman"/>
              </w:rPr>
              <w:t>/</w:t>
            </w:r>
          </w:p>
        </w:tc>
        <w:tc>
          <w:tcPr>
            <w:tcW w:w="1162" w:type="dxa"/>
            <w:vAlign w:val="center"/>
          </w:tcPr>
          <w:p>
            <w:pPr>
              <w:pStyle w:val="39"/>
              <w:rPr>
                <w:rFonts w:ascii="Times New Roman" w:hAnsi="Times New Roman"/>
              </w:rPr>
            </w:pPr>
            <w:r>
              <w:rPr>
                <w:rFonts w:ascii="Times New Roman" w:hAnsi="Times New Roman"/>
              </w:rPr>
              <w:t>7200</w:t>
            </w:r>
          </w:p>
        </w:tc>
        <w:tc>
          <w:tcPr>
            <w:tcW w:w="1162" w:type="dxa"/>
            <w:gridSpan w:val="2"/>
            <w:vMerge w:val="restart"/>
            <w:vAlign w:val="center"/>
          </w:tcPr>
          <w:p>
            <w:pPr>
              <w:pStyle w:val="39"/>
              <w:rPr>
                <w:rFonts w:ascii="Times New Roman" w:hAnsi="Times New Roman"/>
              </w:rPr>
            </w:pPr>
            <w:r>
              <w:rPr>
                <w:rFonts w:ascii="Times New Roman" w:hAnsi="Times New Roman"/>
              </w:rPr>
              <w:t>收集至气田水罐</w:t>
            </w:r>
          </w:p>
        </w:tc>
        <w:tc>
          <w:tcPr>
            <w:tcW w:w="1162" w:type="dxa"/>
            <w:vMerge w:val="restart"/>
            <w:vAlign w:val="center"/>
          </w:tcPr>
          <w:p>
            <w:pPr>
              <w:pStyle w:val="39"/>
              <w:rPr>
                <w:rFonts w:ascii="Times New Roman" w:hAnsi="Times New Roman"/>
              </w:rPr>
            </w:pPr>
            <w:r>
              <w:rPr>
                <w:rFonts w:ascii="Times New Roman" w:hAnsi="Times New Roman"/>
              </w:rPr>
              <w:t>100</w:t>
            </w:r>
          </w:p>
        </w:tc>
        <w:tc>
          <w:tcPr>
            <w:tcW w:w="1398" w:type="dxa"/>
            <w:gridSpan w:val="2"/>
            <w:vAlign w:val="center"/>
          </w:tcPr>
          <w:p>
            <w:pPr>
              <w:pStyle w:val="39"/>
              <w:rPr>
                <w:rFonts w:ascii="Times New Roman" w:hAnsi="Times New Roman"/>
              </w:rPr>
            </w:pPr>
            <w:r>
              <w:rPr>
                <w:rFonts w:ascii="Times New Roman" w:hAnsi="Times New Roman"/>
              </w:rPr>
              <w:t>物料衡算</w:t>
            </w:r>
          </w:p>
        </w:tc>
        <w:tc>
          <w:tcPr>
            <w:tcW w:w="1162" w:type="dxa"/>
            <w:vAlign w:val="center"/>
          </w:tcPr>
          <w:p>
            <w:pPr>
              <w:pStyle w:val="39"/>
              <w:rPr>
                <w:rFonts w:ascii="Times New Roman" w:hAnsi="Times New Roman"/>
              </w:rPr>
            </w:pPr>
            <w:r>
              <w:rPr>
                <w:rFonts w:ascii="Times New Roman" w:hAnsi="Times New Roman"/>
              </w:rPr>
              <w:t>/</w:t>
            </w:r>
          </w:p>
        </w:tc>
        <w:tc>
          <w:tcPr>
            <w:tcW w:w="1843" w:type="dxa"/>
            <w:vAlign w:val="center"/>
          </w:tcPr>
          <w:p>
            <w:pPr>
              <w:pStyle w:val="39"/>
              <w:rPr>
                <w:rFonts w:ascii="Times New Roman" w:hAnsi="Times New Roman"/>
              </w:rPr>
            </w:pPr>
            <w:r>
              <w:rPr>
                <w:rFonts w:ascii="Times New Roman" w:hAnsi="Times New Roman"/>
              </w:rPr>
              <w:t>7200</w:t>
            </w:r>
          </w:p>
        </w:tc>
        <w:tc>
          <w:tcPr>
            <w:tcW w:w="1162" w:type="dxa"/>
            <w:vAlign w:val="center"/>
          </w:tcPr>
          <w:p>
            <w:pPr>
              <w:pStyle w:val="39"/>
              <w:rPr>
                <w:rFonts w:ascii="Times New Roman" w:hAnsi="Times New Roman"/>
              </w:rPr>
            </w:pPr>
            <w:r>
              <w:rPr>
                <w:rFonts w:ascii="Times New Roman" w:hAnsi="Times New Roman"/>
              </w:rPr>
              <w:t>8000/连续</w:t>
            </w:r>
          </w:p>
        </w:tc>
        <w:tc>
          <w:tcPr>
            <w:tcW w:w="1398" w:type="dxa"/>
            <w:vMerge w:val="restart"/>
            <w:vAlign w:val="center"/>
          </w:tcPr>
          <w:p>
            <w:pPr>
              <w:pStyle w:val="39"/>
              <w:rPr>
                <w:rFonts w:ascii="Times New Roman" w:hAnsi="Times New Roman"/>
              </w:rPr>
            </w:pPr>
            <w:r>
              <w:rPr>
                <w:rFonts w:ascii="Times New Roman" w:hAnsi="Times New Roman"/>
              </w:rPr>
              <w:t>黄龙5井、黄龙2井或蒲西4井回注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continue"/>
            <w:vAlign w:val="center"/>
          </w:tcPr>
          <w:p>
            <w:pPr>
              <w:pStyle w:val="39"/>
              <w:rPr>
                <w:rFonts w:ascii="Times New Roman" w:hAnsi="Times New Roman"/>
              </w:rPr>
            </w:pPr>
          </w:p>
        </w:tc>
        <w:tc>
          <w:tcPr>
            <w:tcW w:w="1163" w:type="dxa"/>
            <w:vAlign w:val="center"/>
          </w:tcPr>
          <w:p>
            <w:pPr>
              <w:pStyle w:val="39"/>
              <w:rPr>
                <w:rFonts w:ascii="Times New Roman" w:hAnsi="Times New Roman"/>
              </w:rPr>
            </w:pPr>
            <w:r>
              <w:rPr>
                <w:rFonts w:ascii="Times New Roman" w:hAnsi="Times New Roman"/>
              </w:rPr>
              <w:t>氯化物</w:t>
            </w:r>
          </w:p>
        </w:tc>
        <w:tc>
          <w:tcPr>
            <w:tcW w:w="1399" w:type="dxa"/>
            <w:vAlign w:val="center"/>
          </w:tcPr>
          <w:p>
            <w:pPr>
              <w:pStyle w:val="39"/>
              <w:rPr>
                <w:rFonts w:ascii="Times New Roman" w:hAnsi="Times New Roman"/>
              </w:rPr>
            </w:pPr>
            <w:r>
              <w:rPr>
                <w:rFonts w:ascii="Times New Roman" w:hAnsi="Times New Roman"/>
              </w:rPr>
              <w:t>类比</w:t>
            </w:r>
          </w:p>
        </w:tc>
        <w:tc>
          <w:tcPr>
            <w:tcW w:w="1163" w:type="dxa"/>
            <w:vAlign w:val="center"/>
          </w:tcPr>
          <w:p>
            <w:pPr>
              <w:pStyle w:val="39"/>
              <w:rPr>
                <w:rFonts w:ascii="Times New Roman" w:hAnsi="Times New Roman"/>
              </w:rPr>
            </w:pPr>
            <w:r>
              <w:rPr>
                <w:rFonts w:ascii="Times New Roman" w:hAnsi="Times New Roman"/>
              </w:rPr>
              <w:t>50000～110000</w:t>
            </w:r>
          </w:p>
        </w:tc>
        <w:tc>
          <w:tcPr>
            <w:tcW w:w="1162" w:type="dxa"/>
            <w:vAlign w:val="center"/>
          </w:tcPr>
          <w:p>
            <w:pPr>
              <w:pStyle w:val="39"/>
              <w:rPr>
                <w:rFonts w:ascii="Times New Roman" w:hAnsi="Times New Roman"/>
              </w:rPr>
            </w:pPr>
            <w:r>
              <w:rPr>
                <w:rFonts w:ascii="Times New Roman" w:hAnsi="Times New Roman"/>
              </w:rPr>
              <w:t>792*</w:t>
            </w:r>
          </w:p>
        </w:tc>
        <w:tc>
          <w:tcPr>
            <w:tcW w:w="1162" w:type="dxa"/>
            <w:gridSpan w:val="2"/>
            <w:vMerge w:val="continue"/>
            <w:vAlign w:val="center"/>
          </w:tcPr>
          <w:p>
            <w:pPr>
              <w:pStyle w:val="39"/>
              <w:rPr>
                <w:rFonts w:ascii="Times New Roman" w:hAnsi="Times New Roman"/>
              </w:rPr>
            </w:pPr>
          </w:p>
        </w:tc>
        <w:tc>
          <w:tcPr>
            <w:tcW w:w="1162" w:type="dxa"/>
            <w:vMerge w:val="continue"/>
            <w:vAlign w:val="center"/>
          </w:tcPr>
          <w:p>
            <w:pPr>
              <w:pStyle w:val="39"/>
              <w:rPr>
                <w:rFonts w:ascii="Times New Roman" w:hAnsi="Times New Roman"/>
              </w:rPr>
            </w:pPr>
          </w:p>
        </w:tc>
        <w:tc>
          <w:tcPr>
            <w:tcW w:w="1398" w:type="dxa"/>
            <w:gridSpan w:val="2"/>
            <w:vAlign w:val="center"/>
          </w:tcPr>
          <w:p>
            <w:pPr>
              <w:pStyle w:val="39"/>
              <w:rPr>
                <w:rFonts w:ascii="Times New Roman" w:hAnsi="Times New Roman"/>
              </w:rPr>
            </w:pPr>
            <w:r>
              <w:rPr>
                <w:rFonts w:ascii="Times New Roman" w:hAnsi="Times New Roman"/>
              </w:rPr>
              <w:t>类比</w:t>
            </w:r>
          </w:p>
        </w:tc>
        <w:tc>
          <w:tcPr>
            <w:tcW w:w="1162" w:type="dxa"/>
            <w:vAlign w:val="center"/>
          </w:tcPr>
          <w:p>
            <w:pPr>
              <w:pStyle w:val="39"/>
              <w:rPr>
                <w:rFonts w:ascii="Times New Roman" w:hAnsi="Times New Roman"/>
              </w:rPr>
            </w:pPr>
            <w:r>
              <w:rPr>
                <w:rFonts w:ascii="Times New Roman" w:hAnsi="Times New Roman"/>
              </w:rPr>
              <w:t>50000～110000</w:t>
            </w:r>
          </w:p>
        </w:tc>
        <w:tc>
          <w:tcPr>
            <w:tcW w:w="1843" w:type="dxa"/>
            <w:vAlign w:val="center"/>
          </w:tcPr>
          <w:p>
            <w:pPr>
              <w:pStyle w:val="39"/>
              <w:rPr>
                <w:rFonts w:ascii="Times New Roman" w:hAnsi="Times New Roman"/>
              </w:rPr>
            </w:pPr>
            <w:r>
              <w:rPr>
                <w:rFonts w:ascii="Times New Roman" w:hAnsi="Times New Roman"/>
              </w:rPr>
              <w:t>792*</w:t>
            </w:r>
          </w:p>
        </w:tc>
        <w:tc>
          <w:tcPr>
            <w:tcW w:w="1162" w:type="dxa"/>
            <w:vAlign w:val="center"/>
          </w:tcPr>
          <w:p>
            <w:pPr>
              <w:pStyle w:val="39"/>
              <w:rPr>
                <w:rFonts w:ascii="Times New Roman" w:hAnsi="Times New Roman"/>
              </w:rPr>
            </w:pPr>
            <w:r>
              <w:rPr>
                <w:rFonts w:ascii="Times New Roman" w:hAnsi="Times New Roman"/>
              </w:rPr>
              <w:t>8000/连续</w:t>
            </w:r>
          </w:p>
        </w:tc>
        <w:tc>
          <w:tcPr>
            <w:tcW w:w="1398"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continue"/>
            <w:vAlign w:val="center"/>
          </w:tcPr>
          <w:p>
            <w:pPr>
              <w:pStyle w:val="39"/>
              <w:rPr>
                <w:rFonts w:ascii="Times New Roman" w:hAnsi="Times New Roman"/>
              </w:rPr>
            </w:pPr>
          </w:p>
        </w:tc>
        <w:tc>
          <w:tcPr>
            <w:tcW w:w="1163" w:type="dxa"/>
            <w:vAlign w:val="center"/>
          </w:tcPr>
          <w:p>
            <w:pPr>
              <w:pStyle w:val="39"/>
              <w:rPr>
                <w:rFonts w:ascii="Times New Roman" w:hAnsi="Times New Roman"/>
              </w:rPr>
            </w:pPr>
            <w:r>
              <w:rPr>
                <w:rFonts w:ascii="Times New Roman" w:hAnsi="Times New Roman"/>
              </w:rPr>
              <w:t>硫化物</w:t>
            </w:r>
          </w:p>
        </w:tc>
        <w:tc>
          <w:tcPr>
            <w:tcW w:w="1399" w:type="dxa"/>
            <w:vAlign w:val="center"/>
          </w:tcPr>
          <w:p>
            <w:pPr>
              <w:pStyle w:val="39"/>
              <w:rPr>
                <w:rFonts w:ascii="Times New Roman" w:hAnsi="Times New Roman"/>
              </w:rPr>
            </w:pPr>
            <w:r>
              <w:rPr>
                <w:rFonts w:ascii="Times New Roman" w:hAnsi="Times New Roman"/>
              </w:rPr>
              <w:t>类比</w:t>
            </w:r>
          </w:p>
        </w:tc>
        <w:tc>
          <w:tcPr>
            <w:tcW w:w="1163" w:type="dxa"/>
            <w:vAlign w:val="center"/>
          </w:tcPr>
          <w:p>
            <w:pPr>
              <w:pStyle w:val="39"/>
              <w:rPr>
                <w:rFonts w:ascii="Times New Roman" w:hAnsi="Times New Roman"/>
              </w:rPr>
            </w:pPr>
            <w:r>
              <w:rPr>
                <w:rFonts w:ascii="Times New Roman" w:hAnsi="Times New Roman"/>
              </w:rPr>
              <w:t>500～1800</w:t>
            </w:r>
          </w:p>
        </w:tc>
        <w:tc>
          <w:tcPr>
            <w:tcW w:w="1162" w:type="dxa"/>
            <w:vAlign w:val="center"/>
          </w:tcPr>
          <w:p>
            <w:pPr>
              <w:pStyle w:val="39"/>
              <w:rPr>
                <w:rFonts w:ascii="Times New Roman" w:hAnsi="Times New Roman"/>
              </w:rPr>
            </w:pPr>
            <w:r>
              <w:rPr>
                <w:rFonts w:ascii="Times New Roman" w:hAnsi="Times New Roman"/>
              </w:rPr>
              <w:t>12.96*</w:t>
            </w:r>
          </w:p>
        </w:tc>
        <w:tc>
          <w:tcPr>
            <w:tcW w:w="1162" w:type="dxa"/>
            <w:gridSpan w:val="2"/>
            <w:vMerge w:val="continue"/>
            <w:vAlign w:val="center"/>
          </w:tcPr>
          <w:p>
            <w:pPr>
              <w:pStyle w:val="39"/>
              <w:rPr>
                <w:rFonts w:ascii="Times New Roman" w:hAnsi="Times New Roman"/>
              </w:rPr>
            </w:pPr>
          </w:p>
        </w:tc>
        <w:tc>
          <w:tcPr>
            <w:tcW w:w="1162" w:type="dxa"/>
            <w:vMerge w:val="continue"/>
            <w:vAlign w:val="center"/>
          </w:tcPr>
          <w:p>
            <w:pPr>
              <w:pStyle w:val="39"/>
              <w:rPr>
                <w:rFonts w:ascii="Times New Roman" w:hAnsi="Times New Roman"/>
              </w:rPr>
            </w:pPr>
          </w:p>
        </w:tc>
        <w:tc>
          <w:tcPr>
            <w:tcW w:w="1398" w:type="dxa"/>
            <w:gridSpan w:val="2"/>
            <w:vAlign w:val="center"/>
          </w:tcPr>
          <w:p>
            <w:pPr>
              <w:pStyle w:val="39"/>
              <w:rPr>
                <w:rFonts w:ascii="Times New Roman" w:hAnsi="Times New Roman"/>
              </w:rPr>
            </w:pPr>
            <w:r>
              <w:rPr>
                <w:rFonts w:ascii="Times New Roman" w:hAnsi="Times New Roman"/>
              </w:rPr>
              <w:t>类比</w:t>
            </w:r>
          </w:p>
        </w:tc>
        <w:tc>
          <w:tcPr>
            <w:tcW w:w="1162" w:type="dxa"/>
            <w:vAlign w:val="center"/>
          </w:tcPr>
          <w:p>
            <w:pPr>
              <w:pStyle w:val="39"/>
              <w:rPr>
                <w:rFonts w:ascii="Times New Roman" w:hAnsi="Times New Roman"/>
              </w:rPr>
            </w:pPr>
            <w:r>
              <w:rPr>
                <w:rFonts w:ascii="Times New Roman" w:hAnsi="Times New Roman"/>
              </w:rPr>
              <w:t>500～1800</w:t>
            </w:r>
          </w:p>
        </w:tc>
        <w:tc>
          <w:tcPr>
            <w:tcW w:w="1843" w:type="dxa"/>
            <w:vAlign w:val="center"/>
          </w:tcPr>
          <w:p>
            <w:pPr>
              <w:pStyle w:val="39"/>
              <w:rPr>
                <w:rFonts w:ascii="Times New Roman" w:hAnsi="Times New Roman"/>
              </w:rPr>
            </w:pPr>
            <w:r>
              <w:rPr>
                <w:rFonts w:ascii="Times New Roman" w:hAnsi="Times New Roman"/>
              </w:rPr>
              <w:t>12.96*</w:t>
            </w:r>
          </w:p>
        </w:tc>
        <w:tc>
          <w:tcPr>
            <w:tcW w:w="1162" w:type="dxa"/>
            <w:vAlign w:val="center"/>
          </w:tcPr>
          <w:p>
            <w:pPr>
              <w:pStyle w:val="39"/>
              <w:rPr>
                <w:rFonts w:ascii="Times New Roman" w:hAnsi="Times New Roman"/>
              </w:rPr>
            </w:pPr>
            <w:r>
              <w:rPr>
                <w:rFonts w:ascii="Times New Roman" w:hAnsi="Times New Roman"/>
              </w:rPr>
              <w:t>8000/连续</w:t>
            </w:r>
          </w:p>
        </w:tc>
        <w:tc>
          <w:tcPr>
            <w:tcW w:w="1398"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continue"/>
            <w:vAlign w:val="center"/>
          </w:tcPr>
          <w:p>
            <w:pPr>
              <w:pStyle w:val="39"/>
              <w:rPr>
                <w:rFonts w:ascii="Times New Roman" w:hAnsi="Times New Roman"/>
              </w:rPr>
            </w:pPr>
          </w:p>
        </w:tc>
        <w:tc>
          <w:tcPr>
            <w:tcW w:w="1163" w:type="dxa"/>
            <w:vAlign w:val="center"/>
          </w:tcPr>
          <w:p>
            <w:pPr>
              <w:pStyle w:val="39"/>
              <w:rPr>
                <w:rFonts w:ascii="Times New Roman" w:hAnsi="Times New Roman"/>
              </w:rPr>
            </w:pPr>
            <w:r>
              <w:rPr>
                <w:rFonts w:ascii="Times New Roman" w:hAnsi="Times New Roman"/>
              </w:rPr>
              <w:t>COD</w:t>
            </w:r>
          </w:p>
        </w:tc>
        <w:tc>
          <w:tcPr>
            <w:tcW w:w="1399" w:type="dxa"/>
            <w:vAlign w:val="center"/>
          </w:tcPr>
          <w:p>
            <w:pPr>
              <w:pStyle w:val="39"/>
              <w:rPr>
                <w:rFonts w:ascii="Times New Roman" w:hAnsi="Times New Roman"/>
              </w:rPr>
            </w:pPr>
            <w:r>
              <w:rPr>
                <w:rFonts w:ascii="Times New Roman" w:hAnsi="Times New Roman"/>
              </w:rPr>
              <w:t>类比</w:t>
            </w:r>
          </w:p>
        </w:tc>
        <w:tc>
          <w:tcPr>
            <w:tcW w:w="1163" w:type="dxa"/>
            <w:vAlign w:val="center"/>
          </w:tcPr>
          <w:p>
            <w:pPr>
              <w:pStyle w:val="39"/>
              <w:rPr>
                <w:rFonts w:ascii="Times New Roman" w:hAnsi="Times New Roman"/>
              </w:rPr>
            </w:pPr>
            <w:r>
              <w:rPr>
                <w:rFonts w:ascii="Times New Roman" w:hAnsi="Times New Roman"/>
              </w:rPr>
              <w:t>3000～4000</w:t>
            </w:r>
          </w:p>
        </w:tc>
        <w:tc>
          <w:tcPr>
            <w:tcW w:w="1162" w:type="dxa"/>
            <w:vAlign w:val="center"/>
          </w:tcPr>
          <w:p>
            <w:pPr>
              <w:pStyle w:val="39"/>
              <w:rPr>
                <w:rFonts w:ascii="Times New Roman" w:hAnsi="Times New Roman"/>
              </w:rPr>
            </w:pPr>
            <w:r>
              <w:rPr>
                <w:rFonts w:ascii="Times New Roman" w:hAnsi="Times New Roman"/>
              </w:rPr>
              <w:t>28.2*</w:t>
            </w:r>
          </w:p>
        </w:tc>
        <w:tc>
          <w:tcPr>
            <w:tcW w:w="1162" w:type="dxa"/>
            <w:gridSpan w:val="2"/>
            <w:vMerge w:val="continue"/>
            <w:vAlign w:val="center"/>
          </w:tcPr>
          <w:p>
            <w:pPr>
              <w:pStyle w:val="39"/>
              <w:rPr>
                <w:rFonts w:ascii="Times New Roman" w:hAnsi="Times New Roman"/>
              </w:rPr>
            </w:pPr>
          </w:p>
        </w:tc>
        <w:tc>
          <w:tcPr>
            <w:tcW w:w="1162" w:type="dxa"/>
            <w:vMerge w:val="continue"/>
            <w:vAlign w:val="center"/>
          </w:tcPr>
          <w:p>
            <w:pPr>
              <w:pStyle w:val="39"/>
              <w:rPr>
                <w:rFonts w:ascii="Times New Roman" w:hAnsi="Times New Roman"/>
              </w:rPr>
            </w:pPr>
          </w:p>
        </w:tc>
        <w:tc>
          <w:tcPr>
            <w:tcW w:w="1398" w:type="dxa"/>
            <w:gridSpan w:val="2"/>
            <w:vAlign w:val="center"/>
          </w:tcPr>
          <w:p>
            <w:pPr>
              <w:pStyle w:val="39"/>
              <w:rPr>
                <w:rFonts w:ascii="Times New Roman" w:hAnsi="Times New Roman"/>
              </w:rPr>
            </w:pPr>
            <w:r>
              <w:rPr>
                <w:rFonts w:ascii="Times New Roman" w:hAnsi="Times New Roman"/>
              </w:rPr>
              <w:t>类比</w:t>
            </w:r>
          </w:p>
        </w:tc>
        <w:tc>
          <w:tcPr>
            <w:tcW w:w="1162" w:type="dxa"/>
            <w:vAlign w:val="center"/>
          </w:tcPr>
          <w:p>
            <w:pPr>
              <w:pStyle w:val="39"/>
              <w:rPr>
                <w:rFonts w:ascii="Times New Roman" w:hAnsi="Times New Roman"/>
              </w:rPr>
            </w:pPr>
            <w:r>
              <w:rPr>
                <w:rFonts w:ascii="Times New Roman" w:hAnsi="Times New Roman"/>
              </w:rPr>
              <w:t>3000～4000</w:t>
            </w:r>
          </w:p>
        </w:tc>
        <w:tc>
          <w:tcPr>
            <w:tcW w:w="1843" w:type="dxa"/>
            <w:vAlign w:val="center"/>
          </w:tcPr>
          <w:p>
            <w:pPr>
              <w:pStyle w:val="39"/>
              <w:rPr>
                <w:rFonts w:ascii="Times New Roman" w:hAnsi="Times New Roman"/>
              </w:rPr>
            </w:pPr>
            <w:r>
              <w:rPr>
                <w:rFonts w:ascii="Times New Roman" w:hAnsi="Times New Roman"/>
              </w:rPr>
              <w:t>28.2*</w:t>
            </w:r>
          </w:p>
        </w:tc>
        <w:tc>
          <w:tcPr>
            <w:tcW w:w="1162" w:type="dxa"/>
            <w:vAlign w:val="center"/>
          </w:tcPr>
          <w:p>
            <w:pPr>
              <w:pStyle w:val="39"/>
              <w:rPr>
                <w:rFonts w:ascii="Times New Roman" w:hAnsi="Times New Roman"/>
              </w:rPr>
            </w:pPr>
            <w:r>
              <w:rPr>
                <w:rFonts w:ascii="Times New Roman" w:hAnsi="Times New Roman"/>
              </w:rPr>
              <w:t>8000/连续</w:t>
            </w:r>
          </w:p>
        </w:tc>
        <w:tc>
          <w:tcPr>
            <w:tcW w:w="1398"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continue"/>
            <w:vAlign w:val="center"/>
          </w:tcPr>
          <w:p>
            <w:pPr>
              <w:pStyle w:val="39"/>
              <w:rPr>
                <w:rFonts w:ascii="Times New Roman" w:hAnsi="Times New Roman"/>
              </w:rPr>
            </w:pPr>
          </w:p>
        </w:tc>
        <w:tc>
          <w:tcPr>
            <w:tcW w:w="1163" w:type="dxa"/>
            <w:vAlign w:val="center"/>
          </w:tcPr>
          <w:p>
            <w:pPr>
              <w:pStyle w:val="39"/>
              <w:rPr>
                <w:rFonts w:ascii="Times New Roman" w:hAnsi="Times New Roman"/>
              </w:rPr>
            </w:pPr>
            <w:r>
              <w:rPr>
                <w:rFonts w:ascii="Times New Roman" w:hAnsi="Times New Roman"/>
              </w:rPr>
              <w:t>SS</w:t>
            </w:r>
          </w:p>
        </w:tc>
        <w:tc>
          <w:tcPr>
            <w:tcW w:w="1399" w:type="dxa"/>
            <w:vAlign w:val="center"/>
          </w:tcPr>
          <w:p>
            <w:pPr>
              <w:pStyle w:val="39"/>
              <w:rPr>
                <w:rFonts w:ascii="Times New Roman" w:hAnsi="Times New Roman"/>
              </w:rPr>
            </w:pPr>
            <w:r>
              <w:rPr>
                <w:rFonts w:ascii="Times New Roman" w:hAnsi="Times New Roman"/>
              </w:rPr>
              <w:t>类比</w:t>
            </w:r>
          </w:p>
        </w:tc>
        <w:tc>
          <w:tcPr>
            <w:tcW w:w="1163" w:type="dxa"/>
            <w:vAlign w:val="center"/>
          </w:tcPr>
          <w:p>
            <w:pPr>
              <w:pStyle w:val="39"/>
              <w:rPr>
                <w:rFonts w:ascii="Times New Roman" w:hAnsi="Times New Roman"/>
              </w:rPr>
            </w:pPr>
            <w:r>
              <w:rPr>
                <w:rFonts w:ascii="Times New Roman" w:hAnsi="Times New Roman"/>
              </w:rPr>
              <w:t>50～400</w:t>
            </w:r>
          </w:p>
        </w:tc>
        <w:tc>
          <w:tcPr>
            <w:tcW w:w="1162" w:type="dxa"/>
            <w:vAlign w:val="center"/>
          </w:tcPr>
          <w:p>
            <w:pPr>
              <w:pStyle w:val="39"/>
              <w:rPr>
                <w:rFonts w:ascii="Times New Roman" w:hAnsi="Times New Roman"/>
              </w:rPr>
            </w:pPr>
            <w:r>
              <w:rPr>
                <w:rFonts w:ascii="Times New Roman" w:hAnsi="Times New Roman"/>
              </w:rPr>
              <w:t>2.88*</w:t>
            </w:r>
          </w:p>
        </w:tc>
        <w:tc>
          <w:tcPr>
            <w:tcW w:w="1162" w:type="dxa"/>
            <w:gridSpan w:val="2"/>
            <w:vMerge w:val="continue"/>
            <w:vAlign w:val="center"/>
          </w:tcPr>
          <w:p>
            <w:pPr>
              <w:pStyle w:val="39"/>
              <w:rPr>
                <w:rFonts w:ascii="Times New Roman" w:hAnsi="Times New Roman"/>
              </w:rPr>
            </w:pPr>
          </w:p>
        </w:tc>
        <w:tc>
          <w:tcPr>
            <w:tcW w:w="1162" w:type="dxa"/>
            <w:vMerge w:val="continue"/>
            <w:vAlign w:val="center"/>
          </w:tcPr>
          <w:p>
            <w:pPr>
              <w:pStyle w:val="39"/>
              <w:rPr>
                <w:rFonts w:ascii="Times New Roman" w:hAnsi="Times New Roman"/>
              </w:rPr>
            </w:pPr>
          </w:p>
        </w:tc>
        <w:tc>
          <w:tcPr>
            <w:tcW w:w="1398" w:type="dxa"/>
            <w:gridSpan w:val="2"/>
            <w:vAlign w:val="center"/>
          </w:tcPr>
          <w:p>
            <w:pPr>
              <w:pStyle w:val="39"/>
              <w:rPr>
                <w:rFonts w:ascii="Times New Roman" w:hAnsi="Times New Roman"/>
              </w:rPr>
            </w:pPr>
            <w:r>
              <w:rPr>
                <w:rFonts w:ascii="Times New Roman" w:hAnsi="Times New Roman"/>
              </w:rPr>
              <w:t>类比</w:t>
            </w:r>
          </w:p>
        </w:tc>
        <w:tc>
          <w:tcPr>
            <w:tcW w:w="1162" w:type="dxa"/>
            <w:vAlign w:val="center"/>
          </w:tcPr>
          <w:p>
            <w:pPr>
              <w:pStyle w:val="39"/>
              <w:rPr>
                <w:rFonts w:ascii="Times New Roman" w:hAnsi="Times New Roman"/>
              </w:rPr>
            </w:pPr>
            <w:r>
              <w:rPr>
                <w:rFonts w:ascii="Times New Roman" w:hAnsi="Times New Roman"/>
              </w:rPr>
              <w:t>50～400</w:t>
            </w:r>
          </w:p>
        </w:tc>
        <w:tc>
          <w:tcPr>
            <w:tcW w:w="1843" w:type="dxa"/>
            <w:vAlign w:val="center"/>
          </w:tcPr>
          <w:p>
            <w:pPr>
              <w:pStyle w:val="39"/>
              <w:rPr>
                <w:rFonts w:ascii="Times New Roman" w:hAnsi="Times New Roman"/>
              </w:rPr>
            </w:pPr>
            <w:r>
              <w:rPr>
                <w:rFonts w:ascii="Times New Roman" w:hAnsi="Times New Roman"/>
              </w:rPr>
              <w:t>2.88*</w:t>
            </w:r>
          </w:p>
        </w:tc>
        <w:tc>
          <w:tcPr>
            <w:tcW w:w="1162" w:type="dxa"/>
            <w:vAlign w:val="center"/>
          </w:tcPr>
          <w:p>
            <w:pPr>
              <w:pStyle w:val="39"/>
              <w:rPr>
                <w:rFonts w:ascii="Times New Roman" w:hAnsi="Times New Roman"/>
              </w:rPr>
            </w:pPr>
            <w:r>
              <w:rPr>
                <w:rFonts w:ascii="Times New Roman" w:hAnsi="Times New Roman"/>
              </w:rPr>
              <w:t>8000/连续</w:t>
            </w:r>
          </w:p>
        </w:tc>
        <w:tc>
          <w:tcPr>
            <w:tcW w:w="1398"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continue"/>
            <w:vAlign w:val="center"/>
          </w:tcPr>
          <w:p>
            <w:pPr>
              <w:pStyle w:val="39"/>
              <w:rPr>
                <w:rFonts w:ascii="Times New Roman" w:hAnsi="Times New Roman"/>
              </w:rPr>
            </w:pPr>
          </w:p>
        </w:tc>
        <w:tc>
          <w:tcPr>
            <w:tcW w:w="1163" w:type="dxa"/>
            <w:vAlign w:val="center"/>
          </w:tcPr>
          <w:p>
            <w:pPr>
              <w:pStyle w:val="39"/>
              <w:rPr>
                <w:rFonts w:ascii="Times New Roman" w:hAnsi="Times New Roman"/>
              </w:rPr>
            </w:pPr>
            <w:r>
              <w:rPr>
                <w:rFonts w:ascii="Times New Roman" w:hAnsi="Times New Roman"/>
              </w:rPr>
              <w:t>石油类</w:t>
            </w:r>
          </w:p>
        </w:tc>
        <w:tc>
          <w:tcPr>
            <w:tcW w:w="1399" w:type="dxa"/>
            <w:vAlign w:val="center"/>
          </w:tcPr>
          <w:p>
            <w:pPr>
              <w:pStyle w:val="39"/>
              <w:rPr>
                <w:rFonts w:ascii="Times New Roman" w:hAnsi="Times New Roman"/>
              </w:rPr>
            </w:pPr>
            <w:r>
              <w:rPr>
                <w:rFonts w:ascii="Times New Roman" w:hAnsi="Times New Roman"/>
              </w:rPr>
              <w:t>类比</w:t>
            </w:r>
          </w:p>
        </w:tc>
        <w:tc>
          <w:tcPr>
            <w:tcW w:w="1163" w:type="dxa"/>
            <w:vAlign w:val="center"/>
          </w:tcPr>
          <w:p>
            <w:pPr>
              <w:pStyle w:val="39"/>
              <w:rPr>
                <w:rFonts w:ascii="Times New Roman" w:hAnsi="Times New Roman"/>
              </w:rPr>
            </w:pPr>
            <w:r>
              <w:rPr>
                <w:rFonts w:ascii="Times New Roman" w:hAnsi="Times New Roman"/>
              </w:rPr>
              <w:t>20</w:t>
            </w:r>
          </w:p>
        </w:tc>
        <w:tc>
          <w:tcPr>
            <w:tcW w:w="1162" w:type="dxa"/>
            <w:vAlign w:val="center"/>
          </w:tcPr>
          <w:p>
            <w:pPr>
              <w:pStyle w:val="39"/>
              <w:rPr>
                <w:rFonts w:ascii="Times New Roman" w:hAnsi="Times New Roman"/>
              </w:rPr>
            </w:pPr>
            <w:r>
              <w:rPr>
                <w:rFonts w:ascii="Times New Roman" w:hAnsi="Times New Roman"/>
              </w:rPr>
              <w:t>0.144</w:t>
            </w:r>
          </w:p>
        </w:tc>
        <w:tc>
          <w:tcPr>
            <w:tcW w:w="1162" w:type="dxa"/>
            <w:gridSpan w:val="2"/>
            <w:vMerge w:val="continue"/>
            <w:vAlign w:val="center"/>
          </w:tcPr>
          <w:p>
            <w:pPr>
              <w:pStyle w:val="39"/>
              <w:rPr>
                <w:rFonts w:ascii="Times New Roman" w:hAnsi="Times New Roman"/>
              </w:rPr>
            </w:pPr>
          </w:p>
        </w:tc>
        <w:tc>
          <w:tcPr>
            <w:tcW w:w="1162" w:type="dxa"/>
            <w:vMerge w:val="continue"/>
            <w:vAlign w:val="center"/>
          </w:tcPr>
          <w:p>
            <w:pPr>
              <w:pStyle w:val="39"/>
              <w:rPr>
                <w:rFonts w:ascii="Times New Roman" w:hAnsi="Times New Roman"/>
              </w:rPr>
            </w:pPr>
          </w:p>
        </w:tc>
        <w:tc>
          <w:tcPr>
            <w:tcW w:w="1398" w:type="dxa"/>
            <w:gridSpan w:val="2"/>
            <w:vAlign w:val="center"/>
          </w:tcPr>
          <w:p>
            <w:pPr>
              <w:pStyle w:val="39"/>
              <w:rPr>
                <w:rFonts w:ascii="Times New Roman" w:hAnsi="Times New Roman"/>
              </w:rPr>
            </w:pPr>
            <w:r>
              <w:rPr>
                <w:rFonts w:ascii="Times New Roman" w:hAnsi="Times New Roman"/>
              </w:rPr>
              <w:t>石油类</w:t>
            </w:r>
          </w:p>
        </w:tc>
        <w:tc>
          <w:tcPr>
            <w:tcW w:w="1162" w:type="dxa"/>
            <w:vAlign w:val="center"/>
          </w:tcPr>
          <w:p>
            <w:pPr>
              <w:pStyle w:val="39"/>
              <w:rPr>
                <w:rFonts w:ascii="Times New Roman" w:hAnsi="Times New Roman"/>
              </w:rPr>
            </w:pPr>
            <w:r>
              <w:rPr>
                <w:rFonts w:ascii="Times New Roman" w:hAnsi="Times New Roman"/>
              </w:rPr>
              <w:t>20</w:t>
            </w:r>
          </w:p>
        </w:tc>
        <w:tc>
          <w:tcPr>
            <w:tcW w:w="1843" w:type="dxa"/>
            <w:vAlign w:val="center"/>
          </w:tcPr>
          <w:p>
            <w:pPr>
              <w:pStyle w:val="39"/>
              <w:rPr>
                <w:rFonts w:ascii="Times New Roman" w:hAnsi="Times New Roman"/>
              </w:rPr>
            </w:pPr>
            <w:r>
              <w:rPr>
                <w:rFonts w:ascii="Times New Roman" w:hAnsi="Times New Roman"/>
              </w:rPr>
              <w:t>0.144</w:t>
            </w:r>
          </w:p>
        </w:tc>
        <w:tc>
          <w:tcPr>
            <w:tcW w:w="1162" w:type="dxa"/>
            <w:vAlign w:val="center"/>
          </w:tcPr>
          <w:p>
            <w:pPr>
              <w:pStyle w:val="39"/>
              <w:rPr>
                <w:rFonts w:ascii="Times New Roman" w:hAnsi="Times New Roman"/>
              </w:rPr>
            </w:pPr>
          </w:p>
        </w:tc>
        <w:tc>
          <w:tcPr>
            <w:tcW w:w="1398"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restart"/>
            <w:vAlign w:val="center"/>
          </w:tcPr>
          <w:p>
            <w:pPr>
              <w:pStyle w:val="39"/>
              <w:rPr>
                <w:rFonts w:ascii="Times New Roman" w:hAnsi="Times New Roman"/>
              </w:rPr>
            </w:pPr>
            <w:r>
              <w:rPr>
                <w:rFonts w:ascii="Times New Roman" w:hAnsi="Times New Roman"/>
              </w:rPr>
              <w:t>检修废水</w:t>
            </w:r>
          </w:p>
        </w:tc>
        <w:tc>
          <w:tcPr>
            <w:tcW w:w="1163" w:type="dxa"/>
            <w:vAlign w:val="center"/>
          </w:tcPr>
          <w:p>
            <w:pPr>
              <w:pStyle w:val="39"/>
              <w:rPr>
                <w:rFonts w:ascii="Times New Roman" w:hAnsi="Times New Roman"/>
              </w:rPr>
            </w:pPr>
            <w:r>
              <w:rPr>
                <w:rFonts w:ascii="Times New Roman" w:hAnsi="Times New Roman"/>
              </w:rPr>
              <w:t>废水量</w:t>
            </w:r>
          </w:p>
        </w:tc>
        <w:tc>
          <w:tcPr>
            <w:tcW w:w="1399" w:type="dxa"/>
            <w:vAlign w:val="center"/>
          </w:tcPr>
          <w:p>
            <w:pPr>
              <w:pStyle w:val="39"/>
              <w:rPr>
                <w:rFonts w:ascii="Times New Roman" w:hAnsi="Times New Roman"/>
              </w:rPr>
            </w:pPr>
            <w:r>
              <w:rPr>
                <w:rFonts w:ascii="Times New Roman" w:hAnsi="Times New Roman"/>
              </w:rPr>
              <w:t>物料衡算</w:t>
            </w:r>
          </w:p>
        </w:tc>
        <w:tc>
          <w:tcPr>
            <w:tcW w:w="1163" w:type="dxa"/>
            <w:vAlign w:val="center"/>
          </w:tcPr>
          <w:p>
            <w:pPr>
              <w:pStyle w:val="39"/>
              <w:rPr>
                <w:rFonts w:ascii="Times New Roman" w:hAnsi="Times New Roman"/>
              </w:rPr>
            </w:pPr>
            <w:r>
              <w:rPr>
                <w:rFonts w:ascii="Times New Roman" w:hAnsi="Times New Roman"/>
              </w:rPr>
              <w:t>/</w:t>
            </w:r>
          </w:p>
        </w:tc>
        <w:tc>
          <w:tcPr>
            <w:tcW w:w="1162" w:type="dxa"/>
            <w:vAlign w:val="center"/>
          </w:tcPr>
          <w:p>
            <w:pPr>
              <w:pStyle w:val="39"/>
              <w:rPr>
                <w:rFonts w:ascii="Times New Roman" w:hAnsi="Times New Roman"/>
              </w:rPr>
            </w:pPr>
            <w:r>
              <w:rPr>
                <w:rFonts w:ascii="Times New Roman" w:hAnsi="Times New Roman"/>
              </w:rPr>
              <w:t>24</w:t>
            </w:r>
          </w:p>
        </w:tc>
        <w:tc>
          <w:tcPr>
            <w:tcW w:w="1162" w:type="dxa"/>
            <w:gridSpan w:val="2"/>
            <w:vMerge w:val="restart"/>
            <w:vAlign w:val="center"/>
          </w:tcPr>
          <w:p>
            <w:pPr>
              <w:pStyle w:val="39"/>
              <w:rPr>
                <w:rFonts w:ascii="Times New Roman" w:hAnsi="Times New Roman"/>
              </w:rPr>
            </w:pPr>
            <w:r>
              <w:rPr>
                <w:rFonts w:ascii="Times New Roman" w:hAnsi="Times New Roman"/>
              </w:rPr>
              <w:t>收集至气田水罐/放空分液罐</w:t>
            </w:r>
          </w:p>
        </w:tc>
        <w:tc>
          <w:tcPr>
            <w:tcW w:w="1162" w:type="dxa"/>
            <w:vMerge w:val="restart"/>
            <w:vAlign w:val="center"/>
          </w:tcPr>
          <w:p>
            <w:pPr>
              <w:pStyle w:val="39"/>
              <w:rPr>
                <w:rFonts w:ascii="Times New Roman" w:hAnsi="Times New Roman"/>
              </w:rPr>
            </w:pPr>
            <w:r>
              <w:rPr>
                <w:rFonts w:ascii="Times New Roman" w:hAnsi="Times New Roman"/>
              </w:rPr>
              <w:t>100</w:t>
            </w:r>
          </w:p>
        </w:tc>
        <w:tc>
          <w:tcPr>
            <w:tcW w:w="1398" w:type="dxa"/>
            <w:gridSpan w:val="2"/>
            <w:vAlign w:val="center"/>
          </w:tcPr>
          <w:p>
            <w:pPr>
              <w:pStyle w:val="39"/>
              <w:rPr>
                <w:rFonts w:ascii="Times New Roman" w:hAnsi="Times New Roman"/>
              </w:rPr>
            </w:pPr>
            <w:r>
              <w:rPr>
                <w:rFonts w:ascii="Times New Roman" w:hAnsi="Times New Roman"/>
              </w:rPr>
              <w:t>物料衡算</w:t>
            </w:r>
          </w:p>
        </w:tc>
        <w:tc>
          <w:tcPr>
            <w:tcW w:w="1162" w:type="dxa"/>
            <w:vAlign w:val="center"/>
          </w:tcPr>
          <w:p>
            <w:pPr>
              <w:pStyle w:val="39"/>
              <w:rPr>
                <w:rFonts w:ascii="Times New Roman" w:hAnsi="Times New Roman"/>
              </w:rPr>
            </w:pPr>
            <w:r>
              <w:rPr>
                <w:rFonts w:ascii="Times New Roman" w:hAnsi="Times New Roman"/>
              </w:rPr>
              <w:t>/</w:t>
            </w:r>
          </w:p>
        </w:tc>
        <w:tc>
          <w:tcPr>
            <w:tcW w:w="1843" w:type="dxa"/>
            <w:vAlign w:val="center"/>
          </w:tcPr>
          <w:p>
            <w:pPr>
              <w:pStyle w:val="39"/>
              <w:rPr>
                <w:rFonts w:ascii="Times New Roman" w:hAnsi="Times New Roman"/>
              </w:rPr>
            </w:pPr>
            <w:r>
              <w:rPr>
                <w:rFonts w:ascii="Times New Roman" w:hAnsi="Times New Roman"/>
              </w:rPr>
              <w:t>24</w:t>
            </w:r>
          </w:p>
        </w:tc>
        <w:tc>
          <w:tcPr>
            <w:tcW w:w="1162" w:type="dxa"/>
            <w:vAlign w:val="center"/>
          </w:tcPr>
          <w:p>
            <w:pPr>
              <w:pStyle w:val="39"/>
              <w:rPr>
                <w:rFonts w:ascii="Times New Roman" w:hAnsi="Times New Roman"/>
              </w:rPr>
            </w:pPr>
            <w:r>
              <w:rPr>
                <w:rFonts w:ascii="Times New Roman" w:hAnsi="Times New Roman"/>
              </w:rPr>
              <w:t>间断</w:t>
            </w:r>
          </w:p>
        </w:tc>
        <w:tc>
          <w:tcPr>
            <w:tcW w:w="1398" w:type="dxa"/>
            <w:vMerge w:val="restart"/>
            <w:vAlign w:val="center"/>
          </w:tcPr>
          <w:p>
            <w:pPr>
              <w:pStyle w:val="39"/>
              <w:rPr>
                <w:rFonts w:ascii="Times New Roman" w:hAnsi="Times New Roman"/>
              </w:rPr>
            </w:pPr>
            <w:r>
              <w:rPr>
                <w:rFonts w:ascii="Times New Roman" w:hAnsi="Times New Roman"/>
              </w:rPr>
              <w:t>黄龙5井、黄龙2井或蒲西4井回注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continue"/>
            <w:vAlign w:val="center"/>
          </w:tcPr>
          <w:p>
            <w:pPr>
              <w:pStyle w:val="39"/>
              <w:rPr>
                <w:rFonts w:ascii="Times New Roman" w:hAnsi="Times New Roman"/>
              </w:rPr>
            </w:pPr>
          </w:p>
        </w:tc>
        <w:tc>
          <w:tcPr>
            <w:tcW w:w="1163" w:type="dxa"/>
            <w:vAlign w:val="center"/>
          </w:tcPr>
          <w:p>
            <w:pPr>
              <w:pStyle w:val="39"/>
              <w:rPr>
                <w:rFonts w:ascii="Times New Roman" w:hAnsi="Times New Roman"/>
              </w:rPr>
            </w:pPr>
            <w:r>
              <w:rPr>
                <w:rFonts w:ascii="Times New Roman" w:hAnsi="Times New Roman"/>
              </w:rPr>
              <w:t>石油类</w:t>
            </w:r>
          </w:p>
        </w:tc>
        <w:tc>
          <w:tcPr>
            <w:tcW w:w="1399" w:type="dxa"/>
            <w:vAlign w:val="center"/>
          </w:tcPr>
          <w:p>
            <w:pPr>
              <w:pStyle w:val="39"/>
              <w:rPr>
                <w:rFonts w:ascii="Times New Roman" w:hAnsi="Times New Roman"/>
              </w:rPr>
            </w:pPr>
            <w:r>
              <w:rPr>
                <w:rFonts w:ascii="Times New Roman" w:hAnsi="Times New Roman"/>
              </w:rPr>
              <w:t>类比法</w:t>
            </w:r>
          </w:p>
        </w:tc>
        <w:tc>
          <w:tcPr>
            <w:tcW w:w="1163" w:type="dxa"/>
            <w:vAlign w:val="center"/>
          </w:tcPr>
          <w:p>
            <w:pPr>
              <w:pStyle w:val="39"/>
              <w:rPr>
                <w:rFonts w:ascii="Times New Roman" w:hAnsi="Times New Roman"/>
              </w:rPr>
            </w:pPr>
            <w:r>
              <w:rPr>
                <w:rFonts w:ascii="Times New Roman" w:hAnsi="Times New Roman"/>
              </w:rPr>
              <w:t>20</w:t>
            </w:r>
          </w:p>
        </w:tc>
        <w:tc>
          <w:tcPr>
            <w:tcW w:w="1162" w:type="dxa"/>
            <w:vAlign w:val="center"/>
          </w:tcPr>
          <w:p>
            <w:pPr>
              <w:pStyle w:val="39"/>
              <w:rPr>
                <w:rFonts w:ascii="Times New Roman" w:hAnsi="Times New Roman"/>
              </w:rPr>
            </w:pPr>
            <w:r>
              <w:rPr>
                <w:rFonts w:ascii="Times New Roman" w:hAnsi="Times New Roman"/>
              </w:rPr>
              <w:t>0.48</w:t>
            </w:r>
          </w:p>
        </w:tc>
        <w:tc>
          <w:tcPr>
            <w:tcW w:w="1162" w:type="dxa"/>
            <w:gridSpan w:val="2"/>
            <w:vMerge w:val="continue"/>
            <w:vAlign w:val="center"/>
          </w:tcPr>
          <w:p>
            <w:pPr>
              <w:pStyle w:val="39"/>
              <w:rPr>
                <w:rFonts w:ascii="Times New Roman" w:hAnsi="Times New Roman"/>
              </w:rPr>
            </w:pPr>
          </w:p>
        </w:tc>
        <w:tc>
          <w:tcPr>
            <w:tcW w:w="1162" w:type="dxa"/>
            <w:vMerge w:val="continue"/>
            <w:vAlign w:val="center"/>
          </w:tcPr>
          <w:p>
            <w:pPr>
              <w:pStyle w:val="39"/>
              <w:rPr>
                <w:rFonts w:ascii="Times New Roman" w:hAnsi="Times New Roman"/>
              </w:rPr>
            </w:pPr>
          </w:p>
        </w:tc>
        <w:tc>
          <w:tcPr>
            <w:tcW w:w="1398" w:type="dxa"/>
            <w:gridSpan w:val="2"/>
            <w:vAlign w:val="center"/>
          </w:tcPr>
          <w:p>
            <w:pPr>
              <w:pStyle w:val="39"/>
              <w:rPr>
                <w:rFonts w:ascii="Times New Roman" w:hAnsi="Times New Roman"/>
              </w:rPr>
            </w:pPr>
            <w:r>
              <w:rPr>
                <w:rFonts w:ascii="Times New Roman" w:hAnsi="Times New Roman"/>
              </w:rPr>
              <w:t>类比法</w:t>
            </w:r>
          </w:p>
        </w:tc>
        <w:tc>
          <w:tcPr>
            <w:tcW w:w="1162" w:type="dxa"/>
            <w:vAlign w:val="center"/>
          </w:tcPr>
          <w:p>
            <w:pPr>
              <w:pStyle w:val="39"/>
              <w:rPr>
                <w:rFonts w:ascii="Times New Roman" w:hAnsi="Times New Roman"/>
              </w:rPr>
            </w:pPr>
            <w:r>
              <w:rPr>
                <w:rFonts w:ascii="Times New Roman" w:hAnsi="Times New Roman"/>
              </w:rPr>
              <w:t>20</w:t>
            </w:r>
          </w:p>
        </w:tc>
        <w:tc>
          <w:tcPr>
            <w:tcW w:w="1843" w:type="dxa"/>
            <w:vAlign w:val="center"/>
          </w:tcPr>
          <w:p>
            <w:pPr>
              <w:pStyle w:val="39"/>
              <w:rPr>
                <w:rFonts w:ascii="Times New Roman" w:hAnsi="Times New Roman"/>
              </w:rPr>
            </w:pPr>
            <w:r>
              <w:rPr>
                <w:rFonts w:ascii="Times New Roman" w:hAnsi="Times New Roman"/>
              </w:rPr>
              <w:t>0.48</w:t>
            </w:r>
          </w:p>
        </w:tc>
        <w:tc>
          <w:tcPr>
            <w:tcW w:w="1162" w:type="dxa"/>
            <w:vAlign w:val="center"/>
          </w:tcPr>
          <w:p>
            <w:pPr>
              <w:pStyle w:val="39"/>
              <w:rPr>
                <w:rFonts w:ascii="Times New Roman" w:hAnsi="Times New Roman"/>
              </w:rPr>
            </w:pPr>
            <w:r>
              <w:rPr>
                <w:rFonts w:ascii="Times New Roman" w:hAnsi="Times New Roman"/>
              </w:rPr>
              <w:t>间断</w:t>
            </w:r>
          </w:p>
        </w:tc>
        <w:tc>
          <w:tcPr>
            <w:tcW w:w="1398"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restart"/>
            <w:vAlign w:val="center"/>
          </w:tcPr>
          <w:p>
            <w:pPr>
              <w:pStyle w:val="39"/>
              <w:rPr>
                <w:rFonts w:ascii="Times New Roman" w:hAnsi="Times New Roman"/>
              </w:rPr>
            </w:pPr>
            <w:r>
              <w:rPr>
                <w:rFonts w:ascii="Times New Roman" w:hAnsi="Times New Roman"/>
              </w:rPr>
              <w:t>外壁擦洗废水</w:t>
            </w:r>
          </w:p>
        </w:tc>
        <w:tc>
          <w:tcPr>
            <w:tcW w:w="1163" w:type="dxa"/>
            <w:vAlign w:val="center"/>
          </w:tcPr>
          <w:p>
            <w:pPr>
              <w:pStyle w:val="39"/>
              <w:rPr>
                <w:rFonts w:ascii="Times New Roman" w:hAnsi="Times New Roman"/>
              </w:rPr>
            </w:pPr>
            <w:r>
              <w:rPr>
                <w:rFonts w:ascii="Times New Roman" w:hAnsi="Times New Roman"/>
              </w:rPr>
              <w:t>废水量</w:t>
            </w:r>
          </w:p>
        </w:tc>
        <w:tc>
          <w:tcPr>
            <w:tcW w:w="1399" w:type="dxa"/>
            <w:vAlign w:val="center"/>
          </w:tcPr>
          <w:p>
            <w:pPr>
              <w:pStyle w:val="39"/>
              <w:rPr>
                <w:rFonts w:ascii="Times New Roman" w:hAnsi="Times New Roman"/>
              </w:rPr>
            </w:pPr>
            <w:r>
              <w:rPr>
                <w:rFonts w:ascii="Times New Roman" w:hAnsi="Times New Roman"/>
              </w:rPr>
              <w:t>物料衡算</w:t>
            </w:r>
          </w:p>
        </w:tc>
        <w:tc>
          <w:tcPr>
            <w:tcW w:w="1163" w:type="dxa"/>
            <w:vAlign w:val="center"/>
          </w:tcPr>
          <w:p>
            <w:pPr>
              <w:pStyle w:val="39"/>
              <w:rPr>
                <w:rFonts w:ascii="Times New Roman" w:hAnsi="Times New Roman"/>
              </w:rPr>
            </w:pPr>
            <w:r>
              <w:rPr>
                <w:rFonts w:ascii="Times New Roman" w:hAnsi="Times New Roman"/>
              </w:rPr>
              <w:t>/</w:t>
            </w:r>
          </w:p>
        </w:tc>
        <w:tc>
          <w:tcPr>
            <w:tcW w:w="1162" w:type="dxa"/>
            <w:vAlign w:val="center"/>
          </w:tcPr>
          <w:p>
            <w:pPr>
              <w:pStyle w:val="39"/>
              <w:rPr>
                <w:rFonts w:ascii="Times New Roman" w:hAnsi="Times New Roman"/>
              </w:rPr>
            </w:pPr>
            <w:r>
              <w:rPr>
                <w:rFonts w:ascii="Times New Roman" w:hAnsi="Times New Roman"/>
              </w:rPr>
              <w:t>156</w:t>
            </w:r>
          </w:p>
        </w:tc>
        <w:tc>
          <w:tcPr>
            <w:tcW w:w="1162" w:type="dxa"/>
            <w:gridSpan w:val="2"/>
            <w:vMerge w:val="restart"/>
            <w:vAlign w:val="center"/>
          </w:tcPr>
          <w:p>
            <w:pPr>
              <w:pStyle w:val="39"/>
              <w:rPr>
                <w:rFonts w:ascii="Times New Roman" w:hAnsi="Times New Roman"/>
              </w:rPr>
            </w:pPr>
            <w:r>
              <w:rPr>
                <w:rFonts w:ascii="Times New Roman" w:hAnsi="Times New Roman"/>
              </w:rPr>
              <w:t>雨水边沟</w:t>
            </w:r>
          </w:p>
        </w:tc>
        <w:tc>
          <w:tcPr>
            <w:tcW w:w="1162" w:type="dxa"/>
            <w:vMerge w:val="restart"/>
            <w:vAlign w:val="center"/>
          </w:tcPr>
          <w:p>
            <w:pPr>
              <w:pStyle w:val="39"/>
              <w:rPr>
                <w:rFonts w:ascii="Times New Roman" w:hAnsi="Times New Roman"/>
              </w:rPr>
            </w:pPr>
            <w:r>
              <w:rPr>
                <w:rFonts w:ascii="Times New Roman" w:hAnsi="Times New Roman"/>
              </w:rPr>
              <w:t>100</w:t>
            </w:r>
          </w:p>
        </w:tc>
        <w:tc>
          <w:tcPr>
            <w:tcW w:w="1398" w:type="dxa"/>
            <w:gridSpan w:val="2"/>
            <w:vAlign w:val="center"/>
          </w:tcPr>
          <w:p>
            <w:pPr>
              <w:pStyle w:val="39"/>
              <w:rPr>
                <w:rFonts w:ascii="Times New Roman" w:hAnsi="Times New Roman"/>
              </w:rPr>
            </w:pPr>
            <w:r>
              <w:rPr>
                <w:rFonts w:ascii="Times New Roman" w:hAnsi="Times New Roman"/>
              </w:rPr>
              <w:t>物料衡算</w:t>
            </w:r>
          </w:p>
        </w:tc>
        <w:tc>
          <w:tcPr>
            <w:tcW w:w="1162" w:type="dxa"/>
            <w:vAlign w:val="center"/>
          </w:tcPr>
          <w:p>
            <w:pPr>
              <w:pStyle w:val="39"/>
              <w:rPr>
                <w:rFonts w:ascii="Times New Roman" w:hAnsi="Times New Roman"/>
              </w:rPr>
            </w:pPr>
            <w:r>
              <w:rPr>
                <w:rFonts w:ascii="Times New Roman" w:hAnsi="Times New Roman"/>
              </w:rPr>
              <w:t>/</w:t>
            </w:r>
          </w:p>
        </w:tc>
        <w:tc>
          <w:tcPr>
            <w:tcW w:w="1843" w:type="dxa"/>
            <w:vAlign w:val="center"/>
          </w:tcPr>
          <w:p>
            <w:pPr>
              <w:pStyle w:val="39"/>
              <w:rPr>
                <w:rFonts w:ascii="Times New Roman" w:hAnsi="Times New Roman"/>
              </w:rPr>
            </w:pPr>
            <w:r>
              <w:rPr>
                <w:rFonts w:ascii="Times New Roman" w:hAnsi="Times New Roman"/>
              </w:rPr>
              <w:t>156</w:t>
            </w:r>
          </w:p>
        </w:tc>
        <w:tc>
          <w:tcPr>
            <w:tcW w:w="1162" w:type="dxa"/>
            <w:vAlign w:val="center"/>
          </w:tcPr>
          <w:p>
            <w:pPr>
              <w:pStyle w:val="39"/>
              <w:rPr>
                <w:rFonts w:ascii="Times New Roman" w:hAnsi="Times New Roman"/>
              </w:rPr>
            </w:pPr>
            <w:r>
              <w:rPr>
                <w:rFonts w:ascii="Times New Roman" w:hAnsi="Times New Roman"/>
              </w:rPr>
              <w:t>间断</w:t>
            </w:r>
          </w:p>
        </w:tc>
        <w:tc>
          <w:tcPr>
            <w:tcW w:w="1398" w:type="dxa"/>
            <w:vMerge w:val="restart"/>
            <w:vAlign w:val="center"/>
          </w:tcPr>
          <w:p>
            <w:pPr>
              <w:pStyle w:val="39"/>
              <w:rPr>
                <w:rFonts w:ascii="Times New Roman" w:hAnsi="Times New Roman"/>
              </w:rPr>
            </w:pPr>
            <w:r>
              <w:rPr>
                <w:rFonts w:ascii="Times New Roman" w:hAnsi="Times New Roman"/>
              </w:rPr>
              <w:t>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continue"/>
            <w:vAlign w:val="center"/>
          </w:tcPr>
          <w:p>
            <w:pPr>
              <w:pStyle w:val="39"/>
              <w:rPr>
                <w:rFonts w:ascii="Times New Roman" w:hAnsi="Times New Roman"/>
              </w:rPr>
            </w:pPr>
          </w:p>
        </w:tc>
        <w:tc>
          <w:tcPr>
            <w:tcW w:w="1163" w:type="dxa"/>
            <w:vAlign w:val="center"/>
          </w:tcPr>
          <w:p>
            <w:pPr>
              <w:pStyle w:val="39"/>
              <w:rPr>
                <w:rFonts w:ascii="Times New Roman" w:hAnsi="Times New Roman"/>
              </w:rPr>
            </w:pPr>
            <w:r>
              <w:rPr>
                <w:rFonts w:ascii="Times New Roman" w:hAnsi="Times New Roman"/>
              </w:rPr>
              <w:t>SS</w:t>
            </w:r>
          </w:p>
        </w:tc>
        <w:tc>
          <w:tcPr>
            <w:tcW w:w="1399" w:type="dxa"/>
            <w:vAlign w:val="center"/>
          </w:tcPr>
          <w:p>
            <w:pPr>
              <w:pStyle w:val="39"/>
              <w:rPr>
                <w:rFonts w:ascii="Times New Roman" w:hAnsi="Times New Roman"/>
              </w:rPr>
            </w:pPr>
            <w:r>
              <w:rPr>
                <w:rFonts w:ascii="Times New Roman" w:hAnsi="Times New Roman"/>
              </w:rPr>
              <w:t>类比法</w:t>
            </w:r>
          </w:p>
        </w:tc>
        <w:tc>
          <w:tcPr>
            <w:tcW w:w="1163" w:type="dxa"/>
            <w:vAlign w:val="center"/>
          </w:tcPr>
          <w:p>
            <w:pPr>
              <w:pStyle w:val="39"/>
              <w:rPr>
                <w:rFonts w:ascii="Times New Roman" w:hAnsi="Times New Roman"/>
              </w:rPr>
            </w:pPr>
            <w:r>
              <w:rPr>
                <w:rFonts w:ascii="Times New Roman" w:hAnsi="Times New Roman"/>
              </w:rPr>
              <w:t>300</w:t>
            </w:r>
          </w:p>
        </w:tc>
        <w:tc>
          <w:tcPr>
            <w:tcW w:w="1162" w:type="dxa"/>
            <w:vAlign w:val="center"/>
          </w:tcPr>
          <w:p>
            <w:pPr>
              <w:pStyle w:val="39"/>
              <w:rPr>
                <w:rFonts w:ascii="Times New Roman" w:hAnsi="Times New Roman"/>
              </w:rPr>
            </w:pPr>
            <w:r>
              <w:rPr>
                <w:rFonts w:ascii="Times New Roman" w:hAnsi="Times New Roman"/>
              </w:rPr>
              <w:t>0.0468</w:t>
            </w:r>
          </w:p>
        </w:tc>
        <w:tc>
          <w:tcPr>
            <w:tcW w:w="1162" w:type="dxa"/>
            <w:gridSpan w:val="2"/>
            <w:vMerge w:val="continue"/>
            <w:vAlign w:val="center"/>
          </w:tcPr>
          <w:p>
            <w:pPr>
              <w:pStyle w:val="39"/>
              <w:rPr>
                <w:rFonts w:ascii="Times New Roman" w:hAnsi="Times New Roman"/>
              </w:rPr>
            </w:pPr>
          </w:p>
        </w:tc>
        <w:tc>
          <w:tcPr>
            <w:tcW w:w="1162" w:type="dxa"/>
            <w:vMerge w:val="continue"/>
            <w:vAlign w:val="center"/>
          </w:tcPr>
          <w:p>
            <w:pPr>
              <w:pStyle w:val="39"/>
              <w:rPr>
                <w:rFonts w:ascii="Times New Roman" w:hAnsi="Times New Roman"/>
              </w:rPr>
            </w:pPr>
          </w:p>
        </w:tc>
        <w:tc>
          <w:tcPr>
            <w:tcW w:w="1398" w:type="dxa"/>
            <w:gridSpan w:val="2"/>
            <w:vAlign w:val="center"/>
          </w:tcPr>
          <w:p>
            <w:pPr>
              <w:pStyle w:val="39"/>
              <w:rPr>
                <w:rFonts w:ascii="Times New Roman" w:hAnsi="Times New Roman"/>
              </w:rPr>
            </w:pPr>
            <w:r>
              <w:rPr>
                <w:rFonts w:ascii="Times New Roman" w:hAnsi="Times New Roman"/>
              </w:rPr>
              <w:t>类比法</w:t>
            </w:r>
          </w:p>
        </w:tc>
        <w:tc>
          <w:tcPr>
            <w:tcW w:w="1162" w:type="dxa"/>
            <w:vAlign w:val="center"/>
          </w:tcPr>
          <w:p>
            <w:pPr>
              <w:pStyle w:val="39"/>
              <w:rPr>
                <w:rFonts w:ascii="Times New Roman" w:hAnsi="Times New Roman"/>
              </w:rPr>
            </w:pPr>
            <w:r>
              <w:rPr>
                <w:rFonts w:ascii="Times New Roman" w:hAnsi="Times New Roman"/>
              </w:rPr>
              <w:t>300</w:t>
            </w:r>
          </w:p>
        </w:tc>
        <w:tc>
          <w:tcPr>
            <w:tcW w:w="1843" w:type="dxa"/>
            <w:vAlign w:val="center"/>
          </w:tcPr>
          <w:p>
            <w:pPr>
              <w:pStyle w:val="39"/>
              <w:rPr>
                <w:rFonts w:ascii="Times New Roman" w:hAnsi="Times New Roman"/>
              </w:rPr>
            </w:pPr>
            <w:r>
              <w:rPr>
                <w:rFonts w:ascii="Times New Roman" w:hAnsi="Times New Roman"/>
              </w:rPr>
              <w:t>0.0468</w:t>
            </w:r>
          </w:p>
        </w:tc>
        <w:tc>
          <w:tcPr>
            <w:tcW w:w="1162" w:type="dxa"/>
            <w:vAlign w:val="center"/>
          </w:tcPr>
          <w:p>
            <w:pPr>
              <w:pStyle w:val="39"/>
              <w:rPr>
                <w:rFonts w:ascii="Times New Roman" w:hAnsi="Times New Roman"/>
              </w:rPr>
            </w:pPr>
            <w:r>
              <w:rPr>
                <w:rFonts w:ascii="Times New Roman" w:hAnsi="Times New Roman"/>
              </w:rPr>
              <w:t>间断</w:t>
            </w:r>
          </w:p>
        </w:tc>
        <w:tc>
          <w:tcPr>
            <w:tcW w:w="1398"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restart"/>
            <w:vAlign w:val="center"/>
          </w:tcPr>
          <w:p>
            <w:pPr>
              <w:pStyle w:val="39"/>
              <w:rPr>
                <w:rFonts w:ascii="Times New Roman" w:hAnsi="Times New Roman"/>
              </w:rPr>
            </w:pPr>
            <w:r>
              <w:rPr>
                <w:rFonts w:ascii="Times New Roman" w:hAnsi="Times New Roman"/>
              </w:rPr>
              <w:t>生活污水</w:t>
            </w:r>
          </w:p>
        </w:tc>
        <w:tc>
          <w:tcPr>
            <w:tcW w:w="1163" w:type="dxa"/>
            <w:vAlign w:val="center"/>
          </w:tcPr>
          <w:p>
            <w:pPr>
              <w:pStyle w:val="39"/>
              <w:rPr>
                <w:rFonts w:ascii="Times New Roman" w:hAnsi="Times New Roman"/>
              </w:rPr>
            </w:pPr>
            <w:r>
              <w:rPr>
                <w:rFonts w:ascii="Times New Roman" w:hAnsi="Times New Roman"/>
              </w:rPr>
              <w:t>废水量</w:t>
            </w:r>
          </w:p>
        </w:tc>
        <w:tc>
          <w:tcPr>
            <w:tcW w:w="1399" w:type="dxa"/>
            <w:vAlign w:val="center"/>
          </w:tcPr>
          <w:p>
            <w:pPr>
              <w:pStyle w:val="39"/>
              <w:rPr>
                <w:rFonts w:ascii="Times New Roman" w:hAnsi="Times New Roman"/>
              </w:rPr>
            </w:pPr>
            <w:r>
              <w:rPr>
                <w:rFonts w:ascii="Times New Roman" w:hAnsi="Times New Roman"/>
              </w:rPr>
              <w:t>排污系数法</w:t>
            </w:r>
          </w:p>
        </w:tc>
        <w:tc>
          <w:tcPr>
            <w:tcW w:w="1163" w:type="dxa"/>
            <w:vAlign w:val="center"/>
          </w:tcPr>
          <w:p>
            <w:pPr>
              <w:pStyle w:val="39"/>
              <w:rPr>
                <w:rFonts w:ascii="Times New Roman" w:hAnsi="Times New Roman"/>
              </w:rPr>
            </w:pPr>
            <w:r>
              <w:rPr>
                <w:rFonts w:ascii="Times New Roman" w:hAnsi="Times New Roman"/>
              </w:rPr>
              <w:t>/</w:t>
            </w:r>
          </w:p>
        </w:tc>
        <w:tc>
          <w:tcPr>
            <w:tcW w:w="1162" w:type="dxa"/>
            <w:vAlign w:val="center"/>
          </w:tcPr>
          <w:p>
            <w:pPr>
              <w:pStyle w:val="39"/>
              <w:rPr>
                <w:rFonts w:ascii="Times New Roman" w:hAnsi="Times New Roman"/>
              </w:rPr>
            </w:pPr>
            <w:r>
              <w:rPr>
                <w:rFonts w:ascii="Times New Roman" w:hAnsi="Times New Roman"/>
              </w:rPr>
              <w:t>245.28</w:t>
            </w:r>
          </w:p>
        </w:tc>
        <w:tc>
          <w:tcPr>
            <w:tcW w:w="1162" w:type="dxa"/>
            <w:gridSpan w:val="2"/>
            <w:vMerge w:val="restart"/>
            <w:vAlign w:val="center"/>
          </w:tcPr>
          <w:p>
            <w:pPr>
              <w:pStyle w:val="39"/>
              <w:rPr>
                <w:rFonts w:ascii="Times New Roman" w:hAnsi="Times New Roman"/>
              </w:rPr>
            </w:pPr>
            <w:r>
              <w:rPr>
                <w:rFonts w:ascii="Times New Roman" w:hAnsi="Times New Roman"/>
              </w:rPr>
              <w:t>统一收集</w:t>
            </w:r>
          </w:p>
        </w:tc>
        <w:tc>
          <w:tcPr>
            <w:tcW w:w="1162" w:type="dxa"/>
            <w:vMerge w:val="restart"/>
            <w:vAlign w:val="center"/>
          </w:tcPr>
          <w:p>
            <w:pPr>
              <w:pStyle w:val="39"/>
              <w:rPr>
                <w:rFonts w:ascii="Times New Roman" w:hAnsi="Times New Roman"/>
              </w:rPr>
            </w:pPr>
            <w:r>
              <w:rPr>
                <w:rFonts w:ascii="Times New Roman" w:hAnsi="Times New Roman"/>
              </w:rPr>
              <w:t>100</w:t>
            </w:r>
          </w:p>
        </w:tc>
        <w:tc>
          <w:tcPr>
            <w:tcW w:w="1398" w:type="dxa"/>
            <w:gridSpan w:val="2"/>
            <w:vAlign w:val="center"/>
          </w:tcPr>
          <w:p>
            <w:pPr>
              <w:pStyle w:val="39"/>
              <w:rPr>
                <w:rFonts w:ascii="Times New Roman" w:hAnsi="Times New Roman"/>
              </w:rPr>
            </w:pPr>
            <w:r>
              <w:rPr>
                <w:rFonts w:ascii="Times New Roman" w:hAnsi="Times New Roman"/>
              </w:rPr>
              <w:t>排污系数法</w:t>
            </w:r>
          </w:p>
        </w:tc>
        <w:tc>
          <w:tcPr>
            <w:tcW w:w="1162" w:type="dxa"/>
            <w:vAlign w:val="center"/>
          </w:tcPr>
          <w:p>
            <w:pPr>
              <w:pStyle w:val="39"/>
              <w:rPr>
                <w:rFonts w:ascii="Times New Roman" w:hAnsi="Times New Roman"/>
              </w:rPr>
            </w:pPr>
            <w:r>
              <w:rPr>
                <w:rFonts w:ascii="Times New Roman" w:hAnsi="Times New Roman"/>
              </w:rPr>
              <w:t>/</w:t>
            </w:r>
          </w:p>
        </w:tc>
        <w:tc>
          <w:tcPr>
            <w:tcW w:w="1843" w:type="dxa"/>
            <w:vAlign w:val="center"/>
          </w:tcPr>
          <w:p>
            <w:pPr>
              <w:pStyle w:val="39"/>
              <w:rPr>
                <w:rFonts w:ascii="Times New Roman" w:hAnsi="Times New Roman"/>
              </w:rPr>
            </w:pPr>
            <w:r>
              <w:rPr>
                <w:rFonts w:ascii="Times New Roman" w:hAnsi="Times New Roman"/>
              </w:rPr>
              <w:t>245.28</w:t>
            </w:r>
          </w:p>
        </w:tc>
        <w:tc>
          <w:tcPr>
            <w:tcW w:w="1162" w:type="dxa"/>
            <w:vAlign w:val="center"/>
          </w:tcPr>
          <w:p>
            <w:pPr>
              <w:pStyle w:val="39"/>
              <w:rPr>
                <w:rFonts w:ascii="Times New Roman" w:hAnsi="Times New Roman"/>
              </w:rPr>
            </w:pPr>
            <w:r>
              <w:rPr>
                <w:rFonts w:ascii="Times New Roman" w:hAnsi="Times New Roman"/>
              </w:rPr>
              <w:t>8760/连续</w:t>
            </w:r>
          </w:p>
        </w:tc>
        <w:tc>
          <w:tcPr>
            <w:tcW w:w="1398" w:type="dxa"/>
            <w:vMerge w:val="restart"/>
            <w:vAlign w:val="center"/>
          </w:tcPr>
          <w:p>
            <w:pPr>
              <w:pStyle w:val="39"/>
              <w:rPr>
                <w:rFonts w:ascii="Times New Roman" w:hAnsi="Times New Roman"/>
              </w:rPr>
            </w:pPr>
            <w:r>
              <w:rPr>
                <w:rFonts w:ascii="Times New Roman" w:hAnsi="Times New Roman"/>
              </w:rPr>
              <w:t>农村污水处理系统处理后还田，不外排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continue"/>
            <w:vAlign w:val="center"/>
          </w:tcPr>
          <w:p>
            <w:pPr>
              <w:pStyle w:val="39"/>
              <w:rPr>
                <w:rFonts w:ascii="Times New Roman" w:hAnsi="Times New Roman"/>
              </w:rPr>
            </w:pPr>
          </w:p>
        </w:tc>
        <w:tc>
          <w:tcPr>
            <w:tcW w:w="1163" w:type="dxa"/>
            <w:vAlign w:val="center"/>
          </w:tcPr>
          <w:p>
            <w:pPr>
              <w:pStyle w:val="39"/>
              <w:rPr>
                <w:rFonts w:ascii="Times New Roman" w:hAnsi="Times New Roman"/>
              </w:rPr>
            </w:pPr>
            <w:r>
              <w:rPr>
                <w:rFonts w:ascii="Times New Roman" w:hAnsi="Times New Roman"/>
              </w:rPr>
              <w:t>COD</w:t>
            </w:r>
          </w:p>
        </w:tc>
        <w:tc>
          <w:tcPr>
            <w:tcW w:w="1399" w:type="dxa"/>
            <w:vMerge w:val="restart"/>
            <w:vAlign w:val="center"/>
          </w:tcPr>
          <w:p>
            <w:pPr>
              <w:pStyle w:val="39"/>
              <w:rPr>
                <w:rFonts w:ascii="Times New Roman" w:hAnsi="Times New Roman"/>
              </w:rPr>
            </w:pPr>
            <w:r>
              <w:rPr>
                <w:rFonts w:ascii="Times New Roman" w:hAnsi="Times New Roman"/>
              </w:rPr>
              <w:t>类比法</w:t>
            </w:r>
          </w:p>
        </w:tc>
        <w:tc>
          <w:tcPr>
            <w:tcW w:w="1163" w:type="dxa"/>
            <w:vAlign w:val="center"/>
          </w:tcPr>
          <w:p>
            <w:pPr>
              <w:pStyle w:val="39"/>
              <w:rPr>
                <w:rFonts w:ascii="Times New Roman" w:hAnsi="Times New Roman"/>
              </w:rPr>
            </w:pPr>
            <w:r>
              <w:rPr>
                <w:rFonts w:ascii="Times New Roman" w:hAnsi="Times New Roman"/>
              </w:rPr>
              <w:t>400</w:t>
            </w:r>
          </w:p>
        </w:tc>
        <w:tc>
          <w:tcPr>
            <w:tcW w:w="1162" w:type="dxa"/>
            <w:vAlign w:val="center"/>
          </w:tcPr>
          <w:p>
            <w:pPr>
              <w:pStyle w:val="39"/>
              <w:rPr>
                <w:rFonts w:ascii="Times New Roman" w:hAnsi="Times New Roman"/>
              </w:rPr>
            </w:pPr>
            <w:r>
              <w:rPr>
                <w:rFonts w:ascii="Times New Roman" w:hAnsi="Times New Roman"/>
              </w:rPr>
              <w:t>0.098</w:t>
            </w:r>
          </w:p>
        </w:tc>
        <w:tc>
          <w:tcPr>
            <w:tcW w:w="1162" w:type="dxa"/>
            <w:gridSpan w:val="2"/>
            <w:vMerge w:val="continue"/>
            <w:vAlign w:val="center"/>
          </w:tcPr>
          <w:p>
            <w:pPr>
              <w:pStyle w:val="39"/>
              <w:rPr>
                <w:rFonts w:ascii="Times New Roman" w:hAnsi="Times New Roman"/>
              </w:rPr>
            </w:pPr>
          </w:p>
        </w:tc>
        <w:tc>
          <w:tcPr>
            <w:tcW w:w="1162" w:type="dxa"/>
            <w:vMerge w:val="continue"/>
            <w:vAlign w:val="center"/>
          </w:tcPr>
          <w:p>
            <w:pPr>
              <w:pStyle w:val="39"/>
              <w:rPr>
                <w:rFonts w:ascii="Times New Roman" w:hAnsi="Times New Roman"/>
              </w:rPr>
            </w:pPr>
          </w:p>
        </w:tc>
        <w:tc>
          <w:tcPr>
            <w:tcW w:w="1398" w:type="dxa"/>
            <w:gridSpan w:val="2"/>
            <w:vMerge w:val="restart"/>
            <w:vAlign w:val="center"/>
          </w:tcPr>
          <w:p>
            <w:pPr>
              <w:pStyle w:val="39"/>
              <w:rPr>
                <w:rFonts w:ascii="Times New Roman" w:hAnsi="Times New Roman"/>
              </w:rPr>
            </w:pPr>
            <w:r>
              <w:rPr>
                <w:rFonts w:ascii="Times New Roman" w:hAnsi="Times New Roman"/>
              </w:rPr>
              <w:t>类比法</w:t>
            </w:r>
          </w:p>
        </w:tc>
        <w:tc>
          <w:tcPr>
            <w:tcW w:w="1162" w:type="dxa"/>
            <w:vAlign w:val="center"/>
          </w:tcPr>
          <w:p>
            <w:pPr>
              <w:pStyle w:val="39"/>
              <w:rPr>
                <w:rFonts w:ascii="Times New Roman" w:hAnsi="Times New Roman"/>
              </w:rPr>
            </w:pPr>
            <w:r>
              <w:rPr>
                <w:rFonts w:ascii="Times New Roman" w:hAnsi="Times New Roman"/>
              </w:rPr>
              <w:t>400</w:t>
            </w:r>
          </w:p>
        </w:tc>
        <w:tc>
          <w:tcPr>
            <w:tcW w:w="1843" w:type="dxa"/>
            <w:vAlign w:val="center"/>
          </w:tcPr>
          <w:p>
            <w:pPr>
              <w:pStyle w:val="39"/>
              <w:rPr>
                <w:rFonts w:ascii="Times New Roman" w:hAnsi="Times New Roman"/>
              </w:rPr>
            </w:pPr>
            <w:r>
              <w:rPr>
                <w:rFonts w:ascii="Times New Roman" w:hAnsi="Times New Roman"/>
              </w:rPr>
              <w:t>0.098</w:t>
            </w:r>
          </w:p>
        </w:tc>
        <w:tc>
          <w:tcPr>
            <w:tcW w:w="1162" w:type="dxa"/>
            <w:vAlign w:val="center"/>
          </w:tcPr>
          <w:p>
            <w:pPr>
              <w:pStyle w:val="39"/>
              <w:rPr>
                <w:rFonts w:ascii="Times New Roman" w:hAnsi="Times New Roman"/>
              </w:rPr>
            </w:pPr>
            <w:r>
              <w:rPr>
                <w:rFonts w:ascii="Times New Roman" w:hAnsi="Times New Roman"/>
              </w:rPr>
              <w:t>8760/连续</w:t>
            </w:r>
          </w:p>
        </w:tc>
        <w:tc>
          <w:tcPr>
            <w:tcW w:w="1398"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continue"/>
            <w:vAlign w:val="center"/>
          </w:tcPr>
          <w:p>
            <w:pPr>
              <w:pStyle w:val="39"/>
              <w:rPr>
                <w:rFonts w:ascii="Times New Roman" w:hAnsi="Times New Roman"/>
              </w:rPr>
            </w:pPr>
          </w:p>
        </w:tc>
        <w:tc>
          <w:tcPr>
            <w:tcW w:w="1163" w:type="dxa"/>
            <w:vAlign w:val="center"/>
          </w:tcPr>
          <w:p>
            <w:pPr>
              <w:pStyle w:val="39"/>
              <w:rPr>
                <w:rFonts w:ascii="Times New Roman" w:hAnsi="Times New Roman"/>
              </w:rPr>
            </w:pPr>
            <w:r>
              <w:rPr>
                <w:rFonts w:ascii="Times New Roman" w:hAnsi="Times New Roman"/>
              </w:rPr>
              <w:t>BOD</w:t>
            </w:r>
            <w:r>
              <w:rPr>
                <w:rFonts w:ascii="Times New Roman" w:hAnsi="Times New Roman"/>
                <w:vertAlign w:val="subscript"/>
              </w:rPr>
              <w:t>5</w:t>
            </w:r>
          </w:p>
        </w:tc>
        <w:tc>
          <w:tcPr>
            <w:tcW w:w="1399" w:type="dxa"/>
            <w:vMerge w:val="continue"/>
            <w:vAlign w:val="center"/>
          </w:tcPr>
          <w:p>
            <w:pPr>
              <w:pStyle w:val="39"/>
              <w:rPr>
                <w:rFonts w:ascii="Times New Roman" w:hAnsi="Times New Roman"/>
              </w:rPr>
            </w:pPr>
          </w:p>
        </w:tc>
        <w:tc>
          <w:tcPr>
            <w:tcW w:w="1163" w:type="dxa"/>
            <w:vAlign w:val="center"/>
          </w:tcPr>
          <w:p>
            <w:pPr>
              <w:pStyle w:val="39"/>
              <w:rPr>
                <w:rFonts w:ascii="Times New Roman" w:hAnsi="Times New Roman"/>
              </w:rPr>
            </w:pPr>
            <w:r>
              <w:rPr>
                <w:rFonts w:ascii="Times New Roman" w:hAnsi="Times New Roman"/>
              </w:rPr>
              <w:t>200</w:t>
            </w:r>
          </w:p>
        </w:tc>
        <w:tc>
          <w:tcPr>
            <w:tcW w:w="1162" w:type="dxa"/>
            <w:vAlign w:val="center"/>
          </w:tcPr>
          <w:p>
            <w:pPr>
              <w:pStyle w:val="39"/>
              <w:rPr>
                <w:rFonts w:ascii="Times New Roman" w:hAnsi="Times New Roman"/>
              </w:rPr>
            </w:pPr>
            <w:r>
              <w:rPr>
                <w:rFonts w:ascii="Times New Roman" w:hAnsi="Times New Roman"/>
              </w:rPr>
              <w:t>0.049</w:t>
            </w:r>
          </w:p>
        </w:tc>
        <w:tc>
          <w:tcPr>
            <w:tcW w:w="1162" w:type="dxa"/>
            <w:gridSpan w:val="2"/>
            <w:vMerge w:val="continue"/>
            <w:vAlign w:val="center"/>
          </w:tcPr>
          <w:p>
            <w:pPr>
              <w:pStyle w:val="39"/>
              <w:rPr>
                <w:rFonts w:ascii="Times New Roman" w:hAnsi="Times New Roman"/>
              </w:rPr>
            </w:pPr>
          </w:p>
        </w:tc>
        <w:tc>
          <w:tcPr>
            <w:tcW w:w="1162" w:type="dxa"/>
            <w:vMerge w:val="continue"/>
            <w:vAlign w:val="center"/>
          </w:tcPr>
          <w:p>
            <w:pPr>
              <w:pStyle w:val="39"/>
              <w:rPr>
                <w:rFonts w:ascii="Times New Roman" w:hAnsi="Times New Roman"/>
              </w:rPr>
            </w:pPr>
          </w:p>
        </w:tc>
        <w:tc>
          <w:tcPr>
            <w:tcW w:w="1398" w:type="dxa"/>
            <w:gridSpan w:val="2"/>
            <w:vMerge w:val="continue"/>
            <w:vAlign w:val="center"/>
          </w:tcPr>
          <w:p>
            <w:pPr>
              <w:pStyle w:val="39"/>
              <w:rPr>
                <w:rFonts w:ascii="Times New Roman" w:hAnsi="Times New Roman"/>
              </w:rPr>
            </w:pPr>
          </w:p>
        </w:tc>
        <w:tc>
          <w:tcPr>
            <w:tcW w:w="1162" w:type="dxa"/>
            <w:vAlign w:val="center"/>
          </w:tcPr>
          <w:p>
            <w:pPr>
              <w:pStyle w:val="39"/>
              <w:rPr>
                <w:rFonts w:ascii="Times New Roman" w:hAnsi="Times New Roman"/>
              </w:rPr>
            </w:pPr>
            <w:r>
              <w:rPr>
                <w:rFonts w:ascii="Times New Roman" w:hAnsi="Times New Roman"/>
              </w:rPr>
              <w:t>200</w:t>
            </w:r>
          </w:p>
        </w:tc>
        <w:tc>
          <w:tcPr>
            <w:tcW w:w="1843" w:type="dxa"/>
            <w:vAlign w:val="center"/>
          </w:tcPr>
          <w:p>
            <w:pPr>
              <w:pStyle w:val="39"/>
              <w:rPr>
                <w:rFonts w:ascii="Times New Roman" w:hAnsi="Times New Roman"/>
              </w:rPr>
            </w:pPr>
            <w:r>
              <w:rPr>
                <w:rFonts w:ascii="Times New Roman" w:hAnsi="Times New Roman"/>
              </w:rPr>
              <w:t>0.049</w:t>
            </w:r>
          </w:p>
        </w:tc>
        <w:tc>
          <w:tcPr>
            <w:tcW w:w="1162" w:type="dxa"/>
            <w:vAlign w:val="center"/>
          </w:tcPr>
          <w:p>
            <w:pPr>
              <w:pStyle w:val="39"/>
              <w:rPr>
                <w:rFonts w:ascii="Times New Roman" w:hAnsi="Times New Roman"/>
              </w:rPr>
            </w:pPr>
            <w:r>
              <w:rPr>
                <w:rFonts w:ascii="Times New Roman" w:hAnsi="Times New Roman"/>
              </w:rPr>
              <w:t>8760/连续</w:t>
            </w:r>
          </w:p>
        </w:tc>
        <w:tc>
          <w:tcPr>
            <w:tcW w:w="1398"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continue"/>
            <w:vAlign w:val="center"/>
          </w:tcPr>
          <w:p>
            <w:pPr>
              <w:pStyle w:val="39"/>
              <w:rPr>
                <w:rFonts w:ascii="Times New Roman" w:hAnsi="Times New Roman"/>
              </w:rPr>
            </w:pPr>
          </w:p>
        </w:tc>
        <w:tc>
          <w:tcPr>
            <w:tcW w:w="1163" w:type="dxa"/>
            <w:vAlign w:val="center"/>
          </w:tcPr>
          <w:p>
            <w:pPr>
              <w:pStyle w:val="39"/>
              <w:rPr>
                <w:rFonts w:ascii="Times New Roman" w:hAnsi="Times New Roman"/>
              </w:rPr>
            </w:pPr>
            <w:r>
              <w:rPr>
                <w:rFonts w:ascii="Times New Roman" w:hAnsi="Times New Roman"/>
              </w:rPr>
              <w:t>SS</w:t>
            </w:r>
          </w:p>
        </w:tc>
        <w:tc>
          <w:tcPr>
            <w:tcW w:w="1399" w:type="dxa"/>
            <w:vMerge w:val="continue"/>
            <w:vAlign w:val="center"/>
          </w:tcPr>
          <w:p>
            <w:pPr>
              <w:pStyle w:val="39"/>
              <w:rPr>
                <w:rFonts w:ascii="Times New Roman" w:hAnsi="Times New Roman"/>
              </w:rPr>
            </w:pPr>
          </w:p>
        </w:tc>
        <w:tc>
          <w:tcPr>
            <w:tcW w:w="1163" w:type="dxa"/>
            <w:vAlign w:val="center"/>
          </w:tcPr>
          <w:p>
            <w:pPr>
              <w:pStyle w:val="39"/>
              <w:rPr>
                <w:rFonts w:ascii="Times New Roman" w:hAnsi="Times New Roman"/>
              </w:rPr>
            </w:pPr>
            <w:r>
              <w:rPr>
                <w:rFonts w:ascii="Times New Roman" w:hAnsi="Times New Roman"/>
              </w:rPr>
              <w:t>300</w:t>
            </w:r>
          </w:p>
        </w:tc>
        <w:tc>
          <w:tcPr>
            <w:tcW w:w="1162" w:type="dxa"/>
            <w:vAlign w:val="center"/>
          </w:tcPr>
          <w:p>
            <w:pPr>
              <w:pStyle w:val="39"/>
              <w:rPr>
                <w:rFonts w:ascii="Times New Roman" w:hAnsi="Times New Roman"/>
              </w:rPr>
            </w:pPr>
            <w:r>
              <w:rPr>
                <w:rFonts w:ascii="Times New Roman" w:hAnsi="Times New Roman"/>
              </w:rPr>
              <w:t>0.074</w:t>
            </w:r>
          </w:p>
        </w:tc>
        <w:tc>
          <w:tcPr>
            <w:tcW w:w="1162" w:type="dxa"/>
            <w:gridSpan w:val="2"/>
            <w:vMerge w:val="continue"/>
            <w:vAlign w:val="center"/>
          </w:tcPr>
          <w:p>
            <w:pPr>
              <w:pStyle w:val="39"/>
              <w:rPr>
                <w:rFonts w:ascii="Times New Roman" w:hAnsi="Times New Roman"/>
              </w:rPr>
            </w:pPr>
          </w:p>
        </w:tc>
        <w:tc>
          <w:tcPr>
            <w:tcW w:w="1162" w:type="dxa"/>
            <w:vMerge w:val="continue"/>
            <w:vAlign w:val="center"/>
          </w:tcPr>
          <w:p>
            <w:pPr>
              <w:pStyle w:val="39"/>
              <w:rPr>
                <w:rFonts w:ascii="Times New Roman" w:hAnsi="Times New Roman"/>
              </w:rPr>
            </w:pPr>
          </w:p>
        </w:tc>
        <w:tc>
          <w:tcPr>
            <w:tcW w:w="1398" w:type="dxa"/>
            <w:gridSpan w:val="2"/>
            <w:vMerge w:val="continue"/>
            <w:vAlign w:val="center"/>
          </w:tcPr>
          <w:p>
            <w:pPr>
              <w:pStyle w:val="39"/>
              <w:rPr>
                <w:rFonts w:ascii="Times New Roman" w:hAnsi="Times New Roman"/>
              </w:rPr>
            </w:pPr>
          </w:p>
        </w:tc>
        <w:tc>
          <w:tcPr>
            <w:tcW w:w="1162" w:type="dxa"/>
            <w:vAlign w:val="center"/>
          </w:tcPr>
          <w:p>
            <w:pPr>
              <w:pStyle w:val="39"/>
              <w:rPr>
                <w:rFonts w:ascii="Times New Roman" w:hAnsi="Times New Roman"/>
              </w:rPr>
            </w:pPr>
            <w:r>
              <w:rPr>
                <w:rFonts w:ascii="Times New Roman" w:hAnsi="Times New Roman"/>
              </w:rPr>
              <w:t>300</w:t>
            </w:r>
          </w:p>
        </w:tc>
        <w:tc>
          <w:tcPr>
            <w:tcW w:w="1843" w:type="dxa"/>
            <w:vAlign w:val="center"/>
          </w:tcPr>
          <w:p>
            <w:pPr>
              <w:pStyle w:val="39"/>
              <w:rPr>
                <w:rFonts w:ascii="Times New Roman" w:hAnsi="Times New Roman"/>
              </w:rPr>
            </w:pPr>
            <w:r>
              <w:rPr>
                <w:rFonts w:ascii="Times New Roman" w:hAnsi="Times New Roman"/>
              </w:rPr>
              <w:t>0.074</w:t>
            </w:r>
          </w:p>
        </w:tc>
        <w:tc>
          <w:tcPr>
            <w:tcW w:w="1162" w:type="dxa"/>
            <w:vAlign w:val="center"/>
          </w:tcPr>
          <w:p>
            <w:pPr>
              <w:pStyle w:val="39"/>
              <w:rPr>
                <w:rFonts w:ascii="Times New Roman" w:hAnsi="Times New Roman"/>
              </w:rPr>
            </w:pPr>
            <w:r>
              <w:rPr>
                <w:rFonts w:ascii="Times New Roman" w:hAnsi="Times New Roman"/>
              </w:rPr>
              <w:t>8760/连续</w:t>
            </w:r>
          </w:p>
        </w:tc>
        <w:tc>
          <w:tcPr>
            <w:tcW w:w="1398"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continue"/>
            <w:vAlign w:val="center"/>
          </w:tcPr>
          <w:p>
            <w:pPr>
              <w:pStyle w:val="39"/>
              <w:rPr>
                <w:rFonts w:ascii="Times New Roman" w:hAnsi="Times New Roman"/>
              </w:rPr>
            </w:pPr>
          </w:p>
        </w:tc>
        <w:tc>
          <w:tcPr>
            <w:tcW w:w="1163" w:type="dxa"/>
            <w:vAlign w:val="center"/>
          </w:tcPr>
          <w:p>
            <w:pPr>
              <w:pStyle w:val="39"/>
              <w:rPr>
                <w:rFonts w:ascii="Times New Roman" w:hAnsi="Times New Roman"/>
              </w:rPr>
            </w:pPr>
            <w:r>
              <w:rPr>
                <w:rFonts w:ascii="Times New Roman" w:hAnsi="Times New Roman"/>
              </w:rPr>
              <w:t>NH</w:t>
            </w:r>
            <w:r>
              <w:rPr>
                <w:rFonts w:ascii="Times New Roman" w:hAnsi="Times New Roman"/>
                <w:vertAlign w:val="subscript"/>
              </w:rPr>
              <w:t>3</w:t>
            </w:r>
            <w:r>
              <w:rPr>
                <w:rFonts w:ascii="Times New Roman" w:hAnsi="Times New Roman"/>
              </w:rPr>
              <w:t>-N</w:t>
            </w:r>
          </w:p>
        </w:tc>
        <w:tc>
          <w:tcPr>
            <w:tcW w:w="1399" w:type="dxa"/>
            <w:vMerge w:val="continue"/>
            <w:vAlign w:val="center"/>
          </w:tcPr>
          <w:p>
            <w:pPr>
              <w:pStyle w:val="39"/>
              <w:rPr>
                <w:rFonts w:ascii="Times New Roman" w:hAnsi="Times New Roman"/>
              </w:rPr>
            </w:pPr>
          </w:p>
        </w:tc>
        <w:tc>
          <w:tcPr>
            <w:tcW w:w="1163" w:type="dxa"/>
            <w:vAlign w:val="center"/>
          </w:tcPr>
          <w:p>
            <w:pPr>
              <w:pStyle w:val="39"/>
              <w:rPr>
                <w:rFonts w:ascii="Times New Roman" w:hAnsi="Times New Roman"/>
              </w:rPr>
            </w:pPr>
            <w:r>
              <w:rPr>
                <w:rFonts w:ascii="Times New Roman" w:hAnsi="Times New Roman"/>
              </w:rPr>
              <w:t>25</w:t>
            </w:r>
          </w:p>
        </w:tc>
        <w:tc>
          <w:tcPr>
            <w:tcW w:w="1162" w:type="dxa"/>
            <w:vAlign w:val="center"/>
          </w:tcPr>
          <w:p>
            <w:pPr>
              <w:pStyle w:val="39"/>
              <w:rPr>
                <w:rFonts w:ascii="Times New Roman" w:hAnsi="Times New Roman"/>
              </w:rPr>
            </w:pPr>
            <w:r>
              <w:rPr>
                <w:rFonts w:ascii="Times New Roman" w:hAnsi="Times New Roman"/>
              </w:rPr>
              <w:t>0.006</w:t>
            </w:r>
          </w:p>
        </w:tc>
        <w:tc>
          <w:tcPr>
            <w:tcW w:w="1162" w:type="dxa"/>
            <w:gridSpan w:val="2"/>
            <w:vMerge w:val="continue"/>
            <w:vAlign w:val="center"/>
          </w:tcPr>
          <w:p>
            <w:pPr>
              <w:pStyle w:val="39"/>
              <w:rPr>
                <w:rFonts w:ascii="Times New Roman" w:hAnsi="Times New Roman"/>
              </w:rPr>
            </w:pPr>
          </w:p>
        </w:tc>
        <w:tc>
          <w:tcPr>
            <w:tcW w:w="1162" w:type="dxa"/>
            <w:vMerge w:val="continue"/>
            <w:vAlign w:val="center"/>
          </w:tcPr>
          <w:p>
            <w:pPr>
              <w:pStyle w:val="39"/>
              <w:rPr>
                <w:rFonts w:ascii="Times New Roman" w:hAnsi="Times New Roman"/>
              </w:rPr>
            </w:pPr>
          </w:p>
        </w:tc>
        <w:tc>
          <w:tcPr>
            <w:tcW w:w="1398" w:type="dxa"/>
            <w:gridSpan w:val="2"/>
            <w:vMerge w:val="continue"/>
            <w:vAlign w:val="center"/>
          </w:tcPr>
          <w:p>
            <w:pPr>
              <w:pStyle w:val="39"/>
              <w:rPr>
                <w:rFonts w:ascii="Times New Roman" w:hAnsi="Times New Roman"/>
              </w:rPr>
            </w:pPr>
          </w:p>
        </w:tc>
        <w:tc>
          <w:tcPr>
            <w:tcW w:w="1162" w:type="dxa"/>
            <w:vAlign w:val="center"/>
          </w:tcPr>
          <w:p>
            <w:pPr>
              <w:pStyle w:val="39"/>
              <w:rPr>
                <w:rFonts w:ascii="Times New Roman" w:hAnsi="Times New Roman"/>
              </w:rPr>
            </w:pPr>
            <w:r>
              <w:rPr>
                <w:rFonts w:ascii="Times New Roman" w:hAnsi="Times New Roman"/>
              </w:rPr>
              <w:t>25</w:t>
            </w:r>
          </w:p>
        </w:tc>
        <w:tc>
          <w:tcPr>
            <w:tcW w:w="1843" w:type="dxa"/>
            <w:vAlign w:val="center"/>
          </w:tcPr>
          <w:p>
            <w:pPr>
              <w:pStyle w:val="39"/>
              <w:rPr>
                <w:rFonts w:ascii="Times New Roman" w:hAnsi="Times New Roman"/>
              </w:rPr>
            </w:pPr>
            <w:r>
              <w:rPr>
                <w:rFonts w:ascii="Times New Roman" w:hAnsi="Times New Roman"/>
              </w:rPr>
              <w:t>0.006</w:t>
            </w:r>
          </w:p>
        </w:tc>
        <w:tc>
          <w:tcPr>
            <w:tcW w:w="1162" w:type="dxa"/>
            <w:vAlign w:val="center"/>
          </w:tcPr>
          <w:p>
            <w:pPr>
              <w:pStyle w:val="39"/>
              <w:rPr>
                <w:rFonts w:ascii="Times New Roman" w:hAnsi="Times New Roman"/>
              </w:rPr>
            </w:pPr>
            <w:r>
              <w:rPr>
                <w:rFonts w:ascii="Times New Roman" w:hAnsi="Times New Roman"/>
              </w:rPr>
              <w:t>8760/连续</w:t>
            </w:r>
          </w:p>
        </w:tc>
        <w:tc>
          <w:tcPr>
            <w:tcW w:w="1398" w:type="dxa"/>
            <w:vMerge w:val="continue"/>
            <w:vAlign w:val="center"/>
          </w:tcPr>
          <w:p>
            <w:pPr>
              <w:pStyle w:val="39"/>
              <w:rPr>
                <w:rFonts w:ascii="Times New Roman" w:hAnsi="Times New Roman"/>
              </w:rPr>
            </w:pPr>
          </w:p>
        </w:tc>
      </w:tr>
    </w:tbl>
    <w:p>
      <w:pPr>
        <w:pStyle w:val="41"/>
        <w:spacing w:before="163" w:after="163"/>
        <w:ind w:firstLine="420" w:firstLineChars="200"/>
        <w:rPr>
          <w:rFonts w:ascii="Times New Roman" w:hAnsi="Times New Roman" w:cs="Times New Roman"/>
        </w:rPr>
      </w:pPr>
      <w:r>
        <w:rPr>
          <w:rFonts w:ascii="Times New Roman" w:hAnsi="Times New Roman" w:cs="Times New Roman"/>
        </w:rPr>
        <w:t>注：*按照浓度上限核算</w:t>
      </w:r>
    </w:p>
    <w:p>
      <w:pPr>
        <w:ind w:firstLine="480"/>
        <w:rPr>
          <w:rFonts w:ascii="Times New Roman" w:hAnsi="Times New Roman"/>
        </w:rPr>
        <w:sectPr>
          <w:pgSz w:w="16838" w:h="11906" w:orient="landscape"/>
          <w:pgMar w:top="720" w:right="720" w:bottom="720" w:left="720" w:header="851" w:footer="992" w:gutter="0"/>
          <w:cols w:space="425" w:num="1"/>
          <w:docGrid w:type="linesAndChars" w:linePitch="326" w:charSpace="0"/>
        </w:sectPr>
      </w:pPr>
    </w:p>
    <w:p>
      <w:pPr>
        <w:pStyle w:val="4"/>
        <w:rPr>
          <w:rFonts w:ascii="Times New Roman" w:hAnsi="Times New Roman" w:cs="Times New Roman"/>
        </w:rPr>
      </w:pPr>
      <w:r>
        <w:rPr>
          <w:rFonts w:ascii="Times New Roman" w:hAnsi="Times New Roman" w:cs="Times New Roman"/>
        </w:rPr>
        <w:t>废气污染源</w:t>
      </w:r>
    </w:p>
    <w:p>
      <w:pPr>
        <w:ind w:firstLine="480"/>
        <w:rPr>
          <w:rFonts w:ascii="Times New Roman" w:hAnsi="Times New Roman"/>
        </w:rPr>
      </w:pPr>
      <w:r>
        <w:rPr>
          <w:rFonts w:ascii="Times New Roman" w:hAnsi="Times New Roman"/>
        </w:rPr>
        <w:t>本项目废气污染源分为有组织排放源和无组织排放源两大类。</w:t>
      </w:r>
    </w:p>
    <w:p>
      <w:pPr>
        <w:pStyle w:val="5"/>
        <w:rPr>
          <w:rFonts w:ascii="Times New Roman" w:hAnsi="Times New Roman"/>
        </w:rPr>
      </w:pPr>
      <w:r>
        <w:rPr>
          <w:rFonts w:ascii="Times New Roman" w:hAnsi="Times New Roman"/>
        </w:rPr>
        <w:t>有组织废气</w:t>
      </w:r>
    </w:p>
    <w:p>
      <w:pPr>
        <w:ind w:firstLine="480"/>
        <w:rPr>
          <w:rFonts w:ascii="Times New Roman" w:hAnsi="Times New Roman"/>
        </w:rPr>
      </w:pPr>
      <w:r>
        <w:rPr>
          <w:rFonts w:ascii="Times New Roman" w:hAnsi="Times New Roman"/>
        </w:rPr>
        <w:t>（1）正常工况下有组织废气达标分析</w:t>
      </w:r>
    </w:p>
    <w:p>
      <w:pPr>
        <w:ind w:firstLine="480"/>
        <w:rPr>
          <w:rFonts w:ascii="Times New Roman" w:hAnsi="Times New Roman"/>
        </w:rPr>
      </w:pPr>
      <w:r>
        <w:rPr>
          <w:rFonts w:ascii="Times New Roman" w:hAnsi="Times New Roman"/>
        </w:rPr>
        <w:t>两井站水套加热炉废气排放筒执行《锅炉大气污染物排放标准》（GB 13271-2014）中表2相应限值。</w:t>
      </w:r>
    </w:p>
    <w:p>
      <w:pPr>
        <w:ind w:firstLine="480"/>
        <w:rPr>
          <w:rFonts w:ascii="Times New Roman" w:hAnsi="Times New Roman"/>
        </w:rPr>
      </w:pPr>
      <w:r>
        <w:rPr>
          <w:rFonts w:ascii="Times New Roman" w:hAnsi="Times New Roman"/>
        </w:rPr>
        <w:t>本项目有组织废气达标排放情况见</w:t>
      </w:r>
      <w:r>
        <w:rPr>
          <w:rFonts w:ascii="Times New Roman" w:hAnsi="Times New Roman"/>
        </w:rPr>
        <w:fldChar w:fldCharType="begin"/>
      </w:r>
      <w:r>
        <w:rPr>
          <w:rFonts w:ascii="Times New Roman" w:hAnsi="Times New Roman"/>
        </w:rPr>
        <w:instrText xml:space="preserve"> REF _Ref154155790 \h  \* MERGEFORMAT </w:instrText>
      </w:r>
      <w:r>
        <w:rPr>
          <w:rFonts w:ascii="Times New Roman" w:hAnsi="Times New Roman"/>
        </w:rPr>
        <w:fldChar w:fldCharType="separate"/>
      </w:r>
      <w:r>
        <w:rPr>
          <w:rFonts w:ascii="Times New Roman" w:hAnsi="Times New Roman"/>
        </w:rPr>
        <w:t>表 3</w:t>
      </w:r>
      <w:r>
        <w:rPr>
          <w:rFonts w:ascii="Times New Roman" w:hAnsi="Times New Roman"/>
        </w:rPr>
        <w:noBreakHyphen/>
      </w:r>
      <w:r>
        <w:rPr>
          <w:rFonts w:ascii="Times New Roman" w:hAnsi="Times New Roman"/>
        </w:rPr>
        <w:t>14</w:t>
      </w:r>
      <w:r>
        <w:rPr>
          <w:rFonts w:ascii="Times New Roman" w:hAnsi="Times New Roman"/>
        </w:rPr>
        <w:fldChar w:fldCharType="end"/>
      </w:r>
      <w:r>
        <w:rPr>
          <w:rFonts w:ascii="Times New Roman" w:hAnsi="Times New Roman"/>
        </w:rPr>
        <w:t>。由该表可知，各有组织排气筒污染物排放情况均能满足相应的标准限制要求。</w:t>
      </w:r>
    </w:p>
    <w:p>
      <w:pPr>
        <w:ind w:firstLine="480"/>
        <w:rPr>
          <w:rFonts w:ascii="Times New Roman" w:hAnsi="Times New Roman"/>
        </w:rPr>
        <w:sectPr>
          <w:pgSz w:w="11906" w:h="16838"/>
          <w:pgMar w:top="1440" w:right="1800" w:bottom="1440" w:left="1800" w:header="851" w:footer="992" w:gutter="0"/>
          <w:cols w:space="425" w:num="1"/>
          <w:docGrid w:type="lines" w:linePitch="312" w:charSpace="0"/>
        </w:sectPr>
      </w:pPr>
    </w:p>
    <w:p>
      <w:pPr>
        <w:pStyle w:val="37"/>
        <w:rPr>
          <w:rFonts w:ascii="Times New Roman" w:hAnsi="Times New Roman" w:cs="Times New Roman"/>
        </w:rPr>
      </w:pPr>
      <w:bookmarkStart w:id="116" w:name="_Ref154155790"/>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14</w:t>
      </w:r>
      <w:r>
        <w:rPr>
          <w:rFonts w:ascii="Times New Roman" w:hAnsi="Times New Roman" w:cs="Times New Roman"/>
        </w:rPr>
        <w:fldChar w:fldCharType="end"/>
      </w:r>
      <w:bookmarkEnd w:id="116"/>
      <w:r>
        <w:rPr>
          <w:rFonts w:ascii="Times New Roman" w:hAnsi="Times New Roman" w:cs="Times New Roman"/>
        </w:rPr>
        <w:t xml:space="preserve">  本项目正常工况有组织废气源强汇总一览表</w:t>
      </w:r>
    </w:p>
    <w:tbl>
      <w:tblPr>
        <w:tblStyle w:val="28"/>
        <w:tblW w:w="143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5"/>
        <w:gridCol w:w="1275"/>
        <w:gridCol w:w="1255"/>
        <w:gridCol w:w="1347"/>
        <w:gridCol w:w="13"/>
        <w:gridCol w:w="1230"/>
        <w:gridCol w:w="1243"/>
        <w:gridCol w:w="2309"/>
        <w:gridCol w:w="1276"/>
        <w:gridCol w:w="992"/>
        <w:gridCol w:w="992"/>
        <w:gridCol w:w="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dxa"/>
            <w:vMerge w:val="restart"/>
            <w:vAlign w:val="center"/>
          </w:tcPr>
          <w:p>
            <w:pPr>
              <w:pStyle w:val="39"/>
              <w:rPr>
                <w:rFonts w:ascii="Times New Roman" w:hAnsi="Times New Roman"/>
              </w:rPr>
            </w:pPr>
            <w:r>
              <w:rPr>
                <w:rFonts w:ascii="Times New Roman" w:hAnsi="Times New Roman"/>
              </w:rPr>
              <w:t>污染源名称</w:t>
            </w:r>
          </w:p>
        </w:tc>
        <w:tc>
          <w:tcPr>
            <w:tcW w:w="1275" w:type="dxa"/>
            <w:vMerge w:val="restart"/>
            <w:vAlign w:val="center"/>
          </w:tcPr>
          <w:p>
            <w:pPr>
              <w:pStyle w:val="39"/>
              <w:rPr>
                <w:rFonts w:ascii="Times New Roman" w:hAnsi="Times New Roman"/>
              </w:rPr>
            </w:pPr>
            <w:r>
              <w:rPr>
                <w:rFonts w:ascii="Times New Roman" w:hAnsi="Times New Roman"/>
              </w:rPr>
              <w:t>污染物</w:t>
            </w:r>
          </w:p>
        </w:tc>
        <w:tc>
          <w:tcPr>
            <w:tcW w:w="2615" w:type="dxa"/>
            <w:gridSpan w:val="3"/>
            <w:vAlign w:val="center"/>
          </w:tcPr>
          <w:p>
            <w:pPr>
              <w:pStyle w:val="39"/>
              <w:rPr>
                <w:rFonts w:ascii="Times New Roman" w:hAnsi="Times New Roman"/>
              </w:rPr>
            </w:pPr>
            <w:r>
              <w:rPr>
                <w:rFonts w:ascii="Times New Roman" w:hAnsi="Times New Roman"/>
              </w:rPr>
              <w:t>排放情况</w:t>
            </w:r>
          </w:p>
        </w:tc>
        <w:tc>
          <w:tcPr>
            <w:tcW w:w="4782" w:type="dxa"/>
            <w:gridSpan w:val="3"/>
            <w:vAlign w:val="center"/>
          </w:tcPr>
          <w:p>
            <w:pPr>
              <w:pStyle w:val="39"/>
              <w:rPr>
                <w:rFonts w:ascii="Times New Roman" w:hAnsi="Times New Roman"/>
              </w:rPr>
            </w:pPr>
            <w:r>
              <w:rPr>
                <w:rFonts w:ascii="Times New Roman" w:hAnsi="Times New Roman"/>
              </w:rPr>
              <w:t>执行排放标准</w:t>
            </w:r>
          </w:p>
        </w:tc>
        <w:tc>
          <w:tcPr>
            <w:tcW w:w="1276" w:type="dxa"/>
            <w:vMerge w:val="restart"/>
            <w:vAlign w:val="center"/>
          </w:tcPr>
          <w:p>
            <w:pPr>
              <w:pStyle w:val="39"/>
              <w:rPr>
                <w:rFonts w:ascii="Times New Roman" w:hAnsi="Times New Roman"/>
              </w:rPr>
            </w:pPr>
            <w:r>
              <w:rPr>
                <w:rFonts w:ascii="Times New Roman" w:hAnsi="Times New Roman"/>
              </w:rPr>
              <w:t>排放时间（h/a）</w:t>
            </w:r>
          </w:p>
        </w:tc>
        <w:tc>
          <w:tcPr>
            <w:tcW w:w="2896" w:type="dxa"/>
            <w:gridSpan w:val="3"/>
            <w:vAlign w:val="center"/>
          </w:tcPr>
          <w:p>
            <w:pPr>
              <w:pStyle w:val="39"/>
              <w:rPr>
                <w:rFonts w:ascii="Times New Roman" w:hAnsi="Times New Roman"/>
              </w:rPr>
            </w:pPr>
            <w:r>
              <w:rPr>
                <w:rFonts w:ascii="Times New Roman" w:hAnsi="Times New Roman"/>
              </w:rPr>
              <w:t>排气筒参数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dxa"/>
            <w:vMerge w:val="continue"/>
            <w:vAlign w:val="center"/>
          </w:tcPr>
          <w:p>
            <w:pPr>
              <w:pStyle w:val="39"/>
              <w:rPr>
                <w:rFonts w:ascii="Times New Roman" w:hAnsi="Times New Roman"/>
              </w:rPr>
            </w:pPr>
          </w:p>
        </w:tc>
        <w:tc>
          <w:tcPr>
            <w:tcW w:w="1275" w:type="dxa"/>
            <w:vMerge w:val="continue"/>
            <w:vAlign w:val="center"/>
          </w:tcPr>
          <w:p>
            <w:pPr>
              <w:pStyle w:val="39"/>
              <w:rPr>
                <w:rFonts w:ascii="Times New Roman" w:hAnsi="Times New Roman"/>
              </w:rPr>
            </w:pPr>
          </w:p>
        </w:tc>
        <w:tc>
          <w:tcPr>
            <w:tcW w:w="1255" w:type="dxa"/>
            <w:vAlign w:val="center"/>
          </w:tcPr>
          <w:p>
            <w:pPr>
              <w:pStyle w:val="39"/>
              <w:rPr>
                <w:rFonts w:ascii="Times New Roman" w:hAnsi="Times New Roman"/>
              </w:rPr>
            </w:pPr>
            <w:r>
              <w:rPr>
                <w:rFonts w:ascii="Times New Roman" w:hAnsi="Times New Roman"/>
              </w:rPr>
              <w:t>浓度</w:t>
            </w:r>
          </w:p>
          <w:p>
            <w:pPr>
              <w:pStyle w:val="39"/>
              <w:rPr>
                <w:rFonts w:ascii="Times New Roman" w:hAnsi="Times New Roman"/>
              </w:rPr>
            </w:pPr>
            <w:r>
              <w:rPr>
                <w:rFonts w:ascii="Times New Roman" w:hAnsi="Times New Roman"/>
              </w:rPr>
              <w:t>（mg/m</w:t>
            </w:r>
            <w:r>
              <w:rPr>
                <w:rFonts w:ascii="Times New Roman" w:hAnsi="Times New Roman"/>
                <w:vertAlign w:val="superscript"/>
              </w:rPr>
              <w:t>3</w:t>
            </w:r>
            <w:r>
              <w:rPr>
                <w:rFonts w:ascii="Times New Roman" w:hAnsi="Times New Roman"/>
              </w:rPr>
              <w:t>）</w:t>
            </w:r>
          </w:p>
        </w:tc>
        <w:tc>
          <w:tcPr>
            <w:tcW w:w="1347" w:type="dxa"/>
            <w:vAlign w:val="center"/>
          </w:tcPr>
          <w:p>
            <w:pPr>
              <w:pStyle w:val="39"/>
              <w:rPr>
                <w:rFonts w:ascii="Times New Roman" w:hAnsi="Times New Roman"/>
              </w:rPr>
            </w:pPr>
            <w:r>
              <w:rPr>
                <w:rFonts w:ascii="Times New Roman" w:hAnsi="Times New Roman"/>
              </w:rPr>
              <w:t>速率（kg/h）</w:t>
            </w:r>
          </w:p>
        </w:tc>
        <w:tc>
          <w:tcPr>
            <w:tcW w:w="1243" w:type="dxa"/>
            <w:gridSpan w:val="2"/>
            <w:vAlign w:val="center"/>
          </w:tcPr>
          <w:p>
            <w:pPr>
              <w:pStyle w:val="39"/>
              <w:rPr>
                <w:rFonts w:ascii="Times New Roman" w:hAnsi="Times New Roman"/>
              </w:rPr>
            </w:pPr>
            <w:r>
              <w:rPr>
                <w:rFonts w:ascii="Times New Roman" w:hAnsi="Times New Roman"/>
              </w:rPr>
              <w:t>浓度限值（mg/m</w:t>
            </w:r>
            <w:r>
              <w:rPr>
                <w:rFonts w:ascii="Times New Roman" w:hAnsi="Times New Roman"/>
                <w:vertAlign w:val="superscript"/>
              </w:rPr>
              <w:t>3</w:t>
            </w:r>
            <w:r>
              <w:rPr>
                <w:rFonts w:ascii="Times New Roman" w:hAnsi="Times New Roman"/>
              </w:rPr>
              <w:t>）</w:t>
            </w:r>
          </w:p>
        </w:tc>
        <w:tc>
          <w:tcPr>
            <w:tcW w:w="1243" w:type="dxa"/>
            <w:vAlign w:val="center"/>
          </w:tcPr>
          <w:p>
            <w:pPr>
              <w:pStyle w:val="39"/>
              <w:rPr>
                <w:rFonts w:ascii="Times New Roman" w:hAnsi="Times New Roman"/>
              </w:rPr>
            </w:pPr>
            <w:r>
              <w:rPr>
                <w:rFonts w:ascii="Times New Roman" w:hAnsi="Times New Roman"/>
              </w:rPr>
              <w:t>速率限值（kg/h）</w:t>
            </w:r>
          </w:p>
        </w:tc>
        <w:tc>
          <w:tcPr>
            <w:tcW w:w="2309" w:type="dxa"/>
            <w:vAlign w:val="center"/>
          </w:tcPr>
          <w:p>
            <w:pPr>
              <w:pStyle w:val="39"/>
              <w:rPr>
                <w:rFonts w:ascii="Times New Roman" w:hAnsi="Times New Roman"/>
              </w:rPr>
            </w:pPr>
            <w:r>
              <w:rPr>
                <w:rFonts w:ascii="Times New Roman" w:hAnsi="Times New Roman"/>
              </w:rPr>
              <w:t>标准名称</w:t>
            </w:r>
          </w:p>
        </w:tc>
        <w:tc>
          <w:tcPr>
            <w:tcW w:w="1276" w:type="dxa"/>
            <w:vMerge w:val="continue"/>
            <w:vAlign w:val="center"/>
          </w:tcPr>
          <w:p>
            <w:pPr>
              <w:pStyle w:val="39"/>
              <w:rPr>
                <w:rFonts w:ascii="Times New Roman" w:hAnsi="Times New Roman"/>
              </w:rPr>
            </w:pPr>
          </w:p>
        </w:tc>
        <w:tc>
          <w:tcPr>
            <w:tcW w:w="992" w:type="dxa"/>
            <w:vAlign w:val="center"/>
          </w:tcPr>
          <w:p>
            <w:pPr>
              <w:pStyle w:val="39"/>
              <w:rPr>
                <w:rFonts w:ascii="Times New Roman" w:hAnsi="Times New Roman"/>
              </w:rPr>
            </w:pPr>
            <w:r>
              <w:rPr>
                <w:rFonts w:ascii="Times New Roman" w:hAnsi="Times New Roman"/>
              </w:rPr>
              <w:t>高度</w:t>
            </w:r>
          </w:p>
          <w:p>
            <w:pPr>
              <w:pStyle w:val="39"/>
              <w:rPr>
                <w:rFonts w:ascii="Times New Roman" w:hAnsi="Times New Roman"/>
              </w:rPr>
            </w:pPr>
            <w:r>
              <w:rPr>
                <w:rFonts w:ascii="Times New Roman" w:hAnsi="Times New Roman"/>
              </w:rPr>
              <w:t>（m）</w:t>
            </w:r>
          </w:p>
        </w:tc>
        <w:tc>
          <w:tcPr>
            <w:tcW w:w="992" w:type="dxa"/>
            <w:vAlign w:val="center"/>
          </w:tcPr>
          <w:p>
            <w:pPr>
              <w:pStyle w:val="39"/>
              <w:rPr>
                <w:rFonts w:ascii="Times New Roman" w:hAnsi="Times New Roman"/>
              </w:rPr>
            </w:pPr>
            <w:r>
              <w:rPr>
                <w:rFonts w:ascii="Times New Roman" w:hAnsi="Times New Roman"/>
              </w:rPr>
              <w:t>内径</w:t>
            </w:r>
          </w:p>
          <w:p>
            <w:pPr>
              <w:pStyle w:val="39"/>
              <w:rPr>
                <w:rFonts w:ascii="Times New Roman" w:hAnsi="Times New Roman"/>
              </w:rPr>
            </w:pPr>
            <w:r>
              <w:rPr>
                <w:rFonts w:ascii="Times New Roman" w:hAnsi="Times New Roman"/>
              </w:rPr>
              <w:t>（m）</w:t>
            </w:r>
          </w:p>
        </w:tc>
        <w:tc>
          <w:tcPr>
            <w:tcW w:w="912" w:type="dxa"/>
            <w:vAlign w:val="center"/>
          </w:tcPr>
          <w:p>
            <w:pPr>
              <w:pStyle w:val="39"/>
              <w:rPr>
                <w:rFonts w:ascii="Times New Roman" w:hAnsi="Times New Roman"/>
              </w:rPr>
            </w:pPr>
            <w:r>
              <w:rPr>
                <w:rFonts w:ascii="Times New Roman" w:hAnsi="Times New Roman"/>
              </w:rPr>
              <w:t>温度（℃）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dxa"/>
            <w:vMerge w:val="restart"/>
            <w:vAlign w:val="center"/>
          </w:tcPr>
          <w:p>
            <w:pPr>
              <w:pStyle w:val="39"/>
              <w:rPr>
                <w:rFonts w:ascii="Times New Roman" w:hAnsi="Times New Roman"/>
              </w:rPr>
            </w:pPr>
            <w:r>
              <w:rPr>
                <w:rFonts w:ascii="Times New Roman" w:hAnsi="Times New Roman"/>
              </w:rPr>
              <w:t>宣探1井站水套加热炉排气筒</w:t>
            </w:r>
          </w:p>
        </w:tc>
        <w:tc>
          <w:tcPr>
            <w:tcW w:w="1275" w:type="dxa"/>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1255" w:type="dxa"/>
            <w:vAlign w:val="center"/>
          </w:tcPr>
          <w:p>
            <w:pPr>
              <w:pStyle w:val="39"/>
              <w:rPr>
                <w:rFonts w:ascii="Times New Roman" w:hAnsi="Times New Roman"/>
              </w:rPr>
            </w:pPr>
            <w:r>
              <w:rPr>
                <w:rFonts w:ascii="Times New Roman" w:hAnsi="Times New Roman"/>
              </w:rPr>
              <w:t>3.71</w:t>
            </w:r>
          </w:p>
        </w:tc>
        <w:tc>
          <w:tcPr>
            <w:tcW w:w="1347" w:type="dxa"/>
            <w:vAlign w:val="center"/>
          </w:tcPr>
          <w:p>
            <w:pPr>
              <w:pStyle w:val="39"/>
              <w:rPr>
                <w:rFonts w:ascii="Times New Roman" w:hAnsi="Times New Roman"/>
              </w:rPr>
            </w:pPr>
            <w:r>
              <w:rPr>
                <w:rFonts w:ascii="Times New Roman" w:hAnsi="Times New Roman"/>
              </w:rPr>
              <w:t>0.0018</w:t>
            </w:r>
          </w:p>
        </w:tc>
        <w:tc>
          <w:tcPr>
            <w:tcW w:w="1243" w:type="dxa"/>
            <w:gridSpan w:val="2"/>
            <w:vAlign w:val="center"/>
          </w:tcPr>
          <w:p>
            <w:pPr>
              <w:pStyle w:val="39"/>
              <w:rPr>
                <w:rFonts w:ascii="Times New Roman" w:hAnsi="Times New Roman"/>
              </w:rPr>
            </w:pPr>
            <w:r>
              <w:rPr>
                <w:rFonts w:ascii="Times New Roman" w:hAnsi="Times New Roman"/>
              </w:rPr>
              <w:t>50</w:t>
            </w:r>
          </w:p>
        </w:tc>
        <w:tc>
          <w:tcPr>
            <w:tcW w:w="1243" w:type="dxa"/>
            <w:vAlign w:val="center"/>
          </w:tcPr>
          <w:p>
            <w:pPr>
              <w:pStyle w:val="39"/>
              <w:rPr>
                <w:rFonts w:ascii="Times New Roman" w:hAnsi="Times New Roman"/>
              </w:rPr>
            </w:pPr>
            <w:r>
              <w:rPr>
                <w:rFonts w:ascii="Times New Roman" w:hAnsi="Times New Roman"/>
              </w:rPr>
              <w:t>/</w:t>
            </w:r>
          </w:p>
        </w:tc>
        <w:tc>
          <w:tcPr>
            <w:tcW w:w="2309" w:type="dxa"/>
            <w:vMerge w:val="restart"/>
            <w:vAlign w:val="center"/>
          </w:tcPr>
          <w:p>
            <w:pPr>
              <w:pStyle w:val="39"/>
              <w:rPr>
                <w:rFonts w:ascii="Times New Roman" w:hAnsi="Times New Roman"/>
              </w:rPr>
            </w:pPr>
            <w:r>
              <w:rPr>
                <w:rFonts w:ascii="Times New Roman" w:hAnsi="Times New Roman"/>
              </w:rPr>
              <w:t>《锅炉大气污染物排放标准》（GB 13271-2014）</w:t>
            </w:r>
          </w:p>
        </w:tc>
        <w:tc>
          <w:tcPr>
            <w:tcW w:w="1276" w:type="dxa"/>
            <w:vMerge w:val="restart"/>
            <w:vAlign w:val="center"/>
          </w:tcPr>
          <w:p>
            <w:pPr>
              <w:pStyle w:val="39"/>
              <w:rPr>
                <w:rFonts w:ascii="Times New Roman" w:hAnsi="Times New Roman"/>
              </w:rPr>
            </w:pPr>
            <w:r>
              <w:rPr>
                <w:rFonts w:ascii="Times New Roman" w:hAnsi="Times New Roman"/>
              </w:rPr>
              <w:t>8000</w:t>
            </w:r>
          </w:p>
        </w:tc>
        <w:tc>
          <w:tcPr>
            <w:tcW w:w="992" w:type="dxa"/>
            <w:vMerge w:val="restart"/>
            <w:vAlign w:val="center"/>
          </w:tcPr>
          <w:p>
            <w:pPr>
              <w:pStyle w:val="39"/>
              <w:rPr>
                <w:rFonts w:ascii="Times New Roman" w:hAnsi="Times New Roman"/>
              </w:rPr>
            </w:pPr>
            <w:r>
              <w:rPr>
                <w:rFonts w:ascii="Times New Roman" w:hAnsi="Times New Roman"/>
              </w:rPr>
              <w:t>8</w:t>
            </w:r>
          </w:p>
        </w:tc>
        <w:tc>
          <w:tcPr>
            <w:tcW w:w="992" w:type="dxa"/>
            <w:vMerge w:val="restart"/>
            <w:vAlign w:val="center"/>
          </w:tcPr>
          <w:p>
            <w:pPr>
              <w:pStyle w:val="39"/>
              <w:rPr>
                <w:rFonts w:ascii="Times New Roman" w:hAnsi="Times New Roman"/>
              </w:rPr>
            </w:pPr>
            <w:r>
              <w:rPr>
                <w:rFonts w:ascii="Times New Roman" w:hAnsi="Times New Roman"/>
              </w:rPr>
              <w:t>0.2</w:t>
            </w:r>
          </w:p>
        </w:tc>
        <w:tc>
          <w:tcPr>
            <w:tcW w:w="912" w:type="dxa"/>
            <w:vMerge w:val="restart"/>
            <w:vAlign w:val="center"/>
          </w:tcPr>
          <w:p>
            <w:pPr>
              <w:pStyle w:val="39"/>
              <w:rPr>
                <w:rFonts w:ascii="Times New Roman" w:hAnsi="Times New Roman"/>
              </w:rPr>
            </w:pPr>
            <w:r>
              <w:rPr>
                <w:rFonts w:ascii="Times New Roman" w:hAnsi="Times New Roma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dxa"/>
            <w:vMerge w:val="continue"/>
            <w:vAlign w:val="center"/>
          </w:tcPr>
          <w:p>
            <w:pPr>
              <w:pStyle w:val="39"/>
              <w:rPr>
                <w:rFonts w:ascii="Times New Roman" w:hAnsi="Times New Roman"/>
              </w:rPr>
            </w:pPr>
          </w:p>
        </w:tc>
        <w:tc>
          <w:tcPr>
            <w:tcW w:w="1275" w:type="dxa"/>
            <w:vAlign w:val="center"/>
          </w:tcPr>
          <w:p>
            <w:pPr>
              <w:pStyle w:val="39"/>
              <w:rPr>
                <w:rFonts w:ascii="Times New Roman" w:hAnsi="Times New Roman"/>
              </w:rPr>
            </w:pPr>
            <w:r>
              <w:rPr>
                <w:rFonts w:ascii="Times New Roman" w:hAnsi="Times New Roman"/>
              </w:rPr>
              <w:t>NOx</w:t>
            </w:r>
          </w:p>
        </w:tc>
        <w:tc>
          <w:tcPr>
            <w:tcW w:w="1255" w:type="dxa"/>
            <w:vAlign w:val="center"/>
          </w:tcPr>
          <w:p>
            <w:pPr>
              <w:pStyle w:val="39"/>
              <w:rPr>
                <w:rFonts w:ascii="Times New Roman" w:hAnsi="Times New Roman"/>
              </w:rPr>
            </w:pPr>
            <w:r>
              <w:rPr>
                <w:rFonts w:ascii="Times New Roman" w:hAnsi="Times New Roman"/>
              </w:rPr>
              <w:t>147.28</w:t>
            </w:r>
          </w:p>
        </w:tc>
        <w:tc>
          <w:tcPr>
            <w:tcW w:w="1347" w:type="dxa"/>
            <w:vAlign w:val="center"/>
          </w:tcPr>
          <w:p>
            <w:pPr>
              <w:pStyle w:val="39"/>
              <w:rPr>
                <w:rFonts w:ascii="Times New Roman" w:hAnsi="Times New Roman"/>
              </w:rPr>
            </w:pPr>
            <w:r>
              <w:rPr>
                <w:rFonts w:ascii="Times New Roman" w:hAnsi="Times New Roman"/>
              </w:rPr>
              <w:t>0.0730</w:t>
            </w:r>
          </w:p>
        </w:tc>
        <w:tc>
          <w:tcPr>
            <w:tcW w:w="1243" w:type="dxa"/>
            <w:gridSpan w:val="2"/>
            <w:vAlign w:val="center"/>
          </w:tcPr>
          <w:p>
            <w:pPr>
              <w:pStyle w:val="39"/>
              <w:rPr>
                <w:rFonts w:ascii="Times New Roman" w:hAnsi="Times New Roman"/>
              </w:rPr>
            </w:pPr>
            <w:r>
              <w:rPr>
                <w:rFonts w:ascii="Times New Roman" w:hAnsi="Times New Roman"/>
              </w:rPr>
              <w:t>200</w:t>
            </w:r>
          </w:p>
        </w:tc>
        <w:tc>
          <w:tcPr>
            <w:tcW w:w="1243" w:type="dxa"/>
            <w:vAlign w:val="center"/>
          </w:tcPr>
          <w:p>
            <w:pPr>
              <w:pStyle w:val="39"/>
              <w:rPr>
                <w:rFonts w:ascii="Times New Roman" w:hAnsi="Times New Roman"/>
              </w:rPr>
            </w:pPr>
            <w:r>
              <w:rPr>
                <w:rFonts w:ascii="Times New Roman" w:hAnsi="Times New Roman"/>
              </w:rPr>
              <w:t>/</w:t>
            </w:r>
          </w:p>
        </w:tc>
        <w:tc>
          <w:tcPr>
            <w:tcW w:w="2309" w:type="dxa"/>
            <w:vMerge w:val="continue"/>
            <w:vAlign w:val="center"/>
          </w:tcPr>
          <w:p>
            <w:pPr>
              <w:pStyle w:val="39"/>
              <w:rPr>
                <w:rFonts w:ascii="Times New Roman" w:hAnsi="Times New Roman"/>
              </w:rPr>
            </w:pPr>
          </w:p>
        </w:tc>
        <w:tc>
          <w:tcPr>
            <w:tcW w:w="1276" w:type="dxa"/>
            <w:vMerge w:val="continue"/>
            <w:vAlign w:val="center"/>
          </w:tcPr>
          <w:p>
            <w:pPr>
              <w:pStyle w:val="39"/>
              <w:rPr>
                <w:rFonts w:ascii="Times New Roman" w:hAnsi="Times New Roman"/>
              </w:rPr>
            </w:pPr>
          </w:p>
        </w:tc>
        <w:tc>
          <w:tcPr>
            <w:tcW w:w="992" w:type="dxa"/>
            <w:vMerge w:val="continue"/>
            <w:vAlign w:val="center"/>
          </w:tcPr>
          <w:p>
            <w:pPr>
              <w:pStyle w:val="39"/>
              <w:rPr>
                <w:rFonts w:ascii="Times New Roman" w:hAnsi="Times New Roman"/>
              </w:rPr>
            </w:pPr>
          </w:p>
        </w:tc>
        <w:tc>
          <w:tcPr>
            <w:tcW w:w="992" w:type="dxa"/>
            <w:vMerge w:val="continue"/>
            <w:vAlign w:val="center"/>
          </w:tcPr>
          <w:p>
            <w:pPr>
              <w:pStyle w:val="39"/>
              <w:rPr>
                <w:rFonts w:ascii="Times New Roman" w:hAnsi="Times New Roman"/>
              </w:rPr>
            </w:pPr>
          </w:p>
        </w:tc>
        <w:tc>
          <w:tcPr>
            <w:tcW w:w="912"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dxa"/>
            <w:vMerge w:val="continue"/>
            <w:vAlign w:val="center"/>
          </w:tcPr>
          <w:p>
            <w:pPr>
              <w:pStyle w:val="39"/>
              <w:rPr>
                <w:rFonts w:ascii="Times New Roman" w:hAnsi="Times New Roman"/>
              </w:rPr>
            </w:pPr>
          </w:p>
        </w:tc>
        <w:tc>
          <w:tcPr>
            <w:tcW w:w="1275" w:type="dxa"/>
            <w:vAlign w:val="center"/>
          </w:tcPr>
          <w:p>
            <w:pPr>
              <w:pStyle w:val="39"/>
              <w:rPr>
                <w:rFonts w:ascii="Times New Roman" w:hAnsi="Times New Roman"/>
              </w:rPr>
            </w:pPr>
            <w:r>
              <w:rPr>
                <w:rFonts w:ascii="Times New Roman" w:hAnsi="Times New Roman"/>
              </w:rPr>
              <w:t>颗粒物</w:t>
            </w:r>
          </w:p>
        </w:tc>
        <w:tc>
          <w:tcPr>
            <w:tcW w:w="1255" w:type="dxa"/>
            <w:vAlign w:val="center"/>
          </w:tcPr>
          <w:p>
            <w:pPr>
              <w:pStyle w:val="39"/>
              <w:rPr>
                <w:rFonts w:ascii="Times New Roman" w:hAnsi="Times New Roman"/>
              </w:rPr>
            </w:pPr>
            <w:r>
              <w:rPr>
                <w:rFonts w:ascii="Times New Roman" w:hAnsi="Times New Roman"/>
              </w:rPr>
              <w:t>14.85</w:t>
            </w:r>
          </w:p>
        </w:tc>
        <w:tc>
          <w:tcPr>
            <w:tcW w:w="1347" w:type="dxa"/>
            <w:vAlign w:val="center"/>
          </w:tcPr>
          <w:p>
            <w:pPr>
              <w:pStyle w:val="39"/>
              <w:rPr>
                <w:rFonts w:ascii="Times New Roman" w:hAnsi="Times New Roman"/>
              </w:rPr>
            </w:pPr>
            <w:r>
              <w:rPr>
                <w:rFonts w:ascii="Times New Roman" w:hAnsi="Times New Roman"/>
              </w:rPr>
              <w:t>0.0074</w:t>
            </w:r>
          </w:p>
        </w:tc>
        <w:tc>
          <w:tcPr>
            <w:tcW w:w="1243" w:type="dxa"/>
            <w:gridSpan w:val="2"/>
            <w:vAlign w:val="center"/>
          </w:tcPr>
          <w:p>
            <w:pPr>
              <w:pStyle w:val="39"/>
              <w:rPr>
                <w:rFonts w:ascii="Times New Roman" w:hAnsi="Times New Roman"/>
              </w:rPr>
            </w:pPr>
            <w:r>
              <w:rPr>
                <w:rFonts w:ascii="Times New Roman" w:hAnsi="Times New Roman"/>
              </w:rPr>
              <w:t>20</w:t>
            </w:r>
          </w:p>
        </w:tc>
        <w:tc>
          <w:tcPr>
            <w:tcW w:w="1243" w:type="dxa"/>
            <w:vAlign w:val="center"/>
          </w:tcPr>
          <w:p>
            <w:pPr>
              <w:pStyle w:val="39"/>
              <w:rPr>
                <w:rFonts w:ascii="Times New Roman" w:hAnsi="Times New Roman"/>
              </w:rPr>
            </w:pPr>
            <w:r>
              <w:rPr>
                <w:rFonts w:ascii="Times New Roman" w:hAnsi="Times New Roman"/>
              </w:rPr>
              <w:t>/</w:t>
            </w:r>
          </w:p>
        </w:tc>
        <w:tc>
          <w:tcPr>
            <w:tcW w:w="2309" w:type="dxa"/>
            <w:vMerge w:val="continue"/>
            <w:vAlign w:val="center"/>
          </w:tcPr>
          <w:p>
            <w:pPr>
              <w:pStyle w:val="39"/>
              <w:rPr>
                <w:rFonts w:ascii="Times New Roman" w:hAnsi="Times New Roman"/>
              </w:rPr>
            </w:pPr>
          </w:p>
        </w:tc>
        <w:tc>
          <w:tcPr>
            <w:tcW w:w="1276" w:type="dxa"/>
            <w:vMerge w:val="continue"/>
            <w:vAlign w:val="center"/>
          </w:tcPr>
          <w:p>
            <w:pPr>
              <w:pStyle w:val="39"/>
              <w:rPr>
                <w:rFonts w:ascii="Times New Roman" w:hAnsi="Times New Roman"/>
              </w:rPr>
            </w:pPr>
          </w:p>
        </w:tc>
        <w:tc>
          <w:tcPr>
            <w:tcW w:w="992" w:type="dxa"/>
            <w:vMerge w:val="continue"/>
            <w:vAlign w:val="center"/>
          </w:tcPr>
          <w:p>
            <w:pPr>
              <w:pStyle w:val="39"/>
              <w:rPr>
                <w:rFonts w:ascii="Times New Roman" w:hAnsi="Times New Roman"/>
              </w:rPr>
            </w:pPr>
          </w:p>
        </w:tc>
        <w:tc>
          <w:tcPr>
            <w:tcW w:w="992" w:type="dxa"/>
            <w:vMerge w:val="continue"/>
            <w:vAlign w:val="center"/>
          </w:tcPr>
          <w:p>
            <w:pPr>
              <w:pStyle w:val="39"/>
              <w:rPr>
                <w:rFonts w:ascii="Times New Roman" w:hAnsi="Times New Roman"/>
              </w:rPr>
            </w:pPr>
          </w:p>
        </w:tc>
        <w:tc>
          <w:tcPr>
            <w:tcW w:w="912"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dxa"/>
            <w:vMerge w:val="restart"/>
            <w:vAlign w:val="center"/>
          </w:tcPr>
          <w:p>
            <w:pPr>
              <w:pStyle w:val="39"/>
              <w:rPr>
                <w:rFonts w:ascii="Times New Roman" w:hAnsi="Times New Roman"/>
              </w:rPr>
            </w:pPr>
            <w:r>
              <w:rPr>
                <w:rFonts w:ascii="Times New Roman" w:hAnsi="Times New Roman"/>
              </w:rPr>
              <w:t>宣兴1井站水套加热炉排气筒</w:t>
            </w:r>
          </w:p>
        </w:tc>
        <w:tc>
          <w:tcPr>
            <w:tcW w:w="1275" w:type="dxa"/>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1255" w:type="dxa"/>
            <w:vAlign w:val="center"/>
          </w:tcPr>
          <w:p>
            <w:pPr>
              <w:pStyle w:val="39"/>
              <w:rPr>
                <w:rFonts w:ascii="Times New Roman" w:hAnsi="Times New Roman"/>
              </w:rPr>
            </w:pPr>
            <w:r>
              <w:rPr>
                <w:rFonts w:ascii="Times New Roman" w:hAnsi="Times New Roman"/>
              </w:rPr>
              <w:t>3.71</w:t>
            </w:r>
          </w:p>
        </w:tc>
        <w:tc>
          <w:tcPr>
            <w:tcW w:w="1347" w:type="dxa"/>
            <w:vAlign w:val="center"/>
          </w:tcPr>
          <w:p>
            <w:pPr>
              <w:pStyle w:val="39"/>
              <w:rPr>
                <w:rFonts w:ascii="Times New Roman" w:hAnsi="Times New Roman"/>
              </w:rPr>
            </w:pPr>
            <w:r>
              <w:rPr>
                <w:rFonts w:ascii="Times New Roman" w:hAnsi="Times New Roman"/>
              </w:rPr>
              <w:t>0.0054</w:t>
            </w:r>
          </w:p>
        </w:tc>
        <w:tc>
          <w:tcPr>
            <w:tcW w:w="1243" w:type="dxa"/>
            <w:gridSpan w:val="2"/>
            <w:vAlign w:val="center"/>
          </w:tcPr>
          <w:p>
            <w:pPr>
              <w:pStyle w:val="39"/>
              <w:rPr>
                <w:rFonts w:ascii="Times New Roman" w:hAnsi="Times New Roman"/>
              </w:rPr>
            </w:pPr>
            <w:r>
              <w:rPr>
                <w:rFonts w:ascii="Times New Roman" w:hAnsi="Times New Roman"/>
              </w:rPr>
              <w:t>50</w:t>
            </w:r>
          </w:p>
        </w:tc>
        <w:tc>
          <w:tcPr>
            <w:tcW w:w="1243" w:type="dxa"/>
            <w:vAlign w:val="center"/>
          </w:tcPr>
          <w:p>
            <w:pPr>
              <w:pStyle w:val="39"/>
              <w:rPr>
                <w:rFonts w:ascii="Times New Roman" w:hAnsi="Times New Roman"/>
              </w:rPr>
            </w:pPr>
            <w:r>
              <w:rPr>
                <w:rFonts w:ascii="Times New Roman" w:hAnsi="Times New Roman"/>
              </w:rPr>
              <w:t>/</w:t>
            </w:r>
          </w:p>
        </w:tc>
        <w:tc>
          <w:tcPr>
            <w:tcW w:w="2309" w:type="dxa"/>
            <w:vMerge w:val="restart"/>
            <w:vAlign w:val="center"/>
          </w:tcPr>
          <w:p>
            <w:pPr>
              <w:pStyle w:val="39"/>
              <w:rPr>
                <w:rFonts w:ascii="Times New Roman" w:hAnsi="Times New Roman"/>
              </w:rPr>
            </w:pPr>
            <w:r>
              <w:rPr>
                <w:rFonts w:ascii="Times New Roman" w:hAnsi="Times New Roman"/>
              </w:rPr>
              <w:t>《锅炉大气污染物排放标准》（GB 13271-2014）</w:t>
            </w:r>
          </w:p>
        </w:tc>
        <w:tc>
          <w:tcPr>
            <w:tcW w:w="1276" w:type="dxa"/>
            <w:vMerge w:val="restart"/>
            <w:vAlign w:val="center"/>
          </w:tcPr>
          <w:p>
            <w:pPr>
              <w:pStyle w:val="39"/>
              <w:rPr>
                <w:rFonts w:ascii="Times New Roman" w:hAnsi="Times New Roman"/>
              </w:rPr>
            </w:pPr>
            <w:r>
              <w:rPr>
                <w:rFonts w:ascii="Times New Roman" w:hAnsi="Times New Roman"/>
              </w:rPr>
              <w:t>8000</w:t>
            </w:r>
          </w:p>
        </w:tc>
        <w:tc>
          <w:tcPr>
            <w:tcW w:w="992" w:type="dxa"/>
            <w:vMerge w:val="restart"/>
            <w:vAlign w:val="center"/>
          </w:tcPr>
          <w:p>
            <w:pPr>
              <w:pStyle w:val="39"/>
              <w:rPr>
                <w:rFonts w:ascii="Times New Roman" w:hAnsi="Times New Roman"/>
              </w:rPr>
            </w:pPr>
            <w:r>
              <w:rPr>
                <w:rFonts w:ascii="Times New Roman" w:hAnsi="Times New Roman"/>
              </w:rPr>
              <w:t>8</w:t>
            </w:r>
          </w:p>
        </w:tc>
        <w:tc>
          <w:tcPr>
            <w:tcW w:w="992" w:type="dxa"/>
            <w:vMerge w:val="restart"/>
            <w:vAlign w:val="center"/>
          </w:tcPr>
          <w:p>
            <w:pPr>
              <w:pStyle w:val="39"/>
              <w:rPr>
                <w:rFonts w:ascii="Times New Roman" w:hAnsi="Times New Roman"/>
              </w:rPr>
            </w:pPr>
            <w:r>
              <w:rPr>
                <w:rFonts w:ascii="Times New Roman" w:hAnsi="Times New Roman"/>
              </w:rPr>
              <w:t>0.35</w:t>
            </w:r>
          </w:p>
        </w:tc>
        <w:tc>
          <w:tcPr>
            <w:tcW w:w="912" w:type="dxa"/>
            <w:vMerge w:val="restart"/>
            <w:vAlign w:val="center"/>
          </w:tcPr>
          <w:p>
            <w:pPr>
              <w:pStyle w:val="39"/>
              <w:rPr>
                <w:rFonts w:ascii="Times New Roman" w:hAnsi="Times New Roman"/>
              </w:rPr>
            </w:pPr>
            <w:r>
              <w:rPr>
                <w:rFonts w:ascii="Times New Roman" w:hAnsi="Times New Roma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dxa"/>
            <w:vMerge w:val="continue"/>
            <w:vAlign w:val="center"/>
          </w:tcPr>
          <w:p>
            <w:pPr>
              <w:pStyle w:val="39"/>
              <w:rPr>
                <w:rFonts w:ascii="Times New Roman" w:hAnsi="Times New Roman"/>
              </w:rPr>
            </w:pPr>
          </w:p>
        </w:tc>
        <w:tc>
          <w:tcPr>
            <w:tcW w:w="1275" w:type="dxa"/>
            <w:vAlign w:val="center"/>
          </w:tcPr>
          <w:p>
            <w:pPr>
              <w:pStyle w:val="39"/>
              <w:rPr>
                <w:rFonts w:ascii="Times New Roman" w:hAnsi="Times New Roman"/>
              </w:rPr>
            </w:pPr>
            <w:r>
              <w:rPr>
                <w:rFonts w:ascii="Times New Roman" w:hAnsi="Times New Roman"/>
              </w:rPr>
              <w:t>NOx</w:t>
            </w:r>
          </w:p>
        </w:tc>
        <w:tc>
          <w:tcPr>
            <w:tcW w:w="1255" w:type="dxa"/>
            <w:vAlign w:val="center"/>
          </w:tcPr>
          <w:p>
            <w:pPr>
              <w:pStyle w:val="39"/>
              <w:rPr>
                <w:rFonts w:ascii="Times New Roman" w:hAnsi="Times New Roman"/>
              </w:rPr>
            </w:pPr>
            <w:r>
              <w:rPr>
                <w:rFonts w:ascii="Times New Roman" w:hAnsi="Times New Roman"/>
              </w:rPr>
              <w:t>147.28</w:t>
            </w:r>
          </w:p>
        </w:tc>
        <w:tc>
          <w:tcPr>
            <w:tcW w:w="1347" w:type="dxa"/>
            <w:vAlign w:val="center"/>
          </w:tcPr>
          <w:p>
            <w:pPr>
              <w:pStyle w:val="39"/>
              <w:rPr>
                <w:rFonts w:ascii="Times New Roman" w:hAnsi="Times New Roman"/>
              </w:rPr>
            </w:pPr>
            <w:r>
              <w:rPr>
                <w:rFonts w:ascii="Times New Roman" w:hAnsi="Times New Roman"/>
              </w:rPr>
              <w:t>0.2142</w:t>
            </w:r>
          </w:p>
        </w:tc>
        <w:tc>
          <w:tcPr>
            <w:tcW w:w="1243" w:type="dxa"/>
            <w:gridSpan w:val="2"/>
            <w:vAlign w:val="center"/>
          </w:tcPr>
          <w:p>
            <w:pPr>
              <w:pStyle w:val="39"/>
              <w:rPr>
                <w:rFonts w:ascii="Times New Roman" w:hAnsi="Times New Roman"/>
              </w:rPr>
            </w:pPr>
            <w:r>
              <w:rPr>
                <w:rFonts w:ascii="Times New Roman" w:hAnsi="Times New Roman"/>
              </w:rPr>
              <w:t>200</w:t>
            </w:r>
          </w:p>
        </w:tc>
        <w:tc>
          <w:tcPr>
            <w:tcW w:w="1243" w:type="dxa"/>
            <w:vAlign w:val="center"/>
          </w:tcPr>
          <w:p>
            <w:pPr>
              <w:pStyle w:val="39"/>
              <w:rPr>
                <w:rFonts w:ascii="Times New Roman" w:hAnsi="Times New Roman"/>
              </w:rPr>
            </w:pPr>
            <w:r>
              <w:rPr>
                <w:rFonts w:ascii="Times New Roman" w:hAnsi="Times New Roman"/>
              </w:rPr>
              <w:t>/</w:t>
            </w:r>
          </w:p>
        </w:tc>
        <w:tc>
          <w:tcPr>
            <w:tcW w:w="2309" w:type="dxa"/>
            <w:vMerge w:val="continue"/>
            <w:vAlign w:val="center"/>
          </w:tcPr>
          <w:p>
            <w:pPr>
              <w:pStyle w:val="39"/>
              <w:rPr>
                <w:rFonts w:ascii="Times New Roman" w:hAnsi="Times New Roman"/>
              </w:rPr>
            </w:pPr>
          </w:p>
        </w:tc>
        <w:tc>
          <w:tcPr>
            <w:tcW w:w="1276" w:type="dxa"/>
            <w:vMerge w:val="continue"/>
            <w:vAlign w:val="center"/>
          </w:tcPr>
          <w:p>
            <w:pPr>
              <w:pStyle w:val="39"/>
              <w:rPr>
                <w:rFonts w:ascii="Times New Roman" w:hAnsi="Times New Roman"/>
              </w:rPr>
            </w:pPr>
          </w:p>
        </w:tc>
        <w:tc>
          <w:tcPr>
            <w:tcW w:w="992" w:type="dxa"/>
            <w:vMerge w:val="continue"/>
            <w:vAlign w:val="center"/>
          </w:tcPr>
          <w:p>
            <w:pPr>
              <w:pStyle w:val="39"/>
              <w:rPr>
                <w:rFonts w:ascii="Times New Roman" w:hAnsi="Times New Roman"/>
              </w:rPr>
            </w:pPr>
          </w:p>
        </w:tc>
        <w:tc>
          <w:tcPr>
            <w:tcW w:w="992" w:type="dxa"/>
            <w:vMerge w:val="continue"/>
            <w:vAlign w:val="center"/>
          </w:tcPr>
          <w:p>
            <w:pPr>
              <w:pStyle w:val="39"/>
              <w:rPr>
                <w:rFonts w:ascii="Times New Roman" w:hAnsi="Times New Roman"/>
              </w:rPr>
            </w:pPr>
          </w:p>
        </w:tc>
        <w:tc>
          <w:tcPr>
            <w:tcW w:w="912"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dxa"/>
            <w:vMerge w:val="continue"/>
            <w:vAlign w:val="center"/>
          </w:tcPr>
          <w:p>
            <w:pPr>
              <w:pStyle w:val="39"/>
              <w:rPr>
                <w:rFonts w:ascii="Times New Roman" w:hAnsi="Times New Roman"/>
              </w:rPr>
            </w:pPr>
          </w:p>
        </w:tc>
        <w:tc>
          <w:tcPr>
            <w:tcW w:w="1275" w:type="dxa"/>
            <w:vAlign w:val="center"/>
          </w:tcPr>
          <w:p>
            <w:pPr>
              <w:pStyle w:val="39"/>
              <w:rPr>
                <w:rFonts w:ascii="Times New Roman" w:hAnsi="Times New Roman"/>
              </w:rPr>
            </w:pPr>
            <w:r>
              <w:rPr>
                <w:rFonts w:ascii="Times New Roman" w:hAnsi="Times New Roman"/>
              </w:rPr>
              <w:t>颗粒物</w:t>
            </w:r>
          </w:p>
        </w:tc>
        <w:tc>
          <w:tcPr>
            <w:tcW w:w="1255" w:type="dxa"/>
            <w:vAlign w:val="center"/>
          </w:tcPr>
          <w:p>
            <w:pPr>
              <w:pStyle w:val="39"/>
              <w:rPr>
                <w:rFonts w:ascii="Times New Roman" w:hAnsi="Times New Roman"/>
              </w:rPr>
            </w:pPr>
            <w:r>
              <w:rPr>
                <w:rFonts w:ascii="Times New Roman" w:hAnsi="Times New Roman"/>
              </w:rPr>
              <w:t>14.85</w:t>
            </w:r>
          </w:p>
        </w:tc>
        <w:tc>
          <w:tcPr>
            <w:tcW w:w="1347" w:type="dxa"/>
            <w:vAlign w:val="center"/>
          </w:tcPr>
          <w:p>
            <w:pPr>
              <w:pStyle w:val="39"/>
              <w:rPr>
                <w:rFonts w:ascii="Times New Roman" w:hAnsi="Times New Roman"/>
              </w:rPr>
            </w:pPr>
            <w:r>
              <w:rPr>
                <w:rFonts w:ascii="Times New Roman" w:hAnsi="Times New Roman"/>
              </w:rPr>
              <w:t>0.0216</w:t>
            </w:r>
          </w:p>
        </w:tc>
        <w:tc>
          <w:tcPr>
            <w:tcW w:w="1243" w:type="dxa"/>
            <w:gridSpan w:val="2"/>
            <w:vAlign w:val="center"/>
          </w:tcPr>
          <w:p>
            <w:pPr>
              <w:pStyle w:val="39"/>
              <w:rPr>
                <w:rFonts w:ascii="Times New Roman" w:hAnsi="Times New Roman"/>
              </w:rPr>
            </w:pPr>
            <w:r>
              <w:rPr>
                <w:rFonts w:ascii="Times New Roman" w:hAnsi="Times New Roman"/>
              </w:rPr>
              <w:t>20</w:t>
            </w:r>
          </w:p>
        </w:tc>
        <w:tc>
          <w:tcPr>
            <w:tcW w:w="1243" w:type="dxa"/>
            <w:vAlign w:val="center"/>
          </w:tcPr>
          <w:p>
            <w:pPr>
              <w:pStyle w:val="39"/>
              <w:rPr>
                <w:rFonts w:ascii="Times New Roman" w:hAnsi="Times New Roman"/>
              </w:rPr>
            </w:pPr>
            <w:r>
              <w:rPr>
                <w:rFonts w:ascii="Times New Roman" w:hAnsi="Times New Roman"/>
              </w:rPr>
              <w:t>/</w:t>
            </w:r>
          </w:p>
        </w:tc>
        <w:tc>
          <w:tcPr>
            <w:tcW w:w="2309" w:type="dxa"/>
            <w:vMerge w:val="continue"/>
            <w:vAlign w:val="center"/>
          </w:tcPr>
          <w:p>
            <w:pPr>
              <w:pStyle w:val="39"/>
              <w:rPr>
                <w:rFonts w:ascii="Times New Roman" w:hAnsi="Times New Roman"/>
              </w:rPr>
            </w:pPr>
          </w:p>
        </w:tc>
        <w:tc>
          <w:tcPr>
            <w:tcW w:w="1276" w:type="dxa"/>
            <w:vMerge w:val="continue"/>
            <w:vAlign w:val="center"/>
          </w:tcPr>
          <w:p>
            <w:pPr>
              <w:pStyle w:val="39"/>
              <w:rPr>
                <w:rFonts w:ascii="Times New Roman" w:hAnsi="Times New Roman"/>
              </w:rPr>
            </w:pPr>
          </w:p>
        </w:tc>
        <w:tc>
          <w:tcPr>
            <w:tcW w:w="992" w:type="dxa"/>
            <w:vMerge w:val="continue"/>
            <w:vAlign w:val="center"/>
          </w:tcPr>
          <w:p>
            <w:pPr>
              <w:pStyle w:val="39"/>
              <w:rPr>
                <w:rFonts w:ascii="Times New Roman" w:hAnsi="Times New Roman"/>
              </w:rPr>
            </w:pPr>
          </w:p>
        </w:tc>
        <w:tc>
          <w:tcPr>
            <w:tcW w:w="992" w:type="dxa"/>
            <w:vMerge w:val="continue"/>
            <w:vAlign w:val="center"/>
          </w:tcPr>
          <w:p>
            <w:pPr>
              <w:pStyle w:val="39"/>
              <w:rPr>
                <w:rFonts w:ascii="Times New Roman" w:hAnsi="Times New Roman"/>
              </w:rPr>
            </w:pPr>
          </w:p>
        </w:tc>
        <w:tc>
          <w:tcPr>
            <w:tcW w:w="912" w:type="dxa"/>
            <w:vMerge w:val="continue"/>
            <w:vAlign w:val="center"/>
          </w:tcPr>
          <w:p>
            <w:pPr>
              <w:pStyle w:val="39"/>
              <w:rPr>
                <w:rFonts w:ascii="Times New Roman" w:hAnsi="Times New Roman"/>
              </w:rPr>
            </w:pPr>
          </w:p>
        </w:tc>
      </w:tr>
    </w:tbl>
    <w:p>
      <w:pPr>
        <w:ind w:firstLine="480"/>
        <w:rPr>
          <w:rFonts w:ascii="Times New Roman" w:hAnsi="Times New Roman"/>
        </w:rPr>
      </w:pPr>
    </w:p>
    <w:p>
      <w:pPr>
        <w:ind w:firstLine="480"/>
        <w:rPr>
          <w:rFonts w:ascii="Times New Roman" w:hAnsi="Times New Roman"/>
        </w:rPr>
        <w:sectPr>
          <w:pgSz w:w="16838" w:h="11906" w:orient="landscape"/>
          <w:pgMar w:top="1797" w:right="1440" w:bottom="1797" w:left="1440" w:header="851" w:footer="992" w:gutter="0"/>
          <w:cols w:space="425" w:num="1"/>
          <w:docGrid w:type="linesAndChars" w:linePitch="312" w:charSpace="0"/>
        </w:sectPr>
      </w:pPr>
    </w:p>
    <w:p>
      <w:pPr>
        <w:ind w:firstLine="480"/>
        <w:rPr>
          <w:rFonts w:ascii="Times New Roman" w:hAnsi="Times New Roman"/>
        </w:rPr>
      </w:pPr>
      <w:r>
        <w:rPr>
          <w:rFonts w:ascii="Times New Roman" w:hAnsi="Times New Roman"/>
        </w:rPr>
        <w:t>（2）非正常工况废气污染源汇总</w:t>
      </w:r>
    </w:p>
    <w:p>
      <w:pPr>
        <w:ind w:firstLine="480"/>
        <w:rPr>
          <w:rFonts w:ascii="Times New Roman" w:hAnsi="Times New Roman"/>
        </w:rPr>
      </w:pPr>
      <w:r>
        <w:rPr>
          <w:rFonts w:ascii="Times New Roman" w:hAnsi="Times New Roman"/>
        </w:rPr>
        <w:t>本项目非正常工况主要考虑开停工检修时管道内天然气放空时排放的污染物。设备检修前为保证检修过程的安全，需排空设备及管道内的残留天然气，将待检设备中残留原料天然气通过放空火炬燃烧排放，污染物主要为SO</w:t>
      </w:r>
      <w:r>
        <w:rPr>
          <w:rFonts w:ascii="Times New Roman" w:hAnsi="Times New Roman"/>
          <w:vertAlign w:val="subscript"/>
        </w:rPr>
        <w:t>2</w:t>
      </w:r>
      <w:r>
        <w:rPr>
          <w:rFonts w:ascii="Times New Roman" w:hAnsi="Times New Roman"/>
        </w:rPr>
        <w:t>。</w:t>
      </w:r>
    </w:p>
    <w:p>
      <w:pPr>
        <w:ind w:firstLine="480"/>
        <w:rPr>
          <w:rFonts w:ascii="Times New Roman" w:hAnsi="Times New Roman"/>
        </w:rPr>
      </w:pPr>
      <w:r>
        <w:rPr>
          <w:rFonts w:ascii="Times New Roman" w:hAnsi="Times New Roman"/>
        </w:rPr>
        <w:t>本项目非正常工况下废气污染源见</w:t>
      </w:r>
      <w:r>
        <w:rPr>
          <w:rFonts w:ascii="Times New Roman" w:hAnsi="Times New Roman"/>
        </w:rPr>
        <w:fldChar w:fldCharType="begin"/>
      </w:r>
      <w:r>
        <w:rPr>
          <w:rFonts w:ascii="Times New Roman" w:hAnsi="Times New Roman"/>
        </w:rPr>
        <w:instrText xml:space="preserve"> REF _Ref154157099 \h  \* MERGEFORMAT </w:instrText>
      </w:r>
      <w:r>
        <w:rPr>
          <w:rFonts w:ascii="Times New Roman" w:hAnsi="Times New Roman"/>
        </w:rPr>
        <w:fldChar w:fldCharType="separate"/>
      </w:r>
      <w:r>
        <w:rPr>
          <w:rFonts w:ascii="Times New Roman" w:hAnsi="Times New Roman"/>
        </w:rPr>
        <w:t>表 3</w:t>
      </w:r>
      <w:r>
        <w:rPr>
          <w:rFonts w:ascii="Times New Roman" w:hAnsi="Times New Roman"/>
        </w:rPr>
        <w:noBreakHyphen/>
      </w:r>
      <w:r>
        <w:rPr>
          <w:rFonts w:ascii="Times New Roman" w:hAnsi="Times New Roman"/>
        </w:rPr>
        <w:t>15</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17" w:name="_Ref15415709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15</w:t>
      </w:r>
      <w:r>
        <w:rPr>
          <w:rFonts w:ascii="Times New Roman" w:hAnsi="Times New Roman" w:cs="Times New Roman"/>
        </w:rPr>
        <w:fldChar w:fldCharType="end"/>
      </w:r>
      <w:bookmarkEnd w:id="117"/>
      <w:r>
        <w:rPr>
          <w:rFonts w:ascii="Times New Roman" w:hAnsi="Times New Roman" w:cs="Times New Roman"/>
        </w:rPr>
        <w:t xml:space="preserve">  非正常工况废气污染源汇总表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3"/>
        <w:gridCol w:w="964"/>
        <w:gridCol w:w="1278"/>
        <w:gridCol w:w="1033"/>
        <w:gridCol w:w="1024"/>
        <w:gridCol w:w="1010"/>
        <w:gridCol w:w="1010"/>
        <w:gridCol w:w="10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3" w:type="dxa"/>
            <w:vMerge w:val="restart"/>
            <w:vAlign w:val="center"/>
          </w:tcPr>
          <w:p>
            <w:pPr>
              <w:pStyle w:val="39"/>
              <w:rPr>
                <w:rFonts w:ascii="Times New Roman" w:hAnsi="Times New Roman"/>
              </w:rPr>
            </w:pPr>
            <w:r>
              <w:rPr>
                <w:rFonts w:ascii="Times New Roman" w:hAnsi="Times New Roman"/>
              </w:rPr>
              <w:t>污染源名称</w:t>
            </w:r>
          </w:p>
        </w:tc>
        <w:tc>
          <w:tcPr>
            <w:tcW w:w="964" w:type="dxa"/>
            <w:vMerge w:val="restart"/>
            <w:vAlign w:val="center"/>
          </w:tcPr>
          <w:p>
            <w:pPr>
              <w:pStyle w:val="39"/>
              <w:rPr>
                <w:rFonts w:ascii="Times New Roman" w:hAnsi="Times New Roman"/>
              </w:rPr>
            </w:pPr>
            <w:r>
              <w:rPr>
                <w:rFonts w:ascii="Times New Roman" w:hAnsi="Times New Roman"/>
              </w:rPr>
              <w:t>污染物</w:t>
            </w:r>
          </w:p>
        </w:tc>
        <w:tc>
          <w:tcPr>
            <w:tcW w:w="2311" w:type="dxa"/>
            <w:gridSpan w:val="2"/>
            <w:vAlign w:val="center"/>
          </w:tcPr>
          <w:p>
            <w:pPr>
              <w:pStyle w:val="39"/>
              <w:rPr>
                <w:rFonts w:ascii="Times New Roman" w:hAnsi="Times New Roman"/>
              </w:rPr>
            </w:pPr>
            <w:r>
              <w:rPr>
                <w:rFonts w:ascii="Times New Roman" w:hAnsi="Times New Roman"/>
              </w:rPr>
              <w:t>污染物排放情况</w:t>
            </w:r>
          </w:p>
        </w:tc>
        <w:tc>
          <w:tcPr>
            <w:tcW w:w="1024" w:type="dxa"/>
            <w:vMerge w:val="restart"/>
            <w:vAlign w:val="center"/>
          </w:tcPr>
          <w:p>
            <w:pPr>
              <w:pStyle w:val="39"/>
              <w:rPr>
                <w:rFonts w:ascii="Times New Roman" w:hAnsi="Times New Roman"/>
              </w:rPr>
            </w:pPr>
            <w:r>
              <w:rPr>
                <w:rFonts w:ascii="Times New Roman" w:hAnsi="Times New Roman"/>
              </w:rPr>
              <w:t>排放时间（h/a）</w:t>
            </w:r>
          </w:p>
        </w:tc>
        <w:tc>
          <w:tcPr>
            <w:tcW w:w="3034" w:type="dxa"/>
            <w:gridSpan w:val="3"/>
            <w:vAlign w:val="center"/>
          </w:tcPr>
          <w:p>
            <w:pPr>
              <w:pStyle w:val="39"/>
              <w:rPr>
                <w:rFonts w:ascii="Times New Roman" w:hAnsi="Times New Roman"/>
              </w:rPr>
            </w:pPr>
            <w:r>
              <w:rPr>
                <w:rFonts w:ascii="Times New Roman" w:hAnsi="Times New Roman"/>
              </w:rPr>
              <w:t>排气筒参数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3" w:type="dxa"/>
            <w:vMerge w:val="continue"/>
            <w:vAlign w:val="center"/>
          </w:tcPr>
          <w:p>
            <w:pPr>
              <w:pStyle w:val="39"/>
              <w:rPr>
                <w:rFonts w:ascii="Times New Roman" w:hAnsi="Times New Roman"/>
              </w:rPr>
            </w:pPr>
          </w:p>
        </w:tc>
        <w:tc>
          <w:tcPr>
            <w:tcW w:w="964" w:type="dxa"/>
            <w:vMerge w:val="continue"/>
            <w:vAlign w:val="center"/>
          </w:tcPr>
          <w:p>
            <w:pPr>
              <w:pStyle w:val="39"/>
              <w:rPr>
                <w:rFonts w:ascii="Times New Roman" w:hAnsi="Times New Roman"/>
              </w:rPr>
            </w:pPr>
          </w:p>
        </w:tc>
        <w:tc>
          <w:tcPr>
            <w:tcW w:w="1278" w:type="dxa"/>
            <w:vAlign w:val="center"/>
          </w:tcPr>
          <w:p>
            <w:pPr>
              <w:pStyle w:val="39"/>
              <w:rPr>
                <w:rFonts w:ascii="Times New Roman" w:hAnsi="Times New Roman"/>
              </w:rPr>
            </w:pPr>
            <w:r>
              <w:rPr>
                <w:rFonts w:ascii="Times New Roman" w:hAnsi="Times New Roman"/>
              </w:rPr>
              <w:t>浓度（mg/m</w:t>
            </w:r>
            <w:r>
              <w:rPr>
                <w:rFonts w:ascii="Times New Roman" w:hAnsi="Times New Roman"/>
                <w:vertAlign w:val="superscript"/>
              </w:rPr>
              <w:t>3</w:t>
            </w:r>
            <w:r>
              <w:rPr>
                <w:rFonts w:ascii="Times New Roman" w:hAnsi="Times New Roman"/>
              </w:rPr>
              <w:t>）</w:t>
            </w:r>
          </w:p>
        </w:tc>
        <w:tc>
          <w:tcPr>
            <w:tcW w:w="1033" w:type="dxa"/>
            <w:vAlign w:val="center"/>
          </w:tcPr>
          <w:p>
            <w:pPr>
              <w:pStyle w:val="39"/>
              <w:rPr>
                <w:rFonts w:ascii="Times New Roman" w:hAnsi="Times New Roman"/>
              </w:rPr>
            </w:pPr>
            <w:r>
              <w:rPr>
                <w:rFonts w:ascii="Times New Roman" w:hAnsi="Times New Roman"/>
              </w:rPr>
              <w:t>速率（kg/h）</w:t>
            </w:r>
          </w:p>
        </w:tc>
        <w:tc>
          <w:tcPr>
            <w:tcW w:w="1024" w:type="dxa"/>
            <w:vMerge w:val="continue"/>
            <w:vAlign w:val="center"/>
          </w:tcPr>
          <w:p>
            <w:pPr>
              <w:pStyle w:val="39"/>
              <w:rPr>
                <w:rFonts w:ascii="Times New Roman" w:hAnsi="Times New Roman"/>
              </w:rPr>
            </w:pPr>
          </w:p>
        </w:tc>
        <w:tc>
          <w:tcPr>
            <w:tcW w:w="1010" w:type="dxa"/>
            <w:vAlign w:val="center"/>
          </w:tcPr>
          <w:p>
            <w:pPr>
              <w:pStyle w:val="39"/>
              <w:rPr>
                <w:rFonts w:ascii="Times New Roman" w:hAnsi="Times New Roman"/>
              </w:rPr>
            </w:pPr>
            <w:r>
              <w:rPr>
                <w:rFonts w:ascii="Times New Roman" w:hAnsi="Times New Roman"/>
              </w:rPr>
              <w:t>高度</w:t>
            </w:r>
          </w:p>
          <w:p>
            <w:pPr>
              <w:pStyle w:val="39"/>
              <w:rPr>
                <w:rFonts w:ascii="Times New Roman" w:hAnsi="Times New Roman"/>
              </w:rPr>
            </w:pPr>
            <w:r>
              <w:rPr>
                <w:rFonts w:ascii="Times New Roman" w:hAnsi="Times New Roman"/>
              </w:rPr>
              <w:t>（m）</w:t>
            </w:r>
          </w:p>
        </w:tc>
        <w:tc>
          <w:tcPr>
            <w:tcW w:w="1010" w:type="dxa"/>
            <w:vAlign w:val="center"/>
          </w:tcPr>
          <w:p>
            <w:pPr>
              <w:pStyle w:val="39"/>
              <w:rPr>
                <w:rFonts w:ascii="Times New Roman" w:hAnsi="Times New Roman"/>
              </w:rPr>
            </w:pPr>
            <w:r>
              <w:rPr>
                <w:rFonts w:ascii="Times New Roman" w:hAnsi="Times New Roman"/>
              </w:rPr>
              <w:t>内径</w:t>
            </w:r>
          </w:p>
          <w:p>
            <w:pPr>
              <w:pStyle w:val="39"/>
              <w:rPr>
                <w:rFonts w:ascii="Times New Roman" w:hAnsi="Times New Roman"/>
              </w:rPr>
            </w:pPr>
            <w:r>
              <w:rPr>
                <w:rFonts w:ascii="Times New Roman" w:hAnsi="Times New Roman"/>
              </w:rPr>
              <w:t>（m）</w:t>
            </w:r>
          </w:p>
        </w:tc>
        <w:tc>
          <w:tcPr>
            <w:tcW w:w="1014" w:type="dxa"/>
            <w:vAlign w:val="center"/>
          </w:tcPr>
          <w:p>
            <w:pPr>
              <w:pStyle w:val="39"/>
              <w:rPr>
                <w:rFonts w:ascii="Times New Roman" w:hAnsi="Times New Roman"/>
              </w:rPr>
            </w:pPr>
            <w:r>
              <w:rPr>
                <w:rFonts w:ascii="Times New Roman" w:hAnsi="Times New Roman"/>
              </w:rPr>
              <w:t>温度</w:t>
            </w:r>
          </w:p>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3" w:type="dxa"/>
            <w:vAlign w:val="center"/>
          </w:tcPr>
          <w:p>
            <w:pPr>
              <w:pStyle w:val="39"/>
              <w:rPr>
                <w:rFonts w:ascii="Times New Roman" w:hAnsi="Times New Roman"/>
              </w:rPr>
            </w:pPr>
            <w:r>
              <w:rPr>
                <w:rFonts w:ascii="Times New Roman" w:hAnsi="Times New Roman"/>
              </w:rPr>
              <w:t>宣探1井站火炬</w:t>
            </w:r>
          </w:p>
        </w:tc>
        <w:tc>
          <w:tcPr>
            <w:tcW w:w="964" w:type="dxa"/>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1278" w:type="dxa"/>
            <w:vAlign w:val="center"/>
          </w:tcPr>
          <w:p>
            <w:pPr>
              <w:pStyle w:val="39"/>
              <w:rPr>
                <w:rFonts w:ascii="Times New Roman" w:hAnsi="Times New Roman"/>
              </w:rPr>
            </w:pPr>
            <w:r>
              <w:rPr>
                <w:rFonts w:ascii="Times New Roman" w:hAnsi="Times New Roman"/>
              </w:rPr>
              <w:t>44537.0</w:t>
            </w:r>
          </w:p>
        </w:tc>
        <w:tc>
          <w:tcPr>
            <w:tcW w:w="1033" w:type="dxa"/>
            <w:vAlign w:val="center"/>
          </w:tcPr>
          <w:p>
            <w:pPr>
              <w:pStyle w:val="39"/>
              <w:rPr>
                <w:rFonts w:ascii="Times New Roman" w:hAnsi="Times New Roman"/>
              </w:rPr>
            </w:pPr>
            <w:r>
              <w:rPr>
                <w:rFonts w:ascii="Times New Roman" w:hAnsi="Times New Roman"/>
              </w:rPr>
              <w:t>11997.5</w:t>
            </w:r>
          </w:p>
        </w:tc>
        <w:tc>
          <w:tcPr>
            <w:tcW w:w="1024" w:type="dxa"/>
            <w:vAlign w:val="center"/>
          </w:tcPr>
          <w:p>
            <w:pPr>
              <w:pStyle w:val="39"/>
              <w:rPr>
                <w:rFonts w:ascii="Times New Roman" w:hAnsi="Times New Roman"/>
              </w:rPr>
            </w:pPr>
            <w:r>
              <w:rPr>
                <w:rFonts w:ascii="Times New Roman" w:hAnsi="Times New Roman"/>
              </w:rPr>
              <w:t>48</w:t>
            </w:r>
          </w:p>
        </w:tc>
        <w:tc>
          <w:tcPr>
            <w:tcW w:w="1010" w:type="dxa"/>
            <w:vAlign w:val="center"/>
          </w:tcPr>
          <w:p>
            <w:pPr>
              <w:pStyle w:val="39"/>
              <w:rPr>
                <w:rFonts w:ascii="Times New Roman" w:hAnsi="Times New Roman"/>
              </w:rPr>
            </w:pPr>
            <w:r>
              <w:rPr>
                <w:rFonts w:ascii="Times New Roman" w:hAnsi="Times New Roman"/>
              </w:rPr>
              <w:t>30</w:t>
            </w:r>
          </w:p>
        </w:tc>
        <w:tc>
          <w:tcPr>
            <w:tcW w:w="1010" w:type="dxa"/>
            <w:vAlign w:val="center"/>
          </w:tcPr>
          <w:p>
            <w:pPr>
              <w:pStyle w:val="39"/>
              <w:rPr>
                <w:rFonts w:ascii="Times New Roman" w:hAnsi="Times New Roman"/>
              </w:rPr>
            </w:pPr>
            <w:r>
              <w:rPr>
                <w:rFonts w:ascii="Times New Roman" w:hAnsi="Times New Roman"/>
              </w:rPr>
              <w:t>0.25</w:t>
            </w:r>
          </w:p>
        </w:tc>
        <w:tc>
          <w:tcPr>
            <w:tcW w:w="1014" w:type="dxa"/>
            <w:vAlign w:val="center"/>
          </w:tcPr>
          <w:p>
            <w:pPr>
              <w:pStyle w:val="39"/>
              <w:rPr>
                <w:rFonts w:ascii="Times New Roman" w:hAnsi="Times New Roman"/>
              </w:rPr>
            </w:pPr>
            <w:r>
              <w:rPr>
                <w:rFonts w:ascii="Times New Roman" w:hAnsi="Times New Roma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3" w:type="dxa"/>
            <w:vAlign w:val="center"/>
          </w:tcPr>
          <w:p>
            <w:pPr>
              <w:pStyle w:val="39"/>
              <w:rPr>
                <w:rFonts w:ascii="Times New Roman" w:hAnsi="Times New Roman"/>
              </w:rPr>
            </w:pPr>
            <w:r>
              <w:rPr>
                <w:rFonts w:ascii="Times New Roman" w:hAnsi="Times New Roman"/>
              </w:rPr>
              <w:t>宣兴1井站火炬</w:t>
            </w:r>
          </w:p>
        </w:tc>
        <w:tc>
          <w:tcPr>
            <w:tcW w:w="964" w:type="dxa"/>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1278" w:type="dxa"/>
            <w:vAlign w:val="center"/>
          </w:tcPr>
          <w:p>
            <w:pPr>
              <w:pStyle w:val="39"/>
              <w:rPr>
                <w:rFonts w:ascii="Times New Roman" w:hAnsi="Times New Roman"/>
              </w:rPr>
            </w:pPr>
            <w:r>
              <w:rPr>
                <w:rFonts w:ascii="Times New Roman" w:hAnsi="Times New Roman"/>
              </w:rPr>
              <w:t>44537.0</w:t>
            </w:r>
          </w:p>
        </w:tc>
        <w:tc>
          <w:tcPr>
            <w:tcW w:w="1033" w:type="dxa"/>
            <w:vAlign w:val="center"/>
          </w:tcPr>
          <w:p>
            <w:pPr>
              <w:pStyle w:val="39"/>
              <w:rPr>
                <w:rFonts w:ascii="Times New Roman" w:hAnsi="Times New Roman"/>
              </w:rPr>
            </w:pPr>
            <w:r>
              <w:rPr>
                <w:rFonts w:ascii="Times New Roman" w:hAnsi="Times New Roman"/>
              </w:rPr>
              <w:t>11997.5</w:t>
            </w:r>
          </w:p>
        </w:tc>
        <w:tc>
          <w:tcPr>
            <w:tcW w:w="1024" w:type="dxa"/>
            <w:vAlign w:val="center"/>
          </w:tcPr>
          <w:p>
            <w:pPr>
              <w:pStyle w:val="39"/>
              <w:rPr>
                <w:rFonts w:ascii="Times New Roman" w:hAnsi="Times New Roman"/>
              </w:rPr>
            </w:pPr>
            <w:r>
              <w:rPr>
                <w:rFonts w:ascii="Times New Roman" w:hAnsi="Times New Roman"/>
              </w:rPr>
              <w:t>48</w:t>
            </w:r>
          </w:p>
        </w:tc>
        <w:tc>
          <w:tcPr>
            <w:tcW w:w="1010" w:type="dxa"/>
            <w:vAlign w:val="center"/>
          </w:tcPr>
          <w:p>
            <w:pPr>
              <w:pStyle w:val="39"/>
              <w:rPr>
                <w:rFonts w:ascii="Times New Roman" w:hAnsi="Times New Roman"/>
              </w:rPr>
            </w:pPr>
            <w:r>
              <w:rPr>
                <w:rFonts w:ascii="Times New Roman" w:hAnsi="Times New Roman"/>
              </w:rPr>
              <w:t>30</w:t>
            </w:r>
          </w:p>
        </w:tc>
        <w:tc>
          <w:tcPr>
            <w:tcW w:w="1010" w:type="dxa"/>
            <w:vAlign w:val="center"/>
          </w:tcPr>
          <w:p>
            <w:pPr>
              <w:pStyle w:val="39"/>
              <w:rPr>
                <w:rFonts w:ascii="Times New Roman" w:hAnsi="Times New Roman"/>
              </w:rPr>
            </w:pPr>
            <w:r>
              <w:rPr>
                <w:rFonts w:ascii="Times New Roman" w:hAnsi="Times New Roman"/>
              </w:rPr>
              <w:t>0.25</w:t>
            </w:r>
          </w:p>
        </w:tc>
        <w:tc>
          <w:tcPr>
            <w:tcW w:w="1014" w:type="dxa"/>
            <w:vAlign w:val="center"/>
          </w:tcPr>
          <w:p>
            <w:pPr>
              <w:pStyle w:val="39"/>
              <w:rPr>
                <w:rFonts w:ascii="Times New Roman" w:hAnsi="Times New Roman"/>
              </w:rPr>
            </w:pPr>
            <w:r>
              <w:rPr>
                <w:rFonts w:ascii="Times New Roman" w:hAnsi="Times New Roma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3" w:type="dxa"/>
            <w:vAlign w:val="center"/>
          </w:tcPr>
          <w:p>
            <w:pPr>
              <w:pStyle w:val="39"/>
              <w:rPr>
                <w:rFonts w:ascii="Times New Roman" w:hAnsi="Times New Roman"/>
              </w:rPr>
            </w:pPr>
            <w:r>
              <w:rPr>
                <w:rFonts w:ascii="Times New Roman" w:hAnsi="Times New Roman"/>
              </w:rPr>
              <w:t>清管站火炬</w:t>
            </w:r>
          </w:p>
        </w:tc>
        <w:tc>
          <w:tcPr>
            <w:tcW w:w="964" w:type="dxa"/>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1278" w:type="dxa"/>
            <w:vAlign w:val="center"/>
          </w:tcPr>
          <w:p>
            <w:pPr>
              <w:pStyle w:val="39"/>
              <w:rPr>
                <w:rFonts w:ascii="Times New Roman" w:hAnsi="Times New Roman"/>
              </w:rPr>
            </w:pPr>
            <w:r>
              <w:rPr>
                <w:rFonts w:ascii="Times New Roman" w:hAnsi="Times New Roman"/>
              </w:rPr>
              <w:t>44537.0</w:t>
            </w:r>
          </w:p>
        </w:tc>
        <w:tc>
          <w:tcPr>
            <w:tcW w:w="1033" w:type="dxa"/>
            <w:vAlign w:val="center"/>
          </w:tcPr>
          <w:p>
            <w:pPr>
              <w:pStyle w:val="39"/>
              <w:rPr>
                <w:rFonts w:ascii="Times New Roman" w:hAnsi="Times New Roman"/>
              </w:rPr>
            </w:pPr>
            <w:r>
              <w:rPr>
                <w:rFonts w:ascii="Times New Roman" w:hAnsi="Times New Roman"/>
              </w:rPr>
              <w:t>11997.5</w:t>
            </w:r>
          </w:p>
        </w:tc>
        <w:tc>
          <w:tcPr>
            <w:tcW w:w="1024" w:type="dxa"/>
            <w:vAlign w:val="center"/>
          </w:tcPr>
          <w:p>
            <w:pPr>
              <w:pStyle w:val="39"/>
              <w:rPr>
                <w:rFonts w:ascii="Times New Roman" w:hAnsi="Times New Roman"/>
              </w:rPr>
            </w:pPr>
            <w:r>
              <w:rPr>
                <w:rFonts w:ascii="Times New Roman" w:hAnsi="Times New Roman"/>
              </w:rPr>
              <w:t>48</w:t>
            </w:r>
          </w:p>
        </w:tc>
        <w:tc>
          <w:tcPr>
            <w:tcW w:w="1010" w:type="dxa"/>
            <w:vAlign w:val="center"/>
          </w:tcPr>
          <w:p>
            <w:pPr>
              <w:pStyle w:val="39"/>
              <w:rPr>
                <w:rFonts w:ascii="Times New Roman" w:hAnsi="Times New Roman"/>
              </w:rPr>
            </w:pPr>
            <w:r>
              <w:rPr>
                <w:rFonts w:ascii="Times New Roman" w:hAnsi="Times New Roman"/>
              </w:rPr>
              <w:t>22</w:t>
            </w:r>
          </w:p>
        </w:tc>
        <w:tc>
          <w:tcPr>
            <w:tcW w:w="1010" w:type="dxa"/>
            <w:vAlign w:val="center"/>
          </w:tcPr>
          <w:p>
            <w:pPr>
              <w:pStyle w:val="39"/>
              <w:rPr>
                <w:rFonts w:ascii="Times New Roman" w:hAnsi="Times New Roman"/>
              </w:rPr>
            </w:pPr>
            <w:r>
              <w:rPr>
                <w:rFonts w:ascii="Times New Roman" w:hAnsi="Times New Roman"/>
              </w:rPr>
              <w:t>0.25</w:t>
            </w:r>
          </w:p>
        </w:tc>
        <w:tc>
          <w:tcPr>
            <w:tcW w:w="1014" w:type="dxa"/>
            <w:vAlign w:val="center"/>
          </w:tcPr>
          <w:p>
            <w:pPr>
              <w:pStyle w:val="39"/>
              <w:rPr>
                <w:rFonts w:ascii="Times New Roman" w:hAnsi="Times New Roman"/>
              </w:rPr>
            </w:pPr>
            <w:r>
              <w:rPr>
                <w:rFonts w:ascii="Times New Roman" w:hAnsi="Times New Roman"/>
              </w:rPr>
              <w:t>1000</w:t>
            </w:r>
          </w:p>
        </w:tc>
      </w:tr>
    </w:tbl>
    <w:p>
      <w:pPr>
        <w:ind w:firstLine="480"/>
        <w:rPr>
          <w:rFonts w:ascii="Times New Roman" w:hAnsi="Times New Roman"/>
        </w:rPr>
      </w:pPr>
    </w:p>
    <w:p>
      <w:pPr>
        <w:pStyle w:val="5"/>
        <w:rPr>
          <w:rFonts w:ascii="Times New Roman" w:hAnsi="Times New Roman"/>
        </w:rPr>
      </w:pPr>
      <w:r>
        <w:rPr>
          <w:rFonts w:ascii="Times New Roman" w:hAnsi="Times New Roman"/>
        </w:rPr>
        <w:t>无组织废气</w:t>
      </w:r>
    </w:p>
    <w:p>
      <w:pPr>
        <w:ind w:firstLine="480"/>
        <w:rPr>
          <w:rFonts w:ascii="Times New Roman" w:hAnsi="Times New Roman"/>
        </w:rPr>
      </w:pPr>
      <w:r>
        <w:rPr>
          <w:rFonts w:ascii="Times New Roman" w:hAnsi="Times New Roman"/>
        </w:rPr>
        <w:t>本项目无组织废气主要为两个井站阀门、法兰等设备动静密封点泄漏的挥发性有机物（VOCs）和硫化氢。</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16</w:t>
      </w:r>
      <w:r>
        <w:rPr>
          <w:rFonts w:ascii="Times New Roman" w:hAnsi="Times New Roman" w:cs="Times New Roman"/>
        </w:rPr>
        <w:fldChar w:fldCharType="end"/>
      </w:r>
      <w:r>
        <w:rPr>
          <w:rFonts w:ascii="Times New Roman" w:hAnsi="Times New Roman" w:cs="Times New Roman"/>
        </w:rPr>
        <w:t xml:space="preserve">  本项目无组织废气源强汇总一览表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8"/>
        <w:gridCol w:w="997"/>
        <w:gridCol w:w="997"/>
        <w:gridCol w:w="1147"/>
        <w:gridCol w:w="1010"/>
        <w:gridCol w:w="1078"/>
        <w:gridCol w:w="1092"/>
        <w:gridCol w:w="10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8" w:type="dxa"/>
            <w:vAlign w:val="center"/>
          </w:tcPr>
          <w:p>
            <w:pPr>
              <w:pStyle w:val="39"/>
              <w:rPr>
                <w:rFonts w:ascii="Times New Roman" w:hAnsi="Times New Roman"/>
              </w:rPr>
            </w:pPr>
            <w:r>
              <w:rPr>
                <w:rFonts w:ascii="Times New Roman" w:hAnsi="Times New Roman"/>
              </w:rPr>
              <w:t>源项</w:t>
            </w:r>
          </w:p>
        </w:tc>
        <w:tc>
          <w:tcPr>
            <w:tcW w:w="997" w:type="dxa"/>
            <w:vAlign w:val="center"/>
          </w:tcPr>
          <w:p>
            <w:pPr>
              <w:pStyle w:val="39"/>
              <w:rPr>
                <w:rFonts w:ascii="Times New Roman" w:hAnsi="Times New Roman"/>
              </w:rPr>
            </w:pPr>
            <w:r>
              <w:rPr>
                <w:rFonts w:ascii="Times New Roman" w:hAnsi="Times New Roman"/>
              </w:rPr>
              <w:t>排放形式</w:t>
            </w:r>
          </w:p>
        </w:tc>
        <w:tc>
          <w:tcPr>
            <w:tcW w:w="997" w:type="dxa"/>
            <w:vAlign w:val="center"/>
          </w:tcPr>
          <w:p>
            <w:pPr>
              <w:pStyle w:val="39"/>
              <w:rPr>
                <w:rFonts w:ascii="Times New Roman" w:hAnsi="Times New Roman"/>
              </w:rPr>
            </w:pPr>
            <w:r>
              <w:rPr>
                <w:rFonts w:ascii="Times New Roman" w:hAnsi="Times New Roman"/>
              </w:rPr>
              <w:t>排放工况</w:t>
            </w:r>
          </w:p>
        </w:tc>
        <w:tc>
          <w:tcPr>
            <w:tcW w:w="1147" w:type="dxa"/>
            <w:vAlign w:val="center"/>
          </w:tcPr>
          <w:p>
            <w:pPr>
              <w:pStyle w:val="39"/>
              <w:rPr>
                <w:rFonts w:ascii="Times New Roman" w:hAnsi="Times New Roman"/>
              </w:rPr>
            </w:pPr>
            <w:r>
              <w:rPr>
                <w:rFonts w:ascii="Times New Roman" w:hAnsi="Times New Roman"/>
              </w:rPr>
              <w:t>VOCs排放速率</w:t>
            </w:r>
          </w:p>
          <w:p>
            <w:pPr>
              <w:pStyle w:val="39"/>
              <w:rPr>
                <w:rFonts w:ascii="Times New Roman" w:hAnsi="Times New Roman"/>
              </w:rPr>
            </w:pPr>
            <w:r>
              <w:rPr>
                <w:rFonts w:ascii="Times New Roman" w:hAnsi="Times New Roman"/>
              </w:rPr>
              <w:t>（kg/h）</w:t>
            </w:r>
          </w:p>
        </w:tc>
        <w:tc>
          <w:tcPr>
            <w:tcW w:w="946" w:type="dxa"/>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S排放速率</w:t>
            </w:r>
          </w:p>
          <w:p>
            <w:pPr>
              <w:pStyle w:val="39"/>
              <w:rPr>
                <w:rFonts w:ascii="Times New Roman" w:hAnsi="Times New Roman"/>
              </w:rPr>
            </w:pPr>
            <w:r>
              <w:rPr>
                <w:rFonts w:ascii="Times New Roman" w:hAnsi="Times New Roman"/>
              </w:rPr>
              <w:t>（kg/h）</w:t>
            </w:r>
          </w:p>
        </w:tc>
        <w:tc>
          <w:tcPr>
            <w:tcW w:w="1078" w:type="dxa"/>
            <w:vAlign w:val="center"/>
          </w:tcPr>
          <w:p>
            <w:pPr>
              <w:pStyle w:val="39"/>
              <w:rPr>
                <w:rFonts w:ascii="Times New Roman" w:hAnsi="Times New Roman"/>
              </w:rPr>
            </w:pPr>
            <w:r>
              <w:rPr>
                <w:rFonts w:ascii="Times New Roman" w:hAnsi="Times New Roman"/>
              </w:rPr>
              <w:t>排放时间（h）</w:t>
            </w:r>
          </w:p>
        </w:tc>
        <w:tc>
          <w:tcPr>
            <w:tcW w:w="1092" w:type="dxa"/>
            <w:vAlign w:val="center"/>
          </w:tcPr>
          <w:p>
            <w:pPr>
              <w:pStyle w:val="39"/>
              <w:rPr>
                <w:rFonts w:ascii="Times New Roman" w:hAnsi="Times New Roman"/>
              </w:rPr>
            </w:pPr>
            <w:r>
              <w:rPr>
                <w:rFonts w:ascii="Times New Roman" w:hAnsi="Times New Roman"/>
              </w:rPr>
              <w:t>排放高度</w:t>
            </w:r>
          </w:p>
          <w:p>
            <w:pPr>
              <w:pStyle w:val="39"/>
              <w:rPr>
                <w:rFonts w:ascii="Times New Roman" w:hAnsi="Times New Roman"/>
              </w:rPr>
            </w:pPr>
            <w:r>
              <w:rPr>
                <w:rFonts w:ascii="Times New Roman" w:hAnsi="Times New Roman"/>
              </w:rPr>
              <w:t>（m）</w:t>
            </w:r>
          </w:p>
        </w:tc>
        <w:tc>
          <w:tcPr>
            <w:tcW w:w="1041" w:type="dxa"/>
            <w:vAlign w:val="center"/>
          </w:tcPr>
          <w:p>
            <w:pPr>
              <w:pStyle w:val="39"/>
              <w:rPr>
                <w:rFonts w:ascii="Times New Roman" w:hAnsi="Times New Roman"/>
              </w:rPr>
            </w:pPr>
            <w:r>
              <w:rPr>
                <w:rFonts w:ascii="Times New Roman" w:hAnsi="Times New Roman"/>
              </w:rPr>
              <w:t>排放源尺寸（m×m）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8" w:type="dxa"/>
            <w:vAlign w:val="center"/>
          </w:tcPr>
          <w:p>
            <w:pPr>
              <w:pStyle w:val="39"/>
              <w:rPr>
                <w:rFonts w:ascii="Times New Roman" w:hAnsi="Times New Roman"/>
              </w:rPr>
            </w:pPr>
            <w:r>
              <w:rPr>
                <w:rFonts w:ascii="Times New Roman" w:hAnsi="Times New Roman"/>
              </w:rPr>
              <w:t>宣探1井站</w:t>
            </w:r>
          </w:p>
        </w:tc>
        <w:tc>
          <w:tcPr>
            <w:tcW w:w="997" w:type="dxa"/>
            <w:vAlign w:val="center"/>
          </w:tcPr>
          <w:p>
            <w:pPr>
              <w:pStyle w:val="39"/>
              <w:rPr>
                <w:rFonts w:ascii="Times New Roman" w:hAnsi="Times New Roman"/>
              </w:rPr>
            </w:pPr>
            <w:r>
              <w:rPr>
                <w:rFonts w:ascii="Times New Roman" w:hAnsi="Times New Roman"/>
              </w:rPr>
              <w:t>无组织</w:t>
            </w:r>
          </w:p>
        </w:tc>
        <w:tc>
          <w:tcPr>
            <w:tcW w:w="997" w:type="dxa"/>
            <w:vAlign w:val="center"/>
          </w:tcPr>
          <w:p>
            <w:pPr>
              <w:pStyle w:val="39"/>
              <w:rPr>
                <w:rFonts w:ascii="Times New Roman" w:hAnsi="Times New Roman"/>
              </w:rPr>
            </w:pPr>
            <w:r>
              <w:rPr>
                <w:rFonts w:ascii="Times New Roman" w:hAnsi="Times New Roman"/>
              </w:rPr>
              <w:t>正常工况</w:t>
            </w:r>
          </w:p>
        </w:tc>
        <w:tc>
          <w:tcPr>
            <w:tcW w:w="1147" w:type="dxa"/>
            <w:vAlign w:val="center"/>
          </w:tcPr>
          <w:p>
            <w:pPr>
              <w:pStyle w:val="39"/>
              <w:rPr>
                <w:rFonts w:ascii="Times New Roman" w:hAnsi="Times New Roman"/>
              </w:rPr>
            </w:pPr>
            <w:r>
              <w:rPr>
                <w:rFonts w:ascii="Times New Roman" w:hAnsi="Times New Roman"/>
              </w:rPr>
              <w:t>0.0225</w:t>
            </w:r>
          </w:p>
        </w:tc>
        <w:tc>
          <w:tcPr>
            <w:tcW w:w="946" w:type="dxa"/>
            <w:vAlign w:val="center"/>
          </w:tcPr>
          <w:p>
            <w:pPr>
              <w:pStyle w:val="39"/>
              <w:rPr>
                <w:rFonts w:ascii="Times New Roman" w:hAnsi="Times New Roman"/>
              </w:rPr>
            </w:pPr>
            <w:r>
              <w:rPr>
                <w:rFonts w:ascii="Times New Roman" w:hAnsi="Times New Roman"/>
              </w:rPr>
              <w:t>0.0030</w:t>
            </w:r>
          </w:p>
        </w:tc>
        <w:tc>
          <w:tcPr>
            <w:tcW w:w="1078" w:type="dxa"/>
            <w:vAlign w:val="center"/>
          </w:tcPr>
          <w:p>
            <w:pPr>
              <w:pStyle w:val="39"/>
              <w:rPr>
                <w:rFonts w:ascii="Times New Roman" w:hAnsi="Times New Roman"/>
              </w:rPr>
            </w:pPr>
            <w:r>
              <w:rPr>
                <w:rFonts w:ascii="Times New Roman" w:hAnsi="Times New Roman"/>
              </w:rPr>
              <w:t>8000</w:t>
            </w:r>
          </w:p>
        </w:tc>
        <w:tc>
          <w:tcPr>
            <w:tcW w:w="1092" w:type="dxa"/>
            <w:vAlign w:val="center"/>
          </w:tcPr>
          <w:p>
            <w:pPr>
              <w:pStyle w:val="39"/>
              <w:rPr>
                <w:rFonts w:ascii="Times New Roman" w:hAnsi="Times New Roman"/>
              </w:rPr>
            </w:pPr>
            <w:r>
              <w:rPr>
                <w:rFonts w:ascii="Times New Roman" w:hAnsi="Times New Roman"/>
              </w:rPr>
              <w:t>1.5</w:t>
            </w:r>
          </w:p>
        </w:tc>
        <w:tc>
          <w:tcPr>
            <w:tcW w:w="1041" w:type="dxa"/>
            <w:vAlign w:val="center"/>
          </w:tcPr>
          <w:p>
            <w:pPr>
              <w:pStyle w:val="39"/>
              <w:rPr>
                <w:rFonts w:ascii="Times New Roman" w:hAnsi="Times New Roman"/>
              </w:rPr>
            </w:pPr>
            <w:r>
              <w:rPr>
                <w:rFonts w:ascii="Times New Roman" w:hAnsi="Times New Roman"/>
              </w:rPr>
              <w:t>20×70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8" w:type="dxa"/>
            <w:vAlign w:val="center"/>
          </w:tcPr>
          <w:p>
            <w:pPr>
              <w:pStyle w:val="39"/>
              <w:rPr>
                <w:rFonts w:ascii="Times New Roman" w:hAnsi="Times New Roman"/>
              </w:rPr>
            </w:pPr>
            <w:r>
              <w:rPr>
                <w:rFonts w:ascii="Times New Roman" w:hAnsi="Times New Roman"/>
              </w:rPr>
              <w:t>宣兴1井站</w:t>
            </w:r>
          </w:p>
        </w:tc>
        <w:tc>
          <w:tcPr>
            <w:tcW w:w="997" w:type="dxa"/>
            <w:vAlign w:val="center"/>
          </w:tcPr>
          <w:p>
            <w:pPr>
              <w:pStyle w:val="39"/>
              <w:rPr>
                <w:rFonts w:ascii="Times New Roman" w:hAnsi="Times New Roman"/>
              </w:rPr>
            </w:pPr>
            <w:r>
              <w:rPr>
                <w:rFonts w:ascii="Times New Roman" w:hAnsi="Times New Roman"/>
              </w:rPr>
              <w:t>无组织</w:t>
            </w:r>
          </w:p>
        </w:tc>
        <w:tc>
          <w:tcPr>
            <w:tcW w:w="997" w:type="dxa"/>
            <w:vAlign w:val="center"/>
          </w:tcPr>
          <w:p>
            <w:pPr>
              <w:pStyle w:val="39"/>
              <w:rPr>
                <w:rFonts w:ascii="Times New Roman" w:hAnsi="Times New Roman"/>
              </w:rPr>
            </w:pPr>
            <w:r>
              <w:rPr>
                <w:rFonts w:ascii="Times New Roman" w:hAnsi="Times New Roman"/>
              </w:rPr>
              <w:t>正常工况</w:t>
            </w:r>
          </w:p>
        </w:tc>
        <w:tc>
          <w:tcPr>
            <w:tcW w:w="1147" w:type="dxa"/>
            <w:vAlign w:val="center"/>
          </w:tcPr>
          <w:p>
            <w:pPr>
              <w:pStyle w:val="39"/>
              <w:rPr>
                <w:rFonts w:ascii="Times New Roman" w:hAnsi="Times New Roman"/>
              </w:rPr>
            </w:pPr>
            <w:r>
              <w:rPr>
                <w:rFonts w:ascii="Times New Roman" w:hAnsi="Times New Roman"/>
              </w:rPr>
              <w:t>0.0584</w:t>
            </w:r>
          </w:p>
        </w:tc>
        <w:tc>
          <w:tcPr>
            <w:tcW w:w="946" w:type="dxa"/>
            <w:vAlign w:val="center"/>
          </w:tcPr>
          <w:p>
            <w:pPr>
              <w:pStyle w:val="39"/>
              <w:rPr>
                <w:rFonts w:ascii="Times New Roman" w:hAnsi="Times New Roman"/>
              </w:rPr>
            </w:pPr>
            <w:r>
              <w:rPr>
                <w:rFonts w:ascii="Times New Roman" w:hAnsi="Times New Roman"/>
              </w:rPr>
              <w:t>0.0130</w:t>
            </w:r>
          </w:p>
        </w:tc>
        <w:tc>
          <w:tcPr>
            <w:tcW w:w="1078" w:type="dxa"/>
            <w:vAlign w:val="center"/>
          </w:tcPr>
          <w:p>
            <w:pPr>
              <w:pStyle w:val="39"/>
              <w:rPr>
                <w:rFonts w:ascii="Times New Roman" w:hAnsi="Times New Roman"/>
              </w:rPr>
            </w:pPr>
            <w:r>
              <w:rPr>
                <w:rFonts w:ascii="Times New Roman" w:hAnsi="Times New Roman"/>
              </w:rPr>
              <w:t>8000</w:t>
            </w:r>
          </w:p>
        </w:tc>
        <w:tc>
          <w:tcPr>
            <w:tcW w:w="1092" w:type="dxa"/>
            <w:vAlign w:val="center"/>
          </w:tcPr>
          <w:p>
            <w:pPr>
              <w:pStyle w:val="39"/>
              <w:rPr>
                <w:rFonts w:ascii="Times New Roman" w:hAnsi="Times New Roman"/>
              </w:rPr>
            </w:pPr>
            <w:r>
              <w:rPr>
                <w:rFonts w:ascii="Times New Roman" w:hAnsi="Times New Roman"/>
              </w:rPr>
              <w:t>1.5</w:t>
            </w:r>
          </w:p>
        </w:tc>
        <w:tc>
          <w:tcPr>
            <w:tcW w:w="1041" w:type="dxa"/>
            <w:vAlign w:val="center"/>
          </w:tcPr>
          <w:p>
            <w:pPr>
              <w:pStyle w:val="39"/>
              <w:rPr>
                <w:rFonts w:ascii="Times New Roman" w:hAnsi="Times New Roman"/>
              </w:rPr>
            </w:pPr>
            <w:r>
              <w:rPr>
                <w:rFonts w:ascii="Times New Roman" w:hAnsi="Times New Roman"/>
              </w:rPr>
              <w:t>20×70</w:t>
            </w:r>
          </w:p>
        </w:tc>
      </w:tr>
    </w:tbl>
    <w:p>
      <w:pPr>
        <w:ind w:firstLine="480"/>
        <w:rPr>
          <w:rFonts w:ascii="Times New Roman" w:hAnsi="Times New Roman"/>
        </w:rPr>
      </w:pPr>
      <w:r>
        <w:rPr>
          <w:rFonts w:ascii="Times New Roman" w:hAnsi="Times New Roman"/>
        </w:rPr>
        <w:t>企业边界大气污染物VOCs执行《陆上石油天然气开采工业大气污染物排放标准》（GB39728-2020），恶臭因子H</w:t>
      </w:r>
      <w:r>
        <w:rPr>
          <w:rFonts w:ascii="Times New Roman" w:hAnsi="Times New Roman"/>
          <w:vertAlign w:val="subscript"/>
        </w:rPr>
        <w:t>2</w:t>
      </w:r>
      <w:r>
        <w:rPr>
          <w:rFonts w:ascii="Times New Roman" w:hAnsi="Times New Roman"/>
        </w:rPr>
        <w:t>S浓度执行《恶臭污染物排放标准》（GB14554-93）中表1限值。</w:t>
      </w:r>
    </w:p>
    <w:p>
      <w:pPr>
        <w:pStyle w:val="4"/>
        <w:rPr>
          <w:rFonts w:ascii="Times New Roman" w:hAnsi="Times New Roman" w:cs="Times New Roman"/>
        </w:rPr>
      </w:pPr>
      <w:r>
        <w:rPr>
          <w:rFonts w:ascii="Times New Roman" w:hAnsi="Times New Roman" w:cs="Times New Roman"/>
        </w:rPr>
        <w:t>噪声污染源</w:t>
      </w:r>
    </w:p>
    <w:p>
      <w:pPr>
        <w:ind w:firstLine="480"/>
        <w:rPr>
          <w:rFonts w:ascii="Times New Roman" w:hAnsi="Times New Roman"/>
        </w:rPr>
      </w:pPr>
      <w:r>
        <w:rPr>
          <w:rFonts w:ascii="Times New Roman" w:hAnsi="Times New Roman"/>
        </w:rPr>
        <w:t>本项目正常生产时，各站场的噪声主要来源于机泵、节流阀、分离器等设备产生的气流噪声；检修或事故时，噪声主要来源于放空火炬的气流声。</w:t>
      </w:r>
    </w:p>
    <w:p>
      <w:pPr>
        <w:ind w:firstLine="480"/>
        <w:rPr>
          <w:rFonts w:ascii="Times New Roman" w:hAnsi="Times New Roman"/>
        </w:rPr>
      </w:pPr>
      <w:r>
        <w:rPr>
          <w:rFonts w:ascii="Times New Roman" w:hAnsi="Times New Roman"/>
        </w:rPr>
        <w:t>本项目运营期各站场的噪声源强见</w:t>
      </w:r>
      <w:r>
        <w:rPr>
          <w:rFonts w:ascii="Times New Roman" w:hAnsi="Times New Roman"/>
        </w:rPr>
        <w:fldChar w:fldCharType="begin"/>
      </w:r>
      <w:r>
        <w:rPr>
          <w:rFonts w:ascii="Times New Roman" w:hAnsi="Times New Roman"/>
        </w:rPr>
        <w:instrText xml:space="preserve"> REF _Ref152172952 \h  \* MERGEFORMAT </w:instrText>
      </w:r>
      <w:r>
        <w:rPr>
          <w:rFonts w:ascii="Times New Roman" w:hAnsi="Times New Roman"/>
        </w:rPr>
        <w:fldChar w:fldCharType="separate"/>
      </w:r>
      <w:r>
        <w:rPr>
          <w:rFonts w:ascii="Times New Roman" w:hAnsi="Times New Roman"/>
        </w:rPr>
        <w:t>表 3</w:t>
      </w:r>
      <w:r>
        <w:rPr>
          <w:rFonts w:ascii="Times New Roman" w:hAnsi="Times New Roman"/>
        </w:rPr>
        <w:noBreakHyphen/>
      </w:r>
      <w:r>
        <w:rPr>
          <w:rFonts w:ascii="Times New Roman" w:hAnsi="Times New Roman"/>
        </w:rPr>
        <w:t>12</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17</w:t>
      </w:r>
      <w:r>
        <w:rPr>
          <w:rFonts w:ascii="Times New Roman" w:hAnsi="Times New Roman" w:cs="Times New Roman"/>
        </w:rPr>
        <w:fldChar w:fldCharType="end"/>
      </w:r>
      <w:r>
        <w:rPr>
          <w:rFonts w:ascii="Times New Roman" w:hAnsi="Times New Roman" w:cs="Times New Roman"/>
        </w:rPr>
        <w:t xml:space="preserve">  各站场运营期主要噪声源</w:t>
      </w:r>
    </w:p>
    <w:tbl>
      <w:tblPr>
        <w:tblStyle w:val="28"/>
        <w:tblW w:w="90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7"/>
        <w:gridCol w:w="730"/>
        <w:gridCol w:w="736"/>
        <w:gridCol w:w="824"/>
        <w:gridCol w:w="935"/>
        <w:gridCol w:w="1074"/>
        <w:gridCol w:w="529"/>
        <w:gridCol w:w="698"/>
        <w:gridCol w:w="1652"/>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restart"/>
            <w:vAlign w:val="center"/>
          </w:tcPr>
          <w:p>
            <w:pPr>
              <w:pStyle w:val="39"/>
              <w:rPr>
                <w:rFonts w:ascii="Times New Roman" w:hAnsi="Times New Roman"/>
              </w:rPr>
            </w:pPr>
            <w:r>
              <w:rPr>
                <w:rFonts w:ascii="Times New Roman" w:hAnsi="Times New Roman"/>
              </w:rPr>
              <w:t>站场</w:t>
            </w:r>
          </w:p>
        </w:tc>
        <w:tc>
          <w:tcPr>
            <w:tcW w:w="730" w:type="dxa"/>
            <w:vMerge w:val="restart"/>
            <w:vAlign w:val="center"/>
          </w:tcPr>
          <w:p>
            <w:pPr>
              <w:pStyle w:val="39"/>
              <w:rPr>
                <w:rFonts w:ascii="Times New Roman" w:hAnsi="Times New Roman"/>
              </w:rPr>
            </w:pPr>
            <w:r>
              <w:rPr>
                <w:rFonts w:ascii="Times New Roman" w:hAnsi="Times New Roman"/>
              </w:rPr>
              <w:t>噪声源</w:t>
            </w:r>
          </w:p>
        </w:tc>
        <w:tc>
          <w:tcPr>
            <w:tcW w:w="2495" w:type="dxa"/>
            <w:gridSpan w:val="3"/>
            <w:vAlign w:val="center"/>
          </w:tcPr>
          <w:p>
            <w:pPr>
              <w:pStyle w:val="39"/>
              <w:rPr>
                <w:rFonts w:ascii="Times New Roman" w:hAnsi="Times New Roman"/>
              </w:rPr>
            </w:pPr>
            <w:r>
              <w:rPr>
                <w:rFonts w:ascii="Times New Roman" w:hAnsi="Times New Roman"/>
              </w:rPr>
              <w:t>空间相对位置/m</w:t>
            </w:r>
          </w:p>
        </w:tc>
        <w:tc>
          <w:tcPr>
            <w:tcW w:w="1074" w:type="dxa"/>
            <w:vMerge w:val="restart"/>
            <w:vAlign w:val="center"/>
          </w:tcPr>
          <w:p>
            <w:pPr>
              <w:pStyle w:val="39"/>
              <w:rPr>
                <w:rFonts w:ascii="Times New Roman" w:hAnsi="Times New Roman"/>
              </w:rPr>
            </w:pPr>
            <w:r>
              <w:rPr>
                <w:rFonts w:ascii="Times New Roman" w:hAnsi="Times New Roman"/>
              </w:rPr>
              <w:t>单台声功率级</w:t>
            </w:r>
          </w:p>
          <w:p>
            <w:pPr>
              <w:pStyle w:val="39"/>
              <w:rPr>
                <w:rFonts w:ascii="Times New Roman" w:hAnsi="Times New Roman"/>
              </w:rPr>
            </w:pPr>
            <w:r>
              <w:rPr>
                <w:rFonts w:ascii="Times New Roman" w:hAnsi="Times New Roman"/>
              </w:rPr>
              <w:t>（dB（A））</w:t>
            </w:r>
          </w:p>
        </w:tc>
        <w:tc>
          <w:tcPr>
            <w:tcW w:w="529" w:type="dxa"/>
            <w:vMerge w:val="restart"/>
            <w:vAlign w:val="center"/>
          </w:tcPr>
          <w:p>
            <w:pPr>
              <w:pStyle w:val="39"/>
              <w:rPr>
                <w:rFonts w:ascii="Times New Roman" w:hAnsi="Times New Roman"/>
              </w:rPr>
            </w:pPr>
            <w:r>
              <w:rPr>
                <w:rFonts w:ascii="Times New Roman" w:hAnsi="Times New Roman"/>
              </w:rPr>
              <w:t>数量</w:t>
            </w:r>
          </w:p>
        </w:tc>
        <w:tc>
          <w:tcPr>
            <w:tcW w:w="698" w:type="dxa"/>
            <w:vMerge w:val="restart"/>
            <w:vAlign w:val="center"/>
          </w:tcPr>
          <w:p>
            <w:pPr>
              <w:pStyle w:val="39"/>
              <w:rPr>
                <w:rFonts w:ascii="Times New Roman" w:hAnsi="Times New Roman"/>
              </w:rPr>
            </w:pPr>
            <w:r>
              <w:rPr>
                <w:rFonts w:ascii="Times New Roman" w:hAnsi="Times New Roman"/>
              </w:rPr>
              <w:t>排放规律</w:t>
            </w:r>
          </w:p>
        </w:tc>
        <w:tc>
          <w:tcPr>
            <w:tcW w:w="1652" w:type="dxa"/>
            <w:vMerge w:val="restart"/>
            <w:vAlign w:val="center"/>
          </w:tcPr>
          <w:p>
            <w:pPr>
              <w:pStyle w:val="39"/>
              <w:rPr>
                <w:rFonts w:ascii="Times New Roman" w:hAnsi="Times New Roman"/>
              </w:rPr>
            </w:pPr>
            <w:r>
              <w:rPr>
                <w:rFonts w:ascii="Times New Roman" w:hAnsi="Times New Roman"/>
              </w:rPr>
              <w:t>声环境控制措施</w:t>
            </w:r>
          </w:p>
        </w:tc>
        <w:tc>
          <w:tcPr>
            <w:tcW w:w="1134" w:type="dxa"/>
            <w:vMerge w:val="restart"/>
            <w:vAlign w:val="center"/>
          </w:tcPr>
          <w:p>
            <w:pPr>
              <w:pStyle w:val="39"/>
              <w:rPr>
                <w:rFonts w:ascii="Times New Roman" w:hAnsi="Times New Roman"/>
              </w:rPr>
            </w:pPr>
            <w:r>
              <w:rPr>
                <w:rFonts w:ascii="Times New Roman" w:hAnsi="Times New Roman"/>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39"/>
              <w:rPr>
                <w:rFonts w:ascii="Times New Roman" w:hAnsi="Times New Roman"/>
              </w:rPr>
            </w:pPr>
          </w:p>
        </w:tc>
        <w:tc>
          <w:tcPr>
            <w:tcW w:w="730" w:type="dxa"/>
            <w:vMerge w:val="continue"/>
            <w:vAlign w:val="center"/>
          </w:tcPr>
          <w:p>
            <w:pPr>
              <w:pStyle w:val="39"/>
              <w:rPr>
                <w:rFonts w:ascii="Times New Roman" w:hAnsi="Times New Roman"/>
              </w:rPr>
            </w:pPr>
          </w:p>
        </w:tc>
        <w:tc>
          <w:tcPr>
            <w:tcW w:w="736" w:type="dxa"/>
            <w:vAlign w:val="center"/>
          </w:tcPr>
          <w:p>
            <w:pPr>
              <w:pStyle w:val="39"/>
              <w:rPr>
                <w:rFonts w:ascii="Times New Roman" w:hAnsi="Times New Roman"/>
              </w:rPr>
            </w:pPr>
            <w:r>
              <w:rPr>
                <w:rFonts w:ascii="Times New Roman" w:hAnsi="Times New Roman"/>
              </w:rPr>
              <w:t>X</w:t>
            </w:r>
          </w:p>
        </w:tc>
        <w:tc>
          <w:tcPr>
            <w:tcW w:w="824" w:type="dxa"/>
            <w:vAlign w:val="center"/>
          </w:tcPr>
          <w:p>
            <w:pPr>
              <w:pStyle w:val="39"/>
              <w:rPr>
                <w:rFonts w:ascii="Times New Roman" w:hAnsi="Times New Roman"/>
              </w:rPr>
            </w:pPr>
            <w:r>
              <w:rPr>
                <w:rFonts w:ascii="Times New Roman" w:hAnsi="Times New Roman"/>
              </w:rPr>
              <w:t>Y</w:t>
            </w:r>
          </w:p>
        </w:tc>
        <w:tc>
          <w:tcPr>
            <w:tcW w:w="935" w:type="dxa"/>
            <w:vAlign w:val="center"/>
          </w:tcPr>
          <w:p>
            <w:pPr>
              <w:pStyle w:val="39"/>
              <w:rPr>
                <w:rFonts w:ascii="Times New Roman" w:hAnsi="Times New Roman"/>
              </w:rPr>
            </w:pPr>
            <w:r>
              <w:rPr>
                <w:rFonts w:ascii="Times New Roman" w:hAnsi="Times New Roman"/>
              </w:rPr>
              <w:t>Z</w:t>
            </w:r>
          </w:p>
        </w:tc>
        <w:tc>
          <w:tcPr>
            <w:tcW w:w="1074" w:type="dxa"/>
            <w:vMerge w:val="continue"/>
            <w:vAlign w:val="center"/>
          </w:tcPr>
          <w:p>
            <w:pPr>
              <w:pStyle w:val="39"/>
              <w:rPr>
                <w:rFonts w:ascii="Times New Roman" w:hAnsi="Times New Roman"/>
              </w:rPr>
            </w:pPr>
          </w:p>
        </w:tc>
        <w:tc>
          <w:tcPr>
            <w:tcW w:w="529" w:type="dxa"/>
            <w:vMerge w:val="continue"/>
            <w:vAlign w:val="center"/>
          </w:tcPr>
          <w:p>
            <w:pPr>
              <w:pStyle w:val="39"/>
              <w:rPr>
                <w:rFonts w:ascii="Times New Roman" w:hAnsi="Times New Roman"/>
              </w:rPr>
            </w:pPr>
          </w:p>
        </w:tc>
        <w:tc>
          <w:tcPr>
            <w:tcW w:w="698" w:type="dxa"/>
            <w:vMerge w:val="continue"/>
            <w:vAlign w:val="center"/>
          </w:tcPr>
          <w:p>
            <w:pPr>
              <w:pStyle w:val="39"/>
              <w:rPr>
                <w:rFonts w:ascii="Times New Roman" w:hAnsi="Times New Roman"/>
              </w:rPr>
            </w:pPr>
          </w:p>
        </w:tc>
        <w:tc>
          <w:tcPr>
            <w:tcW w:w="1652" w:type="dxa"/>
            <w:vMerge w:val="continue"/>
            <w:vAlign w:val="center"/>
          </w:tcPr>
          <w:p>
            <w:pPr>
              <w:pStyle w:val="39"/>
              <w:rPr>
                <w:rFonts w:ascii="Times New Roman" w:hAnsi="Times New Roman"/>
              </w:rPr>
            </w:pPr>
          </w:p>
        </w:tc>
        <w:tc>
          <w:tcPr>
            <w:tcW w:w="1134"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restart"/>
            <w:vAlign w:val="center"/>
          </w:tcPr>
          <w:p>
            <w:pPr>
              <w:pStyle w:val="39"/>
              <w:rPr>
                <w:rFonts w:ascii="Times New Roman" w:hAnsi="Times New Roman"/>
              </w:rPr>
            </w:pPr>
            <w:r>
              <w:rPr>
                <w:rFonts w:ascii="Times New Roman" w:hAnsi="Times New Roman"/>
              </w:rPr>
              <w:t>宣探1井站</w:t>
            </w:r>
          </w:p>
        </w:tc>
        <w:tc>
          <w:tcPr>
            <w:tcW w:w="730" w:type="dxa"/>
            <w:vAlign w:val="center"/>
          </w:tcPr>
          <w:p>
            <w:pPr>
              <w:pStyle w:val="39"/>
              <w:rPr>
                <w:rFonts w:ascii="Times New Roman" w:hAnsi="Times New Roman"/>
              </w:rPr>
            </w:pPr>
            <w:r>
              <w:rPr>
                <w:rFonts w:ascii="Times New Roman" w:hAnsi="Times New Roman"/>
              </w:rPr>
              <w:t>节流阀</w:t>
            </w:r>
          </w:p>
        </w:tc>
        <w:tc>
          <w:tcPr>
            <w:tcW w:w="736" w:type="dxa"/>
            <w:vAlign w:val="center"/>
          </w:tcPr>
          <w:p>
            <w:pPr>
              <w:pStyle w:val="39"/>
              <w:rPr>
                <w:rFonts w:ascii="Times New Roman" w:hAnsi="Times New Roman"/>
              </w:rPr>
            </w:pPr>
            <w:r>
              <w:rPr>
                <w:rFonts w:ascii="Times New Roman" w:hAnsi="Times New Roman"/>
              </w:rPr>
              <w:t>60</w:t>
            </w:r>
          </w:p>
        </w:tc>
        <w:tc>
          <w:tcPr>
            <w:tcW w:w="824" w:type="dxa"/>
            <w:vAlign w:val="center"/>
          </w:tcPr>
          <w:p>
            <w:pPr>
              <w:pStyle w:val="39"/>
              <w:rPr>
                <w:rFonts w:ascii="Times New Roman" w:hAnsi="Times New Roman"/>
              </w:rPr>
            </w:pPr>
            <w:r>
              <w:rPr>
                <w:rFonts w:ascii="Times New Roman" w:hAnsi="Times New Roman"/>
              </w:rPr>
              <w:t>29</w:t>
            </w:r>
          </w:p>
        </w:tc>
        <w:tc>
          <w:tcPr>
            <w:tcW w:w="935" w:type="dxa"/>
            <w:vAlign w:val="center"/>
          </w:tcPr>
          <w:p>
            <w:pPr>
              <w:pStyle w:val="39"/>
              <w:rPr>
                <w:rFonts w:ascii="Times New Roman" w:hAnsi="Times New Roman"/>
              </w:rPr>
            </w:pPr>
            <w:r>
              <w:rPr>
                <w:rFonts w:ascii="Times New Roman" w:hAnsi="Times New Roman"/>
              </w:rPr>
              <w:t>0</w:t>
            </w:r>
          </w:p>
        </w:tc>
        <w:tc>
          <w:tcPr>
            <w:tcW w:w="1074" w:type="dxa"/>
            <w:vAlign w:val="center"/>
          </w:tcPr>
          <w:p>
            <w:pPr>
              <w:pStyle w:val="39"/>
              <w:rPr>
                <w:rFonts w:ascii="Times New Roman" w:hAnsi="Times New Roman"/>
              </w:rPr>
            </w:pPr>
            <w:r>
              <w:rPr>
                <w:rFonts w:ascii="Times New Roman" w:hAnsi="Times New Roman"/>
              </w:rPr>
              <w:t>62</w:t>
            </w:r>
          </w:p>
        </w:tc>
        <w:tc>
          <w:tcPr>
            <w:tcW w:w="529" w:type="dxa"/>
            <w:vAlign w:val="center"/>
          </w:tcPr>
          <w:p>
            <w:pPr>
              <w:pStyle w:val="39"/>
              <w:rPr>
                <w:rFonts w:ascii="Times New Roman" w:hAnsi="Times New Roman"/>
              </w:rPr>
            </w:pPr>
            <w:r>
              <w:rPr>
                <w:rFonts w:ascii="Times New Roman" w:hAnsi="Times New Roman"/>
              </w:rPr>
              <w:t>2</w:t>
            </w:r>
          </w:p>
        </w:tc>
        <w:tc>
          <w:tcPr>
            <w:tcW w:w="698" w:type="dxa"/>
            <w:vAlign w:val="center"/>
          </w:tcPr>
          <w:p>
            <w:pPr>
              <w:pStyle w:val="39"/>
              <w:rPr>
                <w:rFonts w:ascii="Times New Roman" w:hAnsi="Times New Roman"/>
              </w:rPr>
            </w:pPr>
            <w:r>
              <w:rPr>
                <w:rFonts w:ascii="Times New Roman" w:hAnsi="Times New Roman"/>
              </w:rPr>
              <w:t>连续排放</w:t>
            </w:r>
          </w:p>
        </w:tc>
        <w:tc>
          <w:tcPr>
            <w:tcW w:w="1652" w:type="dxa"/>
            <w:vAlign w:val="center"/>
          </w:tcPr>
          <w:p>
            <w:pPr>
              <w:pStyle w:val="39"/>
              <w:rPr>
                <w:rFonts w:ascii="Times New Roman" w:hAnsi="Times New Roman"/>
              </w:rPr>
            </w:pPr>
            <w:r>
              <w:rPr>
                <w:rFonts w:ascii="Times New Roman" w:hAnsi="Times New Roman"/>
              </w:rPr>
              <w:t>低噪声设备，合理布局</w:t>
            </w:r>
          </w:p>
        </w:tc>
        <w:tc>
          <w:tcPr>
            <w:tcW w:w="1134" w:type="dxa"/>
            <w:vAlign w:val="center"/>
          </w:tcPr>
          <w:p>
            <w:pPr>
              <w:pStyle w:val="39"/>
              <w:rPr>
                <w:rFonts w:ascii="Times New Roman" w:hAnsi="Times New Roman"/>
              </w:rPr>
            </w:pPr>
            <w:r>
              <w:rPr>
                <w:rFonts w:ascii="Times New Roman" w:hAnsi="Times New Roman"/>
              </w:rPr>
              <w:t>连续运行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39"/>
              <w:rPr>
                <w:rFonts w:ascii="Times New Roman" w:hAnsi="Times New Roman"/>
              </w:rPr>
            </w:pPr>
          </w:p>
        </w:tc>
        <w:tc>
          <w:tcPr>
            <w:tcW w:w="730" w:type="dxa"/>
            <w:vAlign w:val="center"/>
          </w:tcPr>
          <w:p>
            <w:pPr>
              <w:pStyle w:val="39"/>
              <w:rPr>
                <w:rFonts w:ascii="Times New Roman" w:hAnsi="Times New Roman"/>
              </w:rPr>
            </w:pPr>
            <w:r>
              <w:rPr>
                <w:rFonts w:ascii="Times New Roman" w:hAnsi="Times New Roman"/>
              </w:rPr>
              <w:t>计量分离器</w:t>
            </w:r>
          </w:p>
        </w:tc>
        <w:tc>
          <w:tcPr>
            <w:tcW w:w="736" w:type="dxa"/>
            <w:vAlign w:val="center"/>
          </w:tcPr>
          <w:p>
            <w:pPr>
              <w:pStyle w:val="39"/>
              <w:rPr>
                <w:rFonts w:ascii="Times New Roman" w:hAnsi="Times New Roman"/>
              </w:rPr>
            </w:pPr>
            <w:r>
              <w:rPr>
                <w:rFonts w:ascii="Times New Roman" w:hAnsi="Times New Roman"/>
              </w:rPr>
              <w:t>30</w:t>
            </w:r>
          </w:p>
        </w:tc>
        <w:tc>
          <w:tcPr>
            <w:tcW w:w="824" w:type="dxa"/>
            <w:vAlign w:val="center"/>
          </w:tcPr>
          <w:p>
            <w:pPr>
              <w:pStyle w:val="39"/>
              <w:rPr>
                <w:rFonts w:ascii="Times New Roman" w:hAnsi="Times New Roman"/>
              </w:rPr>
            </w:pPr>
            <w:r>
              <w:rPr>
                <w:rFonts w:ascii="Times New Roman" w:hAnsi="Times New Roman"/>
              </w:rPr>
              <w:t>29</w:t>
            </w:r>
          </w:p>
        </w:tc>
        <w:tc>
          <w:tcPr>
            <w:tcW w:w="935" w:type="dxa"/>
            <w:vAlign w:val="center"/>
          </w:tcPr>
          <w:p>
            <w:pPr>
              <w:pStyle w:val="39"/>
              <w:rPr>
                <w:rFonts w:ascii="Times New Roman" w:hAnsi="Times New Roman"/>
              </w:rPr>
            </w:pPr>
            <w:r>
              <w:rPr>
                <w:rFonts w:ascii="Times New Roman" w:hAnsi="Times New Roman"/>
              </w:rPr>
              <w:t>0</w:t>
            </w:r>
          </w:p>
        </w:tc>
        <w:tc>
          <w:tcPr>
            <w:tcW w:w="1074" w:type="dxa"/>
            <w:vAlign w:val="center"/>
          </w:tcPr>
          <w:p>
            <w:pPr>
              <w:pStyle w:val="39"/>
              <w:rPr>
                <w:rFonts w:ascii="Times New Roman" w:hAnsi="Times New Roman"/>
              </w:rPr>
            </w:pPr>
            <w:r>
              <w:rPr>
                <w:rFonts w:ascii="Times New Roman" w:hAnsi="Times New Roman"/>
              </w:rPr>
              <w:t>65</w:t>
            </w:r>
          </w:p>
        </w:tc>
        <w:tc>
          <w:tcPr>
            <w:tcW w:w="529" w:type="dxa"/>
            <w:vAlign w:val="center"/>
          </w:tcPr>
          <w:p>
            <w:pPr>
              <w:pStyle w:val="39"/>
              <w:rPr>
                <w:rFonts w:ascii="Times New Roman" w:hAnsi="Times New Roman"/>
              </w:rPr>
            </w:pPr>
            <w:r>
              <w:rPr>
                <w:rFonts w:ascii="Times New Roman" w:hAnsi="Times New Roman"/>
              </w:rPr>
              <w:t>1</w:t>
            </w:r>
          </w:p>
        </w:tc>
        <w:tc>
          <w:tcPr>
            <w:tcW w:w="698" w:type="dxa"/>
            <w:vAlign w:val="center"/>
          </w:tcPr>
          <w:p>
            <w:pPr>
              <w:pStyle w:val="39"/>
              <w:rPr>
                <w:rFonts w:ascii="Times New Roman" w:hAnsi="Times New Roman"/>
              </w:rPr>
            </w:pPr>
            <w:r>
              <w:rPr>
                <w:rFonts w:ascii="Times New Roman" w:hAnsi="Times New Roman"/>
              </w:rPr>
              <w:t>连续排放</w:t>
            </w:r>
          </w:p>
        </w:tc>
        <w:tc>
          <w:tcPr>
            <w:tcW w:w="1652" w:type="dxa"/>
            <w:vAlign w:val="center"/>
          </w:tcPr>
          <w:p>
            <w:pPr>
              <w:pStyle w:val="39"/>
              <w:rPr>
                <w:rFonts w:ascii="Times New Roman" w:hAnsi="Times New Roman"/>
              </w:rPr>
            </w:pPr>
            <w:r>
              <w:rPr>
                <w:rFonts w:ascii="Times New Roman" w:hAnsi="Times New Roman"/>
              </w:rPr>
              <w:t>低噪声设备、减振基座、合理布局，加强维护</w:t>
            </w:r>
          </w:p>
        </w:tc>
        <w:tc>
          <w:tcPr>
            <w:tcW w:w="1134" w:type="dxa"/>
            <w:vAlign w:val="center"/>
          </w:tcPr>
          <w:p>
            <w:pPr>
              <w:pStyle w:val="39"/>
              <w:rPr>
                <w:rFonts w:ascii="Times New Roman" w:hAnsi="Times New Roman"/>
              </w:rPr>
            </w:pPr>
            <w:r>
              <w:rPr>
                <w:rFonts w:ascii="Times New Roman" w:hAnsi="Times New Roman"/>
              </w:rPr>
              <w:t>连续运行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39"/>
              <w:rPr>
                <w:rFonts w:ascii="Times New Roman" w:hAnsi="Times New Roman"/>
              </w:rPr>
            </w:pPr>
          </w:p>
        </w:tc>
        <w:tc>
          <w:tcPr>
            <w:tcW w:w="730" w:type="dxa"/>
            <w:vAlign w:val="center"/>
          </w:tcPr>
          <w:p>
            <w:pPr>
              <w:pStyle w:val="39"/>
              <w:rPr>
                <w:rFonts w:ascii="Times New Roman" w:hAnsi="Times New Roman"/>
              </w:rPr>
            </w:pPr>
            <w:r>
              <w:rPr>
                <w:rFonts w:ascii="Times New Roman" w:hAnsi="Times New Roman"/>
              </w:rPr>
              <w:t>放空火炬</w:t>
            </w:r>
          </w:p>
        </w:tc>
        <w:tc>
          <w:tcPr>
            <w:tcW w:w="736" w:type="dxa"/>
            <w:vAlign w:val="center"/>
          </w:tcPr>
          <w:p>
            <w:pPr>
              <w:pStyle w:val="39"/>
              <w:rPr>
                <w:rFonts w:ascii="Times New Roman" w:hAnsi="Times New Roman"/>
              </w:rPr>
            </w:pPr>
            <w:r>
              <w:rPr>
                <w:rFonts w:ascii="Times New Roman" w:hAnsi="Times New Roman"/>
              </w:rPr>
              <w:t>175</w:t>
            </w:r>
          </w:p>
        </w:tc>
        <w:tc>
          <w:tcPr>
            <w:tcW w:w="824" w:type="dxa"/>
            <w:vAlign w:val="center"/>
          </w:tcPr>
          <w:p>
            <w:pPr>
              <w:pStyle w:val="39"/>
              <w:rPr>
                <w:rFonts w:ascii="Times New Roman" w:hAnsi="Times New Roman"/>
              </w:rPr>
            </w:pPr>
            <w:r>
              <w:rPr>
                <w:rFonts w:ascii="Times New Roman" w:hAnsi="Times New Roman"/>
              </w:rPr>
              <w:t>071</w:t>
            </w:r>
          </w:p>
        </w:tc>
        <w:tc>
          <w:tcPr>
            <w:tcW w:w="935" w:type="dxa"/>
            <w:vAlign w:val="center"/>
          </w:tcPr>
          <w:p>
            <w:pPr>
              <w:pStyle w:val="39"/>
              <w:rPr>
                <w:rFonts w:ascii="Times New Roman" w:hAnsi="Times New Roman"/>
              </w:rPr>
            </w:pPr>
            <w:r>
              <w:rPr>
                <w:rFonts w:ascii="Times New Roman" w:hAnsi="Times New Roman"/>
              </w:rPr>
              <w:t>30</w:t>
            </w:r>
          </w:p>
        </w:tc>
        <w:tc>
          <w:tcPr>
            <w:tcW w:w="1074" w:type="dxa"/>
            <w:vAlign w:val="center"/>
          </w:tcPr>
          <w:p>
            <w:pPr>
              <w:pStyle w:val="39"/>
              <w:rPr>
                <w:rFonts w:ascii="Times New Roman" w:hAnsi="Times New Roman"/>
              </w:rPr>
            </w:pPr>
            <w:r>
              <w:rPr>
                <w:rFonts w:ascii="Times New Roman" w:hAnsi="Times New Roman"/>
              </w:rPr>
              <w:t>100～110</w:t>
            </w:r>
          </w:p>
        </w:tc>
        <w:tc>
          <w:tcPr>
            <w:tcW w:w="529" w:type="dxa"/>
            <w:vAlign w:val="center"/>
          </w:tcPr>
          <w:p>
            <w:pPr>
              <w:pStyle w:val="39"/>
              <w:rPr>
                <w:rFonts w:ascii="Times New Roman" w:hAnsi="Times New Roman"/>
              </w:rPr>
            </w:pPr>
            <w:r>
              <w:rPr>
                <w:rFonts w:ascii="Times New Roman" w:hAnsi="Times New Roman"/>
              </w:rPr>
              <w:t>1</w:t>
            </w:r>
          </w:p>
        </w:tc>
        <w:tc>
          <w:tcPr>
            <w:tcW w:w="698" w:type="dxa"/>
            <w:vAlign w:val="center"/>
          </w:tcPr>
          <w:p>
            <w:pPr>
              <w:pStyle w:val="39"/>
              <w:rPr>
                <w:rFonts w:ascii="Times New Roman" w:hAnsi="Times New Roman"/>
              </w:rPr>
            </w:pPr>
            <w:r>
              <w:rPr>
                <w:rFonts w:ascii="Times New Roman" w:hAnsi="Times New Roman"/>
              </w:rPr>
              <w:t>临时排放</w:t>
            </w:r>
          </w:p>
        </w:tc>
        <w:tc>
          <w:tcPr>
            <w:tcW w:w="1652" w:type="dxa"/>
            <w:vAlign w:val="center"/>
          </w:tcPr>
          <w:p>
            <w:pPr>
              <w:pStyle w:val="39"/>
              <w:rPr>
                <w:rFonts w:ascii="Times New Roman" w:hAnsi="Times New Roman"/>
              </w:rPr>
            </w:pPr>
            <w:r>
              <w:rPr>
                <w:rFonts w:ascii="Times New Roman" w:hAnsi="Times New Roman"/>
              </w:rPr>
              <w:t>消声装置</w:t>
            </w:r>
          </w:p>
        </w:tc>
        <w:tc>
          <w:tcPr>
            <w:tcW w:w="1134" w:type="dxa"/>
            <w:vAlign w:val="center"/>
          </w:tcPr>
          <w:p>
            <w:pPr>
              <w:pStyle w:val="39"/>
              <w:rPr>
                <w:rFonts w:ascii="Times New Roman" w:hAnsi="Times New Roman"/>
              </w:rPr>
            </w:pPr>
            <w:r>
              <w:rPr>
                <w:rFonts w:ascii="Times New Roman" w:hAnsi="Times New Roman"/>
              </w:rPr>
              <w:t>应急或事故时运行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restart"/>
            <w:vAlign w:val="center"/>
          </w:tcPr>
          <w:p>
            <w:pPr>
              <w:pStyle w:val="39"/>
              <w:rPr>
                <w:rFonts w:ascii="Times New Roman" w:hAnsi="Times New Roman"/>
              </w:rPr>
            </w:pPr>
            <w:r>
              <w:rPr>
                <w:rFonts w:ascii="Times New Roman" w:hAnsi="Times New Roman"/>
              </w:rPr>
              <w:t>宣兴1井站</w:t>
            </w:r>
          </w:p>
        </w:tc>
        <w:tc>
          <w:tcPr>
            <w:tcW w:w="730" w:type="dxa"/>
            <w:vAlign w:val="center"/>
          </w:tcPr>
          <w:p>
            <w:pPr>
              <w:pStyle w:val="39"/>
              <w:rPr>
                <w:rFonts w:ascii="Times New Roman" w:hAnsi="Times New Roman"/>
              </w:rPr>
            </w:pPr>
            <w:r>
              <w:rPr>
                <w:rFonts w:ascii="Times New Roman" w:hAnsi="Times New Roman"/>
              </w:rPr>
              <w:t>节流阀</w:t>
            </w:r>
          </w:p>
        </w:tc>
        <w:tc>
          <w:tcPr>
            <w:tcW w:w="736" w:type="dxa"/>
            <w:vAlign w:val="center"/>
          </w:tcPr>
          <w:p>
            <w:pPr>
              <w:pStyle w:val="39"/>
              <w:rPr>
                <w:rFonts w:ascii="Times New Roman" w:hAnsi="Times New Roman"/>
              </w:rPr>
            </w:pPr>
            <w:r>
              <w:rPr>
                <w:rFonts w:ascii="Times New Roman" w:hAnsi="Times New Roman"/>
              </w:rPr>
              <w:t>60</w:t>
            </w:r>
          </w:p>
        </w:tc>
        <w:tc>
          <w:tcPr>
            <w:tcW w:w="824" w:type="dxa"/>
            <w:vAlign w:val="center"/>
          </w:tcPr>
          <w:p>
            <w:pPr>
              <w:pStyle w:val="39"/>
              <w:rPr>
                <w:rFonts w:ascii="Times New Roman" w:hAnsi="Times New Roman"/>
              </w:rPr>
            </w:pPr>
            <w:r>
              <w:rPr>
                <w:rFonts w:ascii="Times New Roman" w:hAnsi="Times New Roman"/>
              </w:rPr>
              <w:t>29</w:t>
            </w:r>
          </w:p>
        </w:tc>
        <w:tc>
          <w:tcPr>
            <w:tcW w:w="935" w:type="dxa"/>
            <w:vAlign w:val="center"/>
          </w:tcPr>
          <w:p>
            <w:pPr>
              <w:pStyle w:val="39"/>
              <w:rPr>
                <w:rFonts w:ascii="Times New Roman" w:hAnsi="Times New Roman"/>
              </w:rPr>
            </w:pPr>
            <w:r>
              <w:rPr>
                <w:rFonts w:ascii="Times New Roman" w:hAnsi="Times New Roman"/>
              </w:rPr>
              <w:t>0</w:t>
            </w:r>
          </w:p>
        </w:tc>
        <w:tc>
          <w:tcPr>
            <w:tcW w:w="1074" w:type="dxa"/>
            <w:vAlign w:val="center"/>
          </w:tcPr>
          <w:p>
            <w:pPr>
              <w:pStyle w:val="39"/>
              <w:rPr>
                <w:rFonts w:ascii="Times New Roman" w:hAnsi="Times New Roman"/>
              </w:rPr>
            </w:pPr>
            <w:r>
              <w:rPr>
                <w:rFonts w:ascii="Times New Roman" w:hAnsi="Times New Roman"/>
              </w:rPr>
              <w:t>62</w:t>
            </w:r>
          </w:p>
        </w:tc>
        <w:tc>
          <w:tcPr>
            <w:tcW w:w="529" w:type="dxa"/>
            <w:vAlign w:val="center"/>
          </w:tcPr>
          <w:p>
            <w:pPr>
              <w:pStyle w:val="39"/>
              <w:rPr>
                <w:rFonts w:ascii="Times New Roman" w:hAnsi="Times New Roman"/>
              </w:rPr>
            </w:pPr>
            <w:r>
              <w:rPr>
                <w:rFonts w:ascii="Times New Roman" w:hAnsi="Times New Roman"/>
              </w:rPr>
              <w:t>2</w:t>
            </w:r>
          </w:p>
        </w:tc>
        <w:tc>
          <w:tcPr>
            <w:tcW w:w="698" w:type="dxa"/>
            <w:vAlign w:val="center"/>
          </w:tcPr>
          <w:p>
            <w:pPr>
              <w:pStyle w:val="39"/>
              <w:rPr>
                <w:rFonts w:ascii="Times New Roman" w:hAnsi="Times New Roman"/>
              </w:rPr>
            </w:pPr>
            <w:r>
              <w:rPr>
                <w:rFonts w:ascii="Times New Roman" w:hAnsi="Times New Roman"/>
              </w:rPr>
              <w:t>连续排放</w:t>
            </w:r>
          </w:p>
        </w:tc>
        <w:tc>
          <w:tcPr>
            <w:tcW w:w="1652" w:type="dxa"/>
            <w:vAlign w:val="center"/>
          </w:tcPr>
          <w:p>
            <w:pPr>
              <w:pStyle w:val="39"/>
              <w:rPr>
                <w:rFonts w:ascii="Times New Roman" w:hAnsi="Times New Roman"/>
              </w:rPr>
            </w:pPr>
            <w:r>
              <w:rPr>
                <w:rFonts w:ascii="Times New Roman" w:hAnsi="Times New Roman"/>
              </w:rPr>
              <w:t>低噪声设备，合理布局</w:t>
            </w:r>
          </w:p>
        </w:tc>
        <w:tc>
          <w:tcPr>
            <w:tcW w:w="1134" w:type="dxa"/>
            <w:vAlign w:val="center"/>
          </w:tcPr>
          <w:p>
            <w:pPr>
              <w:pStyle w:val="39"/>
              <w:rPr>
                <w:rFonts w:ascii="Times New Roman" w:hAnsi="Times New Roman"/>
              </w:rPr>
            </w:pPr>
            <w:r>
              <w:rPr>
                <w:rFonts w:ascii="Times New Roman" w:hAnsi="Times New Roman"/>
              </w:rPr>
              <w:t>连续运行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39"/>
              <w:rPr>
                <w:rFonts w:ascii="Times New Roman" w:hAnsi="Times New Roman"/>
              </w:rPr>
            </w:pPr>
          </w:p>
        </w:tc>
        <w:tc>
          <w:tcPr>
            <w:tcW w:w="730" w:type="dxa"/>
            <w:vAlign w:val="center"/>
          </w:tcPr>
          <w:p>
            <w:pPr>
              <w:pStyle w:val="39"/>
              <w:rPr>
                <w:rFonts w:ascii="Times New Roman" w:hAnsi="Times New Roman"/>
              </w:rPr>
            </w:pPr>
            <w:r>
              <w:rPr>
                <w:rFonts w:ascii="Times New Roman" w:hAnsi="Times New Roman"/>
              </w:rPr>
              <w:t>计量分离器</w:t>
            </w:r>
          </w:p>
        </w:tc>
        <w:tc>
          <w:tcPr>
            <w:tcW w:w="736" w:type="dxa"/>
            <w:vAlign w:val="center"/>
          </w:tcPr>
          <w:p>
            <w:pPr>
              <w:pStyle w:val="39"/>
              <w:rPr>
                <w:rFonts w:ascii="Times New Roman" w:hAnsi="Times New Roman"/>
              </w:rPr>
            </w:pPr>
            <w:r>
              <w:rPr>
                <w:rFonts w:ascii="Times New Roman" w:hAnsi="Times New Roman"/>
              </w:rPr>
              <w:t>30</w:t>
            </w:r>
          </w:p>
        </w:tc>
        <w:tc>
          <w:tcPr>
            <w:tcW w:w="824" w:type="dxa"/>
            <w:vAlign w:val="center"/>
          </w:tcPr>
          <w:p>
            <w:pPr>
              <w:pStyle w:val="39"/>
              <w:rPr>
                <w:rFonts w:ascii="Times New Roman" w:hAnsi="Times New Roman"/>
              </w:rPr>
            </w:pPr>
            <w:r>
              <w:rPr>
                <w:rFonts w:ascii="Times New Roman" w:hAnsi="Times New Roman"/>
              </w:rPr>
              <w:t>29</w:t>
            </w:r>
          </w:p>
        </w:tc>
        <w:tc>
          <w:tcPr>
            <w:tcW w:w="935" w:type="dxa"/>
            <w:vAlign w:val="center"/>
          </w:tcPr>
          <w:p>
            <w:pPr>
              <w:pStyle w:val="39"/>
              <w:rPr>
                <w:rFonts w:ascii="Times New Roman" w:hAnsi="Times New Roman"/>
              </w:rPr>
            </w:pPr>
            <w:r>
              <w:rPr>
                <w:rFonts w:ascii="Times New Roman" w:hAnsi="Times New Roman"/>
              </w:rPr>
              <w:t>0</w:t>
            </w:r>
          </w:p>
        </w:tc>
        <w:tc>
          <w:tcPr>
            <w:tcW w:w="1074" w:type="dxa"/>
            <w:vAlign w:val="center"/>
          </w:tcPr>
          <w:p>
            <w:pPr>
              <w:pStyle w:val="39"/>
              <w:rPr>
                <w:rFonts w:ascii="Times New Roman" w:hAnsi="Times New Roman"/>
              </w:rPr>
            </w:pPr>
            <w:r>
              <w:rPr>
                <w:rFonts w:ascii="Times New Roman" w:hAnsi="Times New Roman"/>
              </w:rPr>
              <w:t>65</w:t>
            </w:r>
          </w:p>
        </w:tc>
        <w:tc>
          <w:tcPr>
            <w:tcW w:w="529" w:type="dxa"/>
            <w:vAlign w:val="center"/>
          </w:tcPr>
          <w:p>
            <w:pPr>
              <w:pStyle w:val="39"/>
              <w:rPr>
                <w:rFonts w:ascii="Times New Roman" w:hAnsi="Times New Roman"/>
              </w:rPr>
            </w:pPr>
            <w:r>
              <w:rPr>
                <w:rFonts w:ascii="Times New Roman" w:hAnsi="Times New Roman"/>
              </w:rPr>
              <w:t>1</w:t>
            </w:r>
          </w:p>
        </w:tc>
        <w:tc>
          <w:tcPr>
            <w:tcW w:w="698" w:type="dxa"/>
            <w:vAlign w:val="center"/>
          </w:tcPr>
          <w:p>
            <w:pPr>
              <w:pStyle w:val="39"/>
              <w:rPr>
                <w:rFonts w:ascii="Times New Roman" w:hAnsi="Times New Roman"/>
              </w:rPr>
            </w:pPr>
            <w:r>
              <w:rPr>
                <w:rFonts w:ascii="Times New Roman" w:hAnsi="Times New Roman"/>
              </w:rPr>
              <w:t>连续排放</w:t>
            </w:r>
          </w:p>
        </w:tc>
        <w:tc>
          <w:tcPr>
            <w:tcW w:w="1652" w:type="dxa"/>
            <w:vAlign w:val="center"/>
          </w:tcPr>
          <w:p>
            <w:pPr>
              <w:pStyle w:val="39"/>
              <w:rPr>
                <w:rFonts w:ascii="Times New Roman" w:hAnsi="Times New Roman"/>
              </w:rPr>
            </w:pPr>
            <w:r>
              <w:rPr>
                <w:rFonts w:ascii="Times New Roman" w:hAnsi="Times New Roman"/>
              </w:rPr>
              <w:t>低噪声设备、减振基座、合理布局，加强维护</w:t>
            </w:r>
          </w:p>
        </w:tc>
        <w:tc>
          <w:tcPr>
            <w:tcW w:w="1134" w:type="dxa"/>
            <w:vAlign w:val="center"/>
          </w:tcPr>
          <w:p>
            <w:pPr>
              <w:pStyle w:val="39"/>
              <w:rPr>
                <w:rFonts w:ascii="Times New Roman" w:hAnsi="Times New Roman"/>
              </w:rPr>
            </w:pPr>
            <w:r>
              <w:rPr>
                <w:rFonts w:ascii="Times New Roman" w:hAnsi="Times New Roman"/>
              </w:rPr>
              <w:t>连续运行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39"/>
              <w:rPr>
                <w:rFonts w:ascii="Times New Roman" w:hAnsi="Times New Roman"/>
              </w:rPr>
            </w:pPr>
          </w:p>
        </w:tc>
        <w:tc>
          <w:tcPr>
            <w:tcW w:w="730" w:type="dxa"/>
            <w:vAlign w:val="center"/>
          </w:tcPr>
          <w:p>
            <w:pPr>
              <w:pStyle w:val="39"/>
              <w:rPr>
                <w:rFonts w:ascii="Times New Roman" w:hAnsi="Times New Roman"/>
              </w:rPr>
            </w:pPr>
            <w:r>
              <w:rPr>
                <w:rFonts w:ascii="Times New Roman" w:hAnsi="Times New Roman"/>
              </w:rPr>
              <w:t>放空火炬</w:t>
            </w:r>
          </w:p>
        </w:tc>
        <w:tc>
          <w:tcPr>
            <w:tcW w:w="736" w:type="dxa"/>
            <w:vAlign w:val="center"/>
          </w:tcPr>
          <w:p>
            <w:pPr>
              <w:pStyle w:val="39"/>
              <w:rPr>
                <w:rFonts w:ascii="Times New Roman" w:hAnsi="Times New Roman"/>
              </w:rPr>
            </w:pPr>
            <w:r>
              <w:rPr>
                <w:rFonts w:ascii="Times New Roman" w:hAnsi="Times New Roman"/>
              </w:rPr>
              <w:t>95</w:t>
            </w:r>
          </w:p>
        </w:tc>
        <w:tc>
          <w:tcPr>
            <w:tcW w:w="824" w:type="dxa"/>
            <w:vAlign w:val="center"/>
          </w:tcPr>
          <w:p>
            <w:pPr>
              <w:pStyle w:val="39"/>
              <w:rPr>
                <w:rFonts w:ascii="Times New Roman" w:hAnsi="Times New Roman"/>
              </w:rPr>
            </w:pPr>
            <w:r>
              <w:rPr>
                <w:rFonts w:ascii="Times New Roman" w:hAnsi="Times New Roman"/>
              </w:rPr>
              <w:t>-95</w:t>
            </w:r>
          </w:p>
        </w:tc>
        <w:tc>
          <w:tcPr>
            <w:tcW w:w="935" w:type="dxa"/>
            <w:vAlign w:val="center"/>
          </w:tcPr>
          <w:p>
            <w:pPr>
              <w:pStyle w:val="39"/>
              <w:rPr>
                <w:rFonts w:ascii="Times New Roman" w:hAnsi="Times New Roman"/>
              </w:rPr>
            </w:pPr>
            <w:r>
              <w:rPr>
                <w:rFonts w:ascii="Times New Roman" w:hAnsi="Times New Roman"/>
              </w:rPr>
              <w:t>30</w:t>
            </w:r>
          </w:p>
        </w:tc>
        <w:tc>
          <w:tcPr>
            <w:tcW w:w="1074" w:type="dxa"/>
            <w:vAlign w:val="center"/>
          </w:tcPr>
          <w:p>
            <w:pPr>
              <w:pStyle w:val="39"/>
              <w:rPr>
                <w:rFonts w:ascii="Times New Roman" w:hAnsi="Times New Roman"/>
              </w:rPr>
            </w:pPr>
            <w:r>
              <w:rPr>
                <w:rFonts w:ascii="Times New Roman" w:hAnsi="Times New Roman"/>
              </w:rPr>
              <w:t>100～110</w:t>
            </w:r>
          </w:p>
        </w:tc>
        <w:tc>
          <w:tcPr>
            <w:tcW w:w="529" w:type="dxa"/>
            <w:vAlign w:val="center"/>
          </w:tcPr>
          <w:p>
            <w:pPr>
              <w:pStyle w:val="39"/>
              <w:rPr>
                <w:rFonts w:ascii="Times New Roman" w:hAnsi="Times New Roman"/>
              </w:rPr>
            </w:pPr>
            <w:r>
              <w:rPr>
                <w:rFonts w:ascii="Times New Roman" w:hAnsi="Times New Roman"/>
              </w:rPr>
              <w:t>1</w:t>
            </w:r>
          </w:p>
        </w:tc>
        <w:tc>
          <w:tcPr>
            <w:tcW w:w="698" w:type="dxa"/>
            <w:vAlign w:val="center"/>
          </w:tcPr>
          <w:p>
            <w:pPr>
              <w:pStyle w:val="39"/>
              <w:rPr>
                <w:rFonts w:ascii="Times New Roman" w:hAnsi="Times New Roman"/>
              </w:rPr>
            </w:pPr>
            <w:r>
              <w:rPr>
                <w:rFonts w:ascii="Times New Roman" w:hAnsi="Times New Roman"/>
              </w:rPr>
              <w:t>临时排放</w:t>
            </w:r>
          </w:p>
        </w:tc>
        <w:tc>
          <w:tcPr>
            <w:tcW w:w="1652" w:type="dxa"/>
            <w:vAlign w:val="center"/>
          </w:tcPr>
          <w:p>
            <w:pPr>
              <w:pStyle w:val="39"/>
              <w:rPr>
                <w:rFonts w:ascii="Times New Roman" w:hAnsi="Times New Roman"/>
              </w:rPr>
            </w:pPr>
            <w:r>
              <w:rPr>
                <w:rFonts w:ascii="Times New Roman" w:hAnsi="Times New Roman"/>
              </w:rPr>
              <w:t>消声装置</w:t>
            </w:r>
          </w:p>
        </w:tc>
        <w:tc>
          <w:tcPr>
            <w:tcW w:w="1134" w:type="dxa"/>
            <w:vAlign w:val="center"/>
          </w:tcPr>
          <w:p>
            <w:pPr>
              <w:pStyle w:val="39"/>
              <w:rPr>
                <w:rFonts w:ascii="Times New Roman" w:hAnsi="Times New Roman"/>
              </w:rPr>
            </w:pPr>
            <w:r>
              <w:rPr>
                <w:rFonts w:ascii="Times New Roman" w:hAnsi="Times New Roman"/>
              </w:rPr>
              <w:t>应急或事故时运行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Align w:val="center"/>
          </w:tcPr>
          <w:p>
            <w:pPr>
              <w:pStyle w:val="39"/>
              <w:rPr>
                <w:rFonts w:ascii="Times New Roman" w:hAnsi="Times New Roman"/>
              </w:rPr>
            </w:pPr>
            <w:r>
              <w:rPr>
                <w:rFonts w:ascii="Times New Roman" w:hAnsi="Times New Roman"/>
              </w:rPr>
              <w:t>宣探清管站</w:t>
            </w:r>
          </w:p>
        </w:tc>
        <w:tc>
          <w:tcPr>
            <w:tcW w:w="730" w:type="dxa"/>
            <w:vAlign w:val="center"/>
          </w:tcPr>
          <w:p>
            <w:pPr>
              <w:pStyle w:val="39"/>
              <w:rPr>
                <w:rFonts w:ascii="Times New Roman" w:hAnsi="Times New Roman"/>
              </w:rPr>
            </w:pPr>
            <w:r>
              <w:rPr>
                <w:rFonts w:ascii="Times New Roman" w:hAnsi="Times New Roman"/>
              </w:rPr>
              <w:t>放空火炬</w:t>
            </w:r>
          </w:p>
        </w:tc>
        <w:tc>
          <w:tcPr>
            <w:tcW w:w="736" w:type="dxa"/>
            <w:vAlign w:val="center"/>
          </w:tcPr>
          <w:p>
            <w:pPr>
              <w:pStyle w:val="39"/>
              <w:rPr>
                <w:rFonts w:ascii="Times New Roman" w:hAnsi="Times New Roman"/>
              </w:rPr>
            </w:pPr>
            <w:r>
              <w:rPr>
                <w:rFonts w:ascii="Times New Roman" w:hAnsi="Times New Roman"/>
              </w:rPr>
              <w:t>-57</w:t>
            </w:r>
          </w:p>
        </w:tc>
        <w:tc>
          <w:tcPr>
            <w:tcW w:w="824" w:type="dxa"/>
            <w:vAlign w:val="center"/>
          </w:tcPr>
          <w:p>
            <w:pPr>
              <w:pStyle w:val="39"/>
              <w:rPr>
                <w:rFonts w:ascii="Times New Roman" w:hAnsi="Times New Roman"/>
              </w:rPr>
            </w:pPr>
            <w:r>
              <w:rPr>
                <w:rFonts w:ascii="Times New Roman" w:hAnsi="Times New Roman"/>
              </w:rPr>
              <w:t>55</w:t>
            </w:r>
          </w:p>
        </w:tc>
        <w:tc>
          <w:tcPr>
            <w:tcW w:w="935" w:type="dxa"/>
            <w:vAlign w:val="center"/>
          </w:tcPr>
          <w:p>
            <w:pPr>
              <w:pStyle w:val="39"/>
              <w:rPr>
                <w:rFonts w:ascii="Times New Roman" w:hAnsi="Times New Roman"/>
              </w:rPr>
            </w:pPr>
            <w:r>
              <w:rPr>
                <w:rFonts w:ascii="Times New Roman" w:hAnsi="Times New Roman"/>
              </w:rPr>
              <w:t>22</w:t>
            </w:r>
          </w:p>
        </w:tc>
        <w:tc>
          <w:tcPr>
            <w:tcW w:w="1074" w:type="dxa"/>
            <w:vAlign w:val="center"/>
          </w:tcPr>
          <w:p>
            <w:pPr>
              <w:pStyle w:val="39"/>
              <w:rPr>
                <w:rFonts w:ascii="Times New Roman" w:hAnsi="Times New Roman"/>
              </w:rPr>
            </w:pPr>
            <w:r>
              <w:rPr>
                <w:rFonts w:ascii="Times New Roman" w:hAnsi="Times New Roman"/>
              </w:rPr>
              <w:t>100～110</w:t>
            </w:r>
          </w:p>
        </w:tc>
        <w:tc>
          <w:tcPr>
            <w:tcW w:w="529" w:type="dxa"/>
            <w:vAlign w:val="center"/>
          </w:tcPr>
          <w:p>
            <w:pPr>
              <w:pStyle w:val="39"/>
              <w:rPr>
                <w:rFonts w:ascii="Times New Roman" w:hAnsi="Times New Roman"/>
              </w:rPr>
            </w:pPr>
            <w:r>
              <w:rPr>
                <w:rFonts w:ascii="Times New Roman" w:hAnsi="Times New Roman"/>
              </w:rPr>
              <w:t>1</w:t>
            </w:r>
          </w:p>
        </w:tc>
        <w:tc>
          <w:tcPr>
            <w:tcW w:w="698" w:type="dxa"/>
            <w:vAlign w:val="center"/>
          </w:tcPr>
          <w:p>
            <w:pPr>
              <w:pStyle w:val="39"/>
              <w:rPr>
                <w:rFonts w:ascii="Times New Roman" w:hAnsi="Times New Roman"/>
              </w:rPr>
            </w:pPr>
            <w:r>
              <w:rPr>
                <w:rFonts w:ascii="Times New Roman" w:hAnsi="Times New Roman"/>
              </w:rPr>
              <w:t>临时排放</w:t>
            </w:r>
          </w:p>
        </w:tc>
        <w:tc>
          <w:tcPr>
            <w:tcW w:w="1652" w:type="dxa"/>
            <w:vAlign w:val="center"/>
          </w:tcPr>
          <w:p>
            <w:pPr>
              <w:pStyle w:val="39"/>
              <w:rPr>
                <w:rFonts w:ascii="Times New Roman" w:hAnsi="Times New Roman"/>
              </w:rPr>
            </w:pPr>
            <w:r>
              <w:rPr>
                <w:rFonts w:ascii="Times New Roman" w:hAnsi="Times New Roman"/>
              </w:rPr>
              <w:t>消声装置</w:t>
            </w:r>
          </w:p>
        </w:tc>
        <w:tc>
          <w:tcPr>
            <w:tcW w:w="1134" w:type="dxa"/>
            <w:vAlign w:val="center"/>
          </w:tcPr>
          <w:p>
            <w:pPr>
              <w:pStyle w:val="39"/>
              <w:rPr>
                <w:rFonts w:ascii="Times New Roman" w:hAnsi="Times New Roman"/>
              </w:rPr>
            </w:pPr>
            <w:r>
              <w:rPr>
                <w:rFonts w:ascii="Times New Roman" w:hAnsi="Times New Roman"/>
              </w:rPr>
              <w:t>应急或事故时运行</w:t>
            </w:r>
          </w:p>
        </w:tc>
      </w:tr>
    </w:tbl>
    <w:p>
      <w:pPr>
        <w:pStyle w:val="41"/>
        <w:spacing w:before="156" w:after="156"/>
        <w:rPr>
          <w:rFonts w:ascii="Times New Roman" w:hAnsi="Times New Roman" w:cs="Times New Roman"/>
        </w:rPr>
      </w:pPr>
      <w:r>
        <w:rPr>
          <w:rFonts w:ascii="Times New Roman" w:hAnsi="Times New Roman" w:cs="Times New Roman"/>
        </w:rPr>
        <w:t>注：以井站、阀室或清管站相应的西南角为0点，以南厂界为横坐标。</w:t>
      </w:r>
    </w:p>
    <w:p>
      <w:pPr>
        <w:pStyle w:val="4"/>
        <w:rPr>
          <w:rFonts w:ascii="Times New Roman" w:hAnsi="Times New Roman" w:cs="Times New Roman"/>
        </w:rPr>
      </w:pPr>
      <w:r>
        <w:rPr>
          <w:rFonts w:ascii="Times New Roman" w:hAnsi="Times New Roman" w:cs="Times New Roman"/>
        </w:rPr>
        <w:t>固体废物</w:t>
      </w:r>
    </w:p>
    <w:p>
      <w:pPr>
        <w:ind w:firstLine="480"/>
        <w:rPr>
          <w:rFonts w:ascii="Times New Roman" w:hAnsi="Times New Roman"/>
        </w:rPr>
      </w:pPr>
      <w:r>
        <w:rPr>
          <w:rFonts w:ascii="Times New Roman" w:hAnsi="Times New Roman"/>
        </w:rPr>
        <w:t>本项目产生的固体废物包括危险废物、清管废渣和生活垃圾，其中危险废物包括化工品空桶、含油废抹布等，均委托有危废处置资质的单位拉运处置。生活垃圾集中收集后委托环卫部门处置。</w:t>
      </w:r>
    </w:p>
    <w:p>
      <w:pPr>
        <w:ind w:firstLine="480"/>
        <w:rPr>
          <w:rFonts w:ascii="Times New Roman" w:hAnsi="Times New Roman"/>
        </w:rPr>
        <w:sectPr>
          <w:pgSz w:w="11906" w:h="16838"/>
          <w:pgMar w:top="1440" w:right="1800" w:bottom="1440" w:left="1800" w:header="851" w:footer="992" w:gutter="0"/>
          <w:cols w:space="425" w:num="1"/>
          <w:docGrid w:type="lines" w:linePitch="312" w:charSpace="0"/>
        </w:sectPr>
      </w:pPr>
      <w:r>
        <w:rPr>
          <w:rFonts w:ascii="Times New Roman" w:hAnsi="Times New Roman"/>
        </w:rPr>
        <w:t>本项目固体废物源强产排情况见</w:t>
      </w:r>
      <w:r>
        <w:rPr>
          <w:rFonts w:ascii="Times New Roman" w:hAnsi="Times New Roman"/>
        </w:rPr>
        <w:fldChar w:fldCharType="begin"/>
      </w:r>
      <w:r>
        <w:rPr>
          <w:rFonts w:ascii="Times New Roman" w:hAnsi="Times New Roman"/>
        </w:rPr>
        <w:instrText xml:space="preserve"> REF _Ref154481571 \h  \* MERGEFORMAT </w:instrText>
      </w:r>
      <w:r>
        <w:rPr>
          <w:rFonts w:ascii="Times New Roman" w:hAnsi="Times New Roman"/>
        </w:rPr>
        <w:fldChar w:fldCharType="separate"/>
      </w:r>
      <w:r>
        <w:rPr>
          <w:rFonts w:ascii="Times New Roman" w:hAnsi="Times New Roman"/>
        </w:rPr>
        <w:t>表 3</w:t>
      </w:r>
      <w:r>
        <w:rPr>
          <w:rFonts w:ascii="Times New Roman" w:hAnsi="Times New Roman"/>
        </w:rPr>
        <w:noBreakHyphen/>
      </w:r>
      <w:r>
        <w:rPr>
          <w:rFonts w:ascii="Times New Roman" w:hAnsi="Times New Roman"/>
        </w:rPr>
        <w:t>18</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18" w:name="_Ref15448157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18</w:t>
      </w:r>
      <w:r>
        <w:rPr>
          <w:rFonts w:ascii="Times New Roman" w:hAnsi="Times New Roman" w:cs="Times New Roman"/>
        </w:rPr>
        <w:fldChar w:fldCharType="end"/>
      </w:r>
      <w:bookmarkEnd w:id="118"/>
      <w:r>
        <w:rPr>
          <w:rFonts w:ascii="Times New Roman" w:hAnsi="Times New Roman" w:cs="Times New Roman"/>
        </w:rPr>
        <w:t xml:space="preserve">  本项目固体废物源强汇总表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9"/>
        <w:gridCol w:w="1549"/>
        <w:gridCol w:w="1292"/>
        <w:gridCol w:w="1559"/>
        <w:gridCol w:w="1417"/>
        <w:gridCol w:w="975"/>
        <w:gridCol w:w="2510"/>
        <w:gridCol w:w="1338"/>
        <w:gridCol w:w="17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9" w:type="dxa"/>
            <w:vMerge w:val="restart"/>
            <w:vAlign w:val="center"/>
          </w:tcPr>
          <w:p>
            <w:pPr>
              <w:pStyle w:val="39"/>
              <w:rPr>
                <w:rFonts w:ascii="Times New Roman" w:hAnsi="Times New Roman"/>
              </w:rPr>
            </w:pPr>
            <w:r>
              <w:rPr>
                <w:rFonts w:ascii="Times New Roman" w:hAnsi="Times New Roman"/>
              </w:rPr>
              <w:t>站场</w:t>
            </w:r>
          </w:p>
        </w:tc>
        <w:tc>
          <w:tcPr>
            <w:tcW w:w="1549" w:type="dxa"/>
            <w:vMerge w:val="restart"/>
            <w:vAlign w:val="center"/>
          </w:tcPr>
          <w:p>
            <w:pPr>
              <w:pStyle w:val="39"/>
              <w:rPr>
                <w:rFonts w:ascii="Times New Roman" w:hAnsi="Times New Roman"/>
              </w:rPr>
            </w:pPr>
            <w:r>
              <w:rPr>
                <w:rFonts w:ascii="Times New Roman" w:hAnsi="Times New Roman"/>
              </w:rPr>
              <w:t>固体废物名称</w:t>
            </w:r>
          </w:p>
        </w:tc>
        <w:tc>
          <w:tcPr>
            <w:tcW w:w="1292" w:type="dxa"/>
            <w:vMerge w:val="restart"/>
            <w:vAlign w:val="center"/>
          </w:tcPr>
          <w:p>
            <w:pPr>
              <w:pStyle w:val="39"/>
              <w:rPr>
                <w:rFonts w:ascii="Times New Roman" w:hAnsi="Times New Roman"/>
              </w:rPr>
            </w:pPr>
            <w:r>
              <w:rPr>
                <w:rFonts w:ascii="Times New Roman" w:hAnsi="Times New Roman"/>
              </w:rPr>
              <w:t>废物类别</w:t>
            </w:r>
          </w:p>
        </w:tc>
        <w:tc>
          <w:tcPr>
            <w:tcW w:w="1559" w:type="dxa"/>
            <w:vMerge w:val="restart"/>
            <w:vAlign w:val="center"/>
          </w:tcPr>
          <w:p>
            <w:pPr>
              <w:pStyle w:val="39"/>
              <w:rPr>
                <w:rFonts w:ascii="Times New Roman" w:hAnsi="Times New Roman"/>
              </w:rPr>
            </w:pPr>
            <w:r>
              <w:rPr>
                <w:rFonts w:ascii="Times New Roman" w:hAnsi="Times New Roman"/>
              </w:rPr>
              <w:t>废物代码</w:t>
            </w:r>
          </w:p>
        </w:tc>
        <w:tc>
          <w:tcPr>
            <w:tcW w:w="2392" w:type="dxa"/>
            <w:gridSpan w:val="2"/>
            <w:vAlign w:val="center"/>
          </w:tcPr>
          <w:p>
            <w:pPr>
              <w:pStyle w:val="39"/>
              <w:rPr>
                <w:rFonts w:ascii="Times New Roman" w:hAnsi="Times New Roman"/>
              </w:rPr>
            </w:pPr>
            <w:r>
              <w:rPr>
                <w:rFonts w:ascii="Times New Roman" w:hAnsi="Times New Roman"/>
              </w:rPr>
              <w:t>产生情况</w:t>
            </w:r>
          </w:p>
        </w:tc>
        <w:tc>
          <w:tcPr>
            <w:tcW w:w="2510" w:type="dxa"/>
            <w:vMerge w:val="restart"/>
            <w:vAlign w:val="center"/>
          </w:tcPr>
          <w:p>
            <w:pPr>
              <w:pStyle w:val="39"/>
              <w:rPr>
                <w:rFonts w:ascii="Times New Roman" w:hAnsi="Times New Roman"/>
              </w:rPr>
            </w:pPr>
            <w:r>
              <w:rPr>
                <w:rFonts w:ascii="Times New Roman" w:hAnsi="Times New Roman"/>
              </w:rPr>
              <w:t>主要成分</w:t>
            </w:r>
          </w:p>
        </w:tc>
        <w:tc>
          <w:tcPr>
            <w:tcW w:w="1338" w:type="dxa"/>
            <w:vMerge w:val="restart"/>
            <w:vAlign w:val="center"/>
          </w:tcPr>
          <w:p>
            <w:pPr>
              <w:pStyle w:val="39"/>
              <w:rPr>
                <w:rFonts w:ascii="Times New Roman" w:hAnsi="Times New Roman"/>
              </w:rPr>
            </w:pPr>
            <w:r>
              <w:rPr>
                <w:rFonts w:ascii="Times New Roman" w:hAnsi="Times New Roman"/>
              </w:rPr>
              <w:t>排放规律</w:t>
            </w:r>
          </w:p>
        </w:tc>
        <w:tc>
          <w:tcPr>
            <w:tcW w:w="1762" w:type="dxa"/>
            <w:vMerge w:val="restart"/>
            <w:vAlign w:val="center"/>
          </w:tcPr>
          <w:p>
            <w:pPr>
              <w:pStyle w:val="39"/>
              <w:rPr>
                <w:rFonts w:ascii="Times New Roman" w:hAnsi="Times New Roman"/>
              </w:rPr>
            </w:pPr>
            <w:r>
              <w:rPr>
                <w:rFonts w:ascii="Times New Roman" w:hAnsi="Times New Roman"/>
              </w:rPr>
              <w:t>治理措施及去向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9" w:type="dxa"/>
            <w:vMerge w:val="continue"/>
            <w:vAlign w:val="center"/>
          </w:tcPr>
          <w:p>
            <w:pPr>
              <w:pStyle w:val="39"/>
              <w:rPr>
                <w:rFonts w:ascii="Times New Roman" w:hAnsi="Times New Roman"/>
              </w:rPr>
            </w:pPr>
          </w:p>
        </w:tc>
        <w:tc>
          <w:tcPr>
            <w:tcW w:w="1549" w:type="dxa"/>
            <w:vMerge w:val="continue"/>
            <w:vAlign w:val="center"/>
          </w:tcPr>
          <w:p>
            <w:pPr>
              <w:pStyle w:val="39"/>
              <w:rPr>
                <w:rFonts w:ascii="Times New Roman" w:hAnsi="Times New Roman"/>
              </w:rPr>
            </w:pPr>
          </w:p>
        </w:tc>
        <w:tc>
          <w:tcPr>
            <w:tcW w:w="1292" w:type="dxa"/>
            <w:vMerge w:val="continue"/>
            <w:vAlign w:val="center"/>
          </w:tcPr>
          <w:p>
            <w:pPr>
              <w:pStyle w:val="39"/>
              <w:rPr>
                <w:rFonts w:ascii="Times New Roman" w:hAnsi="Times New Roman"/>
              </w:rPr>
            </w:pPr>
          </w:p>
        </w:tc>
        <w:tc>
          <w:tcPr>
            <w:tcW w:w="1559" w:type="dxa"/>
            <w:vMerge w:val="continue"/>
            <w:vAlign w:val="center"/>
          </w:tcPr>
          <w:p>
            <w:pPr>
              <w:pStyle w:val="39"/>
              <w:rPr>
                <w:rFonts w:ascii="Times New Roman" w:hAnsi="Times New Roman"/>
              </w:rPr>
            </w:pPr>
          </w:p>
        </w:tc>
        <w:tc>
          <w:tcPr>
            <w:tcW w:w="1417" w:type="dxa"/>
            <w:vAlign w:val="center"/>
          </w:tcPr>
          <w:p>
            <w:pPr>
              <w:pStyle w:val="39"/>
              <w:rPr>
                <w:rFonts w:ascii="Times New Roman" w:hAnsi="Times New Roman"/>
              </w:rPr>
            </w:pPr>
            <w:r>
              <w:rPr>
                <w:rFonts w:ascii="Times New Roman" w:hAnsi="Times New Roman"/>
              </w:rPr>
              <w:t>核算方法</w:t>
            </w:r>
          </w:p>
        </w:tc>
        <w:tc>
          <w:tcPr>
            <w:tcW w:w="975" w:type="dxa"/>
            <w:vAlign w:val="center"/>
          </w:tcPr>
          <w:p>
            <w:pPr>
              <w:pStyle w:val="39"/>
              <w:rPr>
                <w:rFonts w:ascii="Times New Roman" w:hAnsi="Times New Roman"/>
              </w:rPr>
            </w:pPr>
            <w:r>
              <w:rPr>
                <w:rFonts w:ascii="Times New Roman" w:hAnsi="Times New Roman"/>
              </w:rPr>
              <w:t>产生量</w:t>
            </w:r>
          </w:p>
        </w:tc>
        <w:tc>
          <w:tcPr>
            <w:tcW w:w="2510" w:type="dxa"/>
            <w:vMerge w:val="continue"/>
            <w:vAlign w:val="center"/>
          </w:tcPr>
          <w:p>
            <w:pPr>
              <w:pStyle w:val="39"/>
              <w:rPr>
                <w:rFonts w:ascii="Times New Roman" w:hAnsi="Times New Roman"/>
              </w:rPr>
            </w:pPr>
          </w:p>
        </w:tc>
        <w:tc>
          <w:tcPr>
            <w:tcW w:w="1338" w:type="dxa"/>
            <w:vMerge w:val="continue"/>
            <w:vAlign w:val="center"/>
          </w:tcPr>
          <w:p>
            <w:pPr>
              <w:pStyle w:val="39"/>
              <w:rPr>
                <w:rFonts w:ascii="Times New Roman" w:hAnsi="Times New Roman"/>
              </w:rPr>
            </w:pPr>
          </w:p>
        </w:tc>
        <w:tc>
          <w:tcPr>
            <w:tcW w:w="1762"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51" w:type="dxa"/>
            <w:gridSpan w:val="9"/>
            <w:vAlign w:val="center"/>
          </w:tcPr>
          <w:p>
            <w:pPr>
              <w:pStyle w:val="39"/>
              <w:rPr>
                <w:rFonts w:ascii="Times New Roman" w:hAnsi="Times New Roman"/>
              </w:rPr>
            </w:pPr>
            <w:r>
              <w:rPr>
                <w:rFonts w:ascii="Times New Roman" w:hAnsi="Times New Roman"/>
              </w:rPr>
              <w:t>危险废物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9" w:type="dxa"/>
            <w:vMerge w:val="restart"/>
            <w:vAlign w:val="center"/>
          </w:tcPr>
          <w:p>
            <w:pPr>
              <w:pStyle w:val="39"/>
              <w:rPr>
                <w:rFonts w:ascii="Times New Roman" w:hAnsi="Times New Roman"/>
              </w:rPr>
            </w:pPr>
            <w:r>
              <w:rPr>
                <w:rFonts w:ascii="Times New Roman" w:hAnsi="Times New Roman"/>
              </w:rPr>
              <w:t>宣探1井站</w:t>
            </w:r>
          </w:p>
        </w:tc>
        <w:tc>
          <w:tcPr>
            <w:tcW w:w="1549" w:type="dxa"/>
            <w:vAlign w:val="center"/>
          </w:tcPr>
          <w:p>
            <w:pPr>
              <w:pStyle w:val="39"/>
              <w:rPr>
                <w:rFonts w:ascii="Times New Roman" w:hAnsi="Times New Roman"/>
              </w:rPr>
            </w:pPr>
            <w:r>
              <w:rPr>
                <w:rFonts w:ascii="Times New Roman" w:hAnsi="Times New Roman"/>
              </w:rPr>
              <w:t>化学品空桶</w:t>
            </w:r>
          </w:p>
        </w:tc>
        <w:tc>
          <w:tcPr>
            <w:tcW w:w="1292" w:type="dxa"/>
            <w:vAlign w:val="center"/>
          </w:tcPr>
          <w:p>
            <w:pPr>
              <w:pStyle w:val="39"/>
              <w:rPr>
                <w:rFonts w:ascii="Times New Roman" w:hAnsi="Times New Roman"/>
              </w:rPr>
            </w:pPr>
            <w:r>
              <w:rPr>
                <w:rFonts w:ascii="Times New Roman" w:hAnsi="Times New Roman"/>
              </w:rPr>
              <w:t>HW49</w:t>
            </w:r>
          </w:p>
        </w:tc>
        <w:tc>
          <w:tcPr>
            <w:tcW w:w="1559" w:type="dxa"/>
            <w:vAlign w:val="center"/>
          </w:tcPr>
          <w:p>
            <w:pPr>
              <w:pStyle w:val="39"/>
              <w:rPr>
                <w:rFonts w:ascii="Times New Roman" w:hAnsi="Times New Roman"/>
              </w:rPr>
            </w:pPr>
            <w:r>
              <w:rPr>
                <w:rFonts w:ascii="Times New Roman" w:hAnsi="Times New Roman"/>
              </w:rPr>
              <w:t>900-041-49</w:t>
            </w:r>
          </w:p>
        </w:tc>
        <w:tc>
          <w:tcPr>
            <w:tcW w:w="1417" w:type="dxa"/>
            <w:vAlign w:val="center"/>
          </w:tcPr>
          <w:p>
            <w:pPr>
              <w:pStyle w:val="39"/>
              <w:rPr>
                <w:rFonts w:ascii="Times New Roman" w:hAnsi="Times New Roman"/>
              </w:rPr>
            </w:pPr>
            <w:r>
              <w:rPr>
                <w:rFonts w:ascii="Times New Roman" w:hAnsi="Times New Roman"/>
              </w:rPr>
              <w:t>类比法</w:t>
            </w:r>
          </w:p>
        </w:tc>
        <w:tc>
          <w:tcPr>
            <w:tcW w:w="975" w:type="dxa"/>
            <w:vAlign w:val="center"/>
          </w:tcPr>
          <w:p>
            <w:pPr>
              <w:pStyle w:val="39"/>
              <w:rPr>
                <w:rFonts w:ascii="Times New Roman" w:hAnsi="Times New Roman"/>
              </w:rPr>
            </w:pPr>
            <w:r>
              <w:rPr>
                <w:rFonts w:ascii="Times New Roman" w:hAnsi="Times New Roman"/>
              </w:rPr>
              <w:t>0.48t/a</w:t>
            </w:r>
          </w:p>
        </w:tc>
        <w:tc>
          <w:tcPr>
            <w:tcW w:w="2510" w:type="dxa"/>
            <w:vAlign w:val="center"/>
          </w:tcPr>
          <w:p>
            <w:pPr>
              <w:pStyle w:val="39"/>
              <w:rPr>
                <w:rFonts w:ascii="Times New Roman" w:hAnsi="Times New Roman"/>
              </w:rPr>
            </w:pPr>
            <w:r>
              <w:rPr>
                <w:rFonts w:ascii="Times New Roman" w:hAnsi="Times New Roman"/>
              </w:rPr>
              <w:t>缓蚀剂等</w:t>
            </w:r>
          </w:p>
        </w:tc>
        <w:tc>
          <w:tcPr>
            <w:tcW w:w="1338" w:type="dxa"/>
            <w:vAlign w:val="center"/>
          </w:tcPr>
          <w:p>
            <w:pPr>
              <w:pStyle w:val="39"/>
              <w:rPr>
                <w:rFonts w:ascii="Times New Roman" w:hAnsi="Times New Roman"/>
              </w:rPr>
            </w:pPr>
            <w:r>
              <w:rPr>
                <w:rFonts w:ascii="Times New Roman" w:hAnsi="Times New Roman"/>
              </w:rPr>
              <w:t>间断</w:t>
            </w:r>
          </w:p>
        </w:tc>
        <w:tc>
          <w:tcPr>
            <w:tcW w:w="1762" w:type="dxa"/>
            <w:vAlign w:val="center"/>
          </w:tcPr>
          <w:p>
            <w:pPr>
              <w:pStyle w:val="39"/>
              <w:rPr>
                <w:rFonts w:ascii="Times New Roman" w:hAnsi="Times New Roman"/>
              </w:rPr>
            </w:pPr>
            <w:r>
              <w:rPr>
                <w:rFonts w:ascii="Times New Roman" w:hAnsi="Times New Roman"/>
              </w:rPr>
              <w:t>厂家回收利用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9" w:type="dxa"/>
            <w:vMerge w:val="continue"/>
            <w:vAlign w:val="center"/>
          </w:tcPr>
          <w:p>
            <w:pPr>
              <w:pStyle w:val="39"/>
              <w:rPr>
                <w:rFonts w:ascii="Times New Roman" w:hAnsi="Times New Roman"/>
              </w:rPr>
            </w:pPr>
          </w:p>
        </w:tc>
        <w:tc>
          <w:tcPr>
            <w:tcW w:w="1549" w:type="dxa"/>
            <w:vAlign w:val="center"/>
          </w:tcPr>
          <w:p>
            <w:pPr>
              <w:pStyle w:val="39"/>
              <w:rPr>
                <w:rFonts w:ascii="Times New Roman" w:hAnsi="Times New Roman"/>
              </w:rPr>
            </w:pPr>
            <w:r>
              <w:rPr>
                <w:rFonts w:ascii="Times New Roman" w:hAnsi="Times New Roman"/>
              </w:rPr>
              <w:t>废油废抹布等</w:t>
            </w:r>
          </w:p>
        </w:tc>
        <w:tc>
          <w:tcPr>
            <w:tcW w:w="1292" w:type="dxa"/>
            <w:vAlign w:val="center"/>
          </w:tcPr>
          <w:p>
            <w:pPr>
              <w:pStyle w:val="39"/>
              <w:rPr>
                <w:rFonts w:ascii="Times New Roman" w:hAnsi="Times New Roman"/>
              </w:rPr>
            </w:pPr>
            <w:r>
              <w:rPr>
                <w:rFonts w:ascii="Times New Roman" w:hAnsi="Times New Roman"/>
              </w:rPr>
              <w:t>HW49</w:t>
            </w:r>
          </w:p>
        </w:tc>
        <w:tc>
          <w:tcPr>
            <w:tcW w:w="1559" w:type="dxa"/>
            <w:vAlign w:val="center"/>
          </w:tcPr>
          <w:p>
            <w:pPr>
              <w:pStyle w:val="39"/>
              <w:rPr>
                <w:rFonts w:ascii="Times New Roman" w:hAnsi="Times New Roman"/>
              </w:rPr>
            </w:pPr>
            <w:r>
              <w:rPr>
                <w:rFonts w:ascii="Times New Roman" w:hAnsi="Times New Roman"/>
              </w:rPr>
              <w:t>900-041-49</w:t>
            </w:r>
          </w:p>
        </w:tc>
        <w:tc>
          <w:tcPr>
            <w:tcW w:w="1417" w:type="dxa"/>
            <w:vAlign w:val="center"/>
          </w:tcPr>
          <w:p>
            <w:pPr>
              <w:pStyle w:val="39"/>
              <w:rPr>
                <w:rFonts w:ascii="Times New Roman" w:hAnsi="Times New Roman"/>
              </w:rPr>
            </w:pPr>
            <w:r>
              <w:rPr>
                <w:rFonts w:ascii="Times New Roman" w:hAnsi="Times New Roman"/>
              </w:rPr>
              <w:t>类比法</w:t>
            </w:r>
          </w:p>
        </w:tc>
        <w:tc>
          <w:tcPr>
            <w:tcW w:w="975" w:type="dxa"/>
            <w:vAlign w:val="center"/>
          </w:tcPr>
          <w:p>
            <w:pPr>
              <w:pStyle w:val="39"/>
              <w:rPr>
                <w:rFonts w:ascii="Times New Roman" w:hAnsi="Times New Roman"/>
              </w:rPr>
            </w:pPr>
            <w:r>
              <w:rPr>
                <w:rFonts w:ascii="Times New Roman" w:hAnsi="Times New Roman"/>
              </w:rPr>
              <w:t>0.05t/a</w:t>
            </w:r>
          </w:p>
        </w:tc>
        <w:tc>
          <w:tcPr>
            <w:tcW w:w="2510" w:type="dxa"/>
            <w:vAlign w:val="center"/>
          </w:tcPr>
          <w:p>
            <w:pPr>
              <w:pStyle w:val="39"/>
              <w:rPr>
                <w:rFonts w:ascii="Times New Roman" w:hAnsi="Times New Roman"/>
              </w:rPr>
            </w:pPr>
            <w:r>
              <w:rPr>
                <w:rFonts w:ascii="Times New Roman" w:hAnsi="Times New Roman"/>
              </w:rPr>
              <w:t>油类</w:t>
            </w:r>
          </w:p>
        </w:tc>
        <w:tc>
          <w:tcPr>
            <w:tcW w:w="1338" w:type="dxa"/>
            <w:vAlign w:val="center"/>
          </w:tcPr>
          <w:p>
            <w:pPr>
              <w:pStyle w:val="39"/>
              <w:rPr>
                <w:rFonts w:ascii="Times New Roman" w:hAnsi="Times New Roman"/>
              </w:rPr>
            </w:pPr>
            <w:r>
              <w:rPr>
                <w:rFonts w:ascii="Times New Roman" w:hAnsi="Times New Roman"/>
              </w:rPr>
              <w:t>间断</w:t>
            </w:r>
          </w:p>
        </w:tc>
        <w:tc>
          <w:tcPr>
            <w:tcW w:w="1762" w:type="dxa"/>
            <w:vAlign w:val="center"/>
          </w:tcPr>
          <w:p>
            <w:pPr>
              <w:pStyle w:val="39"/>
              <w:rPr>
                <w:rFonts w:ascii="Times New Roman" w:hAnsi="Times New Roman"/>
              </w:rPr>
            </w:pPr>
            <w:r>
              <w:rPr>
                <w:rFonts w:ascii="Times New Roman" w:hAnsi="Times New Roman"/>
              </w:rPr>
              <w:t>委托危废单位拉运处置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9" w:type="dxa"/>
            <w:vMerge w:val="restart"/>
            <w:vAlign w:val="center"/>
          </w:tcPr>
          <w:p>
            <w:pPr>
              <w:pStyle w:val="39"/>
              <w:rPr>
                <w:rFonts w:ascii="Times New Roman" w:hAnsi="Times New Roman"/>
              </w:rPr>
            </w:pPr>
            <w:r>
              <w:rPr>
                <w:rFonts w:ascii="Times New Roman" w:hAnsi="Times New Roman"/>
              </w:rPr>
              <w:t>宣兴1井站</w:t>
            </w:r>
          </w:p>
        </w:tc>
        <w:tc>
          <w:tcPr>
            <w:tcW w:w="1549" w:type="dxa"/>
            <w:vAlign w:val="center"/>
          </w:tcPr>
          <w:p>
            <w:pPr>
              <w:pStyle w:val="39"/>
              <w:rPr>
                <w:rFonts w:ascii="Times New Roman" w:hAnsi="Times New Roman"/>
              </w:rPr>
            </w:pPr>
            <w:r>
              <w:rPr>
                <w:rFonts w:ascii="Times New Roman" w:hAnsi="Times New Roman"/>
              </w:rPr>
              <w:t>化学品空桶</w:t>
            </w:r>
          </w:p>
        </w:tc>
        <w:tc>
          <w:tcPr>
            <w:tcW w:w="1292" w:type="dxa"/>
            <w:vAlign w:val="center"/>
          </w:tcPr>
          <w:p>
            <w:pPr>
              <w:pStyle w:val="39"/>
              <w:rPr>
                <w:rFonts w:ascii="Times New Roman" w:hAnsi="Times New Roman"/>
              </w:rPr>
            </w:pPr>
            <w:r>
              <w:rPr>
                <w:rFonts w:ascii="Times New Roman" w:hAnsi="Times New Roman"/>
              </w:rPr>
              <w:t>HW49</w:t>
            </w:r>
          </w:p>
        </w:tc>
        <w:tc>
          <w:tcPr>
            <w:tcW w:w="1559" w:type="dxa"/>
            <w:vAlign w:val="center"/>
          </w:tcPr>
          <w:p>
            <w:pPr>
              <w:pStyle w:val="39"/>
              <w:rPr>
                <w:rFonts w:ascii="Times New Roman" w:hAnsi="Times New Roman"/>
              </w:rPr>
            </w:pPr>
            <w:r>
              <w:rPr>
                <w:rFonts w:ascii="Times New Roman" w:hAnsi="Times New Roman"/>
              </w:rPr>
              <w:t>900-041-49</w:t>
            </w:r>
          </w:p>
        </w:tc>
        <w:tc>
          <w:tcPr>
            <w:tcW w:w="1417" w:type="dxa"/>
            <w:vAlign w:val="center"/>
          </w:tcPr>
          <w:p>
            <w:pPr>
              <w:pStyle w:val="39"/>
              <w:rPr>
                <w:rFonts w:ascii="Times New Roman" w:hAnsi="Times New Roman"/>
              </w:rPr>
            </w:pPr>
            <w:r>
              <w:rPr>
                <w:rFonts w:ascii="Times New Roman" w:hAnsi="Times New Roman"/>
              </w:rPr>
              <w:t>类比法</w:t>
            </w:r>
          </w:p>
        </w:tc>
        <w:tc>
          <w:tcPr>
            <w:tcW w:w="975" w:type="dxa"/>
            <w:vAlign w:val="center"/>
          </w:tcPr>
          <w:p>
            <w:pPr>
              <w:pStyle w:val="39"/>
              <w:rPr>
                <w:rFonts w:ascii="Times New Roman" w:hAnsi="Times New Roman"/>
              </w:rPr>
            </w:pPr>
            <w:r>
              <w:rPr>
                <w:rFonts w:ascii="Times New Roman" w:hAnsi="Times New Roman"/>
              </w:rPr>
              <w:t>0.48t/a</w:t>
            </w:r>
          </w:p>
        </w:tc>
        <w:tc>
          <w:tcPr>
            <w:tcW w:w="2510" w:type="dxa"/>
            <w:vAlign w:val="center"/>
          </w:tcPr>
          <w:p>
            <w:pPr>
              <w:pStyle w:val="39"/>
              <w:rPr>
                <w:rFonts w:ascii="Times New Roman" w:hAnsi="Times New Roman"/>
              </w:rPr>
            </w:pPr>
            <w:r>
              <w:rPr>
                <w:rFonts w:ascii="Times New Roman" w:hAnsi="Times New Roman"/>
              </w:rPr>
              <w:t>缓蚀剂等</w:t>
            </w:r>
          </w:p>
        </w:tc>
        <w:tc>
          <w:tcPr>
            <w:tcW w:w="1338" w:type="dxa"/>
            <w:vAlign w:val="center"/>
          </w:tcPr>
          <w:p>
            <w:pPr>
              <w:pStyle w:val="39"/>
              <w:rPr>
                <w:rFonts w:ascii="Times New Roman" w:hAnsi="Times New Roman"/>
              </w:rPr>
            </w:pPr>
            <w:r>
              <w:rPr>
                <w:rFonts w:ascii="Times New Roman" w:hAnsi="Times New Roman"/>
              </w:rPr>
              <w:t>间断</w:t>
            </w:r>
          </w:p>
        </w:tc>
        <w:tc>
          <w:tcPr>
            <w:tcW w:w="1762" w:type="dxa"/>
            <w:vAlign w:val="center"/>
          </w:tcPr>
          <w:p>
            <w:pPr>
              <w:pStyle w:val="39"/>
              <w:rPr>
                <w:rFonts w:ascii="Times New Roman" w:hAnsi="Times New Roman"/>
              </w:rPr>
            </w:pPr>
            <w:r>
              <w:rPr>
                <w:rFonts w:ascii="Times New Roman" w:hAnsi="Times New Roman"/>
              </w:rPr>
              <w:t>厂家回收利用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9" w:type="dxa"/>
            <w:vMerge w:val="continue"/>
            <w:vAlign w:val="center"/>
          </w:tcPr>
          <w:p>
            <w:pPr>
              <w:pStyle w:val="39"/>
              <w:rPr>
                <w:rFonts w:ascii="Times New Roman" w:hAnsi="Times New Roman"/>
              </w:rPr>
            </w:pPr>
          </w:p>
        </w:tc>
        <w:tc>
          <w:tcPr>
            <w:tcW w:w="1549" w:type="dxa"/>
            <w:vAlign w:val="center"/>
          </w:tcPr>
          <w:p>
            <w:pPr>
              <w:pStyle w:val="39"/>
              <w:rPr>
                <w:rFonts w:ascii="Times New Roman" w:hAnsi="Times New Roman"/>
              </w:rPr>
            </w:pPr>
            <w:r>
              <w:rPr>
                <w:rFonts w:ascii="Times New Roman" w:hAnsi="Times New Roman"/>
              </w:rPr>
              <w:t>废油废抹布等</w:t>
            </w:r>
          </w:p>
        </w:tc>
        <w:tc>
          <w:tcPr>
            <w:tcW w:w="1292" w:type="dxa"/>
            <w:vAlign w:val="center"/>
          </w:tcPr>
          <w:p>
            <w:pPr>
              <w:pStyle w:val="39"/>
              <w:rPr>
                <w:rFonts w:ascii="Times New Roman" w:hAnsi="Times New Roman"/>
              </w:rPr>
            </w:pPr>
            <w:r>
              <w:rPr>
                <w:rFonts w:ascii="Times New Roman" w:hAnsi="Times New Roman"/>
              </w:rPr>
              <w:t>HW49</w:t>
            </w:r>
          </w:p>
        </w:tc>
        <w:tc>
          <w:tcPr>
            <w:tcW w:w="1559" w:type="dxa"/>
            <w:vAlign w:val="center"/>
          </w:tcPr>
          <w:p>
            <w:pPr>
              <w:pStyle w:val="39"/>
              <w:rPr>
                <w:rFonts w:ascii="Times New Roman" w:hAnsi="Times New Roman"/>
              </w:rPr>
            </w:pPr>
            <w:r>
              <w:rPr>
                <w:rFonts w:ascii="Times New Roman" w:hAnsi="Times New Roman"/>
              </w:rPr>
              <w:t>900-041-49</w:t>
            </w:r>
          </w:p>
        </w:tc>
        <w:tc>
          <w:tcPr>
            <w:tcW w:w="1417" w:type="dxa"/>
            <w:vAlign w:val="center"/>
          </w:tcPr>
          <w:p>
            <w:pPr>
              <w:pStyle w:val="39"/>
              <w:rPr>
                <w:rFonts w:ascii="Times New Roman" w:hAnsi="Times New Roman"/>
              </w:rPr>
            </w:pPr>
            <w:r>
              <w:rPr>
                <w:rFonts w:ascii="Times New Roman" w:hAnsi="Times New Roman"/>
              </w:rPr>
              <w:t>类比法</w:t>
            </w:r>
          </w:p>
        </w:tc>
        <w:tc>
          <w:tcPr>
            <w:tcW w:w="975" w:type="dxa"/>
            <w:vAlign w:val="center"/>
          </w:tcPr>
          <w:p>
            <w:pPr>
              <w:pStyle w:val="39"/>
              <w:rPr>
                <w:rFonts w:ascii="Times New Roman" w:hAnsi="Times New Roman"/>
              </w:rPr>
            </w:pPr>
            <w:r>
              <w:rPr>
                <w:rFonts w:ascii="Times New Roman" w:hAnsi="Times New Roman"/>
              </w:rPr>
              <w:t>0.05t/a</w:t>
            </w:r>
          </w:p>
        </w:tc>
        <w:tc>
          <w:tcPr>
            <w:tcW w:w="2510" w:type="dxa"/>
            <w:vAlign w:val="center"/>
          </w:tcPr>
          <w:p>
            <w:pPr>
              <w:pStyle w:val="39"/>
              <w:rPr>
                <w:rFonts w:ascii="Times New Roman" w:hAnsi="Times New Roman"/>
              </w:rPr>
            </w:pPr>
            <w:r>
              <w:rPr>
                <w:rFonts w:ascii="Times New Roman" w:hAnsi="Times New Roman"/>
              </w:rPr>
              <w:t>油类</w:t>
            </w:r>
          </w:p>
        </w:tc>
        <w:tc>
          <w:tcPr>
            <w:tcW w:w="1338" w:type="dxa"/>
            <w:vAlign w:val="center"/>
          </w:tcPr>
          <w:p>
            <w:pPr>
              <w:pStyle w:val="39"/>
              <w:rPr>
                <w:rFonts w:ascii="Times New Roman" w:hAnsi="Times New Roman"/>
              </w:rPr>
            </w:pPr>
            <w:r>
              <w:rPr>
                <w:rFonts w:ascii="Times New Roman" w:hAnsi="Times New Roman"/>
              </w:rPr>
              <w:t>间断</w:t>
            </w:r>
          </w:p>
        </w:tc>
        <w:tc>
          <w:tcPr>
            <w:tcW w:w="1762" w:type="dxa"/>
            <w:vAlign w:val="center"/>
          </w:tcPr>
          <w:p>
            <w:pPr>
              <w:pStyle w:val="39"/>
              <w:rPr>
                <w:rFonts w:ascii="Times New Roman" w:hAnsi="Times New Roman"/>
              </w:rPr>
            </w:pPr>
            <w:r>
              <w:rPr>
                <w:rFonts w:ascii="Times New Roman" w:hAnsi="Times New Roman"/>
              </w:rPr>
              <w:t>委托危废单位拉运处置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51" w:type="dxa"/>
            <w:gridSpan w:val="9"/>
            <w:vAlign w:val="center"/>
          </w:tcPr>
          <w:p>
            <w:pPr>
              <w:pStyle w:val="39"/>
              <w:rPr>
                <w:rFonts w:ascii="Times New Roman" w:hAnsi="Times New Roman"/>
              </w:rPr>
            </w:pPr>
            <w:r>
              <w:rPr>
                <w:rFonts w:ascii="Times New Roman" w:hAnsi="Times New Roman"/>
              </w:rPr>
              <w:t>一般固废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9" w:type="dxa"/>
            <w:vAlign w:val="center"/>
          </w:tcPr>
          <w:p>
            <w:pPr>
              <w:pStyle w:val="39"/>
              <w:rPr>
                <w:rFonts w:ascii="Times New Roman" w:hAnsi="Times New Roman"/>
              </w:rPr>
            </w:pPr>
            <w:r>
              <w:rPr>
                <w:rFonts w:ascii="Times New Roman" w:hAnsi="Times New Roman"/>
              </w:rPr>
              <w:t>宣兴1井站</w:t>
            </w:r>
          </w:p>
        </w:tc>
        <w:tc>
          <w:tcPr>
            <w:tcW w:w="1549" w:type="dxa"/>
            <w:vAlign w:val="center"/>
          </w:tcPr>
          <w:p>
            <w:pPr>
              <w:pStyle w:val="39"/>
              <w:rPr>
                <w:rFonts w:ascii="Times New Roman" w:hAnsi="Times New Roman"/>
              </w:rPr>
            </w:pPr>
            <w:r>
              <w:rPr>
                <w:rFonts w:ascii="Times New Roman" w:hAnsi="Times New Roman"/>
              </w:rPr>
              <w:t>清管废渣</w:t>
            </w:r>
          </w:p>
        </w:tc>
        <w:tc>
          <w:tcPr>
            <w:tcW w:w="1292" w:type="dxa"/>
            <w:vAlign w:val="center"/>
          </w:tcPr>
          <w:p>
            <w:pPr>
              <w:pStyle w:val="39"/>
              <w:rPr>
                <w:rFonts w:ascii="Times New Roman" w:hAnsi="Times New Roman"/>
              </w:rPr>
            </w:pPr>
            <w:r>
              <w:rPr>
                <w:rFonts w:ascii="Times New Roman" w:hAnsi="Times New Roman"/>
              </w:rPr>
              <w:t>/</w:t>
            </w:r>
          </w:p>
        </w:tc>
        <w:tc>
          <w:tcPr>
            <w:tcW w:w="1559" w:type="dxa"/>
            <w:vAlign w:val="center"/>
          </w:tcPr>
          <w:p>
            <w:pPr>
              <w:pStyle w:val="39"/>
              <w:rPr>
                <w:rFonts w:ascii="Times New Roman" w:hAnsi="Times New Roman"/>
              </w:rPr>
            </w:pPr>
            <w:r>
              <w:rPr>
                <w:rFonts w:ascii="Times New Roman" w:hAnsi="Times New Roman"/>
              </w:rPr>
              <w:t>/</w:t>
            </w:r>
          </w:p>
        </w:tc>
        <w:tc>
          <w:tcPr>
            <w:tcW w:w="1417" w:type="dxa"/>
            <w:vAlign w:val="center"/>
          </w:tcPr>
          <w:p>
            <w:pPr>
              <w:pStyle w:val="39"/>
              <w:rPr>
                <w:rFonts w:ascii="Times New Roman" w:hAnsi="Times New Roman"/>
              </w:rPr>
            </w:pPr>
            <w:r>
              <w:rPr>
                <w:rFonts w:ascii="Times New Roman" w:hAnsi="Times New Roman"/>
              </w:rPr>
              <w:t>类比法</w:t>
            </w:r>
          </w:p>
        </w:tc>
        <w:tc>
          <w:tcPr>
            <w:tcW w:w="975" w:type="dxa"/>
            <w:vAlign w:val="center"/>
          </w:tcPr>
          <w:p>
            <w:pPr>
              <w:pStyle w:val="39"/>
              <w:rPr>
                <w:rFonts w:ascii="Times New Roman" w:hAnsi="Times New Roman"/>
              </w:rPr>
            </w:pPr>
            <w:r>
              <w:rPr>
                <w:rFonts w:ascii="Times New Roman" w:hAnsi="Times New Roman"/>
              </w:rPr>
              <w:t>0.021 t/a</w:t>
            </w:r>
          </w:p>
        </w:tc>
        <w:tc>
          <w:tcPr>
            <w:tcW w:w="2510" w:type="dxa"/>
            <w:vAlign w:val="center"/>
          </w:tcPr>
          <w:p>
            <w:pPr>
              <w:pStyle w:val="39"/>
              <w:rPr>
                <w:rFonts w:ascii="Times New Roman" w:hAnsi="Times New Roman"/>
              </w:rPr>
            </w:pPr>
            <w:r>
              <w:rPr>
                <w:rFonts w:ascii="Times New Roman" w:hAnsi="Times New Roman"/>
              </w:rPr>
              <w:t xml:space="preserve">FeS、氧化铁粉末、机械杂质等 </w:t>
            </w:r>
          </w:p>
        </w:tc>
        <w:tc>
          <w:tcPr>
            <w:tcW w:w="1338" w:type="dxa"/>
            <w:vAlign w:val="center"/>
          </w:tcPr>
          <w:p>
            <w:pPr>
              <w:pStyle w:val="39"/>
              <w:rPr>
                <w:rFonts w:ascii="Times New Roman" w:hAnsi="Times New Roman"/>
              </w:rPr>
            </w:pPr>
            <w:r>
              <w:rPr>
                <w:rFonts w:ascii="Times New Roman" w:hAnsi="Times New Roman"/>
              </w:rPr>
              <w:t>间断</w:t>
            </w:r>
          </w:p>
        </w:tc>
        <w:tc>
          <w:tcPr>
            <w:tcW w:w="1762" w:type="dxa"/>
            <w:vAlign w:val="center"/>
          </w:tcPr>
          <w:p>
            <w:pPr>
              <w:pStyle w:val="39"/>
              <w:rPr>
                <w:rFonts w:ascii="Times New Roman" w:hAnsi="Times New Roman"/>
              </w:rPr>
            </w:pPr>
            <w:r>
              <w:rPr>
                <w:rFonts w:ascii="Times New Roman" w:hAnsi="Times New Roman"/>
              </w:rPr>
              <w:t>委托第三方处置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9" w:type="dxa"/>
            <w:vAlign w:val="center"/>
          </w:tcPr>
          <w:p>
            <w:pPr>
              <w:pStyle w:val="39"/>
              <w:rPr>
                <w:rFonts w:ascii="Times New Roman" w:hAnsi="Times New Roman"/>
              </w:rPr>
            </w:pPr>
            <w:r>
              <w:rPr>
                <w:rFonts w:ascii="Times New Roman" w:hAnsi="Times New Roman"/>
              </w:rPr>
              <w:t>宣探清管站</w:t>
            </w:r>
          </w:p>
        </w:tc>
        <w:tc>
          <w:tcPr>
            <w:tcW w:w="1549" w:type="dxa"/>
            <w:vAlign w:val="center"/>
          </w:tcPr>
          <w:p>
            <w:pPr>
              <w:pStyle w:val="39"/>
              <w:rPr>
                <w:rFonts w:ascii="Times New Roman" w:hAnsi="Times New Roman"/>
              </w:rPr>
            </w:pPr>
            <w:r>
              <w:rPr>
                <w:rFonts w:ascii="Times New Roman" w:hAnsi="Times New Roman"/>
              </w:rPr>
              <w:t>清管废渣</w:t>
            </w:r>
          </w:p>
        </w:tc>
        <w:tc>
          <w:tcPr>
            <w:tcW w:w="1292" w:type="dxa"/>
            <w:vAlign w:val="center"/>
          </w:tcPr>
          <w:p>
            <w:pPr>
              <w:pStyle w:val="39"/>
              <w:rPr>
                <w:rFonts w:ascii="Times New Roman" w:hAnsi="Times New Roman"/>
              </w:rPr>
            </w:pPr>
            <w:r>
              <w:rPr>
                <w:rFonts w:ascii="Times New Roman" w:hAnsi="Times New Roman"/>
              </w:rPr>
              <w:t>/</w:t>
            </w:r>
          </w:p>
        </w:tc>
        <w:tc>
          <w:tcPr>
            <w:tcW w:w="1559" w:type="dxa"/>
            <w:vAlign w:val="center"/>
          </w:tcPr>
          <w:p>
            <w:pPr>
              <w:pStyle w:val="39"/>
              <w:rPr>
                <w:rFonts w:ascii="Times New Roman" w:hAnsi="Times New Roman"/>
              </w:rPr>
            </w:pPr>
            <w:r>
              <w:rPr>
                <w:rFonts w:ascii="Times New Roman" w:hAnsi="Times New Roman"/>
              </w:rPr>
              <w:t>/</w:t>
            </w:r>
          </w:p>
        </w:tc>
        <w:tc>
          <w:tcPr>
            <w:tcW w:w="1417" w:type="dxa"/>
            <w:vAlign w:val="center"/>
          </w:tcPr>
          <w:p>
            <w:pPr>
              <w:pStyle w:val="39"/>
              <w:rPr>
                <w:rFonts w:ascii="Times New Roman" w:hAnsi="Times New Roman"/>
              </w:rPr>
            </w:pPr>
            <w:r>
              <w:rPr>
                <w:rFonts w:ascii="Times New Roman" w:hAnsi="Times New Roman"/>
              </w:rPr>
              <w:t>类比法</w:t>
            </w:r>
          </w:p>
        </w:tc>
        <w:tc>
          <w:tcPr>
            <w:tcW w:w="975" w:type="dxa"/>
            <w:vAlign w:val="center"/>
          </w:tcPr>
          <w:p>
            <w:pPr>
              <w:pStyle w:val="39"/>
              <w:rPr>
                <w:rFonts w:ascii="Times New Roman" w:hAnsi="Times New Roman"/>
              </w:rPr>
            </w:pPr>
            <w:r>
              <w:rPr>
                <w:rFonts w:ascii="Times New Roman" w:hAnsi="Times New Roman"/>
              </w:rPr>
              <w:t>0.099t/a</w:t>
            </w:r>
          </w:p>
        </w:tc>
        <w:tc>
          <w:tcPr>
            <w:tcW w:w="2510" w:type="dxa"/>
            <w:vAlign w:val="center"/>
          </w:tcPr>
          <w:p>
            <w:pPr>
              <w:pStyle w:val="39"/>
              <w:rPr>
                <w:rFonts w:ascii="Times New Roman" w:hAnsi="Times New Roman"/>
              </w:rPr>
            </w:pPr>
            <w:r>
              <w:rPr>
                <w:rFonts w:ascii="Times New Roman" w:hAnsi="Times New Roman"/>
              </w:rPr>
              <w:t>FeS、氧化铁粉末、机械杂质等</w:t>
            </w:r>
          </w:p>
        </w:tc>
        <w:tc>
          <w:tcPr>
            <w:tcW w:w="1338" w:type="dxa"/>
            <w:vAlign w:val="center"/>
          </w:tcPr>
          <w:p>
            <w:pPr>
              <w:pStyle w:val="39"/>
              <w:rPr>
                <w:rFonts w:ascii="Times New Roman" w:hAnsi="Times New Roman"/>
              </w:rPr>
            </w:pPr>
            <w:r>
              <w:rPr>
                <w:rFonts w:ascii="Times New Roman" w:hAnsi="Times New Roman"/>
              </w:rPr>
              <w:t>间断</w:t>
            </w:r>
          </w:p>
        </w:tc>
        <w:tc>
          <w:tcPr>
            <w:tcW w:w="1762" w:type="dxa"/>
            <w:vAlign w:val="center"/>
          </w:tcPr>
          <w:p>
            <w:pPr>
              <w:pStyle w:val="39"/>
              <w:rPr>
                <w:rFonts w:ascii="Times New Roman" w:hAnsi="Times New Roman"/>
              </w:rPr>
            </w:pPr>
            <w:r>
              <w:rPr>
                <w:rFonts w:ascii="Times New Roman" w:hAnsi="Times New Roman"/>
              </w:rPr>
              <w:t>委托第三方处置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51" w:type="dxa"/>
            <w:gridSpan w:val="9"/>
            <w:vAlign w:val="center"/>
          </w:tcPr>
          <w:p>
            <w:pPr>
              <w:pStyle w:val="39"/>
              <w:rPr>
                <w:rFonts w:ascii="Times New Roman" w:hAnsi="Times New Roman"/>
              </w:rPr>
            </w:pPr>
            <w:r>
              <w:rPr>
                <w:rFonts w:ascii="Times New Roman" w:hAnsi="Times New Roman"/>
              </w:rPr>
              <w:t>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9" w:type="dxa"/>
            <w:vAlign w:val="center"/>
          </w:tcPr>
          <w:p>
            <w:pPr>
              <w:pStyle w:val="39"/>
              <w:rPr>
                <w:rFonts w:ascii="Times New Roman" w:hAnsi="Times New Roman"/>
              </w:rPr>
            </w:pPr>
            <w:r>
              <w:rPr>
                <w:rFonts w:ascii="Times New Roman" w:hAnsi="Times New Roman"/>
              </w:rPr>
              <w:t>维抢修队</w:t>
            </w:r>
          </w:p>
        </w:tc>
        <w:tc>
          <w:tcPr>
            <w:tcW w:w="1549" w:type="dxa"/>
            <w:vAlign w:val="center"/>
          </w:tcPr>
          <w:p>
            <w:pPr>
              <w:pStyle w:val="39"/>
              <w:rPr>
                <w:rFonts w:ascii="Times New Roman" w:hAnsi="Times New Roman"/>
              </w:rPr>
            </w:pPr>
            <w:r>
              <w:rPr>
                <w:rFonts w:ascii="Times New Roman" w:hAnsi="Times New Roman"/>
              </w:rPr>
              <w:t>生活垃圾</w:t>
            </w:r>
          </w:p>
        </w:tc>
        <w:tc>
          <w:tcPr>
            <w:tcW w:w="1292" w:type="dxa"/>
            <w:vAlign w:val="center"/>
          </w:tcPr>
          <w:p>
            <w:pPr>
              <w:pStyle w:val="39"/>
              <w:rPr>
                <w:rFonts w:ascii="Times New Roman" w:hAnsi="Times New Roman"/>
              </w:rPr>
            </w:pPr>
            <w:r>
              <w:rPr>
                <w:rFonts w:ascii="Times New Roman" w:hAnsi="Times New Roman"/>
              </w:rPr>
              <w:t>/</w:t>
            </w:r>
          </w:p>
        </w:tc>
        <w:tc>
          <w:tcPr>
            <w:tcW w:w="1559" w:type="dxa"/>
            <w:vAlign w:val="center"/>
          </w:tcPr>
          <w:p>
            <w:pPr>
              <w:pStyle w:val="39"/>
              <w:rPr>
                <w:rFonts w:ascii="Times New Roman" w:hAnsi="Times New Roman"/>
              </w:rPr>
            </w:pPr>
            <w:r>
              <w:rPr>
                <w:rFonts w:ascii="Times New Roman" w:hAnsi="Times New Roman"/>
              </w:rPr>
              <w:t>/</w:t>
            </w:r>
          </w:p>
        </w:tc>
        <w:tc>
          <w:tcPr>
            <w:tcW w:w="1417" w:type="dxa"/>
            <w:vAlign w:val="center"/>
          </w:tcPr>
          <w:p>
            <w:pPr>
              <w:pStyle w:val="39"/>
              <w:rPr>
                <w:rFonts w:ascii="Times New Roman" w:hAnsi="Times New Roman"/>
              </w:rPr>
            </w:pPr>
            <w:r>
              <w:rPr>
                <w:rFonts w:ascii="Times New Roman" w:hAnsi="Times New Roman"/>
              </w:rPr>
              <w:t>排污系数</w:t>
            </w:r>
          </w:p>
        </w:tc>
        <w:tc>
          <w:tcPr>
            <w:tcW w:w="975" w:type="dxa"/>
            <w:vAlign w:val="center"/>
          </w:tcPr>
          <w:p>
            <w:pPr>
              <w:pStyle w:val="39"/>
              <w:rPr>
                <w:rFonts w:ascii="Times New Roman" w:hAnsi="Times New Roman"/>
              </w:rPr>
            </w:pPr>
            <w:r>
              <w:rPr>
                <w:rFonts w:ascii="Times New Roman" w:hAnsi="Times New Roman"/>
              </w:rPr>
              <w:t>1.28t/a</w:t>
            </w:r>
          </w:p>
        </w:tc>
        <w:tc>
          <w:tcPr>
            <w:tcW w:w="2510" w:type="dxa"/>
            <w:vAlign w:val="center"/>
          </w:tcPr>
          <w:p>
            <w:pPr>
              <w:pStyle w:val="39"/>
              <w:rPr>
                <w:rFonts w:ascii="Times New Roman" w:hAnsi="Times New Roman"/>
              </w:rPr>
            </w:pPr>
            <w:r>
              <w:rPr>
                <w:rFonts w:ascii="Times New Roman" w:hAnsi="Times New Roman"/>
              </w:rPr>
              <w:t>固态</w:t>
            </w:r>
          </w:p>
        </w:tc>
        <w:tc>
          <w:tcPr>
            <w:tcW w:w="1338" w:type="dxa"/>
            <w:vAlign w:val="center"/>
          </w:tcPr>
          <w:p>
            <w:pPr>
              <w:pStyle w:val="39"/>
              <w:rPr>
                <w:rFonts w:ascii="Times New Roman" w:hAnsi="Times New Roman"/>
              </w:rPr>
            </w:pPr>
            <w:r>
              <w:rPr>
                <w:rFonts w:ascii="Times New Roman" w:hAnsi="Times New Roman"/>
              </w:rPr>
              <w:t>间断</w:t>
            </w:r>
          </w:p>
        </w:tc>
        <w:tc>
          <w:tcPr>
            <w:tcW w:w="1762" w:type="dxa"/>
            <w:vAlign w:val="center"/>
          </w:tcPr>
          <w:p>
            <w:pPr>
              <w:pStyle w:val="39"/>
              <w:rPr>
                <w:rFonts w:ascii="Times New Roman" w:hAnsi="Times New Roman"/>
              </w:rPr>
            </w:pPr>
            <w:r>
              <w:rPr>
                <w:rFonts w:ascii="Times New Roman" w:hAnsi="Times New Roman"/>
              </w:rPr>
              <w:t>分类收集。委托环卫部门处理</w:t>
            </w:r>
          </w:p>
        </w:tc>
      </w:tr>
    </w:tbl>
    <w:p>
      <w:pPr>
        <w:ind w:firstLine="480"/>
        <w:rPr>
          <w:rFonts w:ascii="Times New Roman" w:hAnsi="Times New Roman"/>
        </w:rPr>
        <w:sectPr>
          <w:pgSz w:w="16838" w:h="11906" w:orient="landscape"/>
          <w:pgMar w:top="1797" w:right="1440" w:bottom="1797" w:left="1440" w:header="851" w:footer="992" w:gutter="0"/>
          <w:cols w:space="425" w:num="1"/>
          <w:docGrid w:type="linesAndChars" w:linePitch="312" w:charSpace="0"/>
        </w:sectPr>
      </w:pPr>
    </w:p>
    <w:p>
      <w:pPr>
        <w:pStyle w:val="3"/>
        <w:rPr>
          <w:rFonts w:ascii="Times New Roman" w:hAnsi="Times New Roman" w:cs="Times New Roman"/>
        </w:rPr>
      </w:pPr>
      <w:bookmarkStart w:id="119" w:name="_Toc162339410"/>
      <w:r>
        <w:rPr>
          <w:rFonts w:ascii="Times New Roman" w:hAnsi="Times New Roman" w:cs="Times New Roman"/>
        </w:rPr>
        <w:t>总量控制</w:t>
      </w:r>
      <w:bookmarkEnd w:id="119"/>
    </w:p>
    <w:p>
      <w:pPr>
        <w:pStyle w:val="4"/>
        <w:rPr>
          <w:rFonts w:ascii="Times New Roman" w:hAnsi="Times New Roman" w:cs="Times New Roman"/>
        </w:rPr>
      </w:pPr>
      <w:r>
        <w:rPr>
          <w:rFonts w:ascii="Times New Roman" w:hAnsi="Times New Roman" w:cs="Times New Roman"/>
        </w:rPr>
        <w:t>总量控制因子</w:t>
      </w:r>
    </w:p>
    <w:p>
      <w:pPr>
        <w:ind w:firstLine="480"/>
        <w:rPr>
          <w:rFonts w:ascii="Times New Roman" w:hAnsi="Times New Roman"/>
        </w:rPr>
      </w:pPr>
      <w:r>
        <w:rPr>
          <w:rFonts w:ascii="Times New Roman" w:hAnsi="Times New Roman"/>
        </w:rPr>
        <w:t>根据本项目的“三废”排放特点及“十四五”期间全国实行排放总量控制的目标，结合项目排污特点，本项目总量控制因子如下：</w:t>
      </w:r>
    </w:p>
    <w:p>
      <w:pPr>
        <w:ind w:firstLine="480"/>
        <w:rPr>
          <w:rFonts w:ascii="Times New Roman" w:hAnsi="Times New Roman"/>
        </w:rPr>
      </w:pPr>
      <w:r>
        <w:rPr>
          <w:rFonts w:ascii="Times New Roman" w:hAnsi="Times New Roman"/>
        </w:rPr>
        <w:t>大气污染物：氮氧化物、挥发性有机物。</w:t>
      </w:r>
    </w:p>
    <w:p>
      <w:pPr>
        <w:ind w:firstLine="480"/>
        <w:rPr>
          <w:rFonts w:ascii="Times New Roman" w:hAnsi="Times New Roman"/>
        </w:rPr>
      </w:pPr>
      <w:r>
        <w:rPr>
          <w:rFonts w:ascii="Times New Roman" w:hAnsi="Times New Roman"/>
        </w:rPr>
        <w:t>水污染物：COD、氨氮</w:t>
      </w:r>
    </w:p>
    <w:p>
      <w:pPr>
        <w:pStyle w:val="4"/>
        <w:rPr>
          <w:rFonts w:ascii="Times New Roman" w:hAnsi="Times New Roman" w:cs="Times New Roman"/>
        </w:rPr>
      </w:pPr>
      <w:r>
        <w:rPr>
          <w:rFonts w:ascii="Times New Roman" w:hAnsi="Times New Roman" w:cs="Times New Roman"/>
        </w:rPr>
        <w:t>本项目污染物总量</w:t>
      </w:r>
    </w:p>
    <w:p>
      <w:pPr>
        <w:ind w:firstLine="480"/>
        <w:rPr>
          <w:rFonts w:ascii="Times New Roman" w:hAnsi="Times New Roman"/>
        </w:rPr>
      </w:pPr>
      <w:r>
        <w:rPr>
          <w:rFonts w:ascii="Times New Roman" w:hAnsi="Times New Roman"/>
        </w:rPr>
        <w:t>根据前述工程分析核算，本项目大气污染物氮氧化物和挥发性有机物的排放量分别</w:t>
      </w:r>
      <w:r>
        <w:rPr>
          <w:rFonts w:ascii="Times New Roman" w:hAnsi="Times New Roman"/>
          <w:highlight w:val="black"/>
        </w:rPr>
        <w:t>为1.77t/a和0.6472t/a。</w:t>
      </w:r>
    </w:p>
    <w:p>
      <w:pPr>
        <w:ind w:firstLine="480"/>
        <w:rPr>
          <w:rFonts w:ascii="Times New Roman" w:hAnsi="Times New Roman"/>
        </w:rPr>
      </w:pPr>
      <w:bookmarkStart w:id="120" w:name="_Hlk160441369"/>
      <w:r>
        <w:rPr>
          <w:rFonts w:ascii="Times New Roman" w:hAnsi="Times New Roman"/>
        </w:rPr>
        <w:t>本项目产生的气田水依托渡口河净化厂处理后管输至黄龙5井进行回注，不外排，仅维抢修队有少量生活污水依托当地污水处理设施处理后还田不外排，仅少量的设备外壁擦洗废水外排（156t/a），主要污染物为SS。</w:t>
      </w:r>
    </w:p>
    <w:bookmarkEnd w:id="120"/>
    <w:p>
      <w:pPr>
        <w:pStyle w:val="4"/>
        <w:rPr>
          <w:rFonts w:ascii="Times New Roman" w:hAnsi="Times New Roman" w:cs="Times New Roman"/>
        </w:rPr>
      </w:pPr>
      <w:r>
        <w:rPr>
          <w:rFonts w:ascii="Times New Roman" w:hAnsi="Times New Roman" w:cs="Times New Roman"/>
        </w:rPr>
        <w:t>总量来源</w:t>
      </w:r>
    </w:p>
    <w:p>
      <w:pPr>
        <w:ind w:firstLine="480"/>
        <w:rPr>
          <w:rFonts w:ascii="Times New Roman" w:hAnsi="Times New Roman"/>
        </w:rPr>
      </w:pPr>
      <w:r>
        <w:rPr>
          <w:rFonts w:ascii="Times New Roman" w:hAnsi="Times New Roman"/>
        </w:rPr>
        <w:t>本项目为天然气开采集输项目，根据《关于做好固定污染源排污许可清理整顿和2020年排污许可发证登记工作的通知》（环办环评函〔2019〕939号）和《固定污染源排污许可分类管理名录》（2019年版），本项目实行登记管理。中国石油化工股份有限公司中原油田普光分公司在达州地区各个集气站场均无总量控制指标要求，水套加热炉、放散系统按要求缴纳环保税，因此本评价建议本项目不核定大气总量指标。</w:t>
      </w:r>
    </w:p>
    <w:p>
      <w:pPr>
        <w:ind w:firstLine="480"/>
        <w:rPr>
          <w:rFonts w:ascii="Times New Roman" w:hAnsi="Times New Roman"/>
        </w:rPr>
      </w:pPr>
      <w:r>
        <w:rPr>
          <w:rFonts w:ascii="Times New Roman" w:hAnsi="Times New Roman"/>
        </w:rPr>
        <w:t>项目气田水通过密闭罐车拉运至渡口河净化厂污水处理站达标后管输至黄龙5井回注站回注，不外排。本项目处理后回注的废水不计算总量，处理后外排的废水的总量纳入依托的废水处理设施总量指标。</w:t>
      </w:r>
    </w:p>
    <w:p>
      <w:pPr>
        <w:pStyle w:val="4"/>
        <w:rPr>
          <w:rFonts w:ascii="Times New Roman" w:hAnsi="Times New Roman" w:cs="Times New Roman"/>
        </w:rPr>
      </w:pPr>
      <w:r>
        <w:rPr>
          <w:rFonts w:ascii="Times New Roman" w:hAnsi="Times New Roman" w:cs="Times New Roman"/>
        </w:rPr>
        <w:t>退役期“三废”排放情况</w:t>
      </w:r>
    </w:p>
    <w:p>
      <w:pPr>
        <w:ind w:firstLine="480"/>
        <w:rPr>
          <w:rFonts w:ascii="Times New Roman" w:hAnsi="Times New Roman"/>
        </w:rPr>
      </w:pPr>
      <w:r>
        <w:rPr>
          <w:rFonts w:ascii="Times New Roman" w:hAnsi="Times New Roman"/>
        </w:rPr>
        <w:t>随着天然气开采的不断进行，天然气井储量逐渐下降，本项目站场最终进入退役。按照《天然气永久性封井技术规范》（Q/SY XN0386-2013）等相关行业规范进行封井作业，并设置醒目的警示标志，加强保护和巡查、监控。</w:t>
      </w:r>
    </w:p>
    <w:p>
      <w:pPr>
        <w:ind w:firstLine="480"/>
        <w:rPr>
          <w:rFonts w:ascii="Times New Roman" w:hAnsi="Times New Roman"/>
        </w:rPr>
      </w:pPr>
      <w:r>
        <w:rPr>
          <w:rFonts w:ascii="Times New Roman" w:hAnsi="Times New Roman"/>
        </w:rPr>
        <w:t>退役期主要的污染源为拆除地面设施时产生扬尘，工人生活污水；站场清理等工作产生废弃管线、废弃建筑垃圾等。站场经过清理后，永久性占地范围内的水泥平台等被清理，随后根据周边区域的自然现状进行恢复，使井场占地范围内的自然植被逐步恢复。</w:t>
      </w:r>
    </w:p>
    <w:p>
      <w:pPr>
        <w:ind w:firstLine="480"/>
        <w:rPr>
          <w:rFonts w:ascii="Times New Roman" w:hAnsi="Times New Roman"/>
        </w:rPr>
      </w:pPr>
      <w:r>
        <w:rPr>
          <w:rFonts w:ascii="Times New Roman" w:hAnsi="Times New Roman"/>
        </w:rPr>
        <w:t>退役期需严格按照相关设计规范做好设备拆除、井管封填、场地恢复等工作，做好施工期降尘、工人生活污水收集处置工作，最大限度地减少对环境的影响。</w:t>
      </w:r>
      <w:r>
        <w:rPr>
          <w:rFonts w:ascii="Times New Roman" w:hAnsi="Times New Roman"/>
        </w:rPr>
        <w:br w:type="page"/>
      </w:r>
    </w:p>
    <w:p>
      <w:pPr>
        <w:pStyle w:val="2"/>
        <w:rPr>
          <w:rFonts w:ascii="Times New Roman" w:hAnsi="Times New Roman" w:cs="Times New Roman"/>
        </w:rPr>
      </w:pPr>
      <w:bookmarkStart w:id="121" w:name="_Toc162339411"/>
      <w:r>
        <w:rPr>
          <w:rFonts w:ascii="Times New Roman" w:hAnsi="Times New Roman" w:cs="Times New Roman"/>
        </w:rPr>
        <w:t>环境概况</w:t>
      </w:r>
      <w:bookmarkEnd w:id="121"/>
    </w:p>
    <w:p>
      <w:pPr>
        <w:pStyle w:val="3"/>
        <w:rPr>
          <w:rFonts w:ascii="Times New Roman" w:hAnsi="Times New Roman" w:cs="Times New Roman"/>
        </w:rPr>
      </w:pPr>
      <w:bookmarkStart w:id="122" w:name="_Toc162339412"/>
      <w:r>
        <w:rPr>
          <w:rFonts w:ascii="Times New Roman" w:hAnsi="Times New Roman" w:cs="Times New Roman"/>
        </w:rPr>
        <w:t>自然环境概况</w:t>
      </w:r>
      <w:bookmarkEnd w:id="122"/>
    </w:p>
    <w:p>
      <w:pPr>
        <w:ind w:firstLine="480"/>
        <w:rPr>
          <w:rFonts w:ascii="Times New Roman" w:hAnsi="Times New Roman"/>
        </w:rPr>
      </w:pPr>
      <w:r>
        <w:rPr>
          <w:rFonts w:ascii="Times New Roman" w:hAnsi="Times New Roman"/>
        </w:rPr>
        <w:t>项目区域地貌以山地和丘陵为主，属亚热带湿润季风气候区。区域内生态系统多为农田生态系统和森林生态系统，森林植被主要为马尾松林、柏木林、桤木林、栓皮栎林和香椿林等。</w:t>
      </w:r>
    </w:p>
    <w:p>
      <w:pPr>
        <w:pStyle w:val="4"/>
        <w:rPr>
          <w:rFonts w:ascii="Times New Roman" w:hAnsi="Times New Roman" w:cs="Times New Roman"/>
        </w:rPr>
      </w:pPr>
      <w:r>
        <w:rPr>
          <w:rFonts w:ascii="Times New Roman" w:hAnsi="Times New Roman" w:cs="Times New Roman"/>
        </w:rPr>
        <w:t>地理位置</w:t>
      </w:r>
    </w:p>
    <w:p>
      <w:pPr>
        <w:ind w:firstLine="480"/>
        <w:rPr>
          <w:rFonts w:ascii="Times New Roman" w:hAnsi="Times New Roman"/>
        </w:rPr>
      </w:pPr>
      <w:r>
        <w:rPr>
          <w:rFonts w:hint="eastAsia" w:ascii="Times New Roman" w:hAnsi="Times New Roman"/>
        </w:rPr>
        <w:t>项目</w:t>
      </w:r>
      <w:r>
        <w:rPr>
          <w:rFonts w:ascii="Times New Roman" w:hAnsi="Times New Roman"/>
        </w:rPr>
        <w:t>位于四川省宣汉县清溪镇境内，南距重庆市约 200km</w:t>
      </w:r>
      <w:r>
        <w:rPr>
          <w:rFonts w:hint="eastAsia" w:ascii="Times New Roman" w:hAnsi="Times New Roman"/>
        </w:rPr>
        <w:t>。</w:t>
      </w:r>
      <w:r>
        <w:rPr>
          <w:rFonts w:ascii="Times New Roman" w:hAnsi="Times New Roman"/>
        </w:rPr>
        <w:t>宣汉县地处四川东北部，东邻重庆市万州区、北靠万源市，西与平昌县、达县交界，南与开江县相连。本项目地理位置详见附图1。</w:t>
      </w:r>
    </w:p>
    <w:p>
      <w:pPr>
        <w:pStyle w:val="4"/>
        <w:rPr>
          <w:rFonts w:ascii="Times New Roman" w:hAnsi="Times New Roman" w:cs="Times New Roman"/>
        </w:rPr>
      </w:pPr>
      <w:r>
        <w:rPr>
          <w:rFonts w:ascii="Times New Roman" w:hAnsi="Times New Roman" w:cs="Times New Roman"/>
        </w:rPr>
        <w:t>地形地貌</w:t>
      </w:r>
    </w:p>
    <w:p>
      <w:pPr>
        <w:ind w:firstLine="480"/>
        <w:rPr>
          <w:rFonts w:ascii="Times New Roman" w:hAnsi="Times New Roman"/>
        </w:rPr>
      </w:pPr>
      <w:r>
        <w:rPr>
          <w:rFonts w:ascii="Times New Roman" w:hAnsi="Times New Roman"/>
        </w:rPr>
        <w:t>项目所在区域属于川东典型的山地丘陵地形，沟壑众多，相对高差变化较大。地势总体上由西南向东北抬升，即由盆地丘陵、低山向外围盆缘中山过渡；以上升剥蚀低山和丘陵为主。背斜成山，紧密而狭窄；向斜为谷，平缓而开阔；间有高阶台地，地表形态零乱、冲沟发育，多山间凹地，丘形多样，地形起伏较大，海拔一般在340～1000m之间。</w:t>
      </w:r>
    </w:p>
    <w:p>
      <w:pPr>
        <w:pStyle w:val="4"/>
        <w:rPr>
          <w:rFonts w:ascii="Times New Roman" w:hAnsi="Times New Roman" w:cs="Times New Roman"/>
        </w:rPr>
      </w:pPr>
      <w:r>
        <w:rPr>
          <w:rFonts w:ascii="Times New Roman" w:hAnsi="Times New Roman" w:cs="Times New Roman"/>
        </w:rPr>
        <w:t>气候气象</w:t>
      </w:r>
    </w:p>
    <w:p>
      <w:pPr>
        <w:ind w:firstLine="480"/>
        <w:rPr>
          <w:rFonts w:ascii="Times New Roman" w:hAnsi="Times New Roman"/>
        </w:rPr>
      </w:pPr>
      <w:r>
        <w:rPr>
          <w:rFonts w:ascii="Times New Roman" w:hAnsi="Times New Roman"/>
        </w:rPr>
        <w:t>本项目所在地位于中亚热带湿润季风气候区，具有四季分明，春秋多雨，冬暖夏热，雨量充沛的特点，大陆性季风气候显著。受海拔高度影响，区内立体气候明显：海拔 500m 以下地区春早夏热，雨水集中，旱涝交错，多风雹，秋雨，冬暖霜雪少，属四川盆地亚热带气候；海拔800m以上地区春迟秋早，夏短冬长，具有盆缘山地温带气候特征。低山、高丘云雾较多，日照较浅丘平坝少。</w:t>
      </w:r>
    </w:p>
    <w:p>
      <w:pPr>
        <w:ind w:firstLine="480"/>
        <w:rPr>
          <w:rFonts w:ascii="Times New Roman" w:hAnsi="Times New Roman"/>
        </w:rPr>
      </w:pPr>
      <w:r>
        <w:rPr>
          <w:rFonts w:ascii="Times New Roman" w:hAnsi="Times New Roman"/>
        </w:rPr>
        <w:t>灾害性天气主要有旱灾、洪涝、暴雨山洪、冰雹、低温冷害及大风等，其中暴雨山洪、大风等对管道及站场建设有一定危害。本区域主要气候资料统计见表</w:t>
      </w:r>
      <w:r>
        <w:rPr>
          <w:rFonts w:ascii="Times New Roman" w:hAnsi="Times New Roman"/>
        </w:rPr>
        <w:fldChar w:fldCharType="begin"/>
      </w:r>
      <w:r>
        <w:rPr>
          <w:rFonts w:ascii="Times New Roman" w:hAnsi="Times New Roman"/>
        </w:rPr>
        <w:instrText xml:space="preserve"> REF _Ref151036325 \h  \* MERGEFORMAT </w:instrText>
      </w:r>
      <w:r>
        <w:rPr>
          <w:rFonts w:ascii="Times New Roman" w:hAnsi="Times New Roman"/>
        </w:rPr>
        <w:fldChar w:fldCharType="separate"/>
      </w:r>
      <w:r>
        <w:rPr>
          <w:rFonts w:ascii="Times New Roman" w:hAnsi="Times New Roman"/>
        </w:rPr>
        <w:t>表 4</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23" w:name="_Ref151036325"/>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bookmarkEnd w:id="123"/>
      <w:r>
        <w:rPr>
          <w:rFonts w:ascii="Times New Roman" w:hAnsi="Times New Roman" w:cs="Times New Roman"/>
        </w:rPr>
        <w:t xml:space="preserve">  主要气候资料统计表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02"/>
        <w:gridCol w:w="2834"/>
        <w:gridCol w:w="2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07" w:type="pct"/>
            <w:gridSpan w:val="2"/>
            <w:vAlign w:val="center"/>
          </w:tcPr>
          <w:p>
            <w:pPr>
              <w:pStyle w:val="39"/>
              <w:rPr>
                <w:rFonts w:ascii="Times New Roman" w:hAnsi="Times New Roman"/>
              </w:rPr>
            </w:pPr>
            <w:r>
              <w:rPr>
                <w:rFonts w:ascii="Times New Roman" w:hAnsi="Times New Roman"/>
              </w:rPr>
              <w:t>要素</w:t>
            </w:r>
          </w:p>
        </w:tc>
        <w:tc>
          <w:tcPr>
            <w:tcW w:w="1693" w:type="pct"/>
            <w:vAlign w:val="center"/>
          </w:tcPr>
          <w:p>
            <w:pPr>
              <w:pStyle w:val="39"/>
              <w:rPr>
                <w:rFonts w:ascii="Times New Roman" w:hAnsi="Times New Roman"/>
              </w:rPr>
            </w:pPr>
            <w:r>
              <w:rPr>
                <w:rFonts w:ascii="Times New Roman" w:hAnsi="Times New Roman"/>
              </w:rPr>
              <w:t>宣汉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4" w:type="pct"/>
            <w:vMerge w:val="restart"/>
            <w:vAlign w:val="center"/>
          </w:tcPr>
          <w:p>
            <w:pPr>
              <w:pStyle w:val="39"/>
              <w:rPr>
                <w:rFonts w:ascii="Times New Roman" w:hAnsi="Times New Roman"/>
              </w:rPr>
            </w:pPr>
            <w:r>
              <w:rPr>
                <w:rFonts w:ascii="Times New Roman" w:hAnsi="Times New Roman"/>
              </w:rPr>
              <w:t>气温（℃）</w:t>
            </w:r>
          </w:p>
        </w:tc>
        <w:tc>
          <w:tcPr>
            <w:tcW w:w="1663" w:type="pct"/>
            <w:vAlign w:val="center"/>
          </w:tcPr>
          <w:p>
            <w:pPr>
              <w:pStyle w:val="39"/>
              <w:rPr>
                <w:rFonts w:ascii="Times New Roman" w:hAnsi="Times New Roman"/>
              </w:rPr>
            </w:pPr>
            <w:r>
              <w:rPr>
                <w:rFonts w:ascii="Times New Roman" w:hAnsi="Times New Roman"/>
              </w:rPr>
              <w:t>年平均气温</w:t>
            </w:r>
          </w:p>
        </w:tc>
        <w:tc>
          <w:tcPr>
            <w:tcW w:w="1693" w:type="pct"/>
            <w:vAlign w:val="center"/>
          </w:tcPr>
          <w:p>
            <w:pPr>
              <w:pStyle w:val="39"/>
              <w:rPr>
                <w:rFonts w:ascii="Times New Roman" w:hAnsi="Times New Roman"/>
              </w:rPr>
            </w:pPr>
            <w:r>
              <w:rPr>
                <w:rFonts w:ascii="Times New Roman" w:hAnsi="Times New Roman"/>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4" w:type="pct"/>
            <w:vMerge w:val="continue"/>
            <w:vAlign w:val="center"/>
          </w:tcPr>
          <w:p>
            <w:pPr>
              <w:pStyle w:val="39"/>
              <w:rPr>
                <w:rFonts w:ascii="Times New Roman" w:hAnsi="Times New Roman"/>
              </w:rPr>
            </w:pPr>
          </w:p>
        </w:tc>
        <w:tc>
          <w:tcPr>
            <w:tcW w:w="1663" w:type="pct"/>
            <w:vAlign w:val="center"/>
          </w:tcPr>
          <w:p>
            <w:pPr>
              <w:pStyle w:val="39"/>
              <w:rPr>
                <w:rFonts w:ascii="Times New Roman" w:hAnsi="Times New Roman"/>
              </w:rPr>
            </w:pPr>
            <w:r>
              <w:rPr>
                <w:rFonts w:ascii="Times New Roman" w:hAnsi="Times New Roman"/>
              </w:rPr>
              <w:t>极端最高气温</w:t>
            </w:r>
          </w:p>
        </w:tc>
        <w:tc>
          <w:tcPr>
            <w:tcW w:w="1693" w:type="pct"/>
            <w:vAlign w:val="center"/>
          </w:tcPr>
          <w:p>
            <w:pPr>
              <w:pStyle w:val="39"/>
              <w:rPr>
                <w:rFonts w:ascii="Times New Roman" w:hAnsi="Times New Roman"/>
              </w:rPr>
            </w:pPr>
            <w:r>
              <w:rPr>
                <w:rFonts w:ascii="Times New Roman" w:hAnsi="Times New Roman"/>
              </w:rPr>
              <w:t>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4" w:type="pct"/>
            <w:vMerge w:val="continue"/>
            <w:vAlign w:val="center"/>
          </w:tcPr>
          <w:p>
            <w:pPr>
              <w:pStyle w:val="39"/>
              <w:rPr>
                <w:rFonts w:ascii="Times New Roman" w:hAnsi="Times New Roman"/>
              </w:rPr>
            </w:pPr>
          </w:p>
        </w:tc>
        <w:tc>
          <w:tcPr>
            <w:tcW w:w="1663" w:type="pct"/>
            <w:vAlign w:val="center"/>
          </w:tcPr>
          <w:p>
            <w:pPr>
              <w:pStyle w:val="39"/>
              <w:rPr>
                <w:rFonts w:ascii="Times New Roman" w:hAnsi="Times New Roman"/>
              </w:rPr>
            </w:pPr>
            <w:r>
              <w:rPr>
                <w:rFonts w:ascii="Times New Roman" w:hAnsi="Times New Roman"/>
              </w:rPr>
              <w:t>极端最低气温</w:t>
            </w:r>
          </w:p>
        </w:tc>
        <w:tc>
          <w:tcPr>
            <w:tcW w:w="1693" w:type="pct"/>
            <w:vAlign w:val="center"/>
          </w:tcPr>
          <w:p>
            <w:pPr>
              <w:pStyle w:val="39"/>
              <w:rPr>
                <w:rFonts w:ascii="Times New Roman" w:hAnsi="Times New Roman"/>
              </w:rPr>
            </w:pPr>
            <w:r>
              <w:rPr>
                <w:rFonts w:ascii="Times New Roman" w:hAnsi="Times New Roma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4" w:type="pct"/>
            <w:vMerge w:val="continue"/>
            <w:vAlign w:val="center"/>
          </w:tcPr>
          <w:p>
            <w:pPr>
              <w:pStyle w:val="39"/>
              <w:rPr>
                <w:rFonts w:ascii="Times New Roman" w:hAnsi="Times New Roman"/>
              </w:rPr>
            </w:pPr>
          </w:p>
        </w:tc>
        <w:tc>
          <w:tcPr>
            <w:tcW w:w="1663" w:type="pct"/>
            <w:vAlign w:val="center"/>
          </w:tcPr>
          <w:p>
            <w:pPr>
              <w:pStyle w:val="39"/>
              <w:rPr>
                <w:rFonts w:ascii="Times New Roman" w:hAnsi="Times New Roman"/>
              </w:rPr>
            </w:pPr>
            <w:r>
              <w:rPr>
                <w:rFonts w:ascii="Times New Roman" w:hAnsi="Times New Roman"/>
              </w:rPr>
              <w:t>多年平均最低气温</w:t>
            </w:r>
          </w:p>
        </w:tc>
        <w:tc>
          <w:tcPr>
            <w:tcW w:w="1693" w:type="pct"/>
            <w:vAlign w:val="center"/>
          </w:tcPr>
          <w:p>
            <w:pPr>
              <w:pStyle w:val="39"/>
              <w:rPr>
                <w:rFonts w:ascii="Times New Roman" w:hAnsi="Times New Roman"/>
              </w:rPr>
            </w:pPr>
            <w:r>
              <w:rPr>
                <w:rFonts w:ascii="Times New Roman" w:hAnsi="Times New Roma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4" w:type="pct"/>
            <w:vMerge w:val="restart"/>
            <w:vAlign w:val="center"/>
          </w:tcPr>
          <w:p>
            <w:pPr>
              <w:pStyle w:val="39"/>
              <w:rPr>
                <w:rFonts w:ascii="Times New Roman" w:hAnsi="Times New Roman"/>
              </w:rPr>
            </w:pPr>
            <w:r>
              <w:rPr>
                <w:rFonts w:ascii="Times New Roman" w:hAnsi="Times New Roman"/>
              </w:rPr>
              <w:t>年降水量（mm）</w:t>
            </w:r>
          </w:p>
        </w:tc>
        <w:tc>
          <w:tcPr>
            <w:tcW w:w="1663" w:type="pct"/>
            <w:vAlign w:val="center"/>
          </w:tcPr>
          <w:p>
            <w:pPr>
              <w:pStyle w:val="39"/>
              <w:rPr>
                <w:rFonts w:ascii="Times New Roman" w:hAnsi="Times New Roman"/>
              </w:rPr>
            </w:pPr>
            <w:r>
              <w:rPr>
                <w:rFonts w:ascii="Times New Roman" w:hAnsi="Times New Roman"/>
              </w:rPr>
              <w:t>平均</w:t>
            </w:r>
          </w:p>
        </w:tc>
        <w:tc>
          <w:tcPr>
            <w:tcW w:w="1693" w:type="pct"/>
            <w:vAlign w:val="center"/>
          </w:tcPr>
          <w:p>
            <w:pPr>
              <w:pStyle w:val="39"/>
              <w:rPr>
                <w:rFonts w:ascii="Times New Roman" w:hAnsi="Times New Roman"/>
              </w:rPr>
            </w:pPr>
            <w:r>
              <w:rPr>
                <w:rFonts w:ascii="Times New Roman" w:hAnsi="Times New Roman"/>
              </w:rPr>
              <w:t>1213.5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4" w:type="pct"/>
            <w:vMerge w:val="continue"/>
            <w:vAlign w:val="center"/>
          </w:tcPr>
          <w:p>
            <w:pPr>
              <w:pStyle w:val="39"/>
              <w:rPr>
                <w:rFonts w:ascii="Times New Roman" w:hAnsi="Times New Roman"/>
              </w:rPr>
            </w:pPr>
          </w:p>
        </w:tc>
        <w:tc>
          <w:tcPr>
            <w:tcW w:w="1663" w:type="pct"/>
            <w:vAlign w:val="center"/>
          </w:tcPr>
          <w:p>
            <w:pPr>
              <w:pStyle w:val="39"/>
              <w:rPr>
                <w:rFonts w:ascii="Times New Roman" w:hAnsi="Times New Roman"/>
              </w:rPr>
            </w:pPr>
            <w:r>
              <w:rPr>
                <w:rFonts w:ascii="Times New Roman" w:hAnsi="Times New Roman"/>
              </w:rPr>
              <w:t>最大</w:t>
            </w:r>
          </w:p>
        </w:tc>
        <w:tc>
          <w:tcPr>
            <w:tcW w:w="1693" w:type="pct"/>
            <w:vAlign w:val="center"/>
          </w:tcPr>
          <w:p>
            <w:pPr>
              <w:pStyle w:val="39"/>
              <w:rPr>
                <w:rFonts w:ascii="Times New Roman" w:hAnsi="Times New Roman"/>
              </w:rPr>
            </w:pPr>
            <w:r>
              <w:rPr>
                <w:rFonts w:ascii="Times New Roman" w:hAnsi="Times New Roman"/>
              </w:rPr>
              <w:t>1698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4" w:type="pct"/>
            <w:vMerge w:val="continue"/>
            <w:vAlign w:val="center"/>
          </w:tcPr>
          <w:p>
            <w:pPr>
              <w:pStyle w:val="39"/>
              <w:rPr>
                <w:rFonts w:ascii="Times New Roman" w:hAnsi="Times New Roman"/>
              </w:rPr>
            </w:pPr>
          </w:p>
        </w:tc>
        <w:tc>
          <w:tcPr>
            <w:tcW w:w="1663" w:type="pct"/>
            <w:vAlign w:val="center"/>
          </w:tcPr>
          <w:p>
            <w:pPr>
              <w:pStyle w:val="39"/>
              <w:rPr>
                <w:rFonts w:ascii="Times New Roman" w:hAnsi="Times New Roman"/>
              </w:rPr>
            </w:pPr>
            <w:r>
              <w:rPr>
                <w:rFonts w:ascii="Times New Roman" w:hAnsi="Times New Roman"/>
              </w:rPr>
              <w:t>最小</w:t>
            </w:r>
          </w:p>
        </w:tc>
        <w:tc>
          <w:tcPr>
            <w:tcW w:w="1693" w:type="pct"/>
            <w:vAlign w:val="center"/>
          </w:tcPr>
          <w:p>
            <w:pPr>
              <w:pStyle w:val="39"/>
              <w:rPr>
                <w:rFonts w:ascii="Times New Roman" w:hAnsi="Times New Roman"/>
              </w:rPr>
            </w:pPr>
            <w:r>
              <w:rPr>
                <w:rFonts w:ascii="Times New Roman" w:hAnsi="Times New Roman"/>
              </w:rPr>
              <w:t>865.9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4" w:type="pct"/>
            <w:vAlign w:val="center"/>
          </w:tcPr>
          <w:p>
            <w:pPr>
              <w:pStyle w:val="39"/>
              <w:rPr>
                <w:rFonts w:ascii="Times New Roman" w:hAnsi="Times New Roman"/>
              </w:rPr>
            </w:pPr>
            <w:r>
              <w:rPr>
                <w:rFonts w:ascii="Times New Roman" w:hAnsi="Times New Roman"/>
              </w:rPr>
              <w:t>日降雨量（mm）</w:t>
            </w:r>
          </w:p>
        </w:tc>
        <w:tc>
          <w:tcPr>
            <w:tcW w:w="1663" w:type="pct"/>
            <w:vAlign w:val="center"/>
          </w:tcPr>
          <w:p>
            <w:pPr>
              <w:pStyle w:val="39"/>
              <w:rPr>
                <w:rFonts w:ascii="Times New Roman" w:hAnsi="Times New Roman"/>
              </w:rPr>
            </w:pPr>
            <w:r>
              <w:rPr>
                <w:rFonts w:ascii="Times New Roman" w:hAnsi="Times New Roman"/>
              </w:rPr>
              <w:t>最大</w:t>
            </w:r>
          </w:p>
        </w:tc>
        <w:tc>
          <w:tcPr>
            <w:tcW w:w="1693" w:type="pct"/>
            <w:vAlign w:val="center"/>
          </w:tcPr>
          <w:p>
            <w:pPr>
              <w:pStyle w:val="39"/>
              <w:rPr>
                <w:rFonts w:ascii="Times New Roman" w:hAnsi="Times New Roman"/>
              </w:rPr>
            </w:pPr>
            <w:r>
              <w:rPr>
                <w:rFonts w:ascii="Times New Roman" w:hAnsi="Times New Roman"/>
              </w:rPr>
              <w:t>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4" w:type="pct"/>
            <w:vMerge w:val="restart"/>
            <w:vAlign w:val="center"/>
          </w:tcPr>
          <w:p>
            <w:pPr>
              <w:pStyle w:val="39"/>
              <w:rPr>
                <w:rFonts w:ascii="Times New Roman" w:hAnsi="Times New Roman"/>
              </w:rPr>
            </w:pPr>
            <w:r>
              <w:rPr>
                <w:rFonts w:ascii="Times New Roman" w:hAnsi="Times New Roman"/>
              </w:rPr>
              <w:t>风速（m/s）</w:t>
            </w:r>
          </w:p>
        </w:tc>
        <w:tc>
          <w:tcPr>
            <w:tcW w:w="1663" w:type="pct"/>
            <w:vAlign w:val="center"/>
          </w:tcPr>
          <w:p>
            <w:pPr>
              <w:pStyle w:val="39"/>
              <w:rPr>
                <w:rFonts w:ascii="Times New Roman" w:hAnsi="Times New Roman"/>
              </w:rPr>
            </w:pPr>
            <w:r>
              <w:rPr>
                <w:rFonts w:ascii="Times New Roman" w:hAnsi="Times New Roman"/>
              </w:rPr>
              <w:t>平均</w:t>
            </w:r>
          </w:p>
        </w:tc>
        <w:tc>
          <w:tcPr>
            <w:tcW w:w="1693" w:type="pct"/>
            <w:vAlign w:val="center"/>
          </w:tcPr>
          <w:p>
            <w:pPr>
              <w:pStyle w:val="39"/>
              <w:rPr>
                <w:rFonts w:ascii="Times New Roman" w:hAnsi="Times New Roman"/>
              </w:rPr>
            </w:pPr>
            <w:r>
              <w:rPr>
                <w:rFonts w:ascii="Times New Roman" w:hAnsi="Times New Roma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4" w:type="pct"/>
            <w:vMerge w:val="continue"/>
            <w:vAlign w:val="center"/>
          </w:tcPr>
          <w:p>
            <w:pPr>
              <w:pStyle w:val="39"/>
              <w:rPr>
                <w:rFonts w:ascii="Times New Roman" w:hAnsi="Times New Roman"/>
              </w:rPr>
            </w:pPr>
          </w:p>
        </w:tc>
        <w:tc>
          <w:tcPr>
            <w:tcW w:w="1663" w:type="pct"/>
            <w:vAlign w:val="center"/>
          </w:tcPr>
          <w:p>
            <w:pPr>
              <w:pStyle w:val="39"/>
              <w:rPr>
                <w:rFonts w:ascii="Times New Roman" w:hAnsi="Times New Roman"/>
              </w:rPr>
            </w:pPr>
            <w:r>
              <w:rPr>
                <w:rFonts w:ascii="Times New Roman" w:hAnsi="Times New Roman"/>
              </w:rPr>
              <w:t>最大</w:t>
            </w:r>
          </w:p>
        </w:tc>
        <w:tc>
          <w:tcPr>
            <w:tcW w:w="1693" w:type="pct"/>
            <w:vAlign w:val="center"/>
          </w:tcPr>
          <w:p>
            <w:pPr>
              <w:pStyle w:val="39"/>
              <w:rPr>
                <w:rFonts w:ascii="Times New Roman" w:hAnsi="Times New Roman"/>
              </w:rPr>
            </w:pPr>
            <w:r>
              <w:rPr>
                <w:rFonts w:ascii="Times New Roman" w:hAnsi="Times New Roma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4" w:type="pct"/>
            <w:vMerge w:val="continue"/>
            <w:vAlign w:val="center"/>
          </w:tcPr>
          <w:p>
            <w:pPr>
              <w:pStyle w:val="39"/>
              <w:rPr>
                <w:rFonts w:ascii="Times New Roman" w:hAnsi="Times New Roman"/>
              </w:rPr>
            </w:pPr>
          </w:p>
        </w:tc>
        <w:tc>
          <w:tcPr>
            <w:tcW w:w="1663" w:type="pct"/>
            <w:vAlign w:val="center"/>
          </w:tcPr>
          <w:p>
            <w:pPr>
              <w:pStyle w:val="39"/>
              <w:rPr>
                <w:rFonts w:ascii="Times New Roman" w:hAnsi="Times New Roman"/>
              </w:rPr>
            </w:pPr>
            <w:r>
              <w:rPr>
                <w:rFonts w:ascii="Times New Roman" w:hAnsi="Times New Roman"/>
              </w:rPr>
              <w:t>主导风向</w:t>
            </w:r>
          </w:p>
        </w:tc>
        <w:tc>
          <w:tcPr>
            <w:tcW w:w="1693" w:type="pct"/>
            <w:vAlign w:val="center"/>
          </w:tcPr>
          <w:p>
            <w:pPr>
              <w:pStyle w:val="39"/>
              <w:rPr>
                <w:rFonts w:ascii="Times New Roman" w:hAnsi="Times New Roman"/>
              </w:rPr>
            </w:pPr>
            <w:r>
              <w:rPr>
                <w:rFonts w:ascii="Times New Roman" w:hAnsi="Times New Roman"/>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07" w:type="pct"/>
            <w:gridSpan w:val="2"/>
            <w:vAlign w:val="center"/>
          </w:tcPr>
          <w:p>
            <w:pPr>
              <w:pStyle w:val="39"/>
              <w:rPr>
                <w:rFonts w:ascii="Times New Roman" w:hAnsi="Times New Roman"/>
              </w:rPr>
            </w:pPr>
            <w:r>
              <w:rPr>
                <w:rFonts w:ascii="Times New Roman" w:hAnsi="Times New Roman"/>
              </w:rPr>
              <w:t>年平均日照时数（h）</w:t>
            </w:r>
          </w:p>
        </w:tc>
        <w:tc>
          <w:tcPr>
            <w:tcW w:w="1693" w:type="pct"/>
            <w:vAlign w:val="center"/>
          </w:tcPr>
          <w:p>
            <w:pPr>
              <w:pStyle w:val="39"/>
              <w:rPr>
                <w:rFonts w:ascii="Times New Roman" w:hAnsi="Times New Roman"/>
              </w:rPr>
            </w:pPr>
            <w:r>
              <w:rPr>
                <w:rFonts w:ascii="Times New Roman" w:hAnsi="Times New Roman"/>
              </w:rPr>
              <w:t>1596.3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07" w:type="pct"/>
            <w:gridSpan w:val="2"/>
            <w:vAlign w:val="center"/>
          </w:tcPr>
          <w:p>
            <w:pPr>
              <w:pStyle w:val="39"/>
              <w:rPr>
                <w:rFonts w:ascii="Times New Roman" w:hAnsi="Times New Roman"/>
              </w:rPr>
            </w:pPr>
            <w:r>
              <w:rPr>
                <w:rFonts w:ascii="Times New Roman" w:hAnsi="Times New Roman"/>
              </w:rPr>
              <w:t>多年平均气温（℃）</w:t>
            </w:r>
          </w:p>
        </w:tc>
        <w:tc>
          <w:tcPr>
            <w:tcW w:w="1693" w:type="pct"/>
            <w:vAlign w:val="center"/>
          </w:tcPr>
          <w:p>
            <w:pPr>
              <w:pStyle w:val="39"/>
              <w:rPr>
                <w:rFonts w:ascii="Times New Roman" w:hAnsi="Times New Roman"/>
              </w:rPr>
            </w:pPr>
            <w:r>
              <w:rPr>
                <w:rFonts w:ascii="Times New Roman" w:hAnsi="Times New Roman"/>
              </w:rPr>
              <w:t>18.1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07" w:type="pct"/>
            <w:gridSpan w:val="2"/>
            <w:vAlign w:val="center"/>
          </w:tcPr>
          <w:p>
            <w:pPr>
              <w:pStyle w:val="39"/>
              <w:rPr>
                <w:rFonts w:ascii="Times New Roman" w:hAnsi="Times New Roman"/>
              </w:rPr>
            </w:pPr>
            <w:r>
              <w:rPr>
                <w:rFonts w:ascii="Times New Roman" w:hAnsi="Times New Roman"/>
              </w:rPr>
              <w:t>年平均蒸发量（mm）</w:t>
            </w:r>
          </w:p>
        </w:tc>
        <w:tc>
          <w:tcPr>
            <w:tcW w:w="1693" w:type="pct"/>
            <w:vAlign w:val="center"/>
          </w:tcPr>
          <w:p>
            <w:pPr>
              <w:pStyle w:val="39"/>
              <w:rPr>
                <w:rFonts w:ascii="Times New Roman" w:hAnsi="Times New Roman"/>
              </w:rPr>
            </w:pPr>
            <w:r>
              <w:rPr>
                <w:rFonts w:ascii="Times New Roman" w:hAnsi="Times New Roman"/>
              </w:rPr>
              <w:t>1215.9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07" w:type="pct"/>
            <w:gridSpan w:val="2"/>
            <w:vAlign w:val="center"/>
          </w:tcPr>
          <w:p>
            <w:pPr>
              <w:pStyle w:val="39"/>
              <w:rPr>
                <w:rFonts w:ascii="Times New Roman" w:hAnsi="Times New Roman"/>
              </w:rPr>
            </w:pPr>
            <w:r>
              <w:rPr>
                <w:rFonts w:ascii="Times New Roman" w:hAnsi="Times New Roman"/>
              </w:rPr>
              <w:t>年均无霜期（d）</w:t>
            </w:r>
          </w:p>
        </w:tc>
        <w:tc>
          <w:tcPr>
            <w:tcW w:w="1693" w:type="pct"/>
            <w:vAlign w:val="center"/>
          </w:tcPr>
          <w:p>
            <w:pPr>
              <w:pStyle w:val="39"/>
              <w:rPr>
                <w:rFonts w:ascii="Times New Roman" w:hAnsi="Times New Roman"/>
              </w:rPr>
            </w:pPr>
            <w:r>
              <w:rPr>
                <w:rFonts w:ascii="Times New Roman" w:hAnsi="Times New Roman"/>
              </w:rPr>
              <w:t>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07" w:type="pct"/>
            <w:gridSpan w:val="2"/>
            <w:vAlign w:val="center"/>
          </w:tcPr>
          <w:p>
            <w:pPr>
              <w:pStyle w:val="39"/>
              <w:rPr>
                <w:rFonts w:ascii="Times New Roman" w:hAnsi="Times New Roman"/>
              </w:rPr>
            </w:pPr>
            <w:r>
              <w:rPr>
                <w:rFonts w:ascii="Times New Roman" w:hAnsi="Times New Roman"/>
              </w:rPr>
              <w:t>相对湿度（%）</w:t>
            </w:r>
          </w:p>
        </w:tc>
        <w:tc>
          <w:tcPr>
            <w:tcW w:w="1693" w:type="pct"/>
            <w:vAlign w:val="center"/>
          </w:tcPr>
          <w:p>
            <w:pPr>
              <w:pStyle w:val="39"/>
              <w:rPr>
                <w:rFonts w:ascii="Times New Roman" w:hAnsi="Times New Roman"/>
              </w:rPr>
            </w:pPr>
            <w:r>
              <w:rPr>
                <w:rFonts w:ascii="Times New Roman" w:hAnsi="Times New Roman"/>
              </w:rPr>
              <w:t>77</w:t>
            </w:r>
          </w:p>
        </w:tc>
      </w:tr>
    </w:tbl>
    <w:p>
      <w:pPr>
        <w:ind w:firstLine="480"/>
        <w:rPr>
          <w:rFonts w:ascii="Times New Roman" w:hAnsi="Times New Roman"/>
        </w:rPr>
      </w:pPr>
    </w:p>
    <w:p>
      <w:pPr>
        <w:pStyle w:val="4"/>
        <w:rPr>
          <w:rFonts w:ascii="Times New Roman" w:hAnsi="Times New Roman" w:cs="Times New Roman"/>
        </w:rPr>
      </w:pPr>
      <w:r>
        <w:rPr>
          <w:rFonts w:ascii="Times New Roman" w:hAnsi="Times New Roman" w:cs="Times New Roman"/>
        </w:rPr>
        <w:t>区域地质情况</w:t>
      </w:r>
    </w:p>
    <w:p>
      <w:pPr>
        <w:ind w:firstLine="480"/>
        <w:rPr>
          <w:rFonts w:ascii="Times New Roman" w:hAnsi="Times New Roman"/>
        </w:rPr>
      </w:pPr>
      <w:r>
        <w:rPr>
          <w:rFonts w:ascii="Times New Roman" w:hAnsi="Times New Roman"/>
        </w:rPr>
        <w:t>项目所在区域在大地构造上属扬子准地台（Ⅰ1）之四川台坳（Ⅱ5），其区域构造体系属新华夏系构造体系，为燕山～喜玛拉雅山期成生之北北东向构造。次一级构造为川东陷褶束（Ⅲ16），主要由单式和复式褶皱，以及扭压性断裂组成，构造轴线多呈雁形排列，褶皱多呈箱状或梳状，背斜成山较紧密，向斜成谷较宽阔，形成隔档式构造。本区出露地层比较单一， 低山深丘区主要为三迭系灰岩、砂岩、侏罗系泥岩、砂岩。第四系覆盖层主要为坡残积粉质粘土，分布较广，但厚度一般较薄；冲洪积粉质粘土和砂卵石仅在河流冲沟及两岸分布。勘察区内的不良地质现象主要为崩塌，一般规模不大，影响范围较小，破坏力较小，在施工中易于处理。</w:t>
      </w:r>
    </w:p>
    <w:p>
      <w:pPr>
        <w:pStyle w:val="4"/>
        <w:rPr>
          <w:rFonts w:ascii="Times New Roman" w:hAnsi="Times New Roman" w:cs="Times New Roman"/>
        </w:rPr>
      </w:pPr>
      <w:r>
        <w:rPr>
          <w:rFonts w:ascii="Times New Roman" w:hAnsi="Times New Roman" w:cs="Times New Roman"/>
        </w:rPr>
        <w:t>水系水文</w:t>
      </w:r>
    </w:p>
    <w:p>
      <w:pPr>
        <w:ind w:firstLine="480"/>
        <w:rPr>
          <w:rFonts w:ascii="Times New Roman" w:hAnsi="Times New Roman"/>
        </w:rPr>
      </w:pPr>
      <w:r>
        <w:rPr>
          <w:rFonts w:ascii="Times New Roman" w:hAnsi="Times New Roman"/>
        </w:rPr>
        <w:t>宣汉县境内主要分布有后江、中河、清溪河和前河，中河和清溪河分别在普光镇和清溪镇汇入后江，后江与前河在宣汉县江口水电站汇合为州河，州河流经宣汉县、达县，在渠县境内汇入渠江，最后汇入嘉陵江。</w:t>
      </w:r>
    </w:p>
    <w:p>
      <w:pPr>
        <w:ind w:firstLine="480"/>
        <w:rPr>
          <w:rFonts w:ascii="Times New Roman" w:hAnsi="Times New Roman"/>
        </w:rPr>
      </w:pPr>
      <w:r>
        <w:rPr>
          <w:rFonts w:ascii="Times New Roman" w:hAnsi="Times New Roman"/>
        </w:rPr>
        <w:t>宣汉县属嘉陵江水系。前、中、后河纵横宣汉县，天然落差16.6～327m，年均流量34～160 m³/s，宣汉县内流域面积占宣汉县88%。州河发源于大巴山南麓，沿途纳入明月江、铜堡河等。州河东林站多年平均流量158.64m</w:t>
      </w:r>
      <w:r>
        <w:rPr>
          <w:rFonts w:ascii="Times New Roman" w:hAnsi="Times New Roman"/>
          <w:vertAlign w:val="superscript"/>
        </w:rPr>
        <w:t>3</w:t>
      </w:r>
      <w:r>
        <w:rPr>
          <w:rFonts w:ascii="Times New Roman" w:hAnsi="Times New Roman"/>
        </w:rPr>
        <w:t>/s，年径流量50.8亿m</w:t>
      </w:r>
      <w:r>
        <w:rPr>
          <w:rFonts w:ascii="Times New Roman" w:hAnsi="Times New Roman"/>
          <w:vertAlign w:val="superscript"/>
        </w:rPr>
        <w:t>3</w:t>
      </w:r>
      <w:r>
        <w:rPr>
          <w:rFonts w:ascii="Times New Roman" w:hAnsi="Times New Roman"/>
        </w:rPr>
        <w:t>；明月江明月站多年平均流量14.83m</w:t>
      </w:r>
      <w:r>
        <w:rPr>
          <w:rFonts w:ascii="Times New Roman" w:hAnsi="Times New Roman"/>
          <w:vertAlign w:val="superscript"/>
        </w:rPr>
        <w:t>3</w:t>
      </w:r>
      <w:r>
        <w:rPr>
          <w:rFonts w:ascii="Times New Roman" w:hAnsi="Times New Roman"/>
        </w:rPr>
        <w:t>/s年流量4.68亿m</w:t>
      </w:r>
      <w:r>
        <w:rPr>
          <w:rFonts w:ascii="Times New Roman" w:hAnsi="Times New Roman"/>
          <w:vertAlign w:val="superscript"/>
        </w:rPr>
        <w:t>3</w:t>
      </w:r>
      <w:r>
        <w:rPr>
          <w:rFonts w:ascii="Times New Roman" w:hAnsi="Times New Roman"/>
        </w:rPr>
        <w:t>。该区域境内河流属州河水系，流向与地域地势向一致。干流的基本流向是以北流向南。境内河流有后河：发源于万源县城北大横山，由北面万源入境南流，纵贯西北部。全流域面积为3670.7km</w:t>
      </w:r>
      <w:r>
        <w:rPr>
          <w:rFonts w:ascii="Times New Roman" w:hAnsi="Times New Roman"/>
          <w:vertAlign w:val="superscript"/>
        </w:rPr>
        <w:t>2</w:t>
      </w:r>
      <w:r>
        <w:rPr>
          <w:rFonts w:ascii="Times New Roman" w:hAnsi="Times New Roman"/>
        </w:rPr>
        <w:t>，干流长56km总落差60m，平均坡降约1.1%。</w:t>
      </w:r>
    </w:p>
    <w:p>
      <w:pPr>
        <w:ind w:firstLine="480"/>
        <w:rPr>
          <w:rFonts w:ascii="Times New Roman" w:hAnsi="Times New Roman"/>
        </w:rPr>
      </w:pPr>
      <w:r>
        <w:rPr>
          <w:rFonts w:ascii="Times New Roman" w:hAnsi="Times New Roman"/>
        </w:rPr>
        <w:t>清溪河又名乱石滩河，是后河左岸的一级支流。清溪河上游起于宣汉县华景镇，地理坐标为（108°3'8.858E，31°35'3.631N），止于宣汉县清溪镇，地理坐标为（107°47'19.355E，31°25'56.762N），河段全长约37.66km（不含白岩滩水库库区范围），地表水系见附图34。</w:t>
      </w:r>
    </w:p>
    <w:p>
      <w:pPr>
        <w:pStyle w:val="4"/>
        <w:rPr>
          <w:rFonts w:ascii="Times New Roman" w:hAnsi="Times New Roman" w:cs="Times New Roman"/>
        </w:rPr>
      </w:pPr>
      <w:r>
        <w:rPr>
          <w:rFonts w:ascii="Times New Roman" w:hAnsi="Times New Roman" w:cs="Times New Roman"/>
        </w:rPr>
        <w:t>主要断裂带及地震基本烈度</w:t>
      </w:r>
    </w:p>
    <w:p>
      <w:pPr>
        <w:ind w:firstLine="480"/>
        <w:rPr>
          <w:rFonts w:ascii="Times New Roman" w:hAnsi="Times New Roman"/>
        </w:rPr>
      </w:pPr>
      <w:r>
        <w:rPr>
          <w:rFonts w:ascii="Times New Roman" w:hAnsi="Times New Roman"/>
        </w:rPr>
        <w:t>项目所在区在大地构造上属扬子准地台，新华夏系构造体系，为燕山～喜马拉雅山期成生之北北东向构造，次一级构造单元为川东褶皱带与南大巴山弧形褶皱带的过渡带， 主要受川东褶皱带的控制，由单式和复式褶皱以及扭压性断裂组成，构造轴线多呈雁行排列，褶皱多呈箱状或梳状，背斜成山较紧密，向斜成谷较开阔，卷入地层有寒武系至侏罗系。场地位于五宝场背斜与平楼场向斜过渡地带，主要受五宝场背斜的影响，为单斜地层。</w:t>
      </w:r>
    </w:p>
    <w:p>
      <w:pPr>
        <w:ind w:firstLine="480"/>
        <w:rPr>
          <w:rFonts w:ascii="Times New Roman" w:hAnsi="Times New Roman"/>
        </w:rPr>
      </w:pPr>
      <w:r>
        <w:rPr>
          <w:rFonts w:ascii="Times New Roman" w:hAnsi="Times New Roman"/>
        </w:rPr>
        <w:t>根据四川省区域地质资料，勘察区附近未见断裂构造分布，属地震波及区域。根据中国地震动参数区划图（GB18306-2015）资料，勘察区场地地震动峰值加速度值为 0.05g（相应地震基本烈度为Ⅵ度），地震动反应谱特征周期为 0.35s。</w:t>
      </w:r>
    </w:p>
    <w:p>
      <w:pPr>
        <w:pStyle w:val="4"/>
        <w:rPr>
          <w:rFonts w:ascii="Times New Roman" w:hAnsi="Times New Roman" w:cs="Times New Roman"/>
        </w:rPr>
      </w:pPr>
      <w:r>
        <w:rPr>
          <w:rFonts w:ascii="Times New Roman" w:hAnsi="Times New Roman" w:cs="Times New Roman"/>
        </w:rPr>
        <w:t>土壤、植被及野生动物</w:t>
      </w:r>
    </w:p>
    <w:p>
      <w:pPr>
        <w:ind w:firstLine="480"/>
        <w:rPr>
          <w:rFonts w:ascii="Times New Roman" w:hAnsi="Times New Roman"/>
        </w:rPr>
      </w:pPr>
      <w:r>
        <w:rPr>
          <w:rFonts w:ascii="Times New Roman" w:hAnsi="Times New Roman"/>
        </w:rPr>
        <w:t>宣汉县主要土类有水稻土、冲积土、紫色土三大类，其中以紫色土分布最广，占80%以上。土壤以沙质壤土为主，土壤结构松散，颗粒易流失。宣汉县的水土流失主要通过雨季暴雨冲刷产生。</w:t>
      </w:r>
    </w:p>
    <w:p>
      <w:pPr>
        <w:ind w:firstLine="480"/>
        <w:rPr>
          <w:rFonts w:ascii="Times New Roman" w:hAnsi="Times New Roman"/>
        </w:rPr>
      </w:pPr>
      <w:r>
        <w:rPr>
          <w:rFonts w:ascii="Times New Roman" w:hAnsi="Times New Roman"/>
        </w:rPr>
        <w:t>宣汉县地处亚热带季风气候区，气候温和，地形多变，植物种类繁多，植被类型以亚热带常绿阔叶林为主，宣汉县原始植物种类主要有杉松、柏、桤木、栎类（如麻栎、櫯栎、松皮栎等）及黄荆、马桑等，森林覆盖率达45%。</w:t>
      </w:r>
    </w:p>
    <w:p>
      <w:pPr>
        <w:ind w:firstLine="480"/>
        <w:rPr>
          <w:rFonts w:ascii="Times New Roman" w:hAnsi="Times New Roman"/>
        </w:rPr>
      </w:pPr>
      <w:r>
        <w:rPr>
          <w:rFonts w:ascii="Times New Roman" w:hAnsi="Times New Roman"/>
        </w:rPr>
        <w:t>宣汉县野生动物约400种，其中金钱豹、猕猴、大鲵（娃娃鱼）、白鹇等国家重点保护动物数10种，还有阳鱼、憨鸡、明鬃羊（四不象）等珍稀动物。野生动植物中有植物药171种，动物药39种，被称为“药物之乡”。</w:t>
      </w:r>
    </w:p>
    <w:p>
      <w:pPr>
        <w:pStyle w:val="3"/>
        <w:rPr>
          <w:rFonts w:ascii="Times New Roman" w:hAnsi="Times New Roman" w:cs="Times New Roman"/>
        </w:rPr>
      </w:pPr>
      <w:bookmarkStart w:id="124" w:name="_Toc162339413"/>
      <w:r>
        <w:rPr>
          <w:rFonts w:ascii="Times New Roman" w:hAnsi="Times New Roman" w:cs="Times New Roman"/>
        </w:rPr>
        <w:t>区域环境敏感区分布</w:t>
      </w:r>
      <w:bookmarkEnd w:id="124"/>
    </w:p>
    <w:p>
      <w:pPr>
        <w:ind w:firstLine="480"/>
        <w:rPr>
          <w:rFonts w:ascii="Times New Roman" w:hAnsi="Times New Roman"/>
        </w:rPr>
      </w:pPr>
      <w:r>
        <w:rPr>
          <w:rFonts w:ascii="Times New Roman" w:hAnsi="Times New Roman"/>
        </w:rPr>
        <w:t>宣汉县</w:t>
      </w:r>
      <w:r>
        <w:rPr>
          <w:rFonts w:hint="eastAsia" w:ascii="Times New Roman" w:hAnsi="Times New Roman"/>
        </w:rPr>
        <w:t>按</w:t>
      </w:r>
      <w:r>
        <w:rPr>
          <w:rFonts w:ascii="Times New Roman" w:hAnsi="Times New Roman"/>
        </w:rPr>
        <w:t>生态保护重要性划分为生态保护极重要区、重要区和一般重要区3个等级。其中生态保护极重要区总面积2930.39平方千米，占县域总面积69.12%。生态保护重要区总面积831.57平方千米，占县域总面积19.61%</w:t>
      </w:r>
      <w:r>
        <w:rPr>
          <w:rFonts w:hint="eastAsia" w:ascii="Times New Roman" w:hAnsi="Times New Roman"/>
        </w:rPr>
        <w:t>。</w:t>
      </w:r>
      <w:r>
        <w:rPr>
          <w:rFonts w:ascii="Times New Roman" w:hAnsi="Times New Roman"/>
        </w:rPr>
        <w:t>一般重要区面积为477.63平方千米，占县域总面积的11.27%。生态保护极重要区主要分布于东北部秦巴山脉，主要囊括龙泉土家族乡、渡口土家族乡等乡镇，包括有四川蜂桶山省级自然保护区、东林山省级森林公园、宣汉国家森林公园、白马山省级森林公园、百里峡省级自然保护区等自然保护地，以及白岩滩、观音岩、胡家沟水库、忠心水库等中小型水库，以及前河、中河、后河以及汇流后形成的州河，是县域重要的水生态环境保护和控制区域。</w:t>
      </w:r>
    </w:p>
    <w:p>
      <w:pPr>
        <w:ind w:firstLine="480"/>
        <w:rPr>
          <w:rFonts w:ascii="Times New Roman" w:hAnsi="Times New Roman"/>
        </w:rPr>
      </w:pPr>
      <w:r>
        <w:rPr>
          <w:rFonts w:ascii="Times New Roman" w:hAnsi="Times New Roman"/>
        </w:rPr>
        <w:t>宣汉县构建由1个国家公园、2个自然保护区和2个自然公园组成的三级自然保护地体系。</w:t>
      </w:r>
    </w:p>
    <w:p>
      <w:pPr>
        <w:ind w:firstLine="480"/>
        <w:rPr>
          <w:rFonts w:ascii="Times New Roman" w:hAnsi="Times New Roman"/>
        </w:rPr>
      </w:pPr>
      <w:r>
        <w:rPr>
          <w:rFonts w:ascii="Times New Roman" w:hAnsi="Times New Roman"/>
        </w:rPr>
        <w:t>国家公园即宣汉国家森林公园，位于四川盆地东北大巴山南麓，川、渝、鄂、陕结合部的宣汉县境内。分为观音山、峨城竹海、五马归槽三个片区，总面积4621.27公顷。</w:t>
      </w:r>
    </w:p>
    <w:p>
      <w:pPr>
        <w:ind w:firstLine="480"/>
        <w:rPr>
          <w:rFonts w:ascii="Times New Roman" w:hAnsi="Times New Roman"/>
        </w:rPr>
      </w:pPr>
      <w:r>
        <w:rPr>
          <w:rFonts w:ascii="Times New Roman" w:hAnsi="Times New Roman"/>
        </w:rPr>
        <w:t>自然保护区即四川蜂桶山省级自然保护区，位于宣汉县东北部与万源市交界处，主体位于万源市，宣汉县涉及面积18.29公顷；四川宣汉县百里峡自然保护区，位于四川盆地西北缘的达州市宣汉县东北部，总面积约26454.5公顷。</w:t>
      </w:r>
    </w:p>
    <w:p>
      <w:pPr>
        <w:ind w:firstLine="480"/>
        <w:rPr>
          <w:rFonts w:ascii="Times New Roman" w:hAnsi="Times New Roman"/>
        </w:rPr>
      </w:pPr>
      <w:r>
        <w:rPr>
          <w:rFonts w:ascii="Times New Roman" w:hAnsi="Times New Roman"/>
        </w:rPr>
        <w:t>自然公园即四川省东林山森林自然公园，位于达州市宣汉县西北部与万源交界处，主体位于万源市，宣汉县涉及面积1.56公顷；四川省宣汉白马山森林自然公园，位于达州市宣汉县白马镇，总面积297.99公顷。</w:t>
      </w:r>
    </w:p>
    <w:p>
      <w:pPr>
        <w:ind w:firstLine="480"/>
        <w:rPr>
          <w:rFonts w:ascii="Times New Roman" w:hAnsi="Times New Roman"/>
        </w:rPr>
      </w:pPr>
      <w:r>
        <w:rPr>
          <w:rFonts w:ascii="Times New Roman" w:hAnsi="Times New Roman"/>
        </w:rPr>
        <w:t>核心保护区：将四川宣汉县百里峡省级自然保护区核心区划为自然保护地核心保护区，总面积16662.97公顷，核心保护区原则上禁止一切人为活动。</w:t>
      </w:r>
    </w:p>
    <w:p>
      <w:pPr>
        <w:ind w:firstLine="480"/>
        <w:rPr>
          <w:rFonts w:ascii="Times New Roman" w:hAnsi="Times New Roman"/>
        </w:rPr>
      </w:pPr>
      <w:r>
        <w:rPr>
          <w:rFonts w:ascii="Times New Roman" w:hAnsi="Times New Roman"/>
        </w:rPr>
        <w:t>一般控制区：核心保护区外范围划为一般控制区，总面积14730.64公顷，一般控制区禁止开发性、生产性建设活动，在符合法律法规的前提下，仅允许以下对生态功能不造成破坏的有限人为活动。</w:t>
      </w:r>
    </w:p>
    <w:p>
      <w:pPr>
        <w:ind w:firstLine="480"/>
        <w:rPr>
          <w:rFonts w:ascii="Times New Roman" w:hAnsi="Times New Roman"/>
        </w:rPr>
      </w:pPr>
      <w:r>
        <w:rPr>
          <w:rFonts w:ascii="Times New Roman" w:hAnsi="Times New Roman"/>
        </w:rPr>
        <w:t>根据调查，本项目与宣汉县境内主要环境敏感区为百里峡风景名胜区，该风景名胜区位于宣汉县境内，由百里峡片区和江口湖片区两个独立片区组成，总面积10500公顷。江口湖片区位于本项目西侧，最近距离约200m。该风景名胜区在宣汉县自然保护地优化整合后取消。本项目与百里峡风景名胜区的位置关系示意图见附图27。</w:t>
      </w:r>
    </w:p>
    <w:p>
      <w:pPr>
        <w:pStyle w:val="3"/>
        <w:rPr>
          <w:rFonts w:ascii="Times New Roman" w:hAnsi="Times New Roman" w:cs="Times New Roman"/>
        </w:rPr>
      </w:pPr>
      <w:bookmarkStart w:id="125" w:name="_Toc162339414"/>
      <w:r>
        <w:rPr>
          <w:rFonts w:ascii="Times New Roman" w:hAnsi="Times New Roman" w:cs="Times New Roman"/>
        </w:rPr>
        <w:t>区域污染源调查</w:t>
      </w:r>
      <w:bookmarkEnd w:id="125"/>
    </w:p>
    <w:p>
      <w:pPr>
        <w:ind w:firstLine="480"/>
        <w:rPr>
          <w:rFonts w:ascii="Times New Roman" w:hAnsi="Times New Roman"/>
        </w:rPr>
      </w:pPr>
      <w:r>
        <w:rPr>
          <w:rFonts w:ascii="Times New Roman" w:hAnsi="Times New Roman"/>
        </w:rPr>
        <w:t>本项目所在地位于四川省达州市宣汉县境内，项目区为农村地区。本次评价从四川省生态环境厅、达州市生态环境局、达州市宣汉生态环境局审批项目进行区域拟建和在建污染源的调查。</w:t>
      </w:r>
    </w:p>
    <w:p>
      <w:pPr>
        <w:ind w:firstLine="480"/>
        <w:rPr>
          <w:rFonts w:ascii="Times New Roman" w:hAnsi="Times New Roman"/>
        </w:rPr>
      </w:pPr>
      <w:r>
        <w:rPr>
          <w:rFonts w:ascii="Times New Roman" w:hAnsi="Times New Roman"/>
        </w:rPr>
        <w:t>经调查，本项目大气评价范围内无与本项目排放污染物相关的拟建或在建污染源。</w:t>
      </w:r>
    </w:p>
    <w:p>
      <w:pPr>
        <w:ind w:firstLine="480"/>
        <w:rPr>
          <w:rFonts w:ascii="Times New Roman" w:hAnsi="Times New Roman"/>
        </w:rPr>
      </w:pPr>
    </w:p>
    <w:p>
      <w:pPr>
        <w:ind w:firstLine="480"/>
        <w:rPr>
          <w:rFonts w:ascii="Times New Roman" w:hAnsi="Times New Roman"/>
        </w:rPr>
      </w:pPr>
    </w:p>
    <w:p>
      <w:pPr>
        <w:widowControl/>
        <w:spacing w:line="240" w:lineRule="auto"/>
        <w:ind w:firstLine="0" w:firstLineChars="0"/>
        <w:rPr>
          <w:rFonts w:ascii="Times New Roman" w:hAnsi="Times New Roman"/>
        </w:rPr>
      </w:pPr>
      <w:r>
        <w:rPr>
          <w:rFonts w:ascii="Times New Roman" w:hAnsi="Times New Roman"/>
        </w:rPr>
        <w:br w:type="page"/>
      </w:r>
    </w:p>
    <w:p>
      <w:pPr>
        <w:pStyle w:val="2"/>
        <w:rPr>
          <w:rFonts w:ascii="Times New Roman" w:hAnsi="Times New Roman" w:cs="Times New Roman"/>
        </w:rPr>
      </w:pPr>
      <w:bookmarkStart w:id="126" w:name="_Toc162339415"/>
      <w:r>
        <w:rPr>
          <w:rFonts w:ascii="Times New Roman" w:hAnsi="Times New Roman" w:cs="Times New Roman"/>
        </w:rPr>
        <w:t>环境质量现状调查与评价</w:t>
      </w:r>
      <w:bookmarkEnd w:id="126"/>
    </w:p>
    <w:p>
      <w:pPr>
        <w:pStyle w:val="3"/>
        <w:rPr>
          <w:rFonts w:ascii="Times New Roman" w:hAnsi="Times New Roman" w:cs="Times New Roman"/>
        </w:rPr>
      </w:pPr>
      <w:bookmarkStart w:id="127" w:name="_Toc162339416"/>
      <w:r>
        <w:rPr>
          <w:rFonts w:ascii="Times New Roman" w:hAnsi="Times New Roman" w:cs="Times New Roman"/>
        </w:rPr>
        <w:t>环境空气</w:t>
      </w:r>
      <w:bookmarkEnd w:id="127"/>
    </w:p>
    <w:p>
      <w:pPr>
        <w:ind w:firstLine="480"/>
        <w:rPr>
          <w:rFonts w:ascii="Times New Roman" w:hAnsi="Times New Roman"/>
        </w:rPr>
      </w:pPr>
      <w:r>
        <w:rPr>
          <w:rFonts w:ascii="Times New Roman" w:hAnsi="Times New Roman"/>
        </w:rPr>
        <w:t>本项目位于四川省达州市宣汉县，从气象资料和环境质量现状资料可获得性、完整性、有效性和代表性等方面综合考虑，确定本次评价工作的基准年为2022年。</w:t>
      </w:r>
    </w:p>
    <w:p>
      <w:pPr>
        <w:pStyle w:val="4"/>
        <w:rPr>
          <w:rFonts w:ascii="Times New Roman" w:hAnsi="Times New Roman" w:cs="Times New Roman"/>
        </w:rPr>
      </w:pPr>
      <w:r>
        <w:rPr>
          <w:rFonts w:ascii="Times New Roman" w:hAnsi="Times New Roman" w:cs="Times New Roman"/>
        </w:rPr>
        <w:t>达标区判定</w:t>
      </w:r>
    </w:p>
    <w:p>
      <w:pPr>
        <w:ind w:firstLine="480"/>
        <w:rPr>
          <w:rFonts w:ascii="Times New Roman" w:hAnsi="Times New Roman"/>
        </w:rPr>
      </w:pPr>
      <w:r>
        <w:rPr>
          <w:rFonts w:ascii="Times New Roman" w:hAnsi="Times New Roman"/>
        </w:rPr>
        <w:t>根据生态环境部环境工程评估中心国家环境保护环境影响评价数值模拟重点实验室发布数据（网址：http://data.lem.org.cn/eamds/apply/tostepone.html），达州市2022年SO</w:t>
      </w:r>
      <w:r>
        <w:rPr>
          <w:rFonts w:ascii="Times New Roman" w:hAnsi="Times New Roman"/>
          <w:vertAlign w:val="subscript"/>
        </w:rPr>
        <w:t>2</w:t>
      </w:r>
      <w:r>
        <w:rPr>
          <w:rFonts w:ascii="Times New Roman" w:hAnsi="Times New Roman"/>
        </w:rPr>
        <w:t>、NO</w:t>
      </w:r>
      <w:r>
        <w:rPr>
          <w:rFonts w:ascii="Times New Roman" w:hAnsi="Times New Roman"/>
          <w:vertAlign w:val="subscript"/>
        </w:rPr>
        <w:t>2</w:t>
      </w:r>
      <w:r>
        <w:rPr>
          <w:rFonts w:ascii="Times New Roman" w:hAnsi="Times New Roman"/>
        </w:rPr>
        <w:t>、PM</w:t>
      </w:r>
      <w:r>
        <w:rPr>
          <w:rFonts w:ascii="Times New Roman" w:hAnsi="Times New Roman"/>
          <w:vertAlign w:val="subscript"/>
        </w:rPr>
        <w:t>10</w:t>
      </w:r>
      <w:r>
        <w:rPr>
          <w:rFonts w:ascii="Times New Roman" w:hAnsi="Times New Roman"/>
        </w:rPr>
        <w:t>、PM</w:t>
      </w:r>
      <w:r>
        <w:rPr>
          <w:rFonts w:ascii="Times New Roman" w:hAnsi="Times New Roman"/>
          <w:vertAlign w:val="subscript"/>
        </w:rPr>
        <w:t>2.5</w:t>
      </w:r>
      <w:r>
        <w:rPr>
          <w:rFonts w:ascii="Times New Roman" w:hAnsi="Times New Roman"/>
        </w:rPr>
        <w:t>年均浓度分别为8μg/m</w:t>
      </w:r>
      <w:r>
        <w:rPr>
          <w:rFonts w:ascii="Times New Roman" w:hAnsi="Times New Roman"/>
          <w:vertAlign w:val="superscript"/>
        </w:rPr>
        <w:t>3</w:t>
      </w:r>
      <w:r>
        <w:rPr>
          <w:rFonts w:ascii="Times New Roman" w:hAnsi="Times New Roman"/>
        </w:rPr>
        <w:t>、35μg/m</w:t>
      </w:r>
      <w:r>
        <w:rPr>
          <w:rFonts w:ascii="Times New Roman" w:hAnsi="Times New Roman"/>
          <w:vertAlign w:val="superscript"/>
        </w:rPr>
        <w:t>3</w:t>
      </w:r>
      <w:r>
        <w:rPr>
          <w:rFonts w:ascii="Times New Roman" w:hAnsi="Times New Roman"/>
        </w:rPr>
        <w:t>、49μg/m</w:t>
      </w:r>
      <w:r>
        <w:rPr>
          <w:rFonts w:ascii="Times New Roman" w:hAnsi="Times New Roman"/>
          <w:vertAlign w:val="superscript"/>
        </w:rPr>
        <w:t>3</w:t>
      </w:r>
      <w:r>
        <w:rPr>
          <w:rFonts w:ascii="Times New Roman" w:hAnsi="Times New Roman"/>
        </w:rPr>
        <w:t>、30μg/m</w:t>
      </w:r>
      <w:r>
        <w:rPr>
          <w:rFonts w:ascii="Times New Roman" w:hAnsi="Times New Roman"/>
          <w:vertAlign w:val="superscript"/>
        </w:rPr>
        <w:t>3</w:t>
      </w:r>
      <w:r>
        <w:rPr>
          <w:rFonts w:ascii="Times New Roman" w:hAnsi="Times New Roman"/>
        </w:rPr>
        <w:t>；CO24小时平均第95百分位数为1.2mg/m</w:t>
      </w:r>
      <w:r>
        <w:rPr>
          <w:rFonts w:ascii="Times New Roman" w:hAnsi="Times New Roman"/>
          <w:vertAlign w:val="superscript"/>
        </w:rPr>
        <w:t>3</w:t>
      </w:r>
      <w:r>
        <w:rPr>
          <w:rFonts w:ascii="Times New Roman" w:hAnsi="Times New Roman"/>
        </w:rPr>
        <w:t>，O</w:t>
      </w:r>
      <w:r>
        <w:rPr>
          <w:rFonts w:ascii="Times New Roman" w:hAnsi="Times New Roman"/>
          <w:vertAlign w:val="subscript"/>
        </w:rPr>
        <w:t>3</w:t>
      </w:r>
      <w:r>
        <w:rPr>
          <w:rFonts w:ascii="Times New Roman" w:hAnsi="Times New Roman"/>
        </w:rPr>
        <w:t>日最大8小时平均第90百分位数为117μg/m</w:t>
      </w:r>
      <w:r>
        <w:rPr>
          <w:rFonts w:ascii="Times New Roman" w:hAnsi="Times New Roman"/>
          <w:vertAlign w:val="superscript"/>
        </w:rPr>
        <w:t>3</w:t>
      </w:r>
      <w:r>
        <w:rPr>
          <w:rFonts w:ascii="Times New Roman" w:hAnsi="Times New Roman"/>
        </w:rPr>
        <w:t>；各污染物平均浓度均优于《环境空气质量标准》（GB3095-2012）中二级标准限值，为环境空气质量达标区。</w:t>
      </w:r>
    </w:p>
    <w:p>
      <w:pPr>
        <w:pStyle w:val="4"/>
        <w:rPr>
          <w:rFonts w:ascii="Times New Roman" w:hAnsi="Times New Roman" w:cs="Times New Roman"/>
        </w:rPr>
      </w:pPr>
      <w:r>
        <w:rPr>
          <w:rFonts w:ascii="Times New Roman" w:hAnsi="Times New Roman" w:cs="Times New Roman"/>
        </w:rPr>
        <w:t>基本污染物环境质量现状</w:t>
      </w:r>
    </w:p>
    <w:p>
      <w:pPr>
        <w:ind w:firstLine="480"/>
        <w:rPr>
          <w:rFonts w:ascii="Times New Roman" w:hAnsi="Times New Roman"/>
        </w:rPr>
      </w:pPr>
      <w:r>
        <w:rPr>
          <w:rFonts w:ascii="Times New Roman" w:hAnsi="Times New Roman"/>
        </w:rPr>
        <w:t>本次评价收集了达州市生态环境局公布的《达州市2022年环境空气质量状况》，引用报告中2022年宣汉县第二中学子站空气质量数据，进行本项目评价范围环境空气质量评价，距离本项目约为17.4km，六项基本污染物均达标，见</w:t>
      </w:r>
      <w:r>
        <w:rPr>
          <w:rFonts w:ascii="Times New Roman" w:hAnsi="Times New Roman"/>
        </w:rPr>
        <w:fldChar w:fldCharType="begin"/>
      </w:r>
      <w:r>
        <w:rPr>
          <w:rFonts w:ascii="Times New Roman" w:hAnsi="Times New Roman"/>
        </w:rPr>
        <w:instrText xml:space="preserve"> REF _Ref155620756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28" w:name="_Ref15562075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bookmarkEnd w:id="128"/>
      <w:r>
        <w:rPr>
          <w:rFonts w:ascii="Times New Roman" w:hAnsi="Times New Roman" w:cs="Times New Roman"/>
        </w:rPr>
        <w:t xml:space="preserve">  宣汉县第二中学子站空气质量数据</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2"/>
        <w:gridCol w:w="2550"/>
        <w:gridCol w:w="1217"/>
        <w:gridCol w:w="1219"/>
        <w:gridCol w:w="1217"/>
        <w:gridCol w:w="12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7" w:type="pct"/>
            <w:vAlign w:val="center"/>
          </w:tcPr>
          <w:p>
            <w:pPr>
              <w:pStyle w:val="39"/>
              <w:rPr>
                <w:rFonts w:ascii="Times New Roman" w:hAnsi="Times New Roman"/>
              </w:rPr>
            </w:pPr>
            <w:r>
              <w:rPr>
                <w:rFonts w:ascii="Times New Roman" w:hAnsi="Times New Roman"/>
              </w:rPr>
              <w:t>污染物</w:t>
            </w:r>
          </w:p>
        </w:tc>
        <w:tc>
          <w:tcPr>
            <w:tcW w:w="1496" w:type="pct"/>
            <w:vAlign w:val="center"/>
          </w:tcPr>
          <w:p>
            <w:pPr>
              <w:pStyle w:val="39"/>
              <w:rPr>
                <w:rFonts w:ascii="Times New Roman" w:hAnsi="Times New Roman"/>
              </w:rPr>
            </w:pPr>
            <w:r>
              <w:rPr>
                <w:rFonts w:ascii="Times New Roman" w:hAnsi="Times New Roman"/>
              </w:rPr>
              <w:t>年评价指标</w:t>
            </w:r>
          </w:p>
        </w:tc>
        <w:tc>
          <w:tcPr>
            <w:tcW w:w="714" w:type="pct"/>
            <w:vAlign w:val="center"/>
          </w:tcPr>
          <w:p>
            <w:pPr>
              <w:pStyle w:val="39"/>
              <w:rPr>
                <w:rFonts w:ascii="Times New Roman" w:hAnsi="Times New Roman"/>
              </w:rPr>
            </w:pPr>
            <w:r>
              <w:rPr>
                <w:rFonts w:ascii="Times New Roman" w:hAnsi="Times New Roman"/>
              </w:rPr>
              <w:t>评价标准</w:t>
            </w:r>
          </w:p>
          <w:p>
            <w:pPr>
              <w:pStyle w:val="39"/>
              <w:rPr>
                <w:rFonts w:ascii="Times New Roman" w:hAnsi="Times New Roman"/>
              </w:rPr>
            </w:pPr>
            <w:r>
              <w:rPr>
                <w:rFonts w:ascii="Times New Roman" w:hAnsi="Times New Roman"/>
              </w:rPr>
              <w:t>μg/m</w:t>
            </w:r>
            <w:r>
              <w:rPr>
                <w:rFonts w:ascii="Times New Roman" w:hAnsi="Times New Roman"/>
                <w:vertAlign w:val="superscript"/>
              </w:rPr>
              <w:t>3</w:t>
            </w:r>
          </w:p>
        </w:tc>
        <w:tc>
          <w:tcPr>
            <w:tcW w:w="715" w:type="pct"/>
            <w:vAlign w:val="center"/>
          </w:tcPr>
          <w:p>
            <w:pPr>
              <w:pStyle w:val="39"/>
              <w:rPr>
                <w:rFonts w:ascii="Times New Roman" w:hAnsi="Times New Roman"/>
              </w:rPr>
            </w:pPr>
            <w:r>
              <w:rPr>
                <w:rFonts w:ascii="Times New Roman" w:hAnsi="Times New Roman"/>
              </w:rPr>
              <w:t>现状浓度</w:t>
            </w:r>
          </w:p>
          <w:p>
            <w:pPr>
              <w:pStyle w:val="39"/>
              <w:rPr>
                <w:rFonts w:ascii="Times New Roman" w:hAnsi="Times New Roman"/>
              </w:rPr>
            </w:pPr>
            <w:r>
              <w:rPr>
                <w:rFonts w:ascii="Times New Roman" w:hAnsi="Times New Roman"/>
              </w:rPr>
              <w:t>μg/m</w:t>
            </w:r>
            <w:r>
              <w:rPr>
                <w:rFonts w:ascii="Times New Roman" w:hAnsi="Times New Roman"/>
                <w:vertAlign w:val="superscript"/>
              </w:rPr>
              <w:t>3</w:t>
            </w:r>
          </w:p>
        </w:tc>
        <w:tc>
          <w:tcPr>
            <w:tcW w:w="714" w:type="pct"/>
            <w:vAlign w:val="center"/>
          </w:tcPr>
          <w:p>
            <w:pPr>
              <w:pStyle w:val="39"/>
              <w:rPr>
                <w:rFonts w:ascii="Times New Roman" w:hAnsi="Times New Roman"/>
              </w:rPr>
            </w:pPr>
            <w:r>
              <w:rPr>
                <w:rFonts w:ascii="Times New Roman" w:hAnsi="Times New Roman"/>
              </w:rPr>
              <w:t>最大浓度占标率%</w:t>
            </w:r>
          </w:p>
        </w:tc>
        <w:tc>
          <w:tcPr>
            <w:tcW w:w="714" w:type="pct"/>
            <w:vAlign w:val="center"/>
          </w:tcPr>
          <w:p>
            <w:pPr>
              <w:pStyle w:val="39"/>
              <w:rPr>
                <w:rFonts w:ascii="Times New Roman" w:hAnsi="Times New Roman"/>
              </w:rPr>
            </w:pPr>
            <w:r>
              <w:rPr>
                <w:rFonts w:ascii="Times New Roman" w:hAnsi="Times New Roma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7" w:type="pct"/>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1496" w:type="pct"/>
            <w:vAlign w:val="center"/>
          </w:tcPr>
          <w:p>
            <w:pPr>
              <w:pStyle w:val="39"/>
              <w:rPr>
                <w:rFonts w:ascii="Times New Roman" w:hAnsi="Times New Roman"/>
              </w:rPr>
            </w:pPr>
            <w:r>
              <w:rPr>
                <w:rFonts w:ascii="Times New Roman" w:hAnsi="Times New Roman"/>
              </w:rPr>
              <w:t>年平均</w:t>
            </w:r>
          </w:p>
        </w:tc>
        <w:tc>
          <w:tcPr>
            <w:tcW w:w="714" w:type="pct"/>
            <w:vAlign w:val="center"/>
          </w:tcPr>
          <w:p>
            <w:pPr>
              <w:pStyle w:val="39"/>
              <w:rPr>
                <w:rFonts w:ascii="Times New Roman" w:hAnsi="Times New Roman"/>
              </w:rPr>
            </w:pPr>
            <w:r>
              <w:rPr>
                <w:rFonts w:ascii="Times New Roman" w:hAnsi="Times New Roman"/>
              </w:rPr>
              <w:t>60</w:t>
            </w:r>
          </w:p>
        </w:tc>
        <w:tc>
          <w:tcPr>
            <w:tcW w:w="715" w:type="pct"/>
            <w:vAlign w:val="center"/>
          </w:tcPr>
          <w:p>
            <w:pPr>
              <w:pStyle w:val="39"/>
              <w:rPr>
                <w:rFonts w:ascii="Times New Roman" w:hAnsi="Times New Roman"/>
              </w:rPr>
            </w:pPr>
            <w:r>
              <w:rPr>
                <w:rFonts w:ascii="Times New Roman" w:hAnsi="Times New Roman"/>
              </w:rPr>
              <w:t>5</w:t>
            </w:r>
          </w:p>
        </w:tc>
        <w:tc>
          <w:tcPr>
            <w:tcW w:w="714" w:type="pct"/>
            <w:vAlign w:val="center"/>
          </w:tcPr>
          <w:p>
            <w:pPr>
              <w:pStyle w:val="39"/>
              <w:rPr>
                <w:rFonts w:ascii="Times New Roman" w:hAnsi="Times New Roman"/>
              </w:rPr>
            </w:pPr>
            <w:r>
              <w:rPr>
                <w:rFonts w:ascii="Times New Roman" w:hAnsi="Times New Roman"/>
              </w:rPr>
              <w:t>8.33</w:t>
            </w:r>
          </w:p>
        </w:tc>
        <w:tc>
          <w:tcPr>
            <w:tcW w:w="714" w:type="pct"/>
            <w:vAlign w:val="center"/>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7" w:type="pct"/>
            <w:vAlign w:val="center"/>
          </w:tcPr>
          <w:p>
            <w:pPr>
              <w:pStyle w:val="39"/>
              <w:rPr>
                <w:rFonts w:ascii="Times New Roman" w:hAnsi="Times New Roman"/>
              </w:rPr>
            </w:pPr>
            <w:r>
              <w:rPr>
                <w:rFonts w:ascii="Times New Roman" w:hAnsi="Times New Roman"/>
              </w:rPr>
              <w:t>NO</w:t>
            </w:r>
            <w:r>
              <w:rPr>
                <w:rFonts w:ascii="Times New Roman" w:hAnsi="Times New Roman"/>
                <w:vertAlign w:val="subscript"/>
              </w:rPr>
              <w:t>2</w:t>
            </w:r>
          </w:p>
        </w:tc>
        <w:tc>
          <w:tcPr>
            <w:tcW w:w="1496" w:type="pct"/>
            <w:vAlign w:val="center"/>
          </w:tcPr>
          <w:p>
            <w:pPr>
              <w:pStyle w:val="39"/>
              <w:rPr>
                <w:rFonts w:ascii="Times New Roman" w:hAnsi="Times New Roman"/>
              </w:rPr>
            </w:pPr>
            <w:r>
              <w:rPr>
                <w:rFonts w:ascii="Times New Roman" w:hAnsi="Times New Roman"/>
              </w:rPr>
              <w:t>年平均</w:t>
            </w:r>
          </w:p>
        </w:tc>
        <w:tc>
          <w:tcPr>
            <w:tcW w:w="714" w:type="pct"/>
            <w:vAlign w:val="center"/>
          </w:tcPr>
          <w:p>
            <w:pPr>
              <w:pStyle w:val="39"/>
              <w:rPr>
                <w:rFonts w:ascii="Times New Roman" w:hAnsi="Times New Roman"/>
              </w:rPr>
            </w:pPr>
            <w:r>
              <w:rPr>
                <w:rFonts w:ascii="Times New Roman" w:hAnsi="Times New Roman"/>
              </w:rPr>
              <w:t>40</w:t>
            </w:r>
          </w:p>
        </w:tc>
        <w:tc>
          <w:tcPr>
            <w:tcW w:w="715" w:type="pct"/>
            <w:vAlign w:val="center"/>
          </w:tcPr>
          <w:p>
            <w:pPr>
              <w:pStyle w:val="39"/>
              <w:rPr>
                <w:rFonts w:ascii="Times New Roman" w:hAnsi="Times New Roman"/>
              </w:rPr>
            </w:pPr>
            <w:r>
              <w:rPr>
                <w:rFonts w:ascii="Times New Roman" w:hAnsi="Times New Roman"/>
              </w:rPr>
              <w:t>19</w:t>
            </w:r>
          </w:p>
        </w:tc>
        <w:tc>
          <w:tcPr>
            <w:tcW w:w="714" w:type="pct"/>
            <w:vAlign w:val="center"/>
          </w:tcPr>
          <w:p>
            <w:pPr>
              <w:pStyle w:val="39"/>
              <w:rPr>
                <w:rFonts w:ascii="Times New Roman" w:hAnsi="Times New Roman"/>
              </w:rPr>
            </w:pPr>
            <w:r>
              <w:rPr>
                <w:rFonts w:ascii="Times New Roman" w:hAnsi="Times New Roman"/>
              </w:rPr>
              <w:t>47.5</w:t>
            </w:r>
          </w:p>
        </w:tc>
        <w:tc>
          <w:tcPr>
            <w:tcW w:w="714" w:type="pct"/>
            <w:vAlign w:val="center"/>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7" w:type="pct"/>
            <w:vAlign w:val="center"/>
          </w:tcPr>
          <w:p>
            <w:pPr>
              <w:pStyle w:val="39"/>
              <w:rPr>
                <w:rFonts w:ascii="Times New Roman" w:hAnsi="Times New Roman"/>
              </w:rPr>
            </w:pPr>
            <w:r>
              <w:rPr>
                <w:rFonts w:ascii="Times New Roman" w:hAnsi="Times New Roman"/>
              </w:rPr>
              <w:t>PM</w:t>
            </w:r>
            <w:r>
              <w:rPr>
                <w:rFonts w:ascii="Times New Roman" w:hAnsi="Times New Roman"/>
                <w:vertAlign w:val="subscript"/>
              </w:rPr>
              <w:t>10</w:t>
            </w:r>
          </w:p>
        </w:tc>
        <w:tc>
          <w:tcPr>
            <w:tcW w:w="1496" w:type="pct"/>
            <w:vAlign w:val="center"/>
          </w:tcPr>
          <w:p>
            <w:pPr>
              <w:pStyle w:val="39"/>
              <w:rPr>
                <w:rFonts w:ascii="Times New Roman" w:hAnsi="Times New Roman"/>
              </w:rPr>
            </w:pPr>
            <w:r>
              <w:rPr>
                <w:rFonts w:ascii="Times New Roman" w:hAnsi="Times New Roman"/>
              </w:rPr>
              <w:t>年平均</w:t>
            </w:r>
          </w:p>
        </w:tc>
        <w:tc>
          <w:tcPr>
            <w:tcW w:w="714" w:type="pct"/>
            <w:vAlign w:val="center"/>
          </w:tcPr>
          <w:p>
            <w:pPr>
              <w:pStyle w:val="39"/>
              <w:rPr>
                <w:rFonts w:ascii="Times New Roman" w:hAnsi="Times New Roman"/>
              </w:rPr>
            </w:pPr>
            <w:r>
              <w:rPr>
                <w:rFonts w:ascii="Times New Roman" w:hAnsi="Times New Roman"/>
              </w:rPr>
              <w:t>70</w:t>
            </w:r>
          </w:p>
        </w:tc>
        <w:tc>
          <w:tcPr>
            <w:tcW w:w="715" w:type="pct"/>
            <w:vAlign w:val="center"/>
          </w:tcPr>
          <w:p>
            <w:pPr>
              <w:pStyle w:val="39"/>
              <w:rPr>
                <w:rFonts w:ascii="Times New Roman" w:hAnsi="Times New Roman"/>
              </w:rPr>
            </w:pPr>
            <w:r>
              <w:rPr>
                <w:rFonts w:ascii="Times New Roman" w:hAnsi="Times New Roman"/>
              </w:rPr>
              <w:t>50</w:t>
            </w:r>
          </w:p>
        </w:tc>
        <w:tc>
          <w:tcPr>
            <w:tcW w:w="714" w:type="pct"/>
            <w:vAlign w:val="center"/>
          </w:tcPr>
          <w:p>
            <w:pPr>
              <w:pStyle w:val="39"/>
              <w:rPr>
                <w:rFonts w:ascii="Times New Roman" w:hAnsi="Times New Roman"/>
              </w:rPr>
            </w:pPr>
            <w:r>
              <w:rPr>
                <w:rFonts w:ascii="Times New Roman" w:hAnsi="Times New Roman"/>
              </w:rPr>
              <w:t>71.43</w:t>
            </w:r>
          </w:p>
        </w:tc>
        <w:tc>
          <w:tcPr>
            <w:tcW w:w="714" w:type="pct"/>
            <w:vAlign w:val="center"/>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7" w:type="pct"/>
            <w:vAlign w:val="center"/>
          </w:tcPr>
          <w:p>
            <w:pPr>
              <w:pStyle w:val="39"/>
              <w:rPr>
                <w:rFonts w:ascii="Times New Roman" w:hAnsi="Times New Roman"/>
                <w:b/>
                <w:bCs/>
              </w:rPr>
            </w:pPr>
            <w:r>
              <w:rPr>
                <w:rFonts w:ascii="Times New Roman" w:hAnsi="Times New Roman"/>
              </w:rPr>
              <w:t>PM</w:t>
            </w:r>
            <w:r>
              <w:rPr>
                <w:rFonts w:ascii="Times New Roman" w:hAnsi="Times New Roman"/>
                <w:vertAlign w:val="subscript"/>
              </w:rPr>
              <w:t>2.5</w:t>
            </w:r>
          </w:p>
        </w:tc>
        <w:tc>
          <w:tcPr>
            <w:tcW w:w="1496" w:type="pct"/>
            <w:vAlign w:val="center"/>
          </w:tcPr>
          <w:p>
            <w:pPr>
              <w:pStyle w:val="39"/>
              <w:rPr>
                <w:rFonts w:ascii="Times New Roman" w:hAnsi="Times New Roman"/>
              </w:rPr>
            </w:pPr>
            <w:r>
              <w:rPr>
                <w:rFonts w:ascii="Times New Roman" w:hAnsi="Times New Roman"/>
              </w:rPr>
              <w:t>年平均</w:t>
            </w:r>
          </w:p>
        </w:tc>
        <w:tc>
          <w:tcPr>
            <w:tcW w:w="714" w:type="pct"/>
            <w:vAlign w:val="center"/>
          </w:tcPr>
          <w:p>
            <w:pPr>
              <w:pStyle w:val="39"/>
              <w:rPr>
                <w:rFonts w:ascii="Times New Roman" w:hAnsi="Times New Roman"/>
              </w:rPr>
            </w:pPr>
            <w:r>
              <w:rPr>
                <w:rFonts w:ascii="Times New Roman" w:hAnsi="Times New Roman"/>
              </w:rPr>
              <w:t>35</w:t>
            </w:r>
          </w:p>
        </w:tc>
        <w:tc>
          <w:tcPr>
            <w:tcW w:w="715" w:type="pct"/>
            <w:vAlign w:val="center"/>
          </w:tcPr>
          <w:p>
            <w:pPr>
              <w:pStyle w:val="39"/>
              <w:rPr>
                <w:rFonts w:ascii="Times New Roman" w:hAnsi="Times New Roman"/>
              </w:rPr>
            </w:pPr>
            <w:r>
              <w:rPr>
                <w:rFonts w:ascii="Times New Roman" w:hAnsi="Times New Roman"/>
              </w:rPr>
              <w:t>27</w:t>
            </w:r>
          </w:p>
        </w:tc>
        <w:tc>
          <w:tcPr>
            <w:tcW w:w="714" w:type="pct"/>
            <w:vAlign w:val="center"/>
          </w:tcPr>
          <w:p>
            <w:pPr>
              <w:pStyle w:val="39"/>
              <w:rPr>
                <w:rFonts w:ascii="Times New Roman" w:hAnsi="Times New Roman"/>
              </w:rPr>
            </w:pPr>
            <w:r>
              <w:rPr>
                <w:rFonts w:ascii="Times New Roman" w:hAnsi="Times New Roman"/>
              </w:rPr>
              <w:t>77.14</w:t>
            </w:r>
          </w:p>
        </w:tc>
        <w:tc>
          <w:tcPr>
            <w:tcW w:w="714" w:type="pct"/>
            <w:vAlign w:val="center"/>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7" w:type="pct"/>
            <w:vAlign w:val="center"/>
          </w:tcPr>
          <w:p>
            <w:pPr>
              <w:pStyle w:val="39"/>
              <w:rPr>
                <w:rFonts w:ascii="Times New Roman" w:hAnsi="Times New Roman"/>
              </w:rPr>
            </w:pPr>
            <w:r>
              <w:rPr>
                <w:rFonts w:ascii="Times New Roman" w:hAnsi="Times New Roman"/>
              </w:rPr>
              <w:t>CO</w:t>
            </w:r>
          </w:p>
        </w:tc>
        <w:tc>
          <w:tcPr>
            <w:tcW w:w="1496" w:type="pct"/>
            <w:vAlign w:val="center"/>
          </w:tcPr>
          <w:p>
            <w:pPr>
              <w:pStyle w:val="39"/>
              <w:rPr>
                <w:rFonts w:ascii="Times New Roman" w:hAnsi="Times New Roman"/>
              </w:rPr>
            </w:pPr>
            <w:r>
              <w:rPr>
                <w:rFonts w:ascii="Times New Roman" w:hAnsi="Times New Roman"/>
              </w:rPr>
              <w:t>24h平均第95百分位数</w:t>
            </w:r>
          </w:p>
        </w:tc>
        <w:tc>
          <w:tcPr>
            <w:tcW w:w="714" w:type="pct"/>
            <w:vAlign w:val="center"/>
          </w:tcPr>
          <w:p>
            <w:pPr>
              <w:pStyle w:val="39"/>
              <w:rPr>
                <w:rFonts w:ascii="Times New Roman" w:hAnsi="Times New Roman"/>
              </w:rPr>
            </w:pPr>
            <w:r>
              <w:rPr>
                <w:rFonts w:ascii="Times New Roman" w:hAnsi="Times New Roman"/>
              </w:rPr>
              <w:t>4000</w:t>
            </w:r>
          </w:p>
        </w:tc>
        <w:tc>
          <w:tcPr>
            <w:tcW w:w="715" w:type="pct"/>
            <w:vAlign w:val="center"/>
          </w:tcPr>
          <w:p>
            <w:pPr>
              <w:pStyle w:val="39"/>
              <w:rPr>
                <w:rFonts w:ascii="Times New Roman" w:hAnsi="Times New Roman"/>
              </w:rPr>
            </w:pPr>
            <w:r>
              <w:rPr>
                <w:rFonts w:ascii="Times New Roman" w:hAnsi="Times New Roman"/>
              </w:rPr>
              <w:t>1100</w:t>
            </w:r>
          </w:p>
        </w:tc>
        <w:tc>
          <w:tcPr>
            <w:tcW w:w="714" w:type="pct"/>
            <w:vAlign w:val="center"/>
          </w:tcPr>
          <w:p>
            <w:pPr>
              <w:pStyle w:val="39"/>
              <w:rPr>
                <w:rFonts w:ascii="Times New Roman" w:hAnsi="Times New Roman"/>
              </w:rPr>
            </w:pPr>
            <w:r>
              <w:rPr>
                <w:rFonts w:ascii="Times New Roman" w:hAnsi="Times New Roman"/>
              </w:rPr>
              <w:t>27.5</w:t>
            </w:r>
          </w:p>
        </w:tc>
        <w:tc>
          <w:tcPr>
            <w:tcW w:w="714" w:type="pct"/>
            <w:vAlign w:val="center"/>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7" w:type="pct"/>
            <w:vAlign w:val="center"/>
          </w:tcPr>
          <w:p>
            <w:pPr>
              <w:pStyle w:val="39"/>
              <w:rPr>
                <w:rFonts w:ascii="Times New Roman" w:hAnsi="Times New Roman"/>
              </w:rPr>
            </w:pPr>
            <w:r>
              <w:rPr>
                <w:rFonts w:ascii="Times New Roman" w:hAnsi="Times New Roman"/>
              </w:rPr>
              <w:t>O</w:t>
            </w:r>
            <w:r>
              <w:rPr>
                <w:rFonts w:ascii="Times New Roman" w:hAnsi="Times New Roman"/>
                <w:vertAlign w:val="subscript"/>
              </w:rPr>
              <w:t>3</w:t>
            </w:r>
          </w:p>
        </w:tc>
        <w:tc>
          <w:tcPr>
            <w:tcW w:w="1496" w:type="pct"/>
            <w:vAlign w:val="center"/>
          </w:tcPr>
          <w:p>
            <w:pPr>
              <w:pStyle w:val="39"/>
              <w:rPr>
                <w:rFonts w:ascii="Times New Roman" w:hAnsi="Times New Roman"/>
              </w:rPr>
            </w:pPr>
            <w:r>
              <w:rPr>
                <w:rFonts w:ascii="Times New Roman" w:hAnsi="Times New Roman"/>
              </w:rPr>
              <w:t>日最大8h滑动平均值的第90百分位数</w:t>
            </w:r>
          </w:p>
        </w:tc>
        <w:tc>
          <w:tcPr>
            <w:tcW w:w="714" w:type="pct"/>
            <w:vAlign w:val="center"/>
          </w:tcPr>
          <w:p>
            <w:pPr>
              <w:pStyle w:val="39"/>
              <w:rPr>
                <w:rFonts w:ascii="Times New Roman" w:hAnsi="Times New Roman"/>
              </w:rPr>
            </w:pPr>
            <w:r>
              <w:rPr>
                <w:rFonts w:ascii="Times New Roman" w:hAnsi="Times New Roman"/>
              </w:rPr>
              <w:t>160</w:t>
            </w:r>
          </w:p>
        </w:tc>
        <w:tc>
          <w:tcPr>
            <w:tcW w:w="715" w:type="pct"/>
            <w:vAlign w:val="center"/>
          </w:tcPr>
          <w:p>
            <w:pPr>
              <w:pStyle w:val="39"/>
              <w:rPr>
                <w:rFonts w:ascii="Times New Roman" w:hAnsi="Times New Roman"/>
              </w:rPr>
            </w:pPr>
            <w:r>
              <w:rPr>
                <w:rFonts w:ascii="Times New Roman" w:hAnsi="Times New Roman"/>
              </w:rPr>
              <w:t>99</w:t>
            </w:r>
          </w:p>
        </w:tc>
        <w:tc>
          <w:tcPr>
            <w:tcW w:w="714" w:type="pct"/>
            <w:vAlign w:val="center"/>
          </w:tcPr>
          <w:p>
            <w:pPr>
              <w:pStyle w:val="39"/>
              <w:rPr>
                <w:rFonts w:ascii="Times New Roman" w:hAnsi="Times New Roman"/>
              </w:rPr>
            </w:pPr>
            <w:r>
              <w:rPr>
                <w:rFonts w:ascii="Times New Roman" w:hAnsi="Times New Roman"/>
              </w:rPr>
              <w:t>61.88</w:t>
            </w:r>
          </w:p>
        </w:tc>
        <w:tc>
          <w:tcPr>
            <w:tcW w:w="714" w:type="pct"/>
            <w:vAlign w:val="center"/>
          </w:tcPr>
          <w:p>
            <w:pPr>
              <w:pStyle w:val="39"/>
              <w:rPr>
                <w:rFonts w:ascii="Times New Roman" w:hAnsi="Times New Roman"/>
              </w:rPr>
            </w:pPr>
            <w:r>
              <w:rPr>
                <w:rFonts w:ascii="Times New Roman" w:hAnsi="Times New Roman"/>
              </w:rPr>
              <w:t>达标</w:t>
            </w:r>
          </w:p>
        </w:tc>
      </w:tr>
    </w:tbl>
    <w:p>
      <w:pPr>
        <w:ind w:firstLine="480"/>
        <w:rPr>
          <w:rFonts w:ascii="Times New Roman" w:hAnsi="Times New Roman"/>
        </w:rPr>
      </w:pPr>
      <w:r>
        <w:rPr>
          <w:rFonts w:ascii="Times New Roman" w:hAnsi="Times New Roman"/>
        </w:rPr>
        <w:t>由</w:t>
      </w:r>
      <w:r>
        <w:rPr>
          <w:rFonts w:ascii="Times New Roman" w:hAnsi="Times New Roman"/>
        </w:rPr>
        <w:fldChar w:fldCharType="begin"/>
      </w:r>
      <w:r>
        <w:rPr>
          <w:rFonts w:ascii="Times New Roman" w:hAnsi="Times New Roman"/>
        </w:rPr>
        <w:instrText xml:space="preserve"> REF _Ref155620756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可知，本项目所在地2022年SO</w:t>
      </w:r>
      <w:r>
        <w:rPr>
          <w:rFonts w:ascii="Times New Roman" w:hAnsi="Times New Roman"/>
          <w:vertAlign w:val="subscript"/>
        </w:rPr>
        <w:t>2</w:t>
      </w:r>
      <w:r>
        <w:rPr>
          <w:rFonts w:ascii="Times New Roman" w:hAnsi="Times New Roman"/>
        </w:rPr>
        <w:t>、NO</w:t>
      </w:r>
      <w:r>
        <w:rPr>
          <w:rFonts w:ascii="Times New Roman" w:hAnsi="Times New Roman"/>
          <w:vertAlign w:val="subscript"/>
        </w:rPr>
        <w:t>2</w:t>
      </w:r>
      <w:r>
        <w:rPr>
          <w:rFonts w:ascii="Times New Roman" w:hAnsi="Times New Roman"/>
        </w:rPr>
        <w:t>、PM</w:t>
      </w:r>
      <w:r>
        <w:rPr>
          <w:rFonts w:ascii="Times New Roman" w:hAnsi="Times New Roman"/>
          <w:vertAlign w:val="subscript"/>
        </w:rPr>
        <w:t>10</w:t>
      </w:r>
      <w:r>
        <w:rPr>
          <w:rFonts w:ascii="Times New Roman" w:hAnsi="Times New Roman"/>
        </w:rPr>
        <w:t>、PM</w:t>
      </w:r>
      <w:r>
        <w:rPr>
          <w:rFonts w:ascii="Times New Roman" w:hAnsi="Times New Roman"/>
          <w:vertAlign w:val="subscript"/>
        </w:rPr>
        <w:t>2.5</w:t>
      </w:r>
      <w:r>
        <w:rPr>
          <w:rFonts w:ascii="Times New Roman" w:hAnsi="Times New Roman"/>
        </w:rPr>
        <w:t>年平均质量浓度、CO 24h平均第95百分位数质量浓度均符合《环境空气质量标准》（GB3095-2012）中的二级标准限值要求。O</w:t>
      </w:r>
      <w:r>
        <w:rPr>
          <w:rFonts w:ascii="Times New Roman" w:hAnsi="Times New Roman"/>
          <w:vertAlign w:val="subscript"/>
        </w:rPr>
        <w:t>3</w:t>
      </w:r>
      <w:r>
        <w:rPr>
          <w:rFonts w:ascii="Times New Roman" w:hAnsi="Times New Roman"/>
        </w:rPr>
        <w:t>日最大8h滑动平均值的第90百分位数质量浓度符合《环境空气质量标准》（GB3095-2012）中的二级标准限值要求。</w:t>
      </w:r>
    </w:p>
    <w:p>
      <w:pPr>
        <w:pStyle w:val="4"/>
        <w:rPr>
          <w:rFonts w:ascii="Times New Roman" w:hAnsi="Times New Roman" w:cs="Times New Roman"/>
        </w:rPr>
      </w:pPr>
      <w:r>
        <w:rPr>
          <w:rFonts w:ascii="Times New Roman" w:hAnsi="Times New Roman" w:cs="Times New Roman"/>
        </w:rPr>
        <w:t>特征污染物环境质量现状</w:t>
      </w:r>
    </w:p>
    <w:p>
      <w:pPr>
        <w:ind w:firstLine="480"/>
        <w:rPr>
          <w:rFonts w:ascii="Times New Roman" w:hAnsi="Times New Roman"/>
        </w:rPr>
      </w:pPr>
      <w:r>
        <w:rPr>
          <w:rFonts w:ascii="Times New Roman" w:hAnsi="Times New Roman"/>
        </w:rPr>
        <w:t>本次评价委托四川地风升检测服务有限公司对大气特征污染物NMHC和H</w:t>
      </w:r>
      <w:r>
        <w:rPr>
          <w:rFonts w:ascii="Times New Roman" w:hAnsi="Times New Roman"/>
          <w:vertAlign w:val="subscript"/>
        </w:rPr>
        <w:t>2</w:t>
      </w:r>
      <w:r>
        <w:rPr>
          <w:rFonts w:ascii="Times New Roman" w:hAnsi="Times New Roman"/>
        </w:rPr>
        <w:t>S的环境质量现状进行了采样监测。</w:t>
      </w:r>
    </w:p>
    <w:p>
      <w:pPr>
        <w:pStyle w:val="5"/>
        <w:rPr>
          <w:rFonts w:ascii="Times New Roman" w:hAnsi="Times New Roman"/>
        </w:rPr>
      </w:pPr>
      <w:r>
        <w:rPr>
          <w:rFonts w:ascii="Times New Roman" w:hAnsi="Times New Roman"/>
        </w:rPr>
        <w:t>监测点位</w:t>
      </w:r>
    </w:p>
    <w:p>
      <w:pPr>
        <w:ind w:firstLine="480"/>
        <w:rPr>
          <w:rFonts w:ascii="Times New Roman" w:hAnsi="Times New Roman"/>
        </w:rPr>
      </w:pPr>
      <w:r>
        <w:rPr>
          <w:rFonts w:ascii="Times New Roman" w:hAnsi="Times New Roman"/>
        </w:rPr>
        <w:t>共布设2个监测点位，分别位于宣探1井站和宣兴1井站，具体位置</w:t>
      </w:r>
      <w:r>
        <w:rPr>
          <w:rFonts w:ascii="Times New Roman" w:hAnsi="Times New Roman"/>
        </w:rPr>
        <w:fldChar w:fldCharType="begin"/>
      </w:r>
      <w:r>
        <w:rPr>
          <w:rFonts w:ascii="Times New Roman" w:hAnsi="Times New Roman"/>
        </w:rPr>
        <w:instrText xml:space="preserve"> REF _Ref155276735 \h  \* MERGEFORMAT </w:instrText>
      </w:r>
      <w:r>
        <w:rPr>
          <w:rFonts w:ascii="Times New Roman" w:hAnsi="Times New Roman"/>
        </w:rPr>
        <w:fldChar w:fldCharType="separate"/>
      </w:r>
      <w:r>
        <w:rPr>
          <w:rFonts w:ascii="Times New Roman" w:hAnsi="Times New Roman"/>
        </w:rPr>
        <w:t>图 5</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（附图21）。</w:t>
      </w:r>
    </w:p>
    <w:p>
      <w:pPr>
        <w:ind w:firstLine="0" w:firstLineChars="0"/>
        <w:jc w:val="center"/>
        <w:rPr>
          <w:rFonts w:ascii="Times New Roman" w:hAnsi="Times New Roman"/>
        </w:rPr>
      </w:pPr>
      <w:r>
        <w:rPr>
          <w:rFonts w:ascii="Times New Roman" w:hAnsi="Times New Roman"/>
        </w:rPr>
        <w:drawing>
          <wp:inline distT="0" distB="0" distL="0" distR="0">
            <wp:extent cx="4714875" cy="4714875"/>
            <wp:effectExtent l="0" t="0" r="9525" b="9525"/>
            <wp:docPr id="11837722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772257" name="图片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4716588" cy="4716588"/>
                    </a:xfrm>
                    <a:prstGeom prst="rect">
                      <a:avLst/>
                    </a:prstGeom>
                    <a:noFill/>
                    <a:ln>
                      <a:noFill/>
                    </a:ln>
                  </pic:spPr>
                </pic:pic>
              </a:graphicData>
            </a:graphic>
          </wp:inline>
        </w:drawing>
      </w:r>
    </w:p>
    <w:p>
      <w:pPr>
        <w:pStyle w:val="37"/>
        <w:rPr>
          <w:rFonts w:ascii="Times New Roman" w:hAnsi="Times New Roman" w:cs="Times New Roman"/>
        </w:rPr>
      </w:pPr>
      <w:bookmarkStart w:id="129" w:name="_Ref155276735"/>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bookmarkEnd w:id="129"/>
      <w:r>
        <w:rPr>
          <w:rFonts w:ascii="Times New Roman" w:hAnsi="Times New Roman" w:cs="Times New Roman"/>
        </w:rPr>
        <w:t xml:space="preserve">  本项目</w:t>
      </w:r>
      <w:bookmarkStart w:id="130" w:name="_Hlk160807305"/>
      <w:r>
        <w:rPr>
          <w:rFonts w:ascii="Times New Roman" w:hAnsi="Times New Roman" w:cs="Times New Roman"/>
        </w:rPr>
        <w:t>大气、噪声、土壤监测点位示意图</w:t>
      </w:r>
      <w:bookmarkEnd w:id="130"/>
    </w:p>
    <w:p>
      <w:pPr>
        <w:pStyle w:val="5"/>
        <w:rPr>
          <w:rFonts w:ascii="Times New Roman" w:hAnsi="Times New Roman"/>
        </w:rPr>
      </w:pPr>
      <w:r>
        <w:rPr>
          <w:rFonts w:ascii="Times New Roman" w:hAnsi="Times New Roman"/>
        </w:rPr>
        <w:t>监测因子</w:t>
      </w:r>
    </w:p>
    <w:p>
      <w:pPr>
        <w:ind w:firstLine="480"/>
        <w:rPr>
          <w:rFonts w:ascii="Times New Roman" w:hAnsi="Times New Roman"/>
        </w:rPr>
      </w:pPr>
      <w:r>
        <w:rPr>
          <w:rFonts w:ascii="Times New Roman" w:hAnsi="Times New Roman"/>
        </w:rPr>
        <w:t>监测因子包括NMHC和H</w:t>
      </w:r>
      <w:r>
        <w:rPr>
          <w:rFonts w:ascii="Times New Roman" w:hAnsi="Times New Roman"/>
          <w:vertAlign w:val="subscript"/>
        </w:rPr>
        <w:t>2</w:t>
      </w:r>
      <w:r>
        <w:rPr>
          <w:rFonts w:ascii="Times New Roman" w:hAnsi="Times New Roman"/>
        </w:rPr>
        <w:t>S。</w:t>
      </w:r>
    </w:p>
    <w:p>
      <w:pPr>
        <w:pStyle w:val="5"/>
        <w:rPr>
          <w:rFonts w:ascii="Times New Roman" w:hAnsi="Times New Roman"/>
        </w:rPr>
      </w:pPr>
      <w:r>
        <w:rPr>
          <w:rFonts w:ascii="Times New Roman" w:hAnsi="Times New Roman"/>
        </w:rPr>
        <w:t>监测时间及频次</w:t>
      </w:r>
    </w:p>
    <w:p>
      <w:pPr>
        <w:ind w:firstLine="480"/>
        <w:rPr>
          <w:rFonts w:ascii="Times New Roman" w:hAnsi="Times New Roman"/>
        </w:rPr>
      </w:pPr>
      <w:r>
        <w:rPr>
          <w:rFonts w:ascii="Times New Roman" w:hAnsi="Times New Roman"/>
        </w:rPr>
        <w:t>2023年12月17日～23日，连续监测7天。每天采样4次（每日2、8、14、20时采样）。</w:t>
      </w:r>
    </w:p>
    <w:p>
      <w:pPr>
        <w:pStyle w:val="5"/>
        <w:rPr>
          <w:rFonts w:ascii="Times New Roman" w:hAnsi="Times New Roman"/>
        </w:rPr>
      </w:pPr>
      <w:r>
        <w:rPr>
          <w:rFonts w:ascii="Times New Roman" w:hAnsi="Times New Roman"/>
        </w:rPr>
        <w:t>分析方法</w:t>
      </w:r>
    </w:p>
    <w:p>
      <w:pPr>
        <w:ind w:firstLine="480"/>
        <w:rPr>
          <w:rFonts w:ascii="Times New Roman" w:hAnsi="Times New Roman"/>
        </w:rPr>
      </w:pPr>
      <w:r>
        <w:rPr>
          <w:rFonts w:ascii="Times New Roman" w:hAnsi="Times New Roman"/>
        </w:rPr>
        <w:t>各监测因子的分析方法见</w:t>
      </w:r>
      <w:r>
        <w:rPr>
          <w:rFonts w:ascii="Times New Roman" w:hAnsi="Times New Roman"/>
        </w:rPr>
        <w:fldChar w:fldCharType="begin"/>
      </w:r>
      <w:r>
        <w:rPr>
          <w:rFonts w:ascii="Times New Roman" w:hAnsi="Times New Roman"/>
        </w:rPr>
        <w:instrText xml:space="preserve"> REF _Ref155277189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2</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31" w:name="_Ref15527718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bookmarkEnd w:id="131"/>
      <w:r>
        <w:rPr>
          <w:rFonts w:ascii="Times New Roman" w:hAnsi="Times New Roman" w:cs="Times New Roman"/>
        </w:rPr>
        <w:t xml:space="preserve">  监测项目分析方法和检出限</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5"/>
        <w:gridCol w:w="2765"/>
        <w:gridCol w:w="2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pPr>
              <w:pStyle w:val="39"/>
              <w:rPr>
                <w:rFonts w:ascii="Times New Roman" w:hAnsi="Times New Roman"/>
              </w:rPr>
            </w:pPr>
            <w:r>
              <w:rPr>
                <w:rFonts w:ascii="Times New Roman" w:hAnsi="Times New Roman"/>
              </w:rPr>
              <w:t>监测项目</w:t>
            </w:r>
          </w:p>
        </w:tc>
        <w:tc>
          <w:tcPr>
            <w:tcW w:w="2765" w:type="dxa"/>
          </w:tcPr>
          <w:p>
            <w:pPr>
              <w:pStyle w:val="39"/>
              <w:rPr>
                <w:rFonts w:ascii="Times New Roman" w:hAnsi="Times New Roman"/>
              </w:rPr>
            </w:pPr>
            <w:r>
              <w:rPr>
                <w:rFonts w:ascii="Times New Roman" w:hAnsi="Times New Roman"/>
              </w:rPr>
              <w:t>分析方法</w:t>
            </w:r>
          </w:p>
        </w:tc>
        <w:tc>
          <w:tcPr>
            <w:tcW w:w="2766" w:type="dxa"/>
          </w:tcPr>
          <w:p>
            <w:pPr>
              <w:pStyle w:val="39"/>
              <w:rPr>
                <w:rFonts w:ascii="Times New Roman" w:hAnsi="Times New Roman"/>
              </w:rPr>
            </w:pPr>
            <w:r>
              <w:rPr>
                <w:rFonts w:ascii="Times New Roman" w:hAnsi="Times New Roman"/>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pPr>
              <w:pStyle w:val="39"/>
              <w:rPr>
                <w:rFonts w:ascii="Times New Roman" w:hAnsi="Times New Roman"/>
              </w:rPr>
            </w:pPr>
            <w:r>
              <w:rPr>
                <w:rFonts w:ascii="Times New Roman" w:hAnsi="Times New Roman"/>
              </w:rPr>
              <w:t>NMHC</w:t>
            </w:r>
          </w:p>
        </w:tc>
        <w:tc>
          <w:tcPr>
            <w:tcW w:w="2765" w:type="dxa"/>
          </w:tcPr>
          <w:p>
            <w:pPr>
              <w:pStyle w:val="39"/>
              <w:rPr>
                <w:rFonts w:ascii="Times New Roman" w:hAnsi="Times New Roman"/>
              </w:rPr>
            </w:pPr>
            <w:r>
              <w:rPr>
                <w:rFonts w:ascii="Times New Roman" w:hAnsi="Times New Roman"/>
              </w:rPr>
              <w:t>直接进样-气相色谱法</w:t>
            </w:r>
          </w:p>
        </w:tc>
        <w:tc>
          <w:tcPr>
            <w:tcW w:w="2766" w:type="dxa"/>
          </w:tcPr>
          <w:p>
            <w:pPr>
              <w:pStyle w:val="39"/>
              <w:rPr>
                <w:rFonts w:ascii="Times New Roman" w:hAnsi="Times New Roman"/>
              </w:rPr>
            </w:pPr>
            <w:r>
              <w:rPr>
                <w:rFonts w:ascii="Times New Roman" w:hAnsi="Times New Roman"/>
              </w:rPr>
              <w:t>0.07mg/m</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2765" w:type="dxa"/>
          </w:tcPr>
          <w:p>
            <w:pPr>
              <w:pStyle w:val="39"/>
              <w:rPr>
                <w:rFonts w:ascii="Times New Roman" w:hAnsi="Times New Roman"/>
              </w:rPr>
            </w:pPr>
            <w:r>
              <w:rPr>
                <w:rFonts w:ascii="Times New Roman" w:hAnsi="Times New Roman"/>
              </w:rPr>
              <w:t>亚甲基蓝风光光度法</w:t>
            </w:r>
          </w:p>
        </w:tc>
        <w:tc>
          <w:tcPr>
            <w:tcW w:w="2766" w:type="dxa"/>
          </w:tcPr>
          <w:p>
            <w:pPr>
              <w:pStyle w:val="39"/>
              <w:rPr>
                <w:rFonts w:ascii="Times New Roman" w:hAnsi="Times New Roman"/>
              </w:rPr>
            </w:pPr>
            <w:r>
              <w:rPr>
                <w:rFonts w:ascii="Times New Roman" w:hAnsi="Times New Roman"/>
              </w:rPr>
              <w:t>0.001 mg/m</w:t>
            </w:r>
            <w:r>
              <w:rPr>
                <w:rFonts w:ascii="Times New Roman" w:hAnsi="Times New Roman"/>
                <w:vertAlign w:val="superscript"/>
              </w:rPr>
              <w:t>3</w:t>
            </w:r>
          </w:p>
        </w:tc>
      </w:tr>
    </w:tbl>
    <w:p>
      <w:pPr>
        <w:pStyle w:val="5"/>
        <w:rPr>
          <w:rFonts w:ascii="Times New Roman" w:hAnsi="Times New Roman"/>
        </w:rPr>
      </w:pPr>
      <w:r>
        <w:rPr>
          <w:rFonts w:ascii="Times New Roman" w:hAnsi="Times New Roman"/>
        </w:rPr>
        <w:t>监测结果及评价</w:t>
      </w:r>
    </w:p>
    <w:p>
      <w:pPr>
        <w:ind w:firstLine="480"/>
        <w:rPr>
          <w:rFonts w:ascii="Times New Roman" w:hAnsi="Times New Roman"/>
        </w:rPr>
      </w:pPr>
      <w:r>
        <w:rPr>
          <w:rFonts w:ascii="Times New Roman" w:hAnsi="Times New Roman"/>
        </w:rPr>
        <w:t>监测结果见</w:t>
      </w:r>
      <w:r>
        <w:rPr>
          <w:rFonts w:ascii="Times New Roman" w:hAnsi="Times New Roman"/>
        </w:rPr>
        <w:fldChar w:fldCharType="begin"/>
      </w:r>
      <w:r>
        <w:rPr>
          <w:rFonts w:ascii="Times New Roman" w:hAnsi="Times New Roman"/>
        </w:rPr>
        <w:instrText xml:space="preserve"> REF _Ref155277387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3</w:t>
      </w:r>
      <w:r>
        <w:rPr>
          <w:rFonts w:ascii="Times New Roman" w:hAnsi="Times New Roman"/>
        </w:rPr>
        <w:fldChar w:fldCharType="end"/>
      </w:r>
      <w:r>
        <w:rPr>
          <w:rFonts w:ascii="Times New Roman" w:hAnsi="Times New Roman"/>
        </w:rPr>
        <w:t>，从监测结果可以看出：评价区内NMHC和H</w:t>
      </w:r>
      <w:r>
        <w:rPr>
          <w:rFonts w:ascii="Times New Roman" w:hAnsi="Times New Roman"/>
          <w:vertAlign w:val="subscript"/>
        </w:rPr>
        <w:t>2</w:t>
      </w:r>
      <w:r>
        <w:rPr>
          <w:rFonts w:ascii="Times New Roman" w:hAnsi="Times New Roman"/>
        </w:rPr>
        <w:t>S的浓度均满足相应的标准限值要求，NMHC的最大浓度占标率为37%，H</w:t>
      </w:r>
      <w:r>
        <w:rPr>
          <w:rFonts w:ascii="Times New Roman" w:hAnsi="Times New Roman"/>
          <w:vertAlign w:val="subscript"/>
        </w:rPr>
        <w:t>2</w:t>
      </w:r>
      <w:r>
        <w:rPr>
          <w:rFonts w:ascii="Times New Roman" w:hAnsi="Times New Roman"/>
        </w:rPr>
        <w:t>S均未检出。</w:t>
      </w:r>
    </w:p>
    <w:p>
      <w:pPr>
        <w:pStyle w:val="37"/>
        <w:rPr>
          <w:rFonts w:ascii="Times New Roman" w:hAnsi="Times New Roman" w:cs="Times New Roman"/>
        </w:rPr>
      </w:pPr>
      <w:bookmarkStart w:id="132" w:name="_Ref15527738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bookmarkEnd w:id="132"/>
      <w:r>
        <w:rPr>
          <w:rFonts w:ascii="Times New Roman" w:hAnsi="Times New Roman" w:cs="Times New Roman"/>
        </w:rPr>
        <w:t xml:space="preserve">  特征因子监测结果及评价一览表</w:t>
      </w:r>
    </w:p>
    <w:tbl>
      <w:tblPr>
        <w:tblStyle w:val="28"/>
        <w:tblW w:w="85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6"/>
        <w:gridCol w:w="971"/>
        <w:gridCol w:w="1268"/>
        <w:gridCol w:w="1475"/>
        <w:gridCol w:w="1239"/>
        <w:gridCol w:w="963"/>
        <w:gridCol w:w="963"/>
        <w:gridCol w:w="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Align w:val="center"/>
          </w:tcPr>
          <w:p>
            <w:pPr>
              <w:pStyle w:val="39"/>
              <w:rPr>
                <w:rFonts w:ascii="Times New Roman" w:hAnsi="Times New Roman"/>
              </w:rPr>
            </w:pPr>
            <w:r>
              <w:rPr>
                <w:rFonts w:ascii="Times New Roman" w:hAnsi="Times New Roman"/>
              </w:rPr>
              <w:t>站场</w:t>
            </w:r>
          </w:p>
        </w:tc>
        <w:tc>
          <w:tcPr>
            <w:tcW w:w="971" w:type="dxa"/>
            <w:vAlign w:val="center"/>
          </w:tcPr>
          <w:p>
            <w:pPr>
              <w:pStyle w:val="39"/>
              <w:rPr>
                <w:rFonts w:ascii="Times New Roman" w:hAnsi="Times New Roman"/>
              </w:rPr>
            </w:pPr>
            <w:r>
              <w:rPr>
                <w:rFonts w:ascii="Times New Roman" w:hAnsi="Times New Roman"/>
              </w:rPr>
              <w:t>监测因子</w:t>
            </w:r>
          </w:p>
        </w:tc>
        <w:tc>
          <w:tcPr>
            <w:tcW w:w="1268" w:type="dxa"/>
            <w:vAlign w:val="center"/>
          </w:tcPr>
          <w:p>
            <w:pPr>
              <w:pStyle w:val="39"/>
              <w:rPr>
                <w:rFonts w:ascii="Times New Roman" w:hAnsi="Times New Roman"/>
              </w:rPr>
            </w:pPr>
            <w:r>
              <w:rPr>
                <w:rFonts w:ascii="Times New Roman" w:hAnsi="Times New Roman"/>
              </w:rPr>
              <w:t>采样时间</w:t>
            </w:r>
          </w:p>
        </w:tc>
        <w:tc>
          <w:tcPr>
            <w:tcW w:w="1475" w:type="dxa"/>
            <w:vAlign w:val="center"/>
          </w:tcPr>
          <w:p>
            <w:pPr>
              <w:pStyle w:val="39"/>
              <w:rPr>
                <w:rFonts w:ascii="Times New Roman" w:hAnsi="Times New Roman"/>
              </w:rPr>
            </w:pPr>
            <w:r>
              <w:rPr>
                <w:rFonts w:ascii="Times New Roman" w:hAnsi="Times New Roman"/>
              </w:rPr>
              <w:t>浓度范围（mg/m</w:t>
            </w:r>
            <w:r>
              <w:rPr>
                <w:rFonts w:ascii="Times New Roman" w:hAnsi="Times New Roman"/>
                <w:vertAlign w:val="superscript"/>
              </w:rPr>
              <w:t>3</w:t>
            </w:r>
            <w:r>
              <w:rPr>
                <w:rFonts w:ascii="Times New Roman" w:hAnsi="Times New Roman"/>
              </w:rPr>
              <w:t>）</w:t>
            </w:r>
          </w:p>
        </w:tc>
        <w:tc>
          <w:tcPr>
            <w:tcW w:w="1239" w:type="dxa"/>
            <w:vAlign w:val="center"/>
          </w:tcPr>
          <w:p>
            <w:pPr>
              <w:pStyle w:val="39"/>
              <w:rPr>
                <w:rFonts w:ascii="Times New Roman" w:hAnsi="Times New Roman"/>
              </w:rPr>
            </w:pPr>
            <w:r>
              <w:rPr>
                <w:rFonts w:ascii="Times New Roman" w:hAnsi="Times New Roman"/>
              </w:rPr>
              <w:t>评价标准（mg/m</w:t>
            </w:r>
            <w:r>
              <w:rPr>
                <w:rFonts w:ascii="Times New Roman" w:hAnsi="Times New Roman"/>
                <w:vertAlign w:val="superscript"/>
              </w:rPr>
              <w:t>3</w:t>
            </w:r>
            <w:r>
              <w:rPr>
                <w:rFonts w:ascii="Times New Roman" w:hAnsi="Times New Roman"/>
              </w:rPr>
              <w:t>）</w:t>
            </w:r>
          </w:p>
        </w:tc>
        <w:tc>
          <w:tcPr>
            <w:tcW w:w="963" w:type="dxa"/>
            <w:vAlign w:val="center"/>
          </w:tcPr>
          <w:p>
            <w:pPr>
              <w:pStyle w:val="39"/>
              <w:rPr>
                <w:rFonts w:ascii="Times New Roman" w:hAnsi="Times New Roman"/>
              </w:rPr>
            </w:pPr>
            <w:r>
              <w:rPr>
                <w:rFonts w:ascii="Times New Roman" w:hAnsi="Times New Roman"/>
              </w:rPr>
              <w:t>最大浓度占标率（%）</w:t>
            </w:r>
          </w:p>
        </w:tc>
        <w:tc>
          <w:tcPr>
            <w:tcW w:w="963" w:type="dxa"/>
            <w:vAlign w:val="center"/>
          </w:tcPr>
          <w:p>
            <w:pPr>
              <w:pStyle w:val="39"/>
              <w:rPr>
                <w:rFonts w:ascii="Times New Roman" w:hAnsi="Times New Roman"/>
              </w:rPr>
            </w:pPr>
            <w:r>
              <w:rPr>
                <w:rFonts w:ascii="Times New Roman" w:hAnsi="Times New Roman"/>
              </w:rPr>
              <w:t>超标率</w:t>
            </w:r>
          </w:p>
          <w:p>
            <w:pPr>
              <w:pStyle w:val="39"/>
              <w:rPr>
                <w:rFonts w:ascii="Times New Roman" w:hAnsi="Times New Roman"/>
              </w:rPr>
            </w:pPr>
            <w:r>
              <w:rPr>
                <w:rFonts w:ascii="Times New Roman" w:hAnsi="Times New Roman"/>
              </w:rPr>
              <w:t>（%）</w:t>
            </w:r>
          </w:p>
        </w:tc>
        <w:tc>
          <w:tcPr>
            <w:tcW w:w="827" w:type="dxa"/>
            <w:vAlign w:val="center"/>
          </w:tcPr>
          <w:p>
            <w:pPr>
              <w:pStyle w:val="39"/>
              <w:rPr>
                <w:rFonts w:ascii="Times New Roman" w:hAnsi="Times New Roman"/>
              </w:rPr>
            </w:pPr>
            <w:r>
              <w:rPr>
                <w:rFonts w:ascii="Times New Roman" w:hAnsi="Times New Roma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restart"/>
            <w:vAlign w:val="center"/>
          </w:tcPr>
          <w:p>
            <w:pPr>
              <w:pStyle w:val="39"/>
              <w:rPr>
                <w:rFonts w:ascii="Times New Roman" w:hAnsi="Times New Roman"/>
              </w:rPr>
            </w:pPr>
            <w:r>
              <w:rPr>
                <w:rFonts w:ascii="Times New Roman" w:hAnsi="Times New Roman"/>
              </w:rPr>
              <w:t>宣探1井站</w:t>
            </w:r>
          </w:p>
        </w:tc>
        <w:tc>
          <w:tcPr>
            <w:tcW w:w="971" w:type="dxa"/>
            <w:vMerge w:val="restart"/>
            <w:vAlign w:val="center"/>
          </w:tcPr>
          <w:p>
            <w:pPr>
              <w:pStyle w:val="39"/>
              <w:rPr>
                <w:rFonts w:ascii="Times New Roman" w:hAnsi="Times New Roman"/>
              </w:rPr>
            </w:pPr>
            <w:r>
              <w:rPr>
                <w:rFonts w:ascii="Times New Roman" w:hAnsi="Times New Roman"/>
              </w:rPr>
              <w:t>NMHC</w:t>
            </w:r>
          </w:p>
        </w:tc>
        <w:tc>
          <w:tcPr>
            <w:tcW w:w="1268" w:type="dxa"/>
            <w:vAlign w:val="center"/>
          </w:tcPr>
          <w:p>
            <w:pPr>
              <w:pStyle w:val="39"/>
              <w:rPr>
                <w:rFonts w:ascii="Times New Roman" w:hAnsi="Times New Roman"/>
              </w:rPr>
            </w:pPr>
            <w:r>
              <w:rPr>
                <w:rFonts w:ascii="Times New Roman" w:hAnsi="Times New Roman"/>
              </w:rPr>
              <w:t>2023.12.17</w:t>
            </w:r>
          </w:p>
        </w:tc>
        <w:tc>
          <w:tcPr>
            <w:tcW w:w="1475" w:type="dxa"/>
            <w:vAlign w:val="center"/>
          </w:tcPr>
          <w:p>
            <w:pPr>
              <w:pStyle w:val="39"/>
              <w:rPr>
                <w:rFonts w:ascii="Times New Roman" w:hAnsi="Times New Roman"/>
              </w:rPr>
            </w:pPr>
            <w:r>
              <w:rPr>
                <w:rFonts w:ascii="Times New Roman" w:hAnsi="Times New Roman"/>
              </w:rPr>
              <w:t>0.51～0.58</w:t>
            </w:r>
          </w:p>
        </w:tc>
        <w:tc>
          <w:tcPr>
            <w:tcW w:w="1239" w:type="dxa"/>
            <w:vMerge w:val="restart"/>
            <w:vAlign w:val="center"/>
          </w:tcPr>
          <w:p>
            <w:pPr>
              <w:pStyle w:val="39"/>
              <w:rPr>
                <w:rFonts w:ascii="Times New Roman" w:hAnsi="Times New Roman"/>
              </w:rPr>
            </w:pPr>
            <w:r>
              <w:rPr>
                <w:rFonts w:ascii="Times New Roman" w:hAnsi="Times New Roman"/>
              </w:rPr>
              <w:t>2</w:t>
            </w:r>
          </w:p>
        </w:tc>
        <w:tc>
          <w:tcPr>
            <w:tcW w:w="963" w:type="dxa"/>
            <w:vMerge w:val="restart"/>
            <w:vAlign w:val="center"/>
          </w:tcPr>
          <w:p>
            <w:pPr>
              <w:pStyle w:val="39"/>
              <w:rPr>
                <w:rFonts w:ascii="Times New Roman" w:hAnsi="Times New Roman"/>
              </w:rPr>
            </w:pPr>
            <w:r>
              <w:rPr>
                <w:rFonts w:ascii="Times New Roman" w:hAnsi="Times New Roman"/>
              </w:rPr>
              <w:t>29</w:t>
            </w:r>
          </w:p>
        </w:tc>
        <w:tc>
          <w:tcPr>
            <w:tcW w:w="963" w:type="dxa"/>
            <w:vAlign w:val="center"/>
          </w:tcPr>
          <w:p>
            <w:pPr>
              <w:pStyle w:val="39"/>
              <w:rPr>
                <w:rFonts w:ascii="Times New Roman" w:hAnsi="Times New Roman"/>
              </w:rPr>
            </w:pPr>
            <w:r>
              <w:rPr>
                <w:rFonts w:ascii="Times New Roman" w:hAnsi="Times New Roman"/>
              </w:rPr>
              <w:t>0</w:t>
            </w:r>
          </w:p>
        </w:tc>
        <w:tc>
          <w:tcPr>
            <w:tcW w:w="827" w:type="dxa"/>
            <w:vAlign w:val="center"/>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2023.12.18</w:t>
            </w:r>
          </w:p>
        </w:tc>
        <w:tc>
          <w:tcPr>
            <w:tcW w:w="1475" w:type="dxa"/>
            <w:vAlign w:val="center"/>
          </w:tcPr>
          <w:p>
            <w:pPr>
              <w:pStyle w:val="39"/>
              <w:rPr>
                <w:rFonts w:ascii="Times New Roman" w:hAnsi="Times New Roman"/>
              </w:rPr>
            </w:pPr>
            <w:r>
              <w:rPr>
                <w:rFonts w:ascii="Times New Roman" w:hAnsi="Times New Roman"/>
              </w:rPr>
              <w:t>0.44～0.56</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2023.12.19</w:t>
            </w:r>
          </w:p>
        </w:tc>
        <w:tc>
          <w:tcPr>
            <w:tcW w:w="1475" w:type="dxa"/>
            <w:vAlign w:val="center"/>
          </w:tcPr>
          <w:p>
            <w:pPr>
              <w:pStyle w:val="39"/>
              <w:rPr>
                <w:rFonts w:ascii="Times New Roman" w:hAnsi="Times New Roman"/>
              </w:rPr>
            </w:pPr>
            <w:r>
              <w:rPr>
                <w:rFonts w:ascii="Times New Roman" w:hAnsi="Times New Roman"/>
              </w:rPr>
              <w:t>0.41～0.45</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2023.12.20</w:t>
            </w:r>
          </w:p>
        </w:tc>
        <w:tc>
          <w:tcPr>
            <w:tcW w:w="1475" w:type="dxa"/>
            <w:vAlign w:val="center"/>
          </w:tcPr>
          <w:p>
            <w:pPr>
              <w:pStyle w:val="39"/>
              <w:rPr>
                <w:rFonts w:ascii="Times New Roman" w:hAnsi="Times New Roman"/>
              </w:rPr>
            </w:pPr>
            <w:r>
              <w:rPr>
                <w:rFonts w:ascii="Times New Roman" w:hAnsi="Times New Roman"/>
              </w:rPr>
              <w:t>0.44～0.50</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2023.12.21</w:t>
            </w:r>
          </w:p>
        </w:tc>
        <w:tc>
          <w:tcPr>
            <w:tcW w:w="1475" w:type="dxa"/>
            <w:vAlign w:val="center"/>
          </w:tcPr>
          <w:p>
            <w:pPr>
              <w:pStyle w:val="39"/>
              <w:rPr>
                <w:rFonts w:ascii="Times New Roman" w:hAnsi="Times New Roman"/>
              </w:rPr>
            </w:pPr>
            <w:r>
              <w:rPr>
                <w:rFonts w:ascii="Times New Roman" w:hAnsi="Times New Roman"/>
              </w:rPr>
              <w:t>0.25～0.33</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2023.12.22</w:t>
            </w:r>
          </w:p>
        </w:tc>
        <w:tc>
          <w:tcPr>
            <w:tcW w:w="1475" w:type="dxa"/>
            <w:vAlign w:val="center"/>
          </w:tcPr>
          <w:p>
            <w:pPr>
              <w:pStyle w:val="39"/>
              <w:rPr>
                <w:rFonts w:ascii="Times New Roman" w:hAnsi="Times New Roman"/>
              </w:rPr>
            </w:pPr>
            <w:r>
              <w:rPr>
                <w:rFonts w:ascii="Times New Roman" w:hAnsi="Times New Roman"/>
              </w:rPr>
              <w:t>0.38～0.56</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2023.12.23</w:t>
            </w:r>
          </w:p>
        </w:tc>
        <w:tc>
          <w:tcPr>
            <w:tcW w:w="1475" w:type="dxa"/>
            <w:vAlign w:val="center"/>
          </w:tcPr>
          <w:p>
            <w:pPr>
              <w:pStyle w:val="39"/>
              <w:rPr>
                <w:rFonts w:ascii="Times New Roman" w:hAnsi="Times New Roman"/>
              </w:rPr>
            </w:pPr>
            <w:r>
              <w:rPr>
                <w:rFonts w:ascii="Times New Roman" w:hAnsi="Times New Roman"/>
              </w:rPr>
              <w:t>0.38～0.53</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restart"/>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1268" w:type="dxa"/>
            <w:vAlign w:val="center"/>
          </w:tcPr>
          <w:p>
            <w:pPr>
              <w:pStyle w:val="39"/>
              <w:rPr>
                <w:rFonts w:ascii="Times New Roman" w:hAnsi="Times New Roman"/>
              </w:rPr>
            </w:pPr>
            <w:r>
              <w:rPr>
                <w:rFonts w:ascii="Times New Roman" w:hAnsi="Times New Roman"/>
              </w:rPr>
              <w:t>2023.12.17</w:t>
            </w:r>
          </w:p>
        </w:tc>
        <w:tc>
          <w:tcPr>
            <w:tcW w:w="1475" w:type="dxa"/>
            <w:vAlign w:val="center"/>
          </w:tcPr>
          <w:p>
            <w:pPr>
              <w:pStyle w:val="39"/>
              <w:rPr>
                <w:rFonts w:ascii="Times New Roman" w:hAnsi="Times New Roman"/>
              </w:rPr>
            </w:pPr>
            <w:r>
              <w:rPr>
                <w:rFonts w:ascii="Times New Roman" w:hAnsi="Times New Roman"/>
              </w:rPr>
              <w:t>未检出</w:t>
            </w:r>
          </w:p>
        </w:tc>
        <w:tc>
          <w:tcPr>
            <w:tcW w:w="1239" w:type="dxa"/>
            <w:vMerge w:val="restart"/>
            <w:vAlign w:val="center"/>
          </w:tcPr>
          <w:p>
            <w:pPr>
              <w:pStyle w:val="39"/>
              <w:rPr>
                <w:rFonts w:ascii="Times New Roman" w:hAnsi="Times New Roman"/>
              </w:rPr>
            </w:pPr>
            <w:r>
              <w:rPr>
                <w:rFonts w:ascii="Times New Roman" w:hAnsi="Times New Roman"/>
              </w:rPr>
              <w:t>0.01</w:t>
            </w:r>
          </w:p>
        </w:tc>
        <w:tc>
          <w:tcPr>
            <w:tcW w:w="963" w:type="dxa"/>
            <w:vMerge w:val="restart"/>
            <w:vAlign w:val="center"/>
          </w:tcPr>
          <w:p>
            <w:pPr>
              <w:pStyle w:val="39"/>
              <w:rPr>
                <w:rFonts w:ascii="Times New Roman" w:hAnsi="Times New Roman"/>
              </w:rPr>
            </w:pPr>
            <w:r>
              <w:rPr>
                <w:rFonts w:ascii="Times New Roman" w:hAnsi="Times New Roman"/>
              </w:rPr>
              <w:t>/</w:t>
            </w: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2023.12.18</w:t>
            </w:r>
          </w:p>
        </w:tc>
        <w:tc>
          <w:tcPr>
            <w:tcW w:w="1475" w:type="dxa"/>
            <w:vAlign w:val="center"/>
          </w:tcPr>
          <w:p>
            <w:pPr>
              <w:pStyle w:val="39"/>
              <w:rPr>
                <w:rFonts w:ascii="Times New Roman" w:hAnsi="Times New Roman"/>
              </w:rPr>
            </w:pPr>
            <w:r>
              <w:rPr>
                <w:rFonts w:ascii="Times New Roman" w:hAnsi="Times New Roman"/>
              </w:rPr>
              <w:t>未检出</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2023.12.19</w:t>
            </w:r>
          </w:p>
        </w:tc>
        <w:tc>
          <w:tcPr>
            <w:tcW w:w="1475" w:type="dxa"/>
            <w:vAlign w:val="center"/>
          </w:tcPr>
          <w:p>
            <w:pPr>
              <w:pStyle w:val="39"/>
              <w:rPr>
                <w:rFonts w:ascii="Times New Roman" w:hAnsi="Times New Roman"/>
              </w:rPr>
            </w:pPr>
            <w:r>
              <w:rPr>
                <w:rFonts w:ascii="Times New Roman" w:hAnsi="Times New Roman"/>
              </w:rPr>
              <w:t>未检出</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2023.12.20</w:t>
            </w:r>
          </w:p>
        </w:tc>
        <w:tc>
          <w:tcPr>
            <w:tcW w:w="1475" w:type="dxa"/>
            <w:vAlign w:val="center"/>
          </w:tcPr>
          <w:p>
            <w:pPr>
              <w:pStyle w:val="39"/>
              <w:rPr>
                <w:rFonts w:ascii="Times New Roman" w:hAnsi="Times New Roman"/>
              </w:rPr>
            </w:pPr>
            <w:r>
              <w:rPr>
                <w:rFonts w:ascii="Times New Roman" w:hAnsi="Times New Roman"/>
              </w:rPr>
              <w:t>未检出</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2023.12.21</w:t>
            </w:r>
          </w:p>
        </w:tc>
        <w:tc>
          <w:tcPr>
            <w:tcW w:w="1475" w:type="dxa"/>
          </w:tcPr>
          <w:p>
            <w:pPr>
              <w:pStyle w:val="39"/>
              <w:rPr>
                <w:rFonts w:ascii="Times New Roman" w:hAnsi="Times New Roman"/>
              </w:rPr>
            </w:pPr>
            <w:r>
              <w:rPr>
                <w:rFonts w:ascii="Times New Roman" w:hAnsi="Times New Roman"/>
              </w:rPr>
              <w:t>未检出</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2023.12.22</w:t>
            </w:r>
          </w:p>
        </w:tc>
        <w:tc>
          <w:tcPr>
            <w:tcW w:w="1475" w:type="dxa"/>
          </w:tcPr>
          <w:p>
            <w:pPr>
              <w:pStyle w:val="39"/>
              <w:rPr>
                <w:rFonts w:ascii="Times New Roman" w:hAnsi="Times New Roman"/>
              </w:rPr>
            </w:pPr>
            <w:r>
              <w:rPr>
                <w:rFonts w:ascii="Times New Roman" w:hAnsi="Times New Roman"/>
              </w:rPr>
              <w:t>未检出</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2023.12.23</w:t>
            </w:r>
          </w:p>
        </w:tc>
        <w:tc>
          <w:tcPr>
            <w:tcW w:w="1475" w:type="dxa"/>
          </w:tcPr>
          <w:p>
            <w:pPr>
              <w:pStyle w:val="39"/>
              <w:rPr>
                <w:rFonts w:ascii="Times New Roman" w:hAnsi="Times New Roman"/>
              </w:rPr>
            </w:pPr>
            <w:r>
              <w:rPr>
                <w:rFonts w:ascii="Times New Roman" w:hAnsi="Times New Roman"/>
              </w:rPr>
              <w:t>未检出</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restart"/>
            <w:vAlign w:val="center"/>
          </w:tcPr>
          <w:p>
            <w:pPr>
              <w:pStyle w:val="39"/>
              <w:rPr>
                <w:rFonts w:ascii="Times New Roman" w:hAnsi="Times New Roman"/>
              </w:rPr>
            </w:pPr>
            <w:r>
              <w:rPr>
                <w:rFonts w:ascii="Times New Roman" w:hAnsi="Times New Roman"/>
              </w:rPr>
              <w:t>宣兴1井站</w:t>
            </w:r>
          </w:p>
        </w:tc>
        <w:tc>
          <w:tcPr>
            <w:tcW w:w="971" w:type="dxa"/>
            <w:vMerge w:val="restart"/>
            <w:vAlign w:val="center"/>
          </w:tcPr>
          <w:p>
            <w:pPr>
              <w:pStyle w:val="39"/>
              <w:rPr>
                <w:rFonts w:ascii="Times New Roman" w:hAnsi="Times New Roman"/>
              </w:rPr>
            </w:pPr>
            <w:r>
              <w:rPr>
                <w:rFonts w:ascii="Times New Roman" w:hAnsi="Times New Roman"/>
              </w:rPr>
              <w:t>NMHC</w:t>
            </w:r>
          </w:p>
        </w:tc>
        <w:tc>
          <w:tcPr>
            <w:tcW w:w="1268" w:type="dxa"/>
            <w:vAlign w:val="center"/>
          </w:tcPr>
          <w:p>
            <w:pPr>
              <w:pStyle w:val="39"/>
              <w:rPr>
                <w:rFonts w:ascii="Times New Roman" w:hAnsi="Times New Roman"/>
              </w:rPr>
            </w:pPr>
            <w:r>
              <w:rPr>
                <w:rFonts w:ascii="Times New Roman" w:hAnsi="Times New Roman"/>
              </w:rPr>
              <w:t>2023.12.17</w:t>
            </w:r>
          </w:p>
        </w:tc>
        <w:tc>
          <w:tcPr>
            <w:tcW w:w="1475" w:type="dxa"/>
            <w:vAlign w:val="center"/>
          </w:tcPr>
          <w:p>
            <w:pPr>
              <w:pStyle w:val="39"/>
              <w:rPr>
                <w:rFonts w:ascii="Times New Roman" w:hAnsi="Times New Roman"/>
              </w:rPr>
            </w:pPr>
            <w:r>
              <w:rPr>
                <w:rFonts w:ascii="Times New Roman" w:hAnsi="Times New Roman"/>
              </w:rPr>
              <w:t>0.59～0.71</w:t>
            </w:r>
          </w:p>
        </w:tc>
        <w:tc>
          <w:tcPr>
            <w:tcW w:w="1239" w:type="dxa"/>
            <w:vMerge w:val="restart"/>
            <w:vAlign w:val="center"/>
          </w:tcPr>
          <w:p>
            <w:pPr>
              <w:pStyle w:val="39"/>
              <w:rPr>
                <w:rFonts w:ascii="Times New Roman" w:hAnsi="Times New Roman"/>
              </w:rPr>
            </w:pPr>
            <w:r>
              <w:rPr>
                <w:rFonts w:ascii="Times New Roman" w:hAnsi="Times New Roman"/>
              </w:rPr>
              <w:t>2</w:t>
            </w:r>
          </w:p>
        </w:tc>
        <w:tc>
          <w:tcPr>
            <w:tcW w:w="963" w:type="dxa"/>
            <w:vMerge w:val="restart"/>
            <w:vAlign w:val="center"/>
          </w:tcPr>
          <w:p>
            <w:pPr>
              <w:pStyle w:val="39"/>
              <w:rPr>
                <w:rFonts w:ascii="Times New Roman" w:hAnsi="Times New Roman"/>
              </w:rPr>
            </w:pPr>
            <w:r>
              <w:rPr>
                <w:rFonts w:ascii="Times New Roman" w:hAnsi="Times New Roman"/>
              </w:rPr>
              <w:t>37</w:t>
            </w: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2023.12.18</w:t>
            </w:r>
          </w:p>
        </w:tc>
        <w:tc>
          <w:tcPr>
            <w:tcW w:w="1475" w:type="dxa"/>
            <w:vAlign w:val="center"/>
          </w:tcPr>
          <w:p>
            <w:pPr>
              <w:pStyle w:val="39"/>
              <w:rPr>
                <w:rFonts w:ascii="Times New Roman" w:hAnsi="Times New Roman"/>
              </w:rPr>
            </w:pPr>
            <w:r>
              <w:rPr>
                <w:rFonts w:ascii="Times New Roman" w:hAnsi="Times New Roman"/>
              </w:rPr>
              <w:t>0.64～0.71</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2023.12.19</w:t>
            </w:r>
          </w:p>
        </w:tc>
        <w:tc>
          <w:tcPr>
            <w:tcW w:w="1475" w:type="dxa"/>
            <w:vAlign w:val="center"/>
          </w:tcPr>
          <w:p>
            <w:pPr>
              <w:pStyle w:val="39"/>
              <w:rPr>
                <w:rFonts w:ascii="Times New Roman" w:hAnsi="Times New Roman"/>
              </w:rPr>
            </w:pPr>
            <w:r>
              <w:rPr>
                <w:rFonts w:ascii="Times New Roman" w:hAnsi="Times New Roman"/>
              </w:rPr>
              <w:t>0.63～0.71</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2023.12.20</w:t>
            </w:r>
          </w:p>
        </w:tc>
        <w:tc>
          <w:tcPr>
            <w:tcW w:w="1475" w:type="dxa"/>
            <w:vAlign w:val="center"/>
          </w:tcPr>
          <w:p>
            <w:pPr>
              <w:pStyle w:val="39"/>
              <w:rPr>
                <w:rFonts w:ascii="Times New Roman" w:hAnsi="Times New Roman"/>
              </w:rPr>
            </w:pPr>
            <w:r>
              <w:rPr>
                <w:rFonts w:ascii="Times New Roman" w:hAnsi="Times New Roman"/>
              </w:rPr>
              <w:t>0.42～0.64</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2023.12.21</w:t>
            </w:r>
          </w:p>
        </w:tc>
        <w:tc>
          <w:tcPr>
            <w:tcW w:w="1475" w:type="dxa"/>
            <w:vAlign w:val="center"/>
          </w:tcPr>
          <w:p>
            <w:pPr>
              <w:pStyle w:val="39"/>
              <w:rPr>
                <w:rFonts w:ascii="Times New Roman" w:hAnsi="Times New Roman"/>
              </w:rPr>
            </w:pPr>
            <w:r>
              <w:rPr>
                <w:rFonts w:ascii="Times New Roman" w:hAnsi="Times New Roman"/>
              </w:rPr>
              <w:t>0.59～0.74</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2023.12.22</w:t>
            </w:r>
          </w:p>
        </w:tc>
        <w:tc>
          <w:tcPr>
            <w:tcW w:w="1475" w:type="dxa"/>
            <w:vAlign w:val="center"/>
          </w:tcPr>
          <w:p>
            <w:pPr>
              <w:pStyle w:val="39"/>
              <w:rPr>
                <w:rFonts w:ascii="Times New Roman" w:hAnsi="Times New Roman"/>
              </w:rPr>
            </w:pPr>
            <w:r>
              <w:rPr>
                <w:rFonts w:ascii="Times New Roman" w:hAnsi="Times New Roman"/>
              </w:rPr>
              <w:t>0.62～0.74</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2023.12.23</w:t>
            </w:r>
          </w:p>
        </w:tc>
        <w:tc>
          <w:tcPr>
            <w:tcW w:w="1475" w:type="dxa"/>
            <w:vAlign w:val="center"/>
          </w:tcPr>
          <w:p>
            <w:pPr>
              <w:pStyle w:val="39"/>
              <w:rPr>
                <w:rFonts w:ascii="Times New Roman" w:hAnsi="Times New Roman"/>
              </w:rPr>
            </w:pPr>
            <w:r>
              <w:rPr>
                <w:rFonts w:ascii="Times New Roman" w:hAnsi="Times New Roman"/>
              </w:rPr>
              <w:t>0.60～0.68</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restart"/>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1268" w:type="dxa"/>
            <w:vAlign w:val="center"/>
          </w:tcPr>
          <w:p>
            <w:pPr>
              <w:pStyle w:val="39"/>
              <w:rPr>
                <w:rFonts w:ascii="Times New Roman" w:hAnsi="Times New Roman"/>
              </w:rPr>
            </w:pPr>
            <w:r>
              <w:rPr>
                <w:rFonts w:ascii="Times New Roman" w:hAnsi="Times New Roman"/>
              </w:rPr>
              <w:t>2023.12.17</w:t>
            </w:r>
          </w:p>
        </w:tc>
        <w:tc>
          <w:tcPr>
            <w:tcW w:w="1475" w:type="dxa"/>
          </w:tcPr>
          <w:p>
            <w:pPr>
              <w:pStyle w:val="39"/>
              <w:rPr>
                <w:rFonts w:ascii="Times New Roman" w:hAnsi="Times New Roman"/>
              </w:rPr>
            </w:pPr>
            <w:r>
              <w:rPr>
                <w:rFonts w:ascii="Times New Roman" w:hAnsi="Times New Roman"/>
              </w:rPr>
              <w:t>未检出</w:t>
            </w:r>
          </w:p>
        </w:tc>
        <w:tc>
          <w:tcPr>
            <w:tcW w:w="1239" w:type="dxa"/>
            <w:vMerge w:val="restart"/>
            <w:vAlign w:val="center"/>
          </w:tcPr>
          <w:p>
            <w:pPr>
              <w:pStyle w:val="39"/>
              <w:rPr>
                <w:rFonts w:ascii="Times New Roman" w:hAnsi="Times New Roman"/>
              </w:rPr>
            </w:pPr>
            <w:r>
              <w:rPr>
                <w:rFonts w:ascii="Times New Roman" w:hAnsi="Times New Roman"/>
              </w:rPr>
              <w:t>0.01</w:t>
            </w:r>
          </w:p>
        </w:tc>
        <w:tc>
          <w:tcPr>
            <w:tcW w:w="963" w:type="dxa"/>
            <w:vMerge w:val="restart"/>
            <w:vAlign w:val="center"/>
          </w:tcPr>
          <w:p>
            <w:pPr>
              <w:pStyle w:val="39"/>
              <w:rPr>
                <w:rFonts w:ascii="Times New Roman" w:hAnsi="Times New Roman"/>
              </w:rPr>
            </w:pPr>
            <w:r>
              <w:rPr>
                <w:rFonts w:ascii="Times New Roman" w:hAnsi="Times New Roman"/>
              </w:rPr>
              <w:t>/</w:t>
            </w: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2023.12.18</w:t>
            </w:r>
          </w:p>
        </w:tc>
        <w:tc>
          <w:tcPr>
            <w:tcW w:w="1475" w:type="dxa"/>
          </w:tcPr>
          <w:p>
            <w:pPr>
              <w:pStyle w:val="39"/>
              <w:rPr>
                <w:rFonts w:ascii="Times New Roman" w:hAnsi="Times New Roman"/>
              </w:rPr>
            </w:pPr>
            <w:r>
              <w:rPr>
                <w:rFonts w:ascii="Times New Roman" w:hAnsi="Times New Roman"/>
              </w:rPr>
              <w:t>未检出</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2023.12.19</w:t>
            </w:r>
          </w:p>
        </w:tc>
        <w:tc>
          <w:tcPr>
            <w:tcW w:w="1475" w:type="dxa"/>
          </w:tcPr>
          <w:p>
            <w:pPr>
              <w:pStyle w:val="39"/>
              <w:rPr>
                <w:rFonts w:ascii="Times New Roman" w:hAnsi="Times New Roman"/>
              </w:rPr>
            </w:pPr>
            <w:r>
              <w:rPr>
                <w:rFonts w:ascii="Times New Roman" w:hAnsi="Times New Roman"/>
              </w:rPr>
              <w:t>未检出</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2023.12.20</w:t>
            </w:r>
          </w:p>
        </w:tc>
        <w:tc>
          <w:tcPr>
            <w:tcW w:w="1475" w:type="dxa"/>
          </w:tcPr>
          <w:p>
            <w:pPr>
              <w:pStyle w:val="39"/>
              <w:rPr>
                <w:rFonts w:ascii="Times New Roman" w:hAnsi="Times New Roman"/>
              </w:rPr>
            </w:pPr>
            <w:r>
              <w:rPr>
                <w:rFonts w:ascii="Times New Roman" w:hAnsi="Times New Roman"/>
              </w:rPr>
              <w:t>未检出</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2023.12.21</w:t>
            </w:r>
          </w:p>
        </w:tc>
        <w:tc>
          <w:tcPr>
            <w:tcW w:w="1475" w:type="dxa"/>
          </w:tcPr>
          <w:p>
            <w:pPr>
              <w:pStyle w:val="39"/>
              <w:rPr>
                <w:rFonts w:ascii="Times New Roman" w:hAnsi="Times New Roman"/>
              </w:rPr>
            </w:pPr>
            <w:r>
              <w:rPr>
                <w:rFonts w:ascii="Times New Roman" w:hAnsi="Times New Roman"/>
              </w:rPr>
              <w:t>未检出</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2023.12.22</w:t>
            </w:r>
          </w:p>
        </w:tc>
        <w:tc>
          <w:tcPr>
            <w:tcW w:w="1475" w:type="dxa"/>
          </w:tcPr>
          <w:p>
            <w:pPr>
              <w:pStyle w:val="39"/>
              <w:rPr>
                <w:rFonts w:ascii="Times New Roman" w:hAnsi="Times New Roman"/>
              </w:rPr>
            </w:pPr>
            <w:r>
              <w:rPr>
                <w:rFonts w:ascii="Times New Roman" w:hAnsi="Times New Roman"/>
              </w:rPr>
              <w:t>未检出</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 w:type="dxa"/>
            <w:vMerge w:val="continue"/>
            <w:vAlign w:val="center"/>
          </w:tcPr>
          <w:p>
            <w:pPr>
              <w:pStyle w:val="39"/>
              <w:rPr>
                <w:rFonts w:ascii="Times New Roman" w:hAnsi="Times New Roman"/>
              </w:rPr>
            </w:pPr>
          </w:p>
        </w:tc>
        <w:tc>
          <w:tcPr>
            <w:tcW w:w="971" w:type="dxa"/>
            <w:vMerge w:val="continue"/>
            <w:vAlign w:val="center"/>
          </w:tcPr>
          <w:p>
            <w:pPr>
              <w:pStyle w:val="39"/>
              <w:rPr>
                <w:rFonts w:ascii="Times New Roman" w:hAnsi="Times New Roman"/>
              </w:rPr>
            </w:pPr>
          </w:p>
        </w:tc>
        <w:tc>
          <w:tcPr>
            <w:tcW w:w="1268" w:type="dxa"/>
            <w:vAlign w:val="center"/>
          </w:tcPr>
          <w:p>
            <w:pPr>
              <w:pStyle w:val="39"/>
              <w:rPr>
                <w:rFonts w:ascii="Times New Roman" w:hAnsi="Times New Roman"/>
              </w:rPr>
            </w:pPr>
            <w:r>
              <w:rPr>
                <w:rFonts w:ascii="Times New Roman" w:hAnsi="Times New Roman"/>
              </w:rPr>
              <w:t>2023.12.23</w:t>
            </w:r>
          </w:p>
        </w:tc>
        <w:tc>
          <w:tcPr>
            <w:tcW w:w="1475" w:type="dxa"/>
          </w:tcPr>
          <w:p>
            <w:pPr>
              <w:pStyle w:val="39"/>
              <w:rPr>
                <w:rFonts w:ascii="Times New Roman" w:hAnsi="Times New Roman"/>
              </w:rPr>
            </w:pPr>
            <w:r>
              <w:rPr>
                <w:rFonts w:ascii="Times New Roman" w:hAnsi="Times New Roman"/>
              </w:rPr>
              <w:t>未检出</w:t>
            </w:r>
          </w:p>
        </w:tc>
        <w:tc>
          <w:tcPr>
            <w:tcW w:w="1239" w:type="dxa"/>
            <w:vMerge w:val="continue"/>
            <w:vAlign w:val="center"/>
          </w:tcPr>
          <w:p>
            <w:pPr>
              <w:pStyle w:val="39"/>
              <w:rPr>
                <w:rFonts w:ascii="Times New Roman" w:hAnsi="Times New Roman"/>
              </w:rPr>
            </w:pPr>
          </w:p>
        </w:tc>
        <w:tc>
          <w:tcPr>
            <w:tcW w:w="963" w:type="dxa"/>
            <w:vMerge w:val="continue"/>
            <w:vAlign w:val="center"/>
          </w:tcPr>
          <w:p>
            <w:pPr>
              <w:pStyle w:val="39"/>
              <w:rPr>
                <w:rFonts w:ascii="Times New Roman" w:hAnsi="Times New Roman"/>
              </w:rPr>
            </w:pPr>
          </w:p>
        </w:tc>
        <w:tc>
          <w:tcPr>
            <w:tcW w:w="963" w:type="dxa"/>
          </w:tcPr>
          <w:p>
            <w:pPr>
              <w:pStyle w:val="39"/>
              <w:rPr>
                <w:rFonts w:ascii="Times New Roman" w:hAnsi="Times New Roman"/>
              </w:rPr>
            </w:pPr>
            <w:r>
              <w:rPr>
                <w:rFonts w:ascii="Times New Roman" w:hAnsi="Times New Roman"/>
              </w:rPr>
              <w:t>0</w:t>
            </w:r>
          </w:p>
        </w:tc>
        <w:tc>
          <w:tcPr>
            <w:tcW w:w="827" w:type="dxa"/>
          </w:tcPr>
          <w:p>
            <w:pPr>
              <w:pStyle w:val="39"/>
              <w:rPr>
                <w:rFonts w:ascii="Times New Roman" w:hAnsi="Times New Roman"/>
              </w:rPr>
            </w:pPr>
            <w:r>
              <w:rPr>
                <w:rFonts w:ascii="Times New Roman" w:hAnsi="Times New Roman"/>
              </w:rPr>
              <w:t>达标</w:t>
            </w:r>
          </w:p>
        </w:tc>
      </w:tr>
    </w:tbl>
    <w:p>
      <w:pPr>
        <w:pStyle w:val="3"/>
        <w:rPr>
          <w:rFonts w:ascii="Times New Roman" w:hAnsi="Times New Roman" w:cs="Times New Roman"/>
        </w:rPr>
      </w:pPr>
      <w:bookmarkStart w:id="133" w:name="_Toc162339417"/>
      <w:r>
        <w:rPr>
          <w:rFonts w:ascii="Times New Roman" w:hAnsi="Times New Roman" w:cs="Times New Roman"/>
        </w:rPr>
        <w:t>地表水环境</w:t>
      </w:r>
      <w:bookmarkEnd w:id="133"/>
    </w:p>
    <w:p>
      <w:pPr>
        <w:ind w:firstLine="480"/>
        <w:rPr>
          <w:rFonts w:ascii="Times New Roman" w:hAnsi="Times New Roman"/>
        </w:rPr>
      </w:pPr>
      <w:r>
        <w:rPr>
          <w:rFonts w:ascii="Times New Roman" w:hAnsi="Times New Roman"/>
        </w:rPr>
        <w:t>本项目管道穿越清溪河（又名乱石滩河），本次评价委托四川地风升检测服务有限公司对清溪河的水质进行了采样监测。</w:t>
      </w:r>
    </w:p>
    <w:p>
      <w:pPr>
        <w:pStyle w:val="4"/>
        <w:rPr>
          <w:rFonts w:ascii="Times New Roman" w:hAnsi="Times New Roman" w:cs="Times New Roman"/>
        </w:rPr>
      </w:pPr>
      <w:r>
        <w:rPr>
          <w:rFonts w:ascii="Times New Roman" w:hAnsi="Times New Roman" w:cs="Times New Roman"/>
        </w:rPr>
        <w:t>监测断面、因子、时间</w:t>
      </w:r>
    </w:p>
    <w:p>
      <w:pPr>
        <w:ind w:firstLine="480"/>
        <w:rPr>
          <w:rFonts w:ascii="Times New Roman" w:hAnsi="Times New Roman"/>
        </w:rPr>
      </w:pPr>
      <w:r>
        <w:rPr>
          <w:rFonts w:ascii="Times New Roman" w:hAnsi="Times New Roman"/>
        </w:rPr>
        <w:t>监测断面：清溪河穿越点的上游500m，下游1000m，下游3000m。监测点位示意图见</w:t>
      </w:r>
      <w:r>
        <w:rPr>
          <w:rFonts w:ascii="Times New Roman" w:hAnsi="Times New Roman"/>
        </w:rPr>
        <w:fldChar w:fldCharType="begin"/>
      </w:r>
      <w:r>
        <w:rPr>
          <w:rFonts w:ascii="Times New Roman" w:hAnsi="Times New Roman"/>
        </w:rPr>
        <w:instrText xml:space="preserve"> REF _Ref155278144 \h  \* MERGEFORMAT </w:instrText>
      </w:r>
      <w:r>
        <w:rPr>
          <w:rFonts w:ascii="Times New Roman" w:hAnsi="Times New Roman"/>
        </w:rPr>
        <w:fldChar w:fldCharType="separate"/>
      </w:r>
      <w:r>
        <w:rPr>
          <w:rFonts w:ascii="Times New Roman" w:hAnsi="Times New Roman"/>
        </w:rPr>
        <w:t>图 5</w:t>
      </w:r>
      <w:r>
        <w:rPr>
          <w:rFonts w:ascii="Times New Roman" w:hAnsi="Times New Roman"/>
        </w:rPr>
        <w:noBreakHyphen/>
      </w:r>
      <w:r>
        <w:rPr>
          <w:rFonts w:ascii="Times New Roman" w:hAnsi="Times New Roman"/>
        </w:rPr>
        <w:t>2</w:t>
      </w:r>
      <w:r>
        <w:rPr>
          <w:rFonts w:ascii="Times New Roman" w:hAnsi="Times New Roman"/>
        </w:rPr>
        <w:fldChar w:fldCharType="end"/>
      </w:r>
      <w:r>
        <w:rPr>
          <w:rFonts w:ascii="Times New Roman" w:hAnsi="Times New Roman"/>
        </w:rPr>
        <w:t>（附图22）。</w:t>
      </w:r>
    </w:p>
    <w:p>
      <w:pPr>
        <w:ind w:firstLine="480"/>
        <w:rPr>
          <w:rFonts w:ascii="Times New Roman" w:hAnsi="Times New Roman"/>
        </w:rPr>
      </w:pPr>
      <w:r>
        <w:rPr>
          <w:rFonts w:ascii="Times New Roman" w:hAnsi="Times New Roman"/>
        </w:rPr>
        <w:t>监测因子：pH 值、悬浮物、COD、BOD</w:t>
      </w:r>
      <w:r>
        <w:rPr>
          <w:rFonts w:ascii="Times New Roman" w:hAnsi="Times New Roman"/>
          <w:vertAlign w:val="subscript"/>
        </w:rPr>
        <w:t>5</w:t>
      </w:r>
      <w:r>
        <w:rPr>
          <w:rFonts w:ascii="Times New Roman" w:hAnsi="Times New Roman"/>
        </w:rPr>
        <w:t>、氨氮、总磷、石油类、挥发酚、硫化物、阴离子表面活性剂、汞、总铬、六价铬、镉、砷、镍、铅。</w:t>
      </w:r>
    </w:p>
    <w:p>
      <w:pPr>
        <w:ind w:firstLine="480"/>
        <w:rPr>
          <w:rFonts w:ascii="Times New Roman" w:hAnsi="Times New Roman"/>
        </w:rPr>
      </w:pPr>
      <w:r>
        <w:rPr>
          <w:rFonts w:ascii="Times New Roman" w:hAnsi="Times New Roman"/>
        </w:rPr>
        <w:t>监测时间：2023年12月21日、22日、23日</w:t>
      </w:r>
    </w:p>
    <w:p>
      <w:pPr>
        <w:ind w:firstLine="480"/>
        <w:rPr>
          <w:rFonts w:ascii="Times New Roman" w:hAnsi="Times New Roman"/>
        </w:rPr>
      </w:pPr>
      <w:r>
        <w:rPr>
          <w:rFonts w:ascii="Times New Roman" w:hAnsi="Times New Roman"/>
        </w:rPr>
        <w:t>监测频次：地表水连续采样3天，1次/天</w:t>
      </w:r>
    </w:p>
    <w:p>
      <w:pPr>
        <w:ind w:firstLine="480"/>
        <w:rPr>
          <w:rFonts w:ascii="Times New Roman" w:hAnsi="Times New Roman"/>
        </w:rPr>
        <w:sectPr>
          <w:pgSz w:w="11906" w:h="16838"/>
          <w:pgMar w:top="1440" w:right="1800" w:bottom="1440" w:left="1800" w:header="851" w:footer="992" w:gutter="0"/>
          <w:cols w:space="425" w:num="1"/>
          <w:docGrid w:type="lines" w:linePitch="312" w:charSpace="0"/>
        </w:sectPr>
      </w:pPr>
    </w:p>
    <w:p>
      <w:pPr>
        <w:ind w:firstLine="0" w:firstLineChars="0"/>
        <w:jc w:val="center"/>
        <w:rPr>
          <w:rFonts w:ascii="Times New Roman" w:hAnsi="Times New Roman"/>
        </w:rPr>
      </w:pPr>
      <w:r>
        <w:rPr>
          <w:rFonts w:ascii="Times New Roman" w:hAnsi="Times New Roman"/>
        </w:rPr>
        <w:drawing>
          <wp:inline distT="0" distB="0" distL="0" distR="0">
            <wp:extent cx="8125460" cy="4709160"/>
            <wp:effectExtent l="19050" t="19050" r="27940" b="15240"/>
            <wp:docPr id="5573234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323489" name="图片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8135490" cy="4714713"/>
                    </a:xfrm>
                    <a:prstGeom prst="rect">
                      <a:avLst/>
                    </a:prstGeom>
                    <a:noFill/>
                    <a:ln w="12700">
                      <a:solidFill>
                        <a:schemeClr val="tx1"/>
                      </a:solidFill>
                    </a:ln>
                  </pic:spPr>
                </pic:pic>
              </a:graphicData>
            </a:graphic>
          </wp:inline>
        </w:drawing>
      </w:r>
    </w:p>
    <w:p>
      <w:pPr>
        <w:pStyle w:val="37"/>
        <w:rPr>
          <w:rFonts w:ascii="Times New Roman" w:hAnsi="Times New Roman" w:cs="Times New Roman"/>
        </w:rPr>
      </w:pPr>
      <w:bookmarkStart w:id="134" w:name="_Ref155278144"/>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bookmarkEnd w:id="134"/>
      <w:r>
        <w:rPr>
          <w:rFonts w:ascii="Times New Roman" w:hAnsi="Times New Roman" w:cs="Times New Roman"/>
        </w:rPr>
        <w:t xml:space="preserve">  地表水监测断面示意图</w:t>
      </w:r>
    </w:p>
    <w:p>
      <w:pPr>
        <w:pStyle w:val="4"/>
        <w:rPr>
          <w:rFonts w:ascii="Times New Roman" w:hAnsi="Times New Roman" w:cs="Times New Roman"/>
        </w:rPr>
        <w:sectPr>
          <w:pgSz w:w="16838" w:h="11906" w:orient="landscape"/>
          <w:pgMar w:top="1797" w:right="1440" w:bottom="1797" w:left="1440" w:header="851" w:footer="992" w:gutter="0"/>
          <w:cols w:space="425" w:num="1"/>
          <w:docGrid w:type="linesAndChars" w:linePitch="312" w:charSpace="0"/>
        </w:sectPr>
      </w:pPr>
      <w:bookmarkStart w:id="135" w:name="_Toc132041949"/>
    </w:p>
    <w:p>
      <w:pPr>
        <w:pStyle w:val="4"/>
        <w:rPr>
          <w:rFonts w:ascii="Times New Roman" w:hAnsi="Times New Roman" w:cs="Times New Roman"/>
        </w:rPr>
      </w:pPr>
      <w:r>
        <w:rPr>
          <w:rFonts w:ascii="Times New Roman" w:hAnsi="Times New Roman" w:cs="Times New Roman"/>
        </w:rPr>
        <w:t>评价方法</w:t>
      </w:r>
      <w:bookmarkEnd w:id="135"/>
    </w:p>
    <w:p>
      <w:pPr>
        <w:ind w:firstLine="480"/>
        <w:rPr>
          <w:rFonts w:ascii="Times New Roman" w:hAnsi="Times New Roman"/>
        </w:rPr>
      </w:pPr>
      <w:r>
        <w:rPr>
          <w:rFonts w:ascii="Times New Roman" w:hAnsi="Times New Roman"/>
        </w:rPr>
        <w:t>采用水质指数法对地表水环境质量现状进行评价。</w:t>
      </w:r>
    </w:p>
    <w:p>
      <w:pPr>
        <w:ind w:firstLine="480"/>
        <w:rPr>
          <w:rFonts w:ascii="Times New Roman" w:hAnsi="Times New Roman"/>
        </w:rPr>
      </w:pPr>
      <w:r>
        <w:rPr>
          <w:rFonts w:ascii="Times New Roman" w:hAnsi="Times New Roman"/>
        </w:rPr>
        <w:t>1）一般性水质因子的指数公式如下：</w:t>
      </w:r>
    </w:p>
    <w:p>
      <w:pPr>
        <w:ind w:firstLine="480"/>
        <w:jc w:val="center"/>
        <w:rPr>
          <w:rFonts w:ascii="Times New Roman" w:hAnsi="Times New Roman"/>
          <w:kern w:val="0"/>
        </w:rPr>
      </w:pPr>
      <w:r>
        <w:rPr>
          <w:rFonts w:ascii="Times New Roman" w:hAnsi="Times New Roman"/>
          <w:position w:val="-30"/>
        </w:rPr>
        <w:object>
          <v:shape id="_x0000_i1026" o:spt="75" type="#_x0000_t75" style="height:36pt;width:49.5pt;" o:ole="t" filled="f" o:preferrelative="t" stroked="f" coordsize="21600,21600">
            <v:path/>
            <v:fill on="f" focussize="0,0"/>
            <v:stroke on="f" joinstyle="miter"/>
            <v:imagedata r:id="rId71" o:title=""/>
            <o:lock v:ext="edit" aspectratio="t"/>
            <w10:wrap type="none"/>
            <w10:anchorlock/>
          </v:shape>
          <o:OLEObject Type="Embed" ProgID="Equation.3" ShapeID="_x0000_i1026" DrawAspect="Content" ObjectID="_1468075725" r:id="rId70">
            <o:LockedField>false</o:LockedField>
          </o:OLEObject>
        </w:object>
      </w:r>
    </w:p>
    <w:p>
      <w:pPr>
        <w:ind w:firstLine="480"/>
        <w:rPr>
          <w:rFonts w:ascii="Times New Roman" w:hAnsi="Times New Roman"/>
          <w:kern w:val="0"/>
        </w:rPr>
      </w:pPr>
      <w:r>
        <w:rPr>
          <w:rFonts w:ascii="Times New Roman" w:hAnsi="Times New Roman"/>
          <w:kern w:val="0"/>
        </w:rPr>
        <w:t>式中：S</w:t>
      </w:r>
      <w:r>
        <w:rPr>
          <w:rFonts w:ascii="Times New Roman" w:hAnsi="Times New Roman"/>
          <w:kern w:val="0"/>
          <w:vertAlign w:val="subscript"/>
        </w:rPr>
        <w:t>i,j</w:t>
      </w:r>
      <w:r>
        <w:rPr>
          <w:rFonts w:ascii="Times New Roman" w:hAnsi="Times New Roman"/>
          <w:kern w:val="0"/>
        </w:rPr>
        <w:t>——评价因子i的水质指数，大于1表明该水质因子超标；</w:t>
      </w:r>
    </w:p>
    <w:p>
      <w:pPr>
        <w:ind w:firstLine="1200" w:firstLineChars="500"/>
        <w:rPr>
          <w:rFonts w:ascii="Times New Roman" w:hAnsi="Times New Roman"/>
          <w:kern w:val="0"/>
        </w:rPr>
      </w:pPr>
      <w:r>
        <w:rPr>
          <w:rFonts w:ascii="Times New Roman" w:hAnsi="Times New Roman"/>
          <w:kern w:val="0"/>
        </w:rPr>
        <w:t>C</w:t>
      </w:r>
      <w:r>
        <w:rPr>
          <w:rFonts w:ascii="Times New Roman" w:hAnsi="Times New Roman"/>
          <w:kern w:val="0"/>
          <w:vertAlign w:val="subscript"/>
        </w:rPr>
        <w:t>i,j</w:t>
      </w:r>
      <w:r>
        <w:rPr>
          <w:rFonts w:ascii="Times New Roman" w:hAnsi="Times New Roman"/>
          <w:kern w:val="0"/>
        </w:rPr>
        <w:t>——评价因子i在j点的实测统计代表值， mg/L；</w:t>
      </w:r>
    </w:p>
    <w:p>
      <w:pPr>
        <w:ind w:firstLine="1200" w:firstLineChars="500"/>
        <w:rPr>
          <w:rFonts w:ascii="Times New Roman" w:hAnsi="Times New Roman"/>
          <w:kern w:val="0"/>
        </w:rPr>
      </w:pPr>
      <w:r>
        <w:rPr>
          <w:rFonts w:ascii="Times New Roman" w:hAnsi="Times New Roman"/>
          <w:kern w:val="0"/>
        </w:rPr>
        <w:t>C</w:t>
      </w:r>
      <w:r>
        <w:rPr>
          <w:rFonts w:ascii="Times New Roman" w:hAnsi="Times New Roman"/>
          <w:kern w:val="0"/>
          <w:vertAlign w:val="subscript"/>
        </w:rPr>
        <w:t>si</w:t>
      </w:r>
      <w:r>
        <w:rPr>
          <w:rFonts w:ascii="Times New Roman" w:hAnsi="Times New Roman"/>
          <w:kern w:val="0"/>
        </w:rPr>
        <w:t>——评价因子i的水质评价标准限值，mg/L。</w:t>
      </w:r>
    </w:p>
    <w:p>
      <w:pPr>
        <w:ind w:firstLine="480"/>
        <w:textAlignment w:val="center"/>
        <w:rPr>
          <w:rFonts w:ascii="Times New Roman" w:hAnsi="Times New Roman"/>
        </w:rPr>
      </w:pPr>
      <w:r>
        <w:rPr>
          <w:rFonts w:ascii="Times New Roman" w:hAnsi="Times New Roman"/>
        </w:rPr>
        <w:t>2）溶解氧（DO）的标准指数计算公式如下：</w:t>
      </w:r>
    </w:p>
    <w:p>
      <w:pPr>
        <w:spacing w:before="156"/>
        <w:ind w:firstLine="480"/>
        <w:jc w:val="center"/>
        <w:rPr>
          <w:rFonts w:ascii="Times New Roman" w:hAnsi="Times New Roman"/>
        </w:rPr>
      </w:pPr>
      <w:r>
        <w:rPr>
          <w:rFonts w:ascii="Times New Roman" w:hAnsi="Times New Roman"/>
        </w:rPr>
        <w:object>
          <v:shape id="_x0000_i1027" o:spt="75" type="#_x0000_t75" style="height:79.5pt;width:180pt;" o:ole="t" filled="f" o:preferrelative="t" stroked="f" coordsize="21600,21600">
            <v:path/>
            <v:fill on="f" focussize="0,0"/>
            <v:stroke on="f" joinstyle="miter"/>
            <v:imagedata r:id="rId73" o:title=""/>
            <o:lock v:ext="edit" aspectratio="t"/>
            <w10:wrap type="none"/>
            <w10:anchorlock/>
          </v:shape>
          <o:OLEObject Type="Embed" ProgID="Equation.3" ShapeID="_x0000_i1027" DrawAspect="Content" ObjectID="_1468075726" r:id="rId72">
            <o:LockedField>false</o:LockedField>
          </o:OLEObject>
        </w:object>
      </w:r>
    </w:p>
    <w:p>
      <w:pPr>
        <w:tabs>
          <w:tab w:val="right" w:pos="7350"/>
        </w:tabs>
        <w:ind w:firstLine="480"/>
        <w:rPr>
          <w:rFonts w:ascii="Times New Roman" w:hAnsi="Times New Roman"/>
          <w:kern w:val="0"/>
        </w:rPr>
      </w:pPr>
      <w:bookmarkStart w:id="136" w:name="_Toc444589213"/>
      <w:bookmarkStart w:id="137" w:name="_Toc444528750"/>
      <w:r>
        <w:rPr>
          <w:rFonts w:ascii="Times New Roman" w:hAnsi="Times New Roman"/>
          <w:kern w:val="0"/>
        </w:rPr>
        <w:t>式中：S</w:t>
      </w:r>
      <w:r>
        <w:rPr>
          <w:rFonts w:ascii="Times New Roman" w:hAnsi="Times New Roman"/>
          <w:kern w:val="0"/>
          <w:vertAlign w:val="subscript"/>
        </w:rPr>
        <w:t>DO.j</w:t>
      </w:r>
      <w:r>
        <w:rPr>
          <w:rFonts w:ascii="Times New Roman" w:hAnsi="Times New Roman"/>
          <w:kern w:val="0"/>
        </w:rPr>
        <w:t>——溶解氧的标准指数，大于1表明该水质因子超标；</w:t>
      </w:r>
      <w:bookmarkEnd w:id="136"/>
      <w:bookmarkEnd w:id="137"/>
    </w:p>
    <w:p>
      <w:pPr>
        <w:tabs>
          <w:tab w:val="right" w:pos="7350"/>
        </w:tabs>
        <w:ind w:firstLine="1200" w:firstLineChars="500"/>
        <w:rPr>
          <w:rFonts w:ascii="Times New Roman" w:hAnsi="Times New Roman"/>
          <w:kern w:val="0"/>
        </w:rPr>
      </w:pPr>
      <w:r>
        <w:rPr>
          <w:rFonts w:ascii="Times New Roman" w:hAnsi="Times New Roman"/>
          <w:kern w:val="0"/>
        </w:rPr>
        <w:t>DO</w:t>
      </w:r>
      <w:r>
        <w:rPr>
          <w:rFonts w:ascii="Times New Roman" w:hAnsi="Times New Roman"/>
          <w:kern w:val="0"/>
          <w:vertAlign w:val="subscript"/>
        </w:rPr>
        <w:t>j</w:t>
      </w:r>
      <w:r>
        <w:rPr>
          <w:rFonts w:ascii="Times New Roman" w:hAnsi="Times New Roman"/>
          <w:kern w:val="0"/>
        </w:rPr>
        <w:t>——溶解氧在j点的实测统计代表值，mg/L；</w:t>
      </w:r>
    </w:p>
    <w:p>
      <w:pPr>
        <w:tabs>
          <w:tab w:val="right" w:pos="7350"/>
        </w:tabs>
        <w:ind w:firstLine="1200" w:firstLineChars="500"/>
        <w:rPr>
          <w:rFonts w:ascii="Times New Roman" w:hAnsi="Times New Roman"/>
          <w:kern w:val="0"/>
        </w:rPr>
      </w:pPr>
      <w:r>
        <w:rPr>
          <w:rFonts w:ascii="Times New Roman" w:hAnsi="Times New Roman"/>
          <w:kern w:val="0"/>
        </w:rPr>
        <w:t>DO</w:t>
      </w:r>
      <w:r>
        <w:rPr>
          <w:rFonts w:ascii="Times New Roman" w:hAnsi="Times New Roman"/>
          <w:kern w:val="0"/>
          <w:vertAlign w:val="subscript"/>
        </w:rPr>
        <w:t>s</w:t>
      </w:r>
      <w:r>
        <w:rPr>
          <w:rFonts w:ascii="Times New Roman" w:hAnsi="Times New Roman"/>
          <w:kern w:val="0"/>
        </w:rPr>
        <w:t>——溶解氧的水质评价标准限值，mg/L；</w:t>
      </w:r>
    </w:p>
    <w:p>
      <w:pPr>
        <w:tabs>
          <w:tab w:val="right" w:pos="7350"/>
        </w:tabs>
        <w:ind w:left="2126" w:leftChars="500" w:hanging="926" w:hangingChars="386"/>
        <w:rPr>
          <w:rFonts w:ascii="Times New Roman" w:hAnsi="Times New Roman"/>
          <w:kern w:val="0"/>
        </w:rPr>
      </w:pPr>
      <w:r>
        <w:rPr>
          <w:rFonts w:ascii="Times New Roman" w:hAnsi="Times New Roman"/>
          <w:kern w:val="0"/>
        </w:rPr>
        <w:t>DO</w:t>
      </w:r>
      <w:r>
        <w:rPr>
          <w:rFonts w:ascii="Times New Roman" w:hAnsi="Times New Roman"/>
          <w:kern w:val="0"/>
          <w:vertAlign w:val="subscript"/>
        </w:rPr>
        <w:t>f</w:t>
      </w:r>
      <w:r>
        <w:rPr>
          <w:rFonts w:ascii="Times New Roman" w:hAnsi="Times New Roman"/>
          <w:kern w:val="0"/>
        </w:rPr>
        <w:t>——饱和溶解氧浓度，mg/L，对于河流，DO</w:t>
      </w:r>
      <w:r>
        <w:rPr>
          <w:rFonts w:ascii="Times New Roman" w:hAnsi="Times New Roman"/>
          <w:kern w:val="0"/>
          <w:vertAlign w:val="subscript"/>
        </w:rPr>
        <w:t>f</w:t>
      </w:r>
      <w:r>
        <w:rPr>
          <w:rFonts w:ascii="Times New Roman" w:hAnsi="Times New Roman"/>
          <w:kern w:val="0"/>
        </w:rPr>
        <w:t>=468/（31.6+T）；对于盐度比较高的湖泊、水库及入海河口、近岸海域，DO</w:t>
      </w:r>
      <w:r>
        <w:rPr>
          <w:rFonts w:ascii="Times New Roman" w:hAnsi="Times New Roman"/>
          <w:kern w:val="0"/>
          <w:vertAlign w:val="subscript"/>
        </w:rPr>
        <w:t>f</w:t>
      </w:r>
      <w:r>
        <w:rPr>
          <w:rFonts w:ascii="Times New Roman" w:hAnsi="Times New Roman"/>
          <w:kern w:val="0"/>
        </w:rPr>
        <w:t>=（491-2.65S）/（33.5+T）；</w:t>
      </w:r>
    </w:p>
    <w:p>
      <w:pPr>
        <w:tabs>
          <w:tab w:val="right" w:pos="7350"/>
        </w:tabs>
        <w:ind w:left="2126" w:leftChars="500" w:hanging="926" w:hangingChars="386"/>
        <w:rPr>
          <w:rFonts w:ascii="Times New Roman" w:hAnsi="Times New Roman"/>
          <w:kern w:val="0"/>
        </w:rPr>
      </w:pPr>
      <w:r>
        <w:rPr>
          <w:rFonts w:ascii="Times New Roman" w:hAnsi="Times New Roman"/>
          <w:kern w:val="0"/>
        </w:rPr>
        <w:t>S——实用盐度符号，量纲一；</w:t>
      </w:r>
    </w:p>
    <w:p>
      <w:pPr>
        <w:tabs>
          <w:tab w:val="right" w:pos="7350"/>
        </w:tabs>
        <w:ind w:left="2126" w:leftChars="500" w:hanging="926" w:hangingChars="386"/>
        <w:rPr>
          <w:rFonts w:ascii="Times New Roman" w:hAnsi="Times New Roman"/>
          <w:kern w:val="0"/>
        </w:rPr>
      </w:pPr>
      <w:r>
        <w:rPr>
          <w:rFonts w:ascii="Times New Roman" w:hAnsi="Times New Roman"/>
          <w:kern w:val="0"/>
        </w:rPr>
        <w:t>T——水温，℃。</w:t>
      </w:r>
    </w:p>
    <w:p>
      <w:pPr>
        <w:ind w:firstLine="480"/>
        <w:rPr>
          <w:rFonts w:ascii="Times New Roman" w:hAnsi="Times New Roman"/>
          <w:kern w:val="0"/>
        </w:rPr>
      </w:pPr>
      <w:r>
        <w:rPr>
          <w:rFonts w:ascii="Times New Roman" w:hAnsi="Times New Roman"/>
          <w:kern w:val="0"/>
        </w:rPr>
        <w:t>3）pH值的指数计算公式如下：</w:t>
      </w:r>
    </w:p>
    <w:p>
      <w:pPr>
        <w:adjustRightInd w:val="0"/>
        <w:spacing w:before="124" w:beforeLines="40" w:after="124" w:afterLines="40"/>
        <w:ind w:firstLine="0" w:firstLineChars="0"/>
        <w:jc w:val="center"/>
        <w:rPr>
          <w:rFonts w:ascii="Times New Roman" w:hAnsi="Times New Roman"/>
        </w:rPr>
      </w:pPr>
      <w:r>
        <w:rPr>
          <w:rFonts w:ascii="Times New Roman" w:hAnsi="Times New Roman"/>
          <w:outline/>
          <w:sz w:val="18"/>
          <w:szCs w:val="18"/>
          <w14:textOutline w14:w="9525" w14:cap="flat" w14:cmpd="sng" w14:algn="ctr">
            <w14:solidFill>
              <w14:srgbClr w14:val="000000"/>
            </w14:solidFill>
            <w14:prstDash w14:val="solid"/>
            <w14:round/>
          </w14:textOutline>
        </w:rPr>
        <w:object>
          <v:shape id="_x0000_i1028" o:spt="75" type="#_x0000_t75" style="height:72pt;width:72pt;" o:ole="t" fillcolor="#FFFFFF" filled="f" o:preferrelative="t" stroked="f" coordsize="21600,21600">
            <v:path/>
            <v:fill on="f" focussize="0,0"/>
            <v:stroke on="f" joinstyle="miter"/>
            <v:imagedata r:id="rId75" o:title=""/>
            <o:lock v:ext="edit" aspectratio="t"/>
            <w10:wrap type="none"/>
            <w10:anchorlock/>
          </v:shape>
          <o:OLEObject Type="Embed" ProgID="Equation.3" ShapeID="_x0000_i1028" DrawAspect="Content" ObjectID="_1468075727" r:id="rId74">
            <o:LockedField>false</o:LockedField>
          </o:OLEObject>
        </w:object>
      </w:r>
      <w:r>
        <w:rPr>
          <w:rFonts w:ascii="Times New Roman" w:hAnsi="Times New Roman"/>
          <w:outline/>
          <w14:textOutline w14:w="9525" w14:cap="flat" w14:cmpd="sng" w14:algn="ctr">
            <w14:solidFill>
              <w14:srgbClr w14:val="000000"/>
            </w14:solidFill>
            <w14:prstDash w14:val="solid"/>
            <w14:round/>
          </w14:textOutline>
        </w:rPr>
        <w:t xml:space="preserve">             </w:t>
      </w:r>
      <w:r>
        <w:rPr>
          <w:rFonts w:ascii="Times New Roman" w:hAnsi="Times New Roman"/>
        </w:rPr>
        <w:t xml:space="preserve"> pHj≤7.0</w:t>
      </w:r>
    </w:p>
    <w:p>
      <w:pPr>
        <w:adjustRightInd w:val="0"/>
        <w:spacing w:before="124" w:beforeLines="40" w:after="124" w:afterLines="40"/>
        <w:ind w:firstLine="0" w:firstLineChars="0"/>
        <w:jc w:val="center"/>
        <w:rPr>
          <w:rFonts w:ascii="Times New Roman" w:hAnsi="Times New Roman"/>
        </w:rPr>
      </w:pPr>
      <w:r>
        <w:rPr>
          <w:rFonts w:ascii="Times New Roman" w:hAnsi="Times New Roman"/>
          <w:position w:val="-30"/>
        </w:rPr>
        <w:object>
          <v:shape id="_x0000_i1029" o:spt="75" type="#_x0000_t75" style="height:36pt;width:100.5pt;" o:ole="t" fillcolor="#FFFFFF" filled="f" o:preferrelative="t" stroked="f" coordsize="21600,21600">
            <v:path/>
            <v:fill on="f" focussize="0,0"/>
            <v:stroke on="f" joinstyle="miter"/>
            <v:imagedata r:id="rId77" o:title=""/>
            <o:lock v:ext="edit" aspectratio="t"/>
            <w10:wrap type="none"/>
            <w10:anchorlock/>
          </v:shape>
          <o:OLEObject Type="Embed" ProgID="Equation.3" ShapeID="_x0000_i1029" DrawAspect="Content" ObjectID="_1468075728" r:id="rId76">
            <o:LockedField>false</o:LockedField>
          </o:OLEObject>
        </w:object>
      </w:r>
      <w:r>
        <w:rPr>
          <w:rFonts w:ascii="Times New Roman" w:hAnsi="Times New Roman"/>
        </w:rPr>
        <w:t xml:space="preserve">              pHj&gt;7.0</w:t>
      </w:r>
    </w:p>
    <w:p>
      <w:pPr>
        <w:ind w:firstLine="480"/>
        <w:rPr>
          <w:rFonts w:ascii="Times New Roman" w:hAnsi="Times New Roman"/>
        </w:rPr>
      </w:pPr>
      <w:r>
        <w:rPr>
          <w:rFonts w:ascii="Times New Roman" w:hAnsi="Times New Roman"/>
        </w:rPr>
        <w:t>式中：S</w:t>
      </w:r>
      <w:r>
        <w:rPr>
          <w:rFonts w:ascii="Times New Roman" w:hAnsi="Times New Roman"/>
          <w:vertAlign w:val="subscript"/>
        </w:rPr>
        <w:t>pH,j</w:t>
      </w:r>
      <w:r>
        <w:rPr>
          <w:rFonts w:ascii="Times New Roman" w:hAnsi="Times New Roman"/>
          <w:kern w:val="0"/>
        </w:rPr>
        <w:t>——</w:t>
      </w:r>
      <w:r>
        <w:rPr>
          <w:rFonts w:ascii="Times New Roman" w:hAnsi="Times New Roman"/>
        </w:rPr>
        <w:t>pH值的标准指数，</w:t>
      </w:r>
      <w:r>
        <w:rPr>
          <w:rFonts w:ascii="Times New Roman" w:hAnsi="Times New Roman"/>
          <w:kern w:val="0"/>
        </w:rPr>
        <w:t>大于1表明该水质因子超标</w:t>
      </w:r>
      <w:r>
        <w:rPr>
          <w:rFonts w:ascii="Times New Roman" w:hAnsi="Times New Roman"/>
        </w:rPr>
        <w:t>；</w:t>
      </w:r>
    </w:p>
    <w:p>
      <w:pPr>
        <w:ind w:firstLine="1200" w:firstLineChars="500"/>
        <w:rPr>
          <w:rFonts w:ascii="Times New Roman" w:hAnsi="Times New Roman"/>
          <w:kern w:val="0"/>
        </w:rPr>
      </w:pPr>
      <w:r>
        <w:rPr>
          <w:rFonts w:ascii="Times New Roman" w:hAnsi="Times New Roman"/>
          <w:kern w:val="0"/>
        </w:rPr>
        <w:t>pH</w:t>
      </w:r>
      <w:r>
        <w:rPr>
          <w:rFonts w:ascii="Times New Roman" w:hAnsi="Times New Roman"/>
          <w:kern w:val="0"/>
          <w:vertAlign w:val="subscript"/>
        </w:rPr>
        <w:t xml:space="preserve">j </w:t>
      </w:r>
      <w:r>
        <w:rPr>
          <w:rFonts w:ascii="Times New Roman" w:hAnsi="Times New Roman"/>
          <w:kern w:val="0"/>
        </w:rPr>
        <w:t>——pH值实测统计代表值；</w:t>
      </w:r>
    </w:p>
    <w:p>
      <w:pPr>
        <w:ind w:firstLine="1200" w:firstLineChars="500"/>
        <w:rPr>
          <w:rFonts w:ascii="Times New Roman" w:hAnsi="Times New Roman"/>
          <w:kern w:val="0"/>
        </w:rPr>
      </w:pPr>
      <w:r>
        <w:rPr>
          <w:rFonts w:ascii="Times New Roman" w:hAnsi="Times New Roman"/>
          <w:kern w:val="0"/>
        </w:rPr>
        <w:t>pH</w:t>
      </w:r>
      <w:r>
        <w:rPr>
          <w:rFonts w:ascii="Times New Roman" w:hAnsi="Times New Roman"/>
          <w:kern w:val="0"/>
          <w:vertAlign w:val="subscript"/>
        </w:rPr>
        <w:t>sd</w:t>
      </w:r>
      <w:r>
        <w:rPr>
          <w:rFonts w:ascii="Times New Roman" w:hAnsi="Times New Roman"/>
          <w:kern w:val="0"/>
        </w:rPr>
        <w:t>——评价标准中pH值的下限值；</w:t>
      </w:r>
    </w:p>
    <w:p>
      <w:pPr>
        <w:ind w:firstLine="1200" w:firstLineChars="500"/>
        <w:rPr>
          <w:rFonts w:ascii="Times New Roman" w:hAnsi="Times New Roman"/>
        </w:rPr>
      </w:pPr>
      <w:r>
        <w:rPr>
          <w:rFonts w:ascii="Times New Roman" w:hAnsi="Times New Roman"/>
          <w:kern w:val="0"/>
        </w:rPr>
        <w:t>pH</w:t>
      </w:r>
      <w:r>
        <w:rPr>
          <w:rFonts w:ascii="Times New Roman" w:hAnsi="Times New Roman"/>
          <w:kern w:val="0"/>
          <w:vertAlign w:val="subscript"/>
        </w:rPr>
        <w:t>su</w:t>
      </w:r>
      <w:r>
        <w:rPr>
          <w:rFonts w:ascii="Times New Roman" w:hAnsi="Times New Roman"/>
          <w:kern w:val="0"/>
        </w:rPr>
        <w:t>——评价标准中pH值的上限值。</w:t>
      </w:r>
    </w:p>
    <w:p>
      <w:pPr>
        <w:pStyle w:val="4"/>
        <w:rPr>
          <w:rFonts w:ascii="Times New Roman" w:hAnsi="Times New Roman" w:cs="Times New Roman"/>
        </w:rPr>
      </w:pPr>
      <w:r>
        <w:rPr>
          <w:rFonts w:ascii="Times New Roman" w:hAnsi="Times New Roman" w:cs="Times New Roman"/>
        </w:rPr>
        <w:t>评价结果</w:t>
      </w:r>
    </w:p>
    <w:p>
      <w:pPr>
        <w:ind w:firstLine="480"/>
        <w:rPr>
          <w:rFonts w:ascii="Times New Roman" w:hAnsi="Times New Roman"/>
        </w:rPr>
      </w:pPr>
      <w:r>
        <w:rPr>
          <w:rFonts w:ascii="Times New Roman" w:hAnsi="Times New Roman"/>
        </w:rPr>
        <w:t>清溪河执行《地表水环境质量标准》（GB3838-2002）中Ⅲ类标准，水质评价结果见</w:t>
      </w:r>
      <w:r>
        <w:rPr>
          <w:rFonts w:ascii="Times New Roman" w:hAnsi="Times New Roman"/>
        </w:rPr>
        <w:fldChar w:fldCharType="begin"/>
      </w:r>
      <w:r>
        <w:rPr>
          <w:rFonts w:ascii="Times New Roman" w:hAnsi="Times New Roman"/>
        </w:rPr>
        <w:instrText xml:space="preserve"> REF _Ref154756156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4</w:t>
      </w:r>
      <w:r>
        <w:rPr>
          <w:rFonts w:ascii="Times New Roman" w:hAnsi="Times New Roman"/>
        </w:rPr>
        <w:fldChar w:fldCharType="end"/>
      </w:r>
      <w:r>
        <w:rPr>
          <w:rFonts w:ascii="Times New Roman" w:hAnsi="Times New Roman"/>
        </w:rPr>
        <w:t>。根据监测数据的评价分析可知，清溪河水质各项监测指标均达到Ⅲ类标准值要求。</w:t>
      </w:r>
    </w:p>
    <w:p>
      <w:pPr>
        <w:pStyle w:val="37"/>
        <w:rPr>
          <w:rFonts w:ascii="Times New Roman" w:hAnsi="Times New Roman" w:cs="Times New Roman"/>
        </w:rPr>
      </w:pPr>
      <w:bookmarkStart w:id="138" w:name="_Ref15475615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bookmarkEnd w:id="138"/>
      <w:r>
        <w:rPr>
          <w:rFonts w:ascii="Times New Roman" w:hAnsi="Times New Roman" w:cs="Times New Roman"/>
        </w:rPr>
        <w:t xml:space="preserve">  清溪河水质监测与评价结果一览表</w:t>
      </w:r>
    </w:p>
    <w:tbl>
      <w:tblPr>
        <w:tblStyle w:val="28"/>
        <w:tblW w:w="97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0"/>
        <w:gridCol w:w="1186"/>
        <w:gridCol w:w="943"/>
        <w:gridCol w:w="855"/>
        <w:gridCol w:w="854"/>
        <w:gridCol w:w="855"/>
        <w:gridCol w:w="854"/>
        <w:gridCol w:w="855"/>
        <w:gridCol w:w="854"/>
        <w:gridCol w:w="855"/>
        <w:gridCol w:w="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830" w:type="dxa"/>
            <w:vAlign w:val="center"/>
          </w:tcPr>
          <w:p>
            <w:pPr>
              <w:pStyle w:val="39"/>
              <w:rPr>
                <w:rFonts w:ascii="Times New Roman" w:hAnsi="Times New Roman"/>
              </w:rPr>
            </w:pPr>
            <w:r>
              <w:rPr>
                <w:rFonts w:ascii="Times New Roman" w:hAnsi="Times New Roman"/>
              </w:rPr>
              <w:t>检测日期</w:t>
            </w: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项目</w:t>
            </w:r>
          </w:p>
        </w:tc>
        <w:tc>
          <w:tcPr>
            <w:tcW w:w="943"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pH值</w:t>
            </w:r>
          </w:p>
        </w:tc>
        <w:tc>
          <w:tcPr>
            <w:tcW w:w="855"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悬浮物</w:t>
            </w:r>
          </w:p>
        </w:tc>
        <w:tc>
          <w:tcPr>
            <w:tcW w:w="854"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COD</w:t>
            </w:r>
            <w:r>
              <w:rPr>
                <w:rFonts w:ascii="Times New Roman" w:hAnsi="Times New Roman"/>
                <w:b/>
                <w:bCs/>
                <w:vertAlign w:val="subscript"/>
              </w:rPr>
              <w:t>Cr</w:t>
            </w:r>
          </w:p>
        </w:tc>
        <w:tc>
          <w:tcPr>
            <w:tcW w:w="855"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BOD</w:t>
            </w:r>
            <w:r>
              <w:rPr>
                <w:rFonts w:ascii="Times New Roman" w:hAnsi="Times New Roman"/>
                <w:b/>
                <w:bCs/>
                <w:vertAlign w:val="subscript"/>
              </w:rPr>
              <w:t>5</w:t>
            </w:r>
          </w:p>
        </w:tc>
        <w:tc>
          <w:tcPr>
            <w:tcW w:w="854"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氨氮</w:t>
            </w:r>
          </w:p>
        </w:tc>
        <w:tc>
          <w:tcPr>
            <w:tcW w:w="855"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总磷</w:t>
            </w:r>
          </w:p>
        </w:tc>
        <w:tc>
          <w:tcPr>
            <w:tcW w:w="854"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石油类</w:t>
            </w:r>
          </w:p>
        </w:tc>
        <w:tc>
          <w:tcPr>
            <w:tcW w:w="855"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挥发酚</w:t>
            </w:r>
          </w:p>
        </w:tc>
        <w:tc>
          <w:tcPr>
            <w:tcW w:w="855"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硫化物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restart"/>
            <w:vAlign w:val="center"/>
          </w:tcPr>
          <w:p>
            <w:pPr>
              <w:pStyle w:val="39"/>
              <w:rPr>
                <w:rFonts w:ascii="Times New Roman" w:hAnsi="Times New Roman"/>
              </w:rPr>
            </w:pPr>
            <w:r>
              <w:rPr>
                <w:rFonts w:ascii="Times New Roman" w:hAnsi="Times New Roman"/>
              </w:rPr>
              <w:t>2023.12.21</w:t>
            </w: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监测值（mg/L）</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7.2</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5～6</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10～13</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2.0～2.6</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0.125～0.272</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0.02～0.06</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0.01～0.02</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标准值（mg/L）</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6～9</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20</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4</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1.0</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0.2</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0.05</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0.005</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标准指数</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0.11</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0.50～0.65</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0.50～0.65</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0.125～0.272</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0.1～0.3</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0.2～0.4</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项目</w:t>
            </w:r>
          </w:p>
        </w:tc>
        <w:tc>
          <w:tcPr>
            <w:tcW w:w="943"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阴离子表面活性剂</w:t>
            </w:r>
          </w:p>
        </w:tc>
        <w:tc>
          <w:tcPr>
            <w:tcW w:w="855"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汞</w:t>
            </w:r>
          </w:p>
        </w:tc>
        <w:tc>
          <w:tcPr>
            <w:tcW w:w="854"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总铬</w:t>
            </w:r>
          </w:p>
        </w:tc>
        <w:tc>
          <w:tcPr>
            <w:tcW w:w="855"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六价铬</w:t>
            </w:r>
          </w:p>
        </w:tc>
        <w:tc>
          <w:tcPr>
            <w:tcW w:w="1709" w:type="dxa"/>
            <w:gridSpan w:val="2"/>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镉</w:t>
            </w:r>
          </w:p>
        </w:tc>
        <w:tc>
          <w:tcPr>
            <w:tcW w:w="854"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砷</w:t>
            </w:r>
          </w:p>
        </w:tc>
        <w:tc>
          <w:tcPr>
            <w:tcW w:w="855"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镍</w:t>
            </w:r>
          </w:p>
        </w:tc>
        <w:tc>
          <w:tcPr>
            <w:tcW w:w="855"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b/>
                <w:bCs/>
              </w:rPr>
              <w:t>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监测值（mg/L）</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0.143～0.311</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1709" w:type="dxa"/>
            <w:gridSpan w:val="2"/>
            <w:shd w:val="clear" w:color="auto" w:fill="auto"/>
            <w:tcMar>
              <w:left w:w="57" w:type="dxa"/>
              <w:right w:w="57" w:type="dxa"/>
            </w:tcMar>
            <w:vAlign w:val="center"/>
          </w:tcPr>
          <w:p>
            <w:pPr>
              <w:pStyle w:val="39"/>
              <w:rPr>
                <w:rFonts w:ascii="Times New Roman" w:hAnsi="Times New Roman"/>
              </w:rPr>
            </w:pPr>
            <w:r>
              <w:rPr>
                <w:rFonts w:ascii="Times New Roman" w:hAnsi="Times New Roman"/>
              </w:rPr>
              <w:t>1.1×10</w:t>
            </w:r>
            <w:r>
              <w:rPr>
                <w:rFonts w:ascii="Times New Roman" w:hAnsi="Times New Roman"/>
                <w:vertAlign w:val="superscript"/>
              </w:rPr>
              <w:t>-3</w:t>
            </w:r>
            <w:r>
              <w:rPr>
                <w:rFonts w:ascii="Times New Roman" w:hAnsi="Times New Roman"/>
              </w:rPr>
              <w:t>～1.2×10</w:t>
            </w:r>
            <w:r>
              <w:rPr>
                <w:rFonts w:ascii="Times New Roman" w:hAnsi="Times New Roman"/>
                <w:vertAlign w:val="superscript"/>
              </w:rPr>
              <w:t>-3</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标准值（mg/L）</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0.2</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0.0001</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0.05</w:t>
            </w:r>
          </w:p>
        </w:tc>
        <w:tc>
          <w:tcPr>
            <w:tcW w:w="1709" w:type="dxa"/>
            <w:gridSpan w:val="2"/>
            <w:shd w:val="clear" w:color="auto" w:fill="auto"/>
            <w:tcMar>
              <w:left w:w="57" w:type="dxa"/>
              <w:right w:w="57" w:type="dxa"/>
            </w:tcMar>
            <w:vAlign w:val="center"/>
          </w:tcPr>
          <w:p>
            <w:pPr>
              <w:pStyle w:val="39"/>
              <w:rPr>
                <w:rFonts w:ascii="Times New Roman" w:hAnsi="Times New Roman"/>
              </w:rPr>
            </w:pPr>
            <w:r>
              <w:rPr>
                <w:rFonts w:ascii="Times New Roman" w:hAnsi="Times New Roman"/>
              </w:rPr>
              <w:t>0.005</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0.05</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标准指数</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1709" w:type="dxa"/>
            <w:gridSpan w:val="2"/>
            <w:shd w:val="clear" w:color="auto" w:fill="auto"/>
            <w:tcMar>
              <w:left w:w="57" w:type="dxa"/>
              <w:right w:w="57" w:type="dxa"/>
            </w:tcMar>
            <w:vAlign w:val="center"/>
          </w:tcPr>
          <w:p>
            <w:pPr>
              <w:pStyle w:val="39"/>
              <w:rPr>
                <w:rFonts w:ascii="Times New Roman" w:hAnsi="Times New Roman"/>
              </w:rPr>
            </w:pPr>
            <w:r>
              <w:rPr>
                <w:rFonts w:ascii="Times New Roman" w:hAnsi="Times New Roman"/>
              </w:rPr>
              <w:t>0.005</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restart"/>
            <w:vAlign w:val="center"/>
          </w:tcPr>
          <w:p>
            <w:pPr>
              <w:pStyle w:val="39"/>
              <w:rPr>
                <w:rFonts w:ascii="Times New Roman" w:hAnsi="Times New Roman"/>
              </w:rPr>
            </w:pPr>
            <w:r>
              <w:rPr>
                <w:rFonts w:ascii="Times New Roman" w:hAnsi="Times New Roman"/>
              </w:rPr>
              <w:t>2023.12.22</w:t>
            </w: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项目</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pH值</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悬浮物</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COD</w:t>
            </w:r>
            <w:r>
              <w:rPr>
                <w:rFonts w:ascii="Times New Roman" w:hAnsi="Times New Roman"/>
                <w:b/>
                <w:bCs/>
                <w:vertAlign w:val="subscript"/>
              </w:rPr>
              <w:t>Cr</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BOD</w:t>
            </w:r>
            <w:r>
              <w:rPr>
                <w:rFonts w:ascii="Times New Roman" w:hAnsi="Times New Roman"/>
                <w:b/>
                <w:bCs/>
                <w:vertAlign w:val="subscript"/>
              </w:rPr>
              <w:t>5</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氨氮</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总磷</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石油类</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挥发酚</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硫化物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监测值（mg/L）</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7.2</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5～7</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10～12</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2.0～2.4</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0.131～0.278</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0.02～0.07</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未检出～0.02</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标准值（mg/L）</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6～9</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20</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4</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1.0</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0.2</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0.05</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0.005</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标准指数</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0.11</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0.50～0.60</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0.50～0.60</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0.131～0.278</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0.1～0.35</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～0.40</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项目</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阴离子表面活性剂</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汞</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总铬</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六价铬</w:t>
            </w:r>
          </w:p>
        </w:tc>
        <w:tc>
          <w:tcPr>
            <w:tcW w:w="1709" w:type="dxa"/>
            <w:gridSpan w:val="2"/>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镉</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砷</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镍</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监测值（mg/L）</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0.227</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1709" w:type="dxa"/>
            <w:gridSpan w:val="2"/>
            <w:shd w:val="clear" w:color="auto" w:fill="auto"/>
            <w:tcMar>
              <w:left w:w="57" w:type="dxa"/>
              <w:right w:w="57" w:type="dxa"/>
            </w:tcMar>
            <w:vAlign w:val="center"/>
          </w:tcPr>
          <w:p>
            <w:pPr>
              <w:pStyle w:val="39"/>
              <w:rPr>
                <w:rFonts w:ascii="Times New Roman" w:hAnsi="Times New Roman"/>
              </w:rPr>
            </w:pPr>
            <w:r>
              <w:rPr>
                <w:rFonts w:ascii="Times New Roman" w:hAnsi="Times New Roman"/>
              </w:rPr>
              <w:t>1.1×10</w:t>
            </w:r>
            <w:r>
              <w:rPr>
                <w:rFonts w:ascii="Times New Roman" w:hAnsi="Times New Roman"/>
                <w:vertAlign w:val="superscript"/>
              </w:rPr>
              <w:t>-3</w:t>
            </w:r>
            <w:r>
              <w:rPr>
                <w:rFonts w:ascii="Times New Roman" w:hAnsi="Times New Roman"/>
              </w:rPr>
              <w:t>～1.4×10</w:t>
            </w:r>
            <w:r>
              <w:rPr>
                <w:rFonts w:ascii="Times New Roman" w:hAnsi="Times New Roman"/>
                <w:vertAlign w:val="superscript"/>
              </w:rPr>
              <w:t>-3</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标准值（mg/L）</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0.2</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0.0001</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0.05</w:t>
            </w:r>
          </w:p>
        </w:tc>
        <w:tc>
          <w:tcPr>
            <w:tcW w:w="1709" w:type="dxa"/>
            <w:gridSpan w:val="2"/>
            <w:shd w:val="clear" w:color="auto" w:fill="auto"/>
            <w:tcMar>
              <w:left w:w="57" w:type="dxa"/>
              <w:right w:w="57" w:type="dxa"/>
            </w:tcMar>
            <w:vAlign w:val="center"/>
          </w:tcPr>
          <w:p>
            <w:pPr>
              <w:pStyle w:val="39"/>
              <w:rPr>
                <w:rFonts w:ascii="Times New Roman" w:hAnsi="Times New Roman"/>
              </w:rPr>
            </w:pPr>
            <w:r>
              <w:rPr>
                <w:rFonts w:ascii="Times New Roman" w:hAnsi="Times New Roman"/>
              </w:rPr>
              <w:t>0.005</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0.05</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标准指数</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1709" w:type="dxa"/>
            <w:gridSpan w:val="2"/>
            <w:shd w:val="clear" w:color="auto" w:fill="auto"/>
            <w:tcMar>
              <w:left w:w="57" w:type="dxa"/>
              <w:right w:w="57" w:type="dxa"/>
            </w:tcMar>
            <w:vAlign w:val="center"/>
          </w:tcPr>
          <w:p>
            <w:pPr>
              <w:pStyle w:val="39"/>
              <w:rPr>
                <w:rFonts w:ascii="Times New Roman" w:hAnsi="Times New Roman"/>
              </w:rPr>
            </w:pPr>
            <w:r>
              <w:rPr>
                <w:rFonts w:ascii="Times New Roman" w:hAnsi="Times New Roman"/>
              </w:rPr>
              <w:t>0.05</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restart"/>
            <w:vAlign w:val="center"/>
          </w:tcPr>
          <w:p>
            <w:pPr>
              <w:pStyle w:val="39"/>
              <w:rPr>
                <w:rFonts w:ascii="Times New Roman" w:hAnsi="Times New Roman"/>
              </w:rPr>
            </w:pPr>
            <w:r>
              <w:rPr>
                <w:rFonts w:ascii="Times New Roman" w:hAnsi="Times New Roman"/>
              </w:rPr>
              <w:t>2023.12.23</w:t>
            </w: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项目</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pH值</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悬浮物</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COD</w:t>
            </w:r>
            <w:r>
              <w:rPr>
                <w:rFonts w:ascii="Times New Roman" w:hAnsi="Times New Roman"/>
                <w:b/>
                <w:bCs/>
                <w:vertAlign w:val="subscript"/>
              </w:rPr>
              <w:t>Cr</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BOD</w:t>
            </w:r>
            <w:r>
              <w:rPr>
                <w:rFonts w:ascii="Times New Roman" w:hAnsi="Times New Roman"/>
                <w:b/>
                <w:bCs/>
                <w:vertAlign w:val="subscript"/>
              </w:rPr>
              <w:t>5</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氨氮</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总磷</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石油类</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挥发酚</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硫化物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监测值（mg/L）</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7.2</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6～7</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10～14</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1.8～2.8</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0.175～0.282</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0.03～0.07</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未检出～0.03</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标准值（mg/L）</w:t>
            </w:r>
          </w:p>
        </w:tc>
        <w:tc>
          <w:tcPr>
            <w:tcW w:w="943"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rPr>
              <w:t>6～9</w:t>
            </w:r>
          </w:p>
        </w:tc>
        <w:tc>
          <w:tcPr>
            <w:tcW w:w="855"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rPr>
              <w:t>/</w:t>
            </w:r>
          </w:p>
        </w:tc>
        <w:tc>
          <w:tcPr>
            <w:tcW w:w="854"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rPr>
              <w:t>20</w:t>
            </w:r>
          </w:p>
        </w:tc>
        <w:tc>
          <w:tcPr>
            <w:tcW w:w="855"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rPr>
              <w:t>4</w:t>
            </w:r>
          </w:p>
        </w:tc>
        <w:tc>
          <w:tcPr>
            <w:tcW w:w="854"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rPr>
              <w:t>1.0</w:t>
            </w:r>
          </w:p>
        </w:tc>
        <w:tc>
          <w:tcPr>
            <w:tcW w:w="855"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rPr>
              <w:t>0.2</w:t>
            </w:r>
          </w:p>
        </w:tc>
        <w:tc>
          <w:tcPr>
            <w:tcW w:w="854"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rPr>
              <w:t>0.05</w:t>
            </w:r>
          </w:p>
        </w:tc>
        <w:tc>
          <w:tcPr>
            <w:tcW w:w="855"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rPr>
              <w:t>0.005</w:t>
            </w:r>
          </w:p>
        </w:tc>
        <w:tc>
          <w:tcPr>
            <w:tcW w:w="855" w:type="dxa"/>
            <w:shd w:val="clear" w:color="auto" w:fill="auto"/>
            <w:tcMar>
              <w:left w:w="57" w:type="dxa"/>
              <w:right w:w="57" w:type="dxa"/>
            </w:tcMar>
            <w:vAlign w:val="center"/>
          </w:tcPr>
          <w:p>
            <w:pPr>
              <w:pStyle w:val="39"/>
              <w:rPr>
                <w:rFonts w:ascii="Times New Roman" w:hAnsi="Times New Roman"/>
                <w:b/>
                <w:bCs/>
              </w:rPr>
            </w:pPr>
            <w:r>
              <w:rPr>
                <w:rFonts w:ascii="Times New Roman" w:hAnsi="Times New Roma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标准指数</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0.11</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0.50～0.70</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0.45～0.70</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0.175～0.282</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0.15～0.35</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～0.60</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项目</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阴离子表面活性剂</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汞</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总铬</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六价铬</w:t>
            </w:r>
          </w:p>
        </w:tc>
        <w:tc>
          <w:tcPr>
            <w:tcW w:w="1709" w:type="dxa"/>
            <w:gridSpan w:val="2"/>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镉</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砷</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镍</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b/>
                <w:bCs/>
              </w:rPr>
              <w:t>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监测值（mg/L）</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0.143～0.227</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1709" w:type="dxa"/>
            <w:gridSpan w:val="2"/>
            <w:shd w:val="clear" w:color="auto" w:fill="auto"/>
            <w:tcMar>
              <w:left w:w="57" w:type="dxa"/>
              <w:right w:w="57" w:type="dxa"/>
            </w:tcMar>
            <w:vAlign w:val="center"/>
          </w:tcPr>
          <w:p>
            <w:pPr>
              <w:pStyle w:val="39"/>
              <w:rPr>
                <w:rFonts w:ascii="Times New Roman" w:hAnsi="Times New Roman"/>
              </w:rPr>
            </w:pPr>
            <w:r>
              <w:rPr>
                <w:rFonts w:ascii="Times New Roman" w:hAnsi="Times New Roman"/>
              </w:rPr>
              <w:t>1.2×10</w:t>
            </w:r>
            <w:r>
              <w:rPr>
                <w:rFonts w:ascii="Times New Roman" w:hAnsi="Times New Roman"/>
                <w:vertAlign w:val="superscript"/>
              </w:rPr>
              <w:t>-3</w:t>
            </w:r>
            <w:r>
              <w:rPr>
                <w:rFonts w:ascii="Times New Roman" w:hAnsi="Times New Roman"/>
              </w:rPr>
              <w:t>～1.3×10</w:t>
            </w:r>
            <w:r>
              <w:rPr>
                <w:rFonts w:ascii="Times New Roman" w:hAnsi="Times New Roman"/>
                <w:vertAlign w:val="superscript"/>
              </w:rPr>
              <w:t>-3</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标准值（mg/L）</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0.2</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0.0001</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0.05</w:t>
            </w:r>
          </w:p>
        </w:tc>
        <w:tc>
          <w:tcPr>
            <w:tcW w:w="1709" w:type="dxa"/>
            <w:gridSpan w:val="2"/>
            <w:shd w:val="clear" w:color="auto" w:fill="auto"/>
            <w:tcMar>
              <w:left w:w="57" w:type="dxa"/>
              <w:right w:w="57" w:type="dxa"/>
            </w:tcMar>
            <w:vAlign w:val="center"/>
          </w:tcPr>
          <w:p>
            <w:pPr>
              <w:pStyle w:val="39"/>
              <w:rPr>
                <w:rFonts w:ascii="Times New Roman" w:hAnsi="Times New Roman"/>
              </w:rPr>
            </w:pPr>
            <w:r>
              <w:rPr>
                <w:rFonts w:ascii="Times New Roman" w:hAnsi="Times New Roman"/>
              </w:rPr>
              <w:t>0.005</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0.05</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0" w:type="dxa"/>
            <w:vMerge w:val="continue"/>
            <w:vAlign w:val="center"/>
          </w:tcPr>
          <w:p>
            <w:pPr>
              <w:pStyle w:val="39"/>
              <w:rPr>
                <w:rFonts w:ascii="Times New Roman" w:hAnsi="Times New Roman"/>
              </w:rPr>
            </w:pPr>
          </w:p>
        </w:tc>
        <w:tc>
          <w:tcPr>
            <w:tcW w:w="1186"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标准指数</w:t>
            </w:r>
          </w:p>
        </w:tc>
        <w:tc>
          <w:tcPr>
            <w:tcW w:w="943"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1709" w:type="dxa"/>
            <w:gridSpan w:val="2"/>
            <w:shd w:val="clear" w:color="auto" w:fill="auto"/>
            <w:tcMar>
              <w:left w:w="57" w:type="dxa"/>
              <w:right w:w="57" w:type="dxa"/>
            </w:tcMar>
            <w:vAlign w:val="center"/>
          </w:tcPr>
          <w:p>
            <w:pPr>
              <w:pStyle w:val="39"/>
              <w:rPr>
                <w:rFonts w:ascii="Times New Roman" w:hAnsi="Times New Roman"/>
              </w:rPr>
            </w:pPr>
            <w:r>
              <w:rPr>
                <w:rFonts w:ascii="Times New Roman" w:hAnsi="Times New Roman"/>
              </w:rPr>
              <w:t>0.05</w:t>
            </w:r>
          </w:p>
        </w:tc>
        <w:tc>
          <w:tcPr>
            <w:tcW w:w="854"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55" w:type="dxa"/>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r>
    </w:tbl>
    <w:p>
      <w:pPr>
        <w:ind w:firstLine="480"/>
        <w:rPr>
          <w:rFonts w:ascii="Times New Roman" w:hAnsi="Times New Roman"/>
        </w:rPr>
      </w:pPr>
    </w:p>
    <w:p>
      <w:pPr>
        <w:pStyle w:val="3"/>
        <w:rPr>
          <w:rFonts w:ascii="Times New Roman" w:hAnsi="Times New Roman" w:cs="Times New Roman"/>
        </w:rPr>
      </w:pPr>
      <w:bookmarkStart w:id="139" w:name="_Toc162339418"/>
      <w:r>
        <w:rPr>
          <w:rFonts w:ascii="Times New Roman" w:hAnsi="Times New Roman" w:cs="Times New Roman"/>
        </w:rPr>
        <w:t>地下水环境</w:t>
      </w:r>
      <w:bookmarkEnd w:id="139"/>
    </w:p>
    <w:p>
      <w:pPr>
        <w:pStyle w:val="4"/>
        <w:rPr>
          <w:rFonts w:ascii="Times New Roman" w:hAnsi="Times New Roman" w:cs="Times New Roman"/>
        </w:rPr>
      </w:pPr>
      <w:r>
        <w:rPr>
          <w:rFonts w:ascii="Times New Roman" w:hAnsi="Times New Roman" w:cs="Times New Roman"/>
        </w:rPr>
        <w:t>监测点位</w:t>
      </w:r>
    </w:p>
    <w:p>
      <w:pPr>
        <w:ind w:firstLine="480"/>
        <w:rPr>
          <w:rFonts w:ascii="Times New Roman" w:hAnsi="Times New Roman"/>
        </w:rPr>
      </w:pPr>
      <w:r>
        <w:rPr>
          <w:rFonts w:ascii="Times New Roman" w:hAnsi="Times New Roman"/>
        </w:rPr>
        <w:t>宣兴1井站区地下水环境影响评价等级为 “二级”， 宣探1井站和集气管道地下水环境影响评价等级判定为“三级”，根据《环境影响评价技术导则 地下水环境》（HJ610-2016）-8.3.3.6-表4的要求，本项目位于丘陵山区评价期内需要开展一期地下水水位和水质的监测。因此，</w:t>
      </w:r>
      <w:r>
        <w:rPr>
          <w:rFonts w:hint="eastAsia" w:ascii="Times New Roman" w:hAnsi="Times New Roman"/>
        </w:rPr>
        <w:t>委托</w:t>
      </w:r>
      <w:r>
        <w:rPr>
          <w:rFonts w:ascii="Times New Roman" w:hAnsi="Times New Roman"/>
        </w:rPr>
        <w:t>谱尼测试集团四川有限公司于2023年12月26日至12月28日，对评价区内16个地下水监测点进行了水位和水质监测，监测布点情况见</w:t>
      </w:r>
      <w:r>
        <w:rPr>
          <w:rFonts w:ascii="Times New Roman" w:hAnsi="Times New Roman"/>
        </w:rPr>
        <w:fldChar w:fldCharType="begin"/>
      </w:r>
      <w:r>
        <w:rPr>
          <w:rFonts w:ascii="Times New Roman" w:hAnsi="Times New Roman"/>
        </w:rPr>
        <w:instrText xml:space="preserve"> REF _Ref157074915 \h  \* MERGEFORMAT </w:instrText>
      </w:r>
      <w:r>
        <w:rPr>
          <w:rFonts w:ascii="Times New Roman" w:hAnsi="Times New Roman"/>
        </w:rPr>
        <w:fldChar w:fldCharType="separate"/>
      </w:r>
      <w:r>
        <w:rPr>
          <w:rFonts w:ascii="Times New Roman" w:hAnsi="Times New Roman"/>
        </w:rPr>
        <w:t>图 5</w:t>
      </w:r>
      <w:r>
        <w:rPr>
          <w:rFonts w:ascii="Times New Roman" w:hAnsi="Times New Roman"/>
        </w:rPr>
        <w:noBreakHyphen/>
      </w:r>
      <w:r>
        <w:rPr>
          <w:rFonts w:ascii="Times New Roman" w:hAnsi="Times New Roman"/>
        </w:rPr>
        <w:t>3</w:t>
      </w:r>
      <w:r>
        <w:rPr>
          <w:rFonts w:ascii="Times New Roman" w:hAnsi="Times New Roman"/>
        </w:rPr>
        <w:fldChar w:fldCharType="end"/>
      </w:r>
      <w:r>
        <w:rPr>
          <w:rFonts w:ascii="Times New Roman" w:hAnsi="Times New Roman"/>
        </w:rPr>
        <w:t>（附图23）和</w:t>
      </w:r>
      <w:r>
        <w:rPr>
          <w:rFonts w:ascii="Times New Roman" w:hAnsi="Times New Roman"/>
        </w:rPr>
        <w:fldChar w:fldCharType="begin"/>
      </w:r>
      <w:r>
        <w:rPr>
          <w:rFonts w:ascii="Times New Roman" w:hAnsi="Times New Roman"/>
        </w:rPr>
        <w:instrText xml:space="preserve"> REF _Ref157074936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5</w:t>
      </w:r>
      <w:r>
        <w:rPr>
          <w:rFonts w:ascii="Times New Roman" w:hAnsi="Times New Roman"/>
        </w:rPr>
        <w:fldChar w:fldCharType="end"/>
      </w:r>
      <w:r>
        <w:rPr>
          <w:rFonts w:ascii="Times New Roman" w:hAnsi="Times New Roman"/>
        </w:rPr>
        <w:t>。</w:t>
      </w:r>
    </w:p>
    <w:p>
      <w:pPr>
        <w:ind w:firstLine="0" w:firstLineChars="0"/>
        <w:rPr>
          <w:rFonts w:ascii="Times New Roman" w:hAnsi="Times New Roman"/>
          <w:kern w:val="0"/>
        </w:rPr>
      </w:pPr>
      <w:r>
        <w:rPr>
          <w:rFonts w:ascii="Times New Roman" w:hAnsi="Times New Roman"/>
        </w:rPr>
        <w:drawing>
          <wp:inline distT="0" distB="0" distL="0" distR="0">
            <wp:extent cx="5274310" cy="6812915"/>
            <wp:effectExtent l="0" t="0" r="2540" b="6985"/>
            <wp:docPr id="5903112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311233" name="图片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5274310" cy="6812915"/>
                    </a:xfrm>
                    <a:prstGeom prst="rect">
                      <a:avLst/>
                    </a:prstGeom>
                    <a:noFill/>
                    <a:ln>
                      <a:noFill/>
                    </a:ln>
                  </pic:spPr>
                </pic:pic>
              </a:graphicData>
            </a:graphic>
          </wp:inline>
        </w:drawing>
      </w:r>
    </w:p>
    <w:p>
      <w:pPr>
        <w:pStyle w:val="37"/>
        <w:rPr>
          <w:rFonts w:ascii="Times New Roman" w:hAnsi="Times New Roman" w:cs="Times New Roman"/>
          <w:b/>
        </w:rPr>
      </w:pPr>
      <w:bookmarkStart w:id="140" w:name="_Ref157074915"/>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bookmarkEnd w:id="140"/>
      <w:r>
        <w:rPr>
          <w:rFonts w:ascii="Times New Roman" w:hAnsi="Times New Roman" w:cs="Times New Roman"/>
        </w:rPr>
        <w:t xml:space="preserve">  </w:t>
      </w:r>
      <w:r>
        <w:rPr>
          <w:rFonts w:ascii="Times New Roman" w:hAnsi="Times New Roman" w:cs="Times New Roman"/>
          <w:b/>
        </w:rPr>
        <w:t>地下水环境现状监测点位分布图</w:t>
      </w:r>
    </w:p>
    <w:p>
      <w:pPr>
        <w:pStyle w:val="37"/>
        <w:rPr>
          <w:rFonts w:ascii="Times New Roman" w:hAnsi="Times New Roman" w:cs="Times New Roman"/>
          <w:b/>
        </w:rPr>
      </w:pPr>
      <w:bookmarkStart w:id="141" w:name="_Ref15707493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bookmarkEnd w:id="141"/>
      <w:r>
        <w:rPr>
          <w:rFonts w:ascii="Times New Roman" w:hAnsi="Times New Roman" w:cs="Times New Roman"/>
        </w:rPr>
        <w:t xml:space="preserve">  </w:t>
      </w:r>
      <w:r>
        <w:rPr>
          <w:rFonts w:ascii="Times New Roman" w:hAnsi="Times New Roman" w:cs="Times New Roman"/>
          <w:b/>
        </w:rPr>
        <w:t>地下水现状监测点位</w:t>
      </w:r>
    </w:p>
    <w:tbl>
      <w:tblPr>
        <w:tblStyle w:val="28"/>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4"/>
        <w:gridCol w:w="1587"/>
        <w:gridCol w:w="4166"/>
        <w:gridCol w:w="20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rPr>
            </w:pPr>
            <w:r>
              <w:rPr>
                <w:rFonts w:ascii="Times New Roman" w:hAnsi="Times New Roman"/>
              </w:rPr>
              <w:t>序号</w:t>
            </w:r>
          </w:p>
        </w:tc>
        <w:tc>
          <w:tcPr>
            <w:tcW w:w="5753" w:type="dxa"/>
            <w:gridSpan w:val="2"/>
            <w:vAlign w:val="center"/>
          </w:tcPr>
          <w:p>
            <w:pPr>
              <w:pStyle w:val="39"/>
              <w:rPr>
                <w:rFonts w:ascii="Times New Roman" w:hAnsi="Times New Roman"/>
              </w:rPr>
            </w:pPr>
            <w:r>
              <w:rPr>
                <w:rFonts w:ascii="Times New Roman" w:hAnsi="Times New Roman"/>
              </w:rPr>
              <w:t>监测点位</w:t>
            </w:r>
          </w:p>
        </w:tc>
        <w:tc>
          <w:tcPr>
            <w:tcW w:w="2054" w:type="dxa"/>
            <w:vAlign w:val="center"/>
          </w:tcPr>
          <w:p>
            <w:pPr>
              <w:pStyle w:val="39"/>
              <w:rPr>
                <w:rFonts w:ascii="Times New Roman" w:hAnsi="Times New Roman"/>
              </w:rPr>
            </w:pPr>
            <w:r>
              <w:rPr>
                <w:rFonts w:ascii="Times New Roman" w:hAnsi="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sz w:val="22"/>
              </w:rPr>
            </w:pPr>
            <w:r>
              <w:rPr>
                <w:rFonts w:ascii="Times New Roman" w:hAnsi="Times New Roman"/>
                <w:sz w:val="22"/>
              </w:rPr>
              <w:t>GW1</w:t>
            </w:r>
          </w:p>
        </w:tc>
        <w:tc>
          <w:tcPr>
            <w:tcW w:w="1587" w:type="dxa"/>
            <w:vMerge w:val="restart"/>
            <w:vAlign w:val="center"/>
          </w:tcPr>
          <w:p>
            <w:pPr>
              <w:pStyle w:val="39"/>
              <w:rPr>
                <w:rFonts w:ascii="Times New Roman" w:hAnsi="Times New Roman"/>
                <w:kern w:val="0"/>
              </w:rPr>
            </w:pPr>
            <w:r>
              <w:rPr>
                <w:rFonts w:ascii="Times New Roman" w:hAnsi="Times New Roman"/>
                <w:kern w:val="21"/>
              </w:rPr>
              <w:t>管线主体</w:t>
            </w:r>
          </w:p>
        </w:tc>
        <w:tc>
          <w:tcPr>
            <w:tcW w:w="4166" w:type="dxa"/>
            <w:vAlign w:val="center"/>
          </w:tcPr>
          <w:p>
            <w:pPr>
              <w:pStyle w:val="39"/>
              <w:rPr>
                <w:rFonts w:ascii="Times New Roman" w:hAnsi="Times New Roman"/>
                <w:kern w:val="21"/>
              </w:rPr>
            </w:pPr>
            <w:r>
              <w:rPr>
                <w:rFonts w:ascii="Times New Roman" w:hAnsi="Times New Roman"/>
                <w:kern w:val="21"/>
              </w:rPr>
              <w:t>管线南端东侧</w:t>
            </w:r>
          </w:p>
        </w:tc>
        <w:tc>
          <w:tcPr>
            <w:tcW w:w="2054" w:type="dxa"/>
            <w:vMerge w:val="restart"/>
            <w:vAlign w:val="center"/>
          </w:tcPr>
          <w:p>
            <w:pPr>
              <w:pStyle w:val="39"/>
              <w:rPr>
                <w:rFonts w:ascii="Times New Roman" w:hAnsi="Times New Roman"/>
              </w:rPr>
            </w:pPr>
            <w:r>
              <w:rPr>
                <w:rFonts w:ascii="Times New Roman" w:hAnsi="Times New Roman"/>
              </w:rPr>
              <w:t>水位</w:t>
            </w:r>
            <w:r>
              <w:rPr>
                <w:rFonts w:hint="eastAsia" w:ascii="Times New Roman" w:hAnsi="Times New Roman"/>
              </w:rPr>
              <w:t>、水质监测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sz w:val="22"/>
              </w:rPr>
            </w:pPr>
            <w:r>
              <w:rPr>
                <w:rFonts w:ascii="Times New Roman" w:hAnsi="Times New Roman"/>
                <w:sz w:val="22"/>
              </w:rPr>
              <w:t>GW2</w:t>
            </w:r>
          </w:p>
        </w:tc>
        <w:tc>
          <w:tcPr>
            <w:tcW w:w="1587" w:type="dxa"/>
            <w:vMerge w:val="continue"/>
            <w:vAlign w:val="center"/>
          </w:tcPr>
          <w:p>
            <w:pPr>
              <w:pStyle w:val="39"/>
              <w:rPr>
                <w:rFonts w:ascii="Times New Roman" w:hAnsi="Times New Roman"/>
                <w:kern w:val="0"/>
              </w:rPr>
            </w:pPr>
          </w:p>
        </w:tc>
        <w:tc>
          <w:tcPr>
            <w:tcW w:w="4166" w:type="dxa"/>
            <w:vAlign w:val="center"/>
          </w:tcPr>
          <w:p>
            <w:pPr>
              <w:pStyle w:val="39"/>
              <w:rPr>
                <w:rFonts w:ascii="Times New Roman" w:hAnsi="Times New Roman"/>
                <w:kern w:val="21"/>
              </w:rPr>
            </w:pPr>
            <w:r>
              <w:rPr>
                <w:rFonts w:ascii="Times New Roman" w:hAnsi="Times New Roman"/>
                <w:kern w:val="21"/>
              </w:rPr>
              <w:t>管线北端西侧偏下游</w:t>
            </w:r>
          </w:p>
        </w:tc>
        <w:tc>
          <w:tcPr>
            <w:tcW w:w="2054"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sz w:val="22"/>
              </w:rPr>
            </w:pPr>
            <w:r>
              <w:rPr>
                <w:rFonts w:ascii="Times New Roman" w:hAnsi="Times New Roman"/>
                <w:sz w:val="22"/>
              </w:rPr>
              <w:t>GW3</w:t>
            </w:r>
          </w:p>
        </w:tc>
        <w:tc>
          <w:tcPr>
            <w:tcW w:w="1587" w:type="dxa"/>
            <w:vMerge w:val="continue"/>
            <w:vAlign w:val="center"/>
          </w:tcPr>
          <w:p>
            <w:pPr>
              <w:pStyle w:val="39"/>
              <w:rPr>
                <w:rFonts w:ascii="Times New Roman" w:hAnsi="Times New Roman"/>
                <w:kern w:val="0"/>
              </w:rPr>
            </w:pPr>
          </w:p>
        </w:tc>
        <w:tc>
          <w:tcPr>
            <w:tcW w:w="4166" w:type="dxa"/>
            <w:vAlign w:val="center"/>
          </w:tcPr>
          <w:p>
            <w:pPr>
              <w:pStyle w:val="39"/>
              <w:rPr>
                <w:rFonts w:ascii="Times New Roman" w:hAnsi="Times New Roman"/>
                <w:kern w:val="21"/>
              </w:rPr>
            </w:pPr>
            <w:r>
              <w:rPr>
                <w:rFonts w:ascii="Times New Roman" w:hAnsi="Times New Roman"/>
                <w:kern w:val="21"/>
              </w:rPr>
              <w:t>管线北端东北侧上游</w:t>
            </w:r>
          </w:p>
        </w:tc>
        <w:tc>
          <w:tcPr>
            <w:tcW w:w="2054"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sz w:val="22"/>
              </w:rPr>
            </w:pPr>
            <w:r>
              <w:rPr>
                <w:rFonts w:ascii="Times New Roman" w:hAnsi="Times New Roman"/>
                <w:sz w:val="22"/>
              </w:rPr>
              <w:t>GW4</w:t>
            </w:r>
          </w:p>
        </w:tc>
        <w:tc>
          <w:tcPr>
            <w:tcW w:w="1587" w:type="dxa"/>
            <w:vMerge w:val="restart"/>
            <w:vAlign w:val="center"/>
          </w:tcPr>
          <w:p>
            <w:pPr>
              <w:pStyle w:val="39"/>
              <w:rPr>
                <w:rFonts w:ascii="Times New Roman" w:hAnsi="Times New Roman"/>
              </w:rPr>
            </w:pPr>
            <w:r>
              <w:rPr>
                <w:rFonts w:ascii="Times New Roman" w:hAnsi="Times New Roman"/>
                <w:kern w:val="0"/>
              </w:rPr>
              <w:t>宣探1井站</w:t>
            </w:r>
          </w:p>
        </w:tc>
        <w:tc>
          <w:tcPr>
            <w:tcW w:w="4166" w:type="dxa"/>
            <w:vAlign w:val="center"/>
          </w:tcPr>
          <w:p>
            <w:pPr>
              <w:pStyle w:val="39"/>
              <w:rPr>
                <w:rFonts w:ascii="Times New Roman" w:hAnsi="Times New Roman"/>
                <w:kern w:val="21"/>
              </w:rPr>
            </w:pPr>
            <w:r>
              <w:rPr>
                <w:rFonts w:ascii="Times New Roman" w:hAnsi="Times New Roman"/>
                <w:kern w:val="21"/>
              </w:rPr>
              <w:t>宣探1井站西南侧</w:t>
            </w:r>
          </w:p>
        </w:tc>
        <w:tc>
          <w:tcPr>
            <w:tcW w:w="2054"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sz w:val="22"/>
              </w:rPr>
            </w:pPr>
            <w:r>
              <w:rPr>
                <w:rFonts w:ascii="Times New Roman" w:hAnsi="Times New Roman"/>
                <w:sz w:val="22"/>
              </w:rPr>
              <w:t>GW5</w:t>
            </w:r>
          </w:p>
        </w:tc>
        <w:tc>
          <w:tcPr>
            <w:tcW w:w="1587" w:type="dxa"/>
            <w:vMerge w:val="continue"/>
            <w:vAlign w:val="center"/>
          </w:tcPr>
          <w:p>
            <w:pPr>
              <w:pStyle w:val="39"/>
              <w:rPr>
                <w:rFonts w:ascii="Times New Roman" w:hAnsi="Times New Roman"/>
              </w:rPr>
            </w:pPr>
          </w:p>
        </w:tc>
        <w:tc>
          <w:tcPr>
            <w:tcW w:w="4166" w:type="dxa"/>
            <w:vAlign w:val="center"/>
          </w:tcPr>
          <w:p>
            <w:pPr>
              <w:pStyle w:val="39"/>
              <w:rPr>
                <w:rFonts w:ascii="Times New Roman" w:hAnsi="Times New Roman"/>
                <w:kern w:val="21"/>
              </w:rPr>
            </w:pPr>
            <w:r>
              <w:rPr>
                <w:rFonts w:ascii="Times New Roman" w:hAnsi="Times New Roman"/>
                <w:kern w:val="21"/>
              </w:rPr>
              <w:t>宣探1井站东南侧偏下游</w:t>
            </w:r>
          </w:p>
        </w:tc>
        <w:tc>
          <w:tcPr>
            <w:tcW w:w="2054"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sz w:val="22"/>
              </w:rPr>
            </w:pPr>
            <w:r>
              <w:rPr>
                <w:rFonts w:ascii="Times New Roman" w:hAnsi="Times New Roman"/>
                <w:sz w:val="22"/>
              </w:rPr>
              <w:t>GW6</w:t>
            </w:r>
          </w:p>
        </w:tc>
        <w:tc>
          <w:tcPr>
            <w:tcW w:w="1587" w:type="dxa"/>
            <w:vMerge w:val="continue"/>
            <w:vAlign w:val="center"/>
          </w:tcPr>
          <w:p>
            <w:pPr>
              <w:pStyle w:val="39"/>
              <w:rPr>
                <w:rFonts w:ascii="Times New Roman" w:hAnsi="Times New Roman"/>
              </w:rPr>
            </w:pPr>
          </w:p>
        </w:tc>
        <w:tc>
          <w:tcPr>
            <w:tcW w:w="4166" w:type="dxa"/>
            <w:vAlign w:val="center"/>
          </w:tcPr>
          <w:p>
            <w:pPr>
              <w:pStyle w:val="39"/>
              <w:rPr>
                <w:rFonts w:ascii="Times New Roman" w:hAnsi="Times New Roman"/>
                <w:kern w:val="21"/>
              </w:rPr>
            </w:pPr>
            <w:r>
              <w:rPr>
                <w:rFonts w:ascii="Times New Roman" w:hAnsi="Times New Roman"/>
                <w:kern w:val="21"/>
              </w:rPr>
              <w:t>宣探1井站南侧上游</w:t>
            </w:r>
          </w:p>
        </w:tc>
        <w:tc>
          <w:tcPr>
            <w:tcW w:w="2054"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sz w:val="22"/>
              </w:rPr>
            </w:pPr>
            <w:r>
              <w:rPr>
                <w:rFonts w:ascii="Times New Roman" w:hAnsi="Times New Roman"/>
                <w:sz w:val="22"/>
              </w:rPr>
              <w:t>GW7</w:t>
            </w:r>
          </w:p>
        </w:tc>
        <w:tc>
          <w:tcPr>
            <w:tcW w:w="1587" w:type="dxa"/>
            <w:vMerge w:val="restart"/>
            <w:vAlign w:val="center"/>
          </w:tcPr>
          <w:p>
            <w:pPr>
              <w:pStyle w:val="39"/>
              <w:rPr>
                <w:rFonts w:ascii="Times New Roman" w:hAnsi="Times New Roman"/>
              </w:rPr>
            </w:pPr>
            <w:r>
              <w:rPr>
                <w:rFonts w:ascii="Times New Roman" w:hAnsi="Times New Roman"/>
                <w:kern w:val="21"/>
              </w:rPr>
              <w:t>宣兴1井站</w:t>
            </w:r>
          </w:p>
        </w:tc>
        <w:tc>
          <w:tcPr>
            <w:tcW w:w="4166" w:type="dxa"/>
            <w:vAlign w:val="center"/>
          </w:tcPr>
          <w:p>
            <w:pPr>
              <w:pStyle w:val="39"/>
              <w:rPr>
                <w:rFonts w:ascii="Times New Roman" w:hAnsi="Times New Roman"/>
              </w:rPr>
            </w:pPr>
            <w:r>
              <w:rPr>
                <w:rFonts w:ascii="Times New Roman" w:hAnsi="Times New Roman"/>
                <w:kern w:val="21"/>
              </w:rPr>
              <w:t>宣兴1井站南侧上游</w:t>
            </w:r>
          </w:p>
        </w:tc>
        <w:tc>
          <w:tcPr>
            <w:tcW w:w="2054"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sz w:val="22"/>
              </w:rPr>
            </w:pPr>
            <w:r>
              <w:rPr>
                <w:rFonts w:ascii="Times New Roman" w:hAnsi="Times New Roman"/>
                <w:sz w:val="22"/>
              </w:rPr>
              <w:t>GW8</w:t>
            </w:r>
          </w:p>
        </w:tc>
        <w:tc>
          <w:tcPr>
            <w:tcW w:w="1587" w:type="dxa"/>
            <w:vMerge w:val="continue"/>
            <w:vAlign w:val="center"/>
          </w:tcPr>
          <w:p>
            <w:pPr>
              <w:pStyle w:val="39"/>
              <w:rPr>
                <w:rFonts w:ascii="Times New Roman" w:hAnsi="Times New Roman"/>
              </w:rPr>
            </w:pPr>
          </w:p>
        </w:tc>
        <w:tc>
          <w:tcPr>
            <w:tcW w:w="4166" w:type="dxa"/>
            <w:vAlign w:val="center"/>
          </w:tcPr>
          <w:p>
            <w:pPr>
              <w:pStyle w:val="39"/>
              <w:rPr>
                <w:rFonts w:ascii="Times New Roman" w:hAnsi="Times New Roman"/>
              </w:rPr>
            </w:pPr>
            <w:r>
              <w:rPr>
                <w:rFonts w:ascii="Times New Roman" w:hAnsi="Times New Roman"/>
                <w:kern w:val="21"/>
              </w:rPr>
              <w:t>宣兴1井站西侧偏上游</w:t>
            </w:r>
          </w:p>
        </w:tc>
        <w:tc>
          <w:tcPr>
            <w:tcW w:w="2054"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sz w:val="22"/>
              </w:rPr>
            </w:pPr>
            <w:r>
              <w:rPr>
                <w:rFonts w:ascii="Times New Roman" w:hAnsi="Times New Roman"/>
                <w:sz w:val="22"/>
              </w:rPr>
              <w:t>GW9</w:t>
            </w:r>
          </w:p>
        </w:tc>
        <w:tc>
          <w:tcPr>
            <w:tcW w:w="1587" w:type="dxa"/>
            <w:vMerge w:val="continue"/>
            <w:vAlign w:val="center"/>
          </w:tcPr>
          <w:p>
            <w:pPr>
              <w:pStyle w:val="39"/>
              <w:rPr>
                <w:rFonts w:ascii="Times New Roman" w:hAnsi="Times New Roman"/>
              </w:rPr>
            </w:pPr>
          </w:p>
        </w:tc>
        <w:tc>
          <w:tcPr>
            <w:tcW w:w="4166" w:type="dxa"/>
            <w:vAlign w:val="center"/>
          </w:tcPr>
          <w:p>
            <w:pPr>
              <w:pStyle w:val="39"/>
              <w:rPr>
                <w:rFonts w:ascii="Times New Roman" w:hAnsi="Times New Roman"/>
                <w:kern w:val="21"/>
              </w:rPr>
            </w:pPr>
            <w:r>
              <w:rPr>
                <w:rFonts w:ascii="Times New Roman" w:hAnsi="Times New Roman"/>
                <w:kern w:val="21"/>
              </w:rPr>
              <w:t>宣兴1井站东南侧偏下游</w:t>
            </w:r>
          </w:p>
        </w:tc>
        <w:tc>
          <w:tcPr>
            <w:tcW w:w="2054"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sz w:val="22"/>
              </w:rPr>
            </w:pPr>
            <w:r>
              <w:rPr>
                <w:rFonts w:ascii="Times New Roman" w:hAnsi="Times New Roman"/>
                <w:sz w:val="22"/>
              </w:rPr>
              <w:t>GW10</w:t>
            </w:r>
          </w:p>
        </w:tc>
        <w:tc>
          <w:tcPr>
            <w:tcW w:w="1587" w:type="dxa"/>
            <w:vMerge w:val="continue"/>
            <w:vAlign w:val="center"/>
          </w:tcPr>
          <w:p>
            <w:pPr>
              <w:pStyle w:val="39"/>
              <w:rPr>
                <w:rFonts w:ascii="Times New Roman" w:hAnsi="Times New Roman"/>
              </w:rPr>
            </w:pPr>
          </w:p>
        </w:tc>
        <w:tc>
          <w:tcPr>
            <w:tcW w:w="4166" w:type="dxa"/>
            <w:vAlign w:val="center"/>
          </w:tcPr>
          <w:p>
            <w:pPr>
              <w:pStyle w:val="39"/>
              <w:rPr>
                <w:rFonts w:ascii="Times New Roman" w:hAnsi="Times New Roman"/>
                <w:kern w:val="21"/>
              </w:rPr>
            </w:pPr>
            <w:r>
              <w:rPr>
                <w:rFonts w:ascii="Times New Roman" w:hAnsi="Times New Roman"/>
                <w:kern w:val="21"/>
              </w:rPr>
              <w:t>宣兴1井站东北侧偏下游</w:t>
            </w:r>
          </w:p>
        </w:tc>
        <w:tc>
          <w:tcPr>
            <w:tcW w:w="2054"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sz w:val="22"/>
              </w:rPr>
            </w:pPr>
            <w:r>
              <w:rPr>
                <w:rFonts w:ascii="Times New Roman" w:hAnsi="Times New Roman"/>
                <w:sz w:val="22"/>
              </w:rPr>
              <w:t>GW11</w:t>
            </w:r>
          </w:p>
        </w:tc>
        <w:tc>
          <w:tcPr>
            <w:tcW w:w="1587" w:type="dxa"/>
            <w:vMerge w:val="continue"/>
            <w:vAlign w:val="center"/>
          </w:tcPr>
          <w:p>
            <w:pPr>
              <w:pStyle w:val="39"/>
              <w:rPr>
                <w:rFonts w:ascii="Times New Roman" w:hAnsi="Times New Roman"/>
              </w:rPr>
            </w:pPr>
          </w:p>
        </w:tc>
        <w:tc>
          <w:tcPr>
            <w:tcW w:w="4166" w:type="dxa"/>
            <w:vAlign w:val="center"/>
          </w:tcPr>
          <w:p>
            <w:pPr>
              <w:pStyle w:val="39"/>
              <w:rPr>
                <w:rFonts w:ascii="Times New Roman" w:hAnsi="Times New Roman"/>
                <w:kern w:val="21"/>
              </w:rPr>
            </w:pPr>
            <w:r>
              <w:rPr>
                <w:rFonts w:ascii="Times New Roman" w:hAnsi="Times New Roman"/>
                <w:kern w:val="21"/>
              </w:rPr>
              <w:t>宣兴1井站下游靠近乱石滩河</w:t>
            </w:r>
          </w:p>
        </w:tc>
        <w:tc>
          <w:tcPr>
            <w:tcW w:w="2054"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sz w:val="22"/>
              </w:rPr>
            </w:pPr>
            <w:r>
              <w:rPr>
                <w:rFonts w:ascii="Times New Roman" w:hAnsi="Times New Roman"/>
                <w:sz w:val="22"/>
              </w:rPr>
              <w:t>GW12</w:t>
            </w:r>
          </w:p>
        </w:tc>
        <w:tc>
          <w:tcPr>
            <w:tcW w:w="1587" w:type="dxa"/>
            <w:vMerge w:val="continue"/>
            <w:vAlign w:val="center"/>
          </w:tcPr>
          <w:p>
            <w:pPr>
              <w:pStyle w:val="39"/>
              <w:rPr>
                <w:rFonts w:ascii="Times New Roman" w:hAnsi="Times New Roman"/>
              </w:rPr>
            </w:pPr>
          </w:p>
        </w:tc>
        <w:tc>
          <w:tcPr>
            <w:tcW w:w="4166" w:type="dxa"/>
            <w:vAlign w:val="center"/>
          </w:tcPr>
          <w:p>
            <w:pPr>
              <w:pStyle w:val="39"/>
              <w:rPr>
                <w:rFonts w:ascii="Times New Roman" w:hAnsi="Times New Roman"/>
                <w:kern w:val="21"/>
              </w:rPr>
            </w:pPr>
            <w:r>
              <w:rPr>
                <w:rFonts w:ascii="Times New Roman" w:hAnsi="Times New Roman"/>
                <w:kern w:val="21"/>
              </w:rPr>
              <w:t>宣兴1井站西南侧</w:t>
            </w:r>
          </w:p>
        </w:tc>
        <w:tc>
          <w:tcPr>
            <w:tcW w:w="2054" w:type="dxa"/>
            <w:vMerge w:val="restart"/>
            <w:vAlign w:val="center"/>
          </w:tcPr>
          <w:p>
            <w:pPr>
              <w:pStyle w:val="39"/>
              <w:rPr>
                <w:rFonts w:ascii="Times New Roman" w:hAnsi="Times New Roman"/>
              </w:rPr>
            </w:pPr>
            <w:r>
              <w:rPr>
                <w:rFonts w:ascii="Times New Roman" w:hAnsi="Times New Roman"/>
              </w:rPr>
              <w:t>水位监测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sz w:val="22"/>
              </w:rPr>
            </w:pPr>
            <w:r>
              <w:rPr>
                <w:rFonts w:ascii="Times New Roman" w:hAnsi="Times New Roman"/>
                <w:sz w:val="22"/>
              </w:rPr>
              <w:t>GW13</w:t>
            </w:r>
          </w:p>
        </w:tc>
        <w:tc>
          <w:tcPr>
            <w:tcW w:w="1587" w:type="dxa"/>
            <w:vMerge w:val="continue"/>
            <w:vAlign w:val="center"/>
          </w:tcPr>
          <w:p>
            <w:pPr>
              <w:pStyle w:val="39"/>
              <w:rPr>
                <w:rFonts w:ascii="Times New Roman" w:hAnsi="Times New Roman"/>
              </w:rPr>
            </w:pPr>
          </w:p>
        </w:tc>
        <w:tc>
          <w:tcPr>
            <w:tcW w:w="4166" w:type="dxa"/>
            <w:vAlign w:val="center"/>
          </w:tcPr>
          <w:p>
            <w:pPr>
              <w:pStyle w:val="39"/>
              <w:rPr>
                <w:rFonts w:ascii="Times New Roman" w:hAnsi="Times New Roman"/>
                <w:kern w:val="21"/>
              </w:rPr>
            </w:pPr>
            <w:r>
              <w:rPr>
                <w:rFonts w:ascii="Times New Roman" w:hAnsi="Times New Roman"/>
                <w:kern w:val="21"/>
              </w:rPr>
              <w:t>宣兴1井站东南侧五道口村</w:t>
            </w:r>
          </w:p>
        </w:tc>
        <w:tc>
          <w:tcPr>
            <w:tcW w:w="2054"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sz w:val="22"/>
              </w:rPr>
            </w:pPr>
            <w:r>
              <w:rPr>
                <w:rFonts w:ascii="Times New Roman" w:hAnsi="Times New Roman"/>
                <w:sz w:val="22"/>
              </w:rPr>
              <w:t>GW14</w:t>
            </w:r>
          </w:p>
        </w:tc>
        <w:tc>
          <w:tcPr>
            <w:tcW w:w="1587" w:type="dxa"/>
            <w:vMerge w:val="continue"/>
            <w:vAlign w:val="center"/>
          </w:tcPr>
          <w:p>
            <w:pPr>
              <w:pStyle w:val="39"/>
              <w:rPr>
                <w:rFonts w:ascii="Times New Roman" w:hAnsi="Times New Roman"/>
              </w:rPr>
            </w:pPr>
          </w:p>
        </w:tc>
        <w:tc>
          <w:tcPr>
            <w:tcW w:w="4166" w:type="dxa"/>
            <w:vAlign w:val="center"/>
          </w:tcPr>
          <w:p>
            <w:pPr>
              <w:pStyle w:val="39"/>
              <w:rPr>
                <w:rFonts w:ascii="Times New Roman" w:hAnsi="Times New Roman"/>
                <w:kern w:val="21"/>
              </w:rPr>
            </w:pPr>
            <w:r>
              <w:rPr>
                <w:rFonts w:ascii="Times New Roman" w:hAnsi="Times New Roman"/>
                <w:kern w:val="21"/>
              </w:rPr>
              <w:t>宣兴1站井西南侧</w:t>
            </w:r>
          </w:p>
        </w:tc>
        <w:tc>
          <w:tcPr>
            <w:tcW w:w="2054"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sz w:val="22"/>
              </w:rPr>
            </w:pPr>
            <w:r>
              <w:rPr>
                <w:rFonts w:ascii="Times New Roman" w:hAnsi="Times New Roman"/>
                <w:sz w:val="22"/>
              </w:rPr>
              <w:t>GW15</w:t>
            </w:r>
          </w:p>
        </w:tc>
        <w:tc>
          <w:tcPr>
            <w:tcW w:w="1587" w:type="dxa"/>
            <w:vMerge w:val="continue"/>
            <w:vAlign w:val="center"/>
          </w:tcPr>
          <w:p>
            <w:pPr>
              <w:pStyle w:val="39"/>
              <w:rPr>
                <w:rFonts w:ascii="Times New Roman" w:hAnsi="Times New Roman"/>
              </w:rPr>
            </w:pPr>
          </w:p>
        </w:tc>
        <w:tc>
          <w:tcPr>
            <w:tcW w:w="4166" w:type="dxa"/>
            <w:vAlign w:val="center"/>
          </w:tcPr>
          <w:p>
            <w:pPr>
              <w:pStyle w:val="39"/>
              <w:rPr>
                <w:rFonts w:ascii="Times New Roman" w:hAnsi="Times New Roman"/>
                <w:kern w:val="21"/>
              </w:rPr>
            </w:pPr>
            <w:r>
              <w:rPr>
                <w:rFonts w:ascii="Times New Roman" w:hAnsi="Times New Roman"/>
                <w:kern w:val="21"/>
              </w:rPr>
              <w:t>宣兴1站井西北侧</w:t>
            </w:r>
          </w:p>
        </w:tc>
        <w:tc>
          <w:tcPr>
            <w:tcW w:w="2054"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64" w:type="dxa"/>
            <w:vAlign w:val="center"/>
          </w:tcPr>
          <w:p>
            <w:pPr>
              <w:pStyle w:val="39"/>
              <w:rPr>
                <w:rFonts w:ascii="Times New Roman" w:hAnsi="Times New Roman"/>
                <w:sz w:val="22"/>
              </w:rPr>
            </w:pPr>
            <w:r>
              <w:rPr>
                <w:rFonts w:ascii="Times New Roman" w:hAnsi="Times New Roman"/>
                <w:sz w:val="22"/>
              </w:rPr>
              <w:t>GW16</w:t>
            </w:r>
          </w:p>
        </w:tc>
        <w:tc>
          <w:tcPr>
            <w:tcW w:w="1587" w:type="dxa"/>
            <w:vMerge w:val="continue"/>
            <w:vAlign w:val="center"/>
          </w:tcPr>
          <w:p>
            <w:pPr>
              <w:pStyle w:val="39"/>
              <w:rPr>
                <w:rFonts w:ascii="Times New Roman" w:hAnsi="Times New Roman"/>
              </w:rPr>
            </w:pPr>
          </w:p>
        </w:tc>
        <w:tc>
          <w:tcPr>
            <w:tcW w:w="4166" w:type="dxa"/>
            <w:vAlign w:val="center"/>
          </w:tcPr>
          <w:p>
            <w:pPr>
              <w:pStyle w:val="39"/>
              <w:rPr>
                <w:rFonts w:ascii="Times New Roman" w:hAnsi="Times New Roman"/>
                <w:kern w:val="21"/>
              </w:rPr>
            </w:pPr>
            <w:r>
              <w:rPr>
                <w:rFonts w:ascii="Times New Roman" w:hAnsi="Times New Roman"/>
                <w:kern w:val="21"/>
              </w:rPr>
              <w:t>宣兴1站井北侧，集气管道东侧</w:t>
            </w:r>
          </w:p>
        </w:tc>
        <w:tc>
          <w:tcPr>
            <w:tcW w:w="2054" w:type="dxa"/>
            <w:vMerge w:val="continue"/>
            <w:vAlign w:val="center"/>
          </w:tcPr>
          <w:p>
            <w:pPr>
              <w:pStyle w:val="39"/>
              <w:rPr>
                <w:rFonts w:ascii="Times New Roman" w:hAnsi="Times New Roman"/>
              </w:rPr>
            </w:pPr>
          </w:p>
        </w:tc>
      </w:tr>
    </w:tbl>
    <w:p>
      <w:pPr>
        <w:ind w:firstLine="480"/>
        <w:rPr>
          <w:rFonts w:ascii="Times New Roman" w:hAnsi="Times New Roman"/>
        </w:rPr>
      </w:pPr>
    </w:p>
    <w:p>
      <w:pPr>
        <w:pStyle w:val="4"/>
        <w:rPr>
          <w:rFonts w:ascii="Times New Roman" w:hAnsi="Times New Roman" w:cs="Times New Roman"/>
        </w:rPr>
      </w:pPr>
      <w:r>
        <w:rPr>
          <w:rFonts w:ascii="Times New Roman" w:hAnsi="Times New Roman" w:cs="Times New Roman"/>
        </w:rPr>
        <w:t>监测因子</w:t>
      </w:r>
    </w:p>
    <w:p>
      <w:pPr>
        <w:ind w:firstLine="480"/>
        <w:rPr>
          <w:rFonts w:ascii="Times New Roman" w:hAnsi="Times New Roman"/>
        </w:rPr>
      </w:pPr>
      <w:r>
        <w:rPr>
          <w:rFonts w:ascii="Times New Roman" w:hAnsi="Times New Roman"/>
        </w:rPr>
        <w:t>1）K</w:t>
      </w:r>
      <w:r>
        <w:rPr>
          <w:rFonts w:ascii="Times New Roman" w:hAnsi="Times New Roman"/>
          <w:vertAlign w:val="superscript"/>
        </w:rPr>
        <w:t>+</w:t>
      </w:r>
      <w:r>
        <w:rPr>
          <w:rFonts w:ascii="Times New Roman" w:hAnsi="Times New Roman"/>
        </w:rPr>
        <w:t>、Na</w:t>
      </w:r>
      <w:r>
        <w:rPr>
          <w:rFonts w:ascii="Times New Roman" w:hAnsi="Times New Roman"/>
          <w:vertAlign w:val="superscript"/>
        </w:rPr>
        <w:t>+</w:t>
      </w:r>
      <w:r>
        <w:rPr>
          <w:rFonts w:ascii="Times New Roman" w:hAnsi="Times New Roman"/>
        </w:rPr>
        <w:t>、Ca</w:t>
      </w:r>
      <w:r>
        <w:rPr>
          <w:rFonts w:ascii="Times New Roman" w:hAnsi="Times New Roman"/>
          <w:vertAlign w:val="superscript"/>
        </w:rPr>
        <w:t>2+</w:t>
      </w:r>
      <w:r>
        <w:rPr>
          <w:rFonts w:ascii="Times New Roman" w:hAnsi="Times New Roman"/>
        </w:rPr>
        <w:t>、Mg</w:t>
      </w:r>
      <w:r>
        <w:rPr>
          <w:rFonts w:ascii="Times New Roman" w:hAnsi="Times New Roman"/>
          <w:vertAlign w:val="superscript"/>
        </w:rPr>
        <w:t>2+</w:t>
      </w:r>
      <w:r>
        <w:rPr>
          <w:rFonts w:ascii="Times New Roman" w:hAnsi="Times New Roman"/>
        </w:rPr>
        <w:t>、Cl</w:t>
      </w:r>
      <w:r>
        <w:rPr>
          <w:rFonts w:ascii="Times New Roman" w:hAnsi="Times New Roman"/>
          <w:vertAlign w:val="superscript"/>
        </w:rPr>
        <w:t>-</w:t>
      </w:r>
      <w:r>
        <w:rPr>
          <w:rFonts w:ascii="Times New Roman" w:hAnsi="Times New Roman"/>
        </w:rPr>
        <w:t>、SO</w:t>
      </w:r>
      <w:r>
        <w:rPr>
          <w:rFonts w:ascii="Times New Roman" w:hAnsi="Times New Roman"/>
          <w:vertAlign w:val="subscript"/>
        </w:rPr>
        <w:t>4</w:t>
      </w:r>
      <w:r>
        <w:rPr>
          <w:rFonts w:ascii="Times New Roman" w:hAnsi="Times New Roman"/>
          <w:vertAlign w:val="superscript"/>
        </w:rPr>
        <w:t>2-</w:t>
      </w:r>
      <w:r>
        <w:rPr>
          <w:rFonts w:ascii="Times New Roman" w:hAnsi="Times New Roman"/>
        </w:rPr>
        <w:t>、CO</w:t>
      </w:r>
      <w:r>
        <w:rPr>
          <w:rFonts w:ascii="Times New Roman" w:hAnsi="Times New Roman"/>
          <w:vertAlign w:val="subscript"/>
        </w:rPr>
        <w:t>3</w:t>
      </w:r>
      <w:r>
        <w:rPr>
          <w:rFonts w:ascii="Times New Roman" w:hAnsi="Times New Roman"/>
          <w:vertAlign w:val="superscript"/>
        </w:rPr>
        <w:t>2-</w:t>
      </w:r>
      <w:r>
        <w:rPr>
          <w:rFonts w:ascii="Times New Roman" w:hAnsi="Times New Roman"/>
        </w:rPr>
        <w:t>、HCO</w:t>
      </w:r>
      <w:r>
        <w:rPr>
          <w:rFonts w:ascii="Times New Roman" w:hAnsi="Times New Roman"/>
          <w:vertAlign w:val="subscript"/>
        </w:rPr>
        <w:t>3</w:t>
      </w:r>
      <w:r>
        <w:rPr>
          <w:rFonts w:ascii="Times New Roman" w:hAnsi="Times New Roman"/>
          <w:vertAlign w:val="superscript"/>
        </w:rPr>
        <w:t>-</w:t>
      </w:r>
    </w:p>
    <w:p>
      <w:pPr>
        <w:ind w:firstLine="480"/>
        <w:rPr>
          <w:rFonts w:ascii="Times New Roman" w:hAnsi="Times New Roman"/>
        </w:rPr>
      </w:pPr>
      <w:r>
        <w:rPr>
          <w:rFonts w:ascii="Times New Roman" w:hAnsi="Times New Roman"/>
        </w:rPr>
        <w:t>2）水质监测因子为：pH值、总硬度（以CaCO</w:t>
      </w:r>
      <w:r>
        <w:rPr>
          <w:rFonts w:ascii="Times New Roman" w:hAnsi="Times New Roman"/>
          <w:vertAlign w:val="subscript"/>
        </w:rPr>
        <w:t>3</w:t>
      </w:r>
      <w:r>
        <w:rPr>
          <w:rFonts w:ascii="Times New Roman" w:hAnsi="Times New Roman"/>
        </w:rPr>
        <w:t>计）、溶解性总固体、硫酸盐、氯化物、铁、锰、挥发性酚类（以苯酚计）、耗氧量（COD</w:t>
      </w:r>
      <w:r>
        <w:rPr>
          <w:rFonts w:ascii="Times New Roman" w:hAnsi="Times New Roman"/>
          <w:vertAlign w:val="subscript"/>
        </w:rPr>
        <w:t>Mn</w:t>
      </w:r>
      <w:r>
        <w:rPr>
          <w:rFonts w:ascii="Times New Roman" w:hAnsi="Times New Roman"/>
        </w:rPr>
        <w:t>法，以O</w:t>
      </w:r>
      <w:r>
        <w:rPr>
          <w:rFonts w:ascii="Times New Roman" w:hAnsi="Times New Roman"/>
          <w:vertAlign w:val="subscript"/>
        </w:rPr>
        <w:t>2</w:t>
      </w:r>
      <w:r>
        <w:rPr>
          <w:rFonts w:ascii="Times New Roman" w:hAnsi="Times New Roman"/>
        </w:rPr>
        <w:t>计）、氨氮（以N计）、硫化物、钠、总大肠菌群、菌落总数、亚硝酸盐（以N计）、硝酸盐（以N计）、氰化物、氟化物、汞、砷、镉、铬（六价）、铅、钡，共计24个因子。</w:t>
      </w:r>
    </w:p>
    <w:p>
      <w:pPr>
        <w:ind w:firstLine="480"/>
        <w:rPr>
          <w:rFonts w:ascii="Times New Roman" w:hAnsi="Times New Roman"/>
        </w:rPr>
      </w:pPr>
      <w:r>
        <w:rPr>
          <w:rFonts w:ascii="Times New Roman" w:hAnsi="Times New Roman"/>
        </w:rPr>
        <w:t>3）特征监测因子为：石油类。</w:t>
      </w:r>
    </w:p>
    <w:p>
      <w:pPr>
        <w:pStyle w:val="4"/>
        <w:rPr>
          <w:rFonts w:ascii="Times New Roman" w:hAnsi="Times New Roman" w:cs="Times New Roman"/>
        </w:rPr>
      </w:pPr>
      <w:r>
        <w:rPr>
          <w:rFonts w:ascii="Times New Roman" w:hAnsi="Times New Roman" w:cs="Times New Roman"/>
        </w:rPr>
        <w:t>监测时间及频次</w:t>
      </w:r>
    </w:p>
    <w:p>
      <w:pPr>
        <w:ind w:firstLine="480"/>
        <w:rPr>
          <w:rFonts w:ascii="Times New Roman" w:hAnsi="Times New Roman"/>
        </w:rPr>
      </w:pPr>
      <w:r>
        <w:rPr>
          <w:rFonts w:ascii="Times New Roman" w:hAnsi="Times New Roman"/>
          <w:kern w:val="0"/>
        </w:rPr>
        <w:t>2023年12月26日</w:t>
      </w:r>
      <w:r>
        <w:rPr>
          <w:rFonts w:hint="eastAsia" w:ascii="Times New Roman" w:hAnsi="Times New Roman"/>
          <w:kern w:val="0"/>
        </w:rPr>
        <w:t>至</w:t>
      </w:r>
      <w:r>
        <w:rPr>
          <w:rFonts w:ascii="Times New Roman" w:hAnsi="Times New Roman"/>
          <w:kern w:val="0"/>
        </w:rPr>
        <w:t>12月28日取样监测；</w:t>
      </w:r>
      <w:r>
        <w:rPr>
          <w:rFonts w:hint="eastAsia" w:ascii="Times New Roman" w:hAnsi="Times New Roman"/>
          <w:kern w:val="0"/>
        </w:rPr>
        <w:t>每个监测点</w:t>
      </w:r>
      <w:r>
        <w:rPr>
          <w:rFonts w:ascii="Times New Roman" w:hAnsi="Times New Roman"/>
          <w:kern w:val="0"/>
        </w:rPr>
        <w:t>监测1天，每天采样1次。</w:t>
      </w:r>
    </w:p>
    <w:p>
      <w:pPr>
        <w:pStyle w:val="4"/>
        <w:rPr>
          <w:rFonts w:ascii="Times New Roman" w:hAnsi="Times New Roman" w:cs="Times New Roman"/>
        </w:rPr>
      </w:pPr>
      <w:r>
        <w:rPr>
          <w:rFonts w:ascii="Times New Roman" w:hAnsi="Times New Roman" w:cs="Times New Roman"/>
        </w:rPr>
        <w:t>检测方法及检出限</w:t>
      </w:r>
    </w:p>
    <w:p>
      <w:pPr>
        <w:ind w:firstLine="480"/>
        <w:rPr>
          <w:rFonts w:ascii="Times New Roman" w:hAnsi="Times New Roman"/>
        </w:rPr>
      </w:pPr>
      <w:r>
        <w:rPr>
          <w:rFonts w:ascii="Times New Roman" w:hAnsi="Times New Roman"/>
        </w:rPr>
        <w:t>检测方法及检出限见</w:t>
      </w:r>
      <w:r>
        <w:rPr>
          <w:rFonts w:ascii="Times New Roman" w:hAnsi="Times New Roman"/>
        </w:rPr>
        <w:fldChar w:fldCharType="begin"/>
      </w:r>
      <w:r>
        <w:rPr>
          <w:rFonts w:ascii="Times New Roman" w:hAnsi="Times New Roman"/>
        </w:rPr>
        <w:instrText xml:space="preserve"> REF _Ref157074808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6</w:t>
      </w:r>
      <w:r>
        <w:rPr>
          <w:rFonts w:ascii="Times New Roman" w:hAnsi="Times New Roman"/>
        </w:rPr>
        <w:fldChar w:fldCharType="end"/>
      </w:r>
      <w:r>
        <w:rPr>
          <w:rFonts w:ascii="Times New Roman" w:hAnsi="Times New Roman"/>
        </w:rPr>
        <w:t>。</w:t>
      </w:r>
    </w:p>
    <w:p>
      <w:pPr>
        <w:pStyle w:val="37"/>
        <w:rPr>
          <w:rFonts w:ascii="Times New Roman" w:hAnsi="Times New Roman" w:cs="Times New Roman"/>
          <w:b/>
        </w:rPr>
      </w:pPr>
      <w:bookmarkStart w:id="142" w:name="_Ref157074808"/>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bookmarkEnd w:id="142"/>
      <w:r>
        <w:rPr>
          <w:rFonts w:ascii="Times New Roman" w:hAnsi="Times New Roman" w:cs="Times New Roman"/>
        </w:rPr>
        <w:t xml:space="preserve">  </w:t>
      </w:r>
      <w:r>
        <w:rPr>
          <w:rFonts w:ascii="Times New Roman" w:hAnsi="Times New Roman" w:cs="Times New Roman"/>
          <w:b/>
        </w:rPr>
        <w:t>检测项目方法仪器一览表</w:t>
      </w:r>
    </w:p>
    <w:tbl>
      <w:tblPr>
        <w:tblStyle w:val="28"/>
        <w:tblW w:w="508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72"/>
        <w:gridCol w:w="1282"/>
        <w:gridCol w:w="2757"/>
        <w:gridCol w:w="2107"/>
        <w:gridCol w:w="13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575" w:type="pct"/>
            <w:vAlign w:val="center"/>
          </w:tcPr>
          <w:p>
            <w:pPr>
              <w:pStyle w:val="39"/>
              <w:rPr>
                <w:rFonts w:ascii="Times New Roman" w:hAnsi="Times New Roman"/>
              </w:rPr>
            </w:pPr>
            <w:r>
              <w:rPr>
                <w:rFonts w:ascii="Times New Roman" w:hAnsi="Times New Roman"/>
                <w:lang w:bidi="ar"/>
              </w:rPr>
              <w:t>检测项目</w:t>
            </w:r>
          </w:p>
        </w:tc>
        <w:tc>
          <w:tcPr>
            <w:tcW w:w="758" w:type="pct"/>
            <w:vAlign w:val="center"/>
          </w:tcPr>
          <w:p>
            <w:pPr>
              <w:pStyle w:val="39"/>
              <w:rPr>
                <w:rFonts w:ascii="Times New Roman" w:hAnsi="Times New Roman"/>
              </w:rPr>
            </w:pPr>
            <w:r>
              <w:rPr>
                <w:rFonts w:ascii="Times New Roman" w:hAnsi="Times New Roman"/>
                <w:lang w:bidi="ar"/>
              </w:rPr>
              <w:t>监测方法</w:t>
            </w:r>
          </w:p>
        </w:tc>
        <w:tc>
          <w:tcPr>
            <w:tcW w:w="1630" w:type="pct"/>
            <w:vAlign w:val="center"/>
          </w:tcPr>
          <w:p>
            <w:pPr>
              <w:pStyle w:val="39"/>
              <w:rPr>
                <w:rFonts w:ascii="Times New Roman" w:hAnsi="Times New Roman"/>
              </w:rPr>
            </w:pPr>
            <w:r>
              <w:rPr>
                <w:rFonts w:ascii="Times New Roman" w:hAnsi="Times New Roman"/>
                <w:lang w:bidi="ar"/>
              </w:rPr>
              <w:t>监测标准</w:t>
            </w:r>
          </w:p>
        </w:tc>
        <w:tc>
          <w:tcPr>
            <w:tcW w:w="1246" w:type="pct"/>
            <w:vAlign w:val="center"/>
          </w:tcPr>
          <w:p>
            <w:pPr>
              <w:pStyle w:val="39"/>
              <w:rPr>
                <w:rFonts w:ascii="Times New Roman" w:hAnsi="Times New Roman"/>
              </w:rPr>
            </w:pPr>
            <w:r>
              <w:rPr>
                <w:rFonts w:ascii="Times New Roman" w:hAnsi="Times New Roman"/>
                <w:lang w:bidi="ar"/>
              </w:rPr>
              <w:t>仪器设备</w:t>
            </w:r>
          </w:p>
        </w:tc>
        <w:tc>
          <w:tcPr>
            <w:tcW w:w="791" w:type="pct"/>
            <w:vAlign w:val="center"/>
          </w:tcPr>
          <w:p>
            <w:pPr>
              <w:pStyle w:val="39"/>
              <w:rPr>
                <w:rFonts w:ascii="Times New Roman" w:hAnsi="Times New Roman"/>
                <w:lang w:bidi="ar"/>
              </w:rPr>
            </w:pPr>
            <w:r>
              <w:rPr>
                <w:rFonts w:ascii="Times New Roman" w:hAnsi="Times New Roman"/>
                <w:lang w:bidi="ar"/>
              </w:rPr>
              <w:t>检出限</w:t>
            </w:r>
          </w:p>
          <w:p>
            <w:pPr>
              <w:pStyle w:val="39"/>
              <w:rPr>
                <w:rFonts w:ascii="Times New Roman" w:hAnsi="Times New Roman"/>
                <w:lang w:bidi="ar"/>
              </w:rPr>
            </w:pPr>
            <w:r>
              <w:rPr>
                <w:rFonts w:ascii="Times New Roman" w:hAnsi="Times New Roman"/>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PH值</w:t>
            </w:r>
          </w:p>
        </w:tc>
        <w:tc>
          <w:tcPr>
            <w:tcW w:w="758" w:type="pct"/>
            <w:vAlign w:val="center"/>
          </w:tcPr>
          <w:p>
            <w:pPr>
              <w:pStyle w:val="39"/>
              <w:rPr>
                <w:rFonts w:ascii="Times New Roman" w:hAnsi="Times New Roman"/>
              </w:rPr>
            </w:pPr>
            <w:r>
              <w:rPr>
                <w:rFonts w:ascii="Times New Roman" w:hAnsi="Times New Roman"/>
              </w:rPr>
              <w:t>电极法</w:t>
            </w:r>
          </w:p>
        </w:tc>
        <w:tc>
          <w:tcPr>
            <w:tcW w:w="1630" w:type="pct"/>
            <w:vAlign w:val="center"/>
          </w:tcPr>
          <w:p>
            <w:pPr>
              <w:pStyle w:val="39"/>
              <w:rPr>
                <w:rFonts w:ascii="Times New Roman" w:hAnsi="Times New Roman"/>
              </w:rPr>
            </w:pPr>
            <w:r>
              <w:rPr>
                <w:rFonts w:ascii="Times New Roman" w:hAnsi="Times New Roman"/>
              </w:rPr>
              <w:t>水质 pH 值的测定 电极法</w:t>
            </w:r>
          </w:p>
          <w:p>
            <w:pPr>
              <w:pStyle w:val="39"/>
              <w:rPr>
                <w:rFonts w:ascii="Times New Roman" w:hAnsi="Times New Roman"/>
              </w:rPr>
            </w:pPr>
            <w:r>
              <w:rPr>
                <w:rFonts w:ascii="Times New Roman" w:hAnsi="Times New Roman"/>
              </w:rPr>
              <w:t>HJ 1147-2020</w:t>
            </w:r>
          </w:p>
        </w:tc>
        <w:tc>
          <w:tcPr>
            <w:tcW w:w="1246" w:type="pct"/>
            <w:vAlign w:val="center"/>
          </w:tcPr>
          <w:p>
            <w:pPr>
              <w:pStyle w:val="39"/>
              <w:rPr>
                <w:rFonts w:ascii="Times New Roman" w:hAnsi="Times New Roman"/>
              </w:rPr>
            </w:pPr>
            <w:r>
              <w:rPr>
                <w:rFonts w:ascii="Times New Roman" w:hAnsi="Times New Roman"/>
              </w:rPr>
              <w:t>便携式 pH 计</w:t>
            </w:r>
          </w:p>
          <w:p>
            <w:pPr>
              <w:pStyle w:val="39"/>
              <w:rPr>
                <w:rFonts w:ascii="Times New Roman" w:hAnsi="Times New Roman"/>
              </w:rPr>
            </w:pPr>
            <w:r>
              <w:rPr>
                <w:rFonts w:ascii="Times New Roman" w:hAnsi="Times New Roman"/>
              </w:rPr>
              <w:t>雷磁 PHBJ-260F</w:t>
            </w:r>
          </w:p>
          <w:p>
            <w:pPr>
              <w:pStyle w:val="39"/>
              <w:rPr>
                <w:rFonts w:ascii="Times New Roman" w:hAnsi="Times New Roman"/>
              </w:rPr>
            </w:pPr>
            <w:r>
              <w:rPr>
                <w:rFonts w:ascii="Times New Roman" w:hAnsi="Times New Roman"/>
              </w:rPr>
              <w:t>SCIE-0511/SCIE-0512</w:t>
            </w:r>
          </w:p>
        </w:tc>
        <w:tc>
          <w:tcPr>
            <w:tcW w:w="791" w:type="pct"/>
            <w:vAlign w:val="center"/>
          </w:tcPr>
          <w:p>
            <w:pPr>
              <w:pStyle w:val="39"/>
              <w:rPr>
                <w:rFonts w:ascii="Times New Roman" w:hAnsi="Times New Roman"/>
                <w:lang w:bidi="ar"/>
              </w:rPr>
            </w:pPr>
            <w:r>
              <w:rPr>
                <w:rFonts w:ascii="Times New Roman" w:hAnsi="Times New Roman"/>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钾</w:t>
            </w:r>
          </w:p>
        </w:tc>
        <w:tc>
          <w:tcPr>
            <w:tcW w:w="758" w:type="pct"/>
            <w:vMerge w:val="restart"/>
            <w:vAlign w:val="center"/>
          </w:tcPr>
          <w:p>
            <w:pPr>
              <w:pStyle w:val="39"/>
              <w:rPr>
                <w:rFonts w:ascii="Times New Roman" w:hAnsi="Times New Roman"/>
              </w:rPr>
            </w:pPr>
            <w:r>
              <w:rPr>
                <w:rFonts w:ascii="Times New Roman" w:hAnsi="Times New Roman"/>
              </w:rPr>
              <w:t>电感耦合等离子体发射光谱法</w:t>
            </w:r>
          </w:p>
        </w:tc>
        <w:tc>
          <w:tcPr>
            <w:tcW w:w="1630" w:type="pct"/>
            <w:vMerge w:val="restart"/>
            <w:vAlign w:val="center"/>
          </w:tcPr>
          <w:p>
            <w:pPr>
              <w:pStyle w:val="39"/>
              <w:rPr>
                <w:rFonts w:ascii="Times New Roman" w:hAnsi="Times New Roman"/>
              </w:rPr>
            </w:pPr>
            <w:r>
              <w:rPr>
                <w:rFonts w:ascii="Times New Roman" w:hAnsi="Times New Roman"/>
              </w:rPr>
              <w:t>水质32种元素测定-电感耦合</w:t>
            </w:r>
          </w:p>
          <w:p>
            <w:pPr>
              <w:pStyle w:val="39"/>
              <w:rPr>
                <w:rFonts w:ascii="Times New Roman" w:hAnsi="Times New Roman"/>
              </w:rPr>
            </w:pPr>
            <w:r>
              <w:rPr>
                <w:rFonts w:ascii="Times New Roman" w:hAnsi="Times New Roman"/>
              </w:rPr>
              <w:t>等离子体发射光谱HJ 776-2015</w:t>
            </w:r>
          </w:p>
        </w:tc>
        <w:tc>
          <w:tcPr>
            <w:tcW w:w="1246" w:type="pct"/>
            <w:vMerge w:val="restart"/>
            <w:vAlign w:val="center"/>
          </w:tcPr>
          <w:p>
            <w:pPr>
              <w:pStyle w:val="39"/>
              <w:rPr>
                <w:rFonts w:ascii="Times New Roman" w:hAnsi="Times New Roman"/>
              </w:rPr>
            </w:pPr>
            <w:r>
              <w:rPr>
                <w:rFonts w:ascii="Times New Roman" w:hAnsi="Times New Roman"/>
              </w:rPr>
              <w:t>电感耦合等离子体</w:t>
            </w:r>
          </w:p>
          <w:p>
            <w:pPr>
              <w:pStyle w:val="39"/>
              <w:rPr>
                <w:rFonts w:ascii="Times New Roman" w:hAnsi="Times New Roman"/>
              </w:rPr>
            </w:pPr>
            <w:r>
              <w:rPr>
                <w:rFonts w:ascii="Times New Roman" w:hAnsi="Times New Roman"/>
              </w:rPr>
              <w:t>发射光谱仪</w:t>
            </w:r>
          </w:p>
          <w:p>
            <w:pPr>
              <w:pStyle w:val="39"/>
              <w:rPr>
                <w:rFonts w:ascii="Times New Roman" w:hAnsi="Times New Roman"/>
              </w:rPr>
            </w:pPr>
            <w:r>
              <w:rPr>
                <w:rFonts w:ascii="Times New Roman" w:hAnsi="Times New Roman"/>
              </w:rPr>
              <w:t>5110</w:t>
            </w:r>
          </w:p>
          <w:p>
            <w:pPr>
              <w:pStyle w:val="39"/>
              <w:rPr>
                <w:rFonts w:ascii="Times New Roman" w:hAnsi="Times New Roman"/>
              </w:rPr>
            </w:pPr>
            <w:r>
              <w:rPr>
                <w:rFonts w:ascii="Times New Roman" w:hAnsi="Times New Roman"/>
              </w:rPr>
              <w:t>SCIE-0251</w:t>
            </w:r>
          </w:p>
        </w:tc>
        <w:tc>
          <w:tcPr>
            <w:tcW w:w="791" w:type="pct"/>
          </w:tcPr>
          <w:p>
            <w:pPr>
              <w:pStyle w:val="39"/>
              <w:rPr>
                <w:rFonts w:ascii="Times New Roman" w:hAnsi="Times New Roman"/>
                <w:lang w:bidi="ar"/>
              </w:rPr>
            </w:pPr>
            <w:r>
              <w:rPr>
                <w:rFonts w:ascii="Times New Roman" w:hAnsi="Times New Roman"/>
                <w:lang w:bidi="ar"/>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钠</w:t>
            </w:r>
          </w:p>
        </w:tc>
        <w:tc>
          <w:tcPr>
            <w:tcW w:w="758" w:type="pct"/>
            <w:vMerge w:val="continue"/>
            <w:vAlign w:val="center"/>
          </w:tcPr>
          <w:p>
            <w:pPr>
              <w:pStyle w:val="39"/>
              <w:rPr>
                <w:rFonts w:ascii="Times New Roman" w:hAnsi="Times New Roman"/>
              </w:rPr>
            </w:pPr>
          </w:p>
        </w:tc>
        <w:tc>
          <w:tcPr>
            <w:tcW w:w="1630" w:type="pct"/>
            <w:vMerge w:val="continue"/>
            <w:vAlign w:val="center"/>
          </w:tcPr>
          <w:p>
            <w:pPr>
              <w:pStyle w:val="39"/>
              <w:rPr>
                <w:rFonts w:ascii="Times New Roman" w:hAnsi="Times New Roman"/>
              </w:rPr>
            </w:pPr>
          </w:p>
        </w:tc>
        <w:tc>
          <w:tcPr>
            <w:tcW w:w="1246" w:type="pct"/>
            <w:vMerge w:val="continue"/>
            <w:vAlign w:val="center"/>
          </w:tcPr>
          <w:p>
            <w:pPr>
              <w:pStyle w:val="39"/>
              <w:rPr>
                <w:rFonts w:ascii="Times New Roman" w:hAnsi="Times New Roman"/>
              </w:rPr>
            </w:pPr>
          </w:p>
        </w:tc>
        <w:tc>
          <w:tcPr>
            <w:tcW w:w="791" w:type="pct"/>
          </w:tcPr>
          <w:p>
            <w:pPr>
              <w:pStyle w:val="39"/>
              <w:rPr>
                <w:rFonts w:ascii="Times New Roman" w:hAnsi="Times New Roman"/>
                <w:lang w:bidi="ar"/>
              </w:rPr>
            </w:pPr>
            <w:r>
              <w:rPr>
                <w:rFonts w:ascii="Times New Roman" w:hAnsi="Times New Roman"/>
                <w:lang w:bidi="ar"/>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钙</w:t>
            </w:r>
          </w:p>
        </w:tc>
        <w:tc>
          <w:tcPr>
            <w:tcW w:w="758" w:type="pct"/>
            <w:vMerge w:val="continue"/>
            <w:vAlign w:val="center"/>
          </w:tcPr>
          <w:p>
            <w:pPr>
              <w:pStyle w:val="39"/>
              <w:rPr>
                <w:rFonts w:ascii="Times New Roman" w:hAnsi="Times New Roman"/>
              </w:rPr>
            </w:pPr>
          </w:p>
        </w:tc>
        <w:tc>
          <w:tcPr>
            <w:tcW w:w="1630" w:type="pct"/>
            <w:vMerge w:val="continue"/>
            <w:vAlign w:val="center"/>
          </w:tcPr>
          <w:p>
            <w:pPr>
              <w:pStyle w:val="39"/>
              <w:rPr>
                <w:rFonts w:ascii="Times New Roman" w:hAnsi="Times New Roman"/>
              </w:rPr>
            </w:pPr>
          </w:p>
        </w:tc>
        <w:tc>
          <w:tcPr>
            <w:tcW w:w="1246" w:type="pct"/>
            <w:vMerge w:val="continue"/>
            <w:vAlign w:val="center"/>
          </w:tcPr>
          <w:p>
            <w:pPr>
              <w:pStyle w:val="39"/>
              <w:rPr>
                <w:rFonts w:ascii="Times New Roman" w:hAnsi="Times New Roman"/>
              </w:rPr>
            </w:pPr>
          </w:p>
        </w:tc>
        <w:tc>
          <w:tcPr>
            <w:tcW w:w="791" w:type="pct"/>
          </w:tcPr>
          <w:p>
            <w:pPr>
              <w:pStyle w:val="39"/>
              <w:rPr>
                <w:rFonts w:ascii="Times New Roman" w:hAnsi="Times New Roman"/>
                <w:lang w:bidi="ar"/>
              </w:rPr>
            </w:pPr>
            <w:r>
              <w:rPr>
                <w:rFonts w:ascii="Times New Roman" w:hAnsi="Times New Roman"/>
                <w:lang w:bidi="ar"/>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镁</w:t>
            </w:r>
          </w:p>
        </w:tc>
        <w:tc>
          <w:tcPr>
            <w:tcW w:w="758" w:type="pct"/>
            <w:vMerge w:val="continue"/>
            <w:vAlign w:val="center"/>
          </w:tcPr>
          <w:p>
            <w:pPr>
              <w:pStyle w:val="39"/>
              <w:rPr>
                <w:rFonts w:ascii="Times New Roman" w:hAnsi="Times New Roman"/>
              </w:rPr>
            </w:pPr>
          </w:p>
        </w:tc>
        <w:tc>
          <w:tcPr>
            <w:tcW w:w="1630" w:type="pct"/>
            <w:vMerge w:val="continue"/>
            <w:vAlign w:val="center"/>
          </w:tcPr>
          <w:p>
            <w:pPr>
              <w:pStyle w:val="39"/>
              <w:rPr>
                <w:rFonts w:ascii="Times New Roman" w:hAnsi="Times New Roman"/>
              </w:rPr>
            </w:pPr>
          </w:p>
        </w:tc>
        <w:tc>
          <w:tcPr>
            <w:tcW w:w="1246" w:type="pct"/>
            <w:vMerge w:val="continue"/>
            <w:vAlign w:val="center"/>
          </w:tcPr>
          <w:p>
            <w:pPr>
              <w:pStyle w:val="39"/>
              <w:rPr>
                <w:rFonts w:ascii="Times New Roman" w:hAnsi="Times New Roman"/>
              </w:rPr>
            </w:pPr>
          </w:p>
        </w:tc>
        <w:tc>
          <w:tcPr>
            <w:tcW w:w="791" w:type="pct"/>
          </w:tcPr>
          <w:p>
            <w:pPr>
              <w:pStyle w:val="39"/>
              <w:rPr>
                <w:rFonts w:ascii="Times New Roman" w:hAnsi="Times New Roman"/>
                <w:lang w:bidi="ar"/>
              </w:rPr>
            </w:pPr>
            <w:r>
              <w:rPr>
                <w:rFonts w:ascii="Times New Roman" w:hAnsi="Times New Roman"/>
                <w:lang w:bidi="ar"/>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铁</w:t>
            </w:r>
          </w:p>
        </w:tc>
        <w:tc>
          <w:tcPr>
            <w:tcW w:w="758" w:type="pct"/>
            <w:vMerge w:val="continue"/>
            <w:vAlign w:val="center"/>
          </w:tcPr>
          <w:p>
            <w:pPr>
              <w:pStyle w:val="39"/>
              <w:rPr>
                <w:rFonts w:ascii="Times New Roman" w:hAnsi="Times New Roman"/>
              </w:rPr>
            </w:pPr>
          </w:p>
        </w:tc>
        <w:tc>
          <w:tcPr>
            <w:tcW w:w="1630" w:type="pct"/>
            <w:vMerge w:val="continue"/>
            <w:vAlign w:val="center"/>
          </w:tcPr>
          <w:p>
            <w:pPr>
              <w:pStyle w:val="39"/>
              <w:rPr>
                <w:rFonts w:ascii="Times New Roman" w:hAnsi="Times New Roman"/>
              </w:rPr>
            </w:pPr>
          </w:p>
        </w:tc>
        <w:tc>
          <w:tcPr>
            <w:tcW w:w="1246" w:type="pct"/>
            <w:vMerge w:val="continue"/>
            <w:vAlign w:val="center"/>
          </w:tcPr>
          <w:p>
            <w:pPr>
              <w:pStyle w:val="39"/>
              <w:rPr>
                <w:rFonts w:ascii="Times New Roman" w:hAnsi="Times New Roman"/>
              </w:rPr>
            </w:pPr>
          </w:p>
        </w:tc>
        <w:tc>
          <w:tcPr>
            <w:tcW w:w="791" w:type="pct"/>
          </w:tcPr>
          <w:p>
            <w:pPr>
              <w:pStyle w:val="39"/>
              <w:rPr>
                <w:rFonts w:ascii="Times New Roman" w:hAnsi="Times New Roman"/>
                <w:lang w:bidi="ar"/>
              </w:rPr>
            </w:pPr>
            <w:r>
              <w:rPr>
                <w:rFonts w:ascii="Times New Roman" w:hAnsi="Times New Roman"/>
                <w:lang w:bidi="ar"/>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锰</w:t>
            </w:r>
          </w:p>
        </w:tc>
        <w:tc>
          <w:tcPr>
            <w:tcW w:w="758" w:type="pct"/>
            <w:vMerge w:val="continue"/>
            <w:vAlign w:val="center"/>
          </w:tcPr>
          <w:p>
            <w:pPr>
              <w:pStyle w:val="39"/>
              <w:rPr>
                <w:rFonts w:ascii="Times New Roman" w:hAnsi="Times New Roman"/>
              </w:rPr>
            </w:pPr>
          </w:p>
        </w:tc>
        <w:tc>
          <w:tcPr>
            <w:tcW w:w="1630" w:type="pct"/>
            <w:vMerge w:val="continue"/>
            <w:vAlign w:val="center"/>
          </w:tcPr>
          <w:p>
            <w:pPr>
              <w:pStyle w:val="39"/>
              <w:rPr>
                <w:rFonts w:ascii="Times New Roman" w:hAnsi="Times New Roman"/>
              </w:rPr>
            </w:pPr>
          </w:p>
        </w:tc>
        <w:tc>
          <w:tcPr>
            <w:tcW w:w="1246" w:type="pct"/>
            <w:vMerge w:val="continue"/>
            <w:vAlign w:val="center"/>
          </w:tcPr>
          <w:p>
            <w:pPr>
              <w:pStyle w:val="39"/>
              <w:rPr>
                <w:rFonts w:ascii="Times New Roman" w:hAnsi="Times New Roman"/>
              </w:rPr>
            </w:pPr>
          </w:p>
        </w:tc>
        <w:tc>
          <w:tcPr>
            <w:tcW w:w="791" w:type="pct"/>
          </w:tcPr>
          <w:p>
            <w:pPr>
              <w:pStyle w:val="39"/>
              <w:rPr>
                <w:rFonts w:ascii="Times New Roman" w:hAnsi="Times New Roman"/>
                <w:lang w:bidi="ar"/>
              </w:rPr>
            </w:pPr>
            <w:r>
              <w:rPr>
                <w:rFonts w:ascii="Times New Roman" w:hAnsi="Times New Roman"/>
                <w:lang w:bidi="ar"/>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重碳酸根</w:t>
            </w:r>
          </w:p>
        </w:tc>
        <w:tc>
          <w:tcPr>
            <w:tcW w:w="758" w:type="pct"/>
            <w:vMerge w:val="restart"/>
            <w:vAlign w:val="center"/>
          </w:tcPr>
          <w:p>
            <w:pPr>
              <w:pStyle w:val="39"/>
              <w:rPr>
                <w:rFonts w:ascii="Times New Roman" w:hAnsi="Times New Roman"/>
              </w:rPr>
            </w:pPr>
            <w:r>
              <w:rPr>
                <w:rFonts w:ascii="Times New Roman" w:hAnsi="Times New Roman"/>
              </w:rPr>
              <w:t>滴定法</w:t>
            </w:r>
          </w:p>
        </w:tc>
        <w:tc>
          <w:tcPr>
            <w:tcW w:w="1630" w:type="pct"/>
            <w:vMerge w:val="restart"/>
            <w:vAlign w:val="center"/>
          </w:tcPr>
          <w:p>
            <w:pPr>
              <w:pStyle w:val="39"/>
              <w:rPr>
                <w:rFonts w:ascii="Times New Roman" w:hAnsi="Times New Roman"/>
              </w:rPr>
            </w:pPr>
            <w:r>
              <w:rPr>
                <w:rFonts w:ascii="Times New Roman" w:hAnsi="Times New Roman"/>
              </w:rPr>
              <w:t>地下水质分析方法第49部分 碳酸根、重碳酸根和氢氧根离子的测定滴定法DZ/T 0064.49-2021</w:t>
            </w:r>
          </w:p>
        </w:tc>
        <w:tc>
          <w:tcPr>
            <w:tcW w:w="1246" w:type="pct"/>
            <w:vMerge w:val="restart"/>
            <w:vAlign w:val="center"/>
          </w:tcPr>
          <w:p>
            <w:pPr>
              <w:pStyle w:val="39"/>
              <w:rPr>
                <w:rFonts w:ascii="Times New Roman" w:hAnsi="Times New Roman"/>
              </w:rPr>
            </w:pPr>
            <w:r>
              <w:rPr>
                <w:rFonts w:ascii="Times New Roman" w:hAnsi="Times New Roman"/>
              </w:rPr>
              <w:t>25mL 酸式滴定管</w:t>
            </w:r>
          </w:p>
          <w:p>
            <w:pPr>
              <w:pStyle w:val="39"/>
              <w:rPr>
                <w:rFonts w:ascii="Times New Roman" w:hAnsi="Times New Roman"/>
              </w:rPr>
            </w:pPr>
            <w:r>
              <w:rPr>
                <w:rFonts w:ascii="Times New Roman" w:hAnsi="Times New Roman"/>
              </w:rPr>
              <w:t>SCIE-2234-06</w:t>
            </w:r>
          </w:p>
        </w:tc>
        <w:tc>
          <w:tcPr>
            <w:tcW w:w="791" w:type="pct"/>
          </w:tcPr>
          <w:p>
            <w:pPr>
              <w:pStyle w:val="39"/>
              <w:rPr>
                <w:rFonts w:ascii="Times New Roman" w:hAnsi="Times New Roman"/>
                <w:lang w:bidi="ar"/>
              </w:rPr>
            </w:pPr>
            <w:r>
              <w:rPr>
                <w:rFonts w:ascii="Times New Roman" w:hAnsi="Times New Roman"/>
                <w:lang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碳酸根</w:t>
            </w:r>
          </w:p>
        </w:tc>
        <w:tc>
          <w:tcPr>
            <w:tcW w:w="758" w:type="pct"/>
            <w:vMerge w:val="continue"/>
            <w:vAlign w:val="center"/>
          </w:tcPr>
          <w:p>
            <w:pPr>
              <w:pStyle w:val="39"/>
              <w:rPr>
                <w:rFonts w:ascii="Times New Roman" w:hAnsi="Times New Roman"/>
              </w:rPr>
            </w:pPr>
          </w:p>
        </w:tc>
        <w:tc>
          <w:tcPr>
            <w:tcW w:w="1630" w:type="pct"/>
            <w:vMerge w:val="continue"/>
            <w:vAlign w:val="center"/>
          </w:tcPr>
          <w:p>
            <w:pPr>
              <w:pStyle w:val="39"/>
              <w:rPr>
                <w:rFonts w:ascii="Times New Roman" w:hAnsi="Times New Roman"/>
              </w:rPr>
            </w:pPr>
          </w:p>
        </w:tc>
        <w:tc>
          <w:tcPr>
            <w:tcW w:w="1246" w:type="pct"/>
            <w:vMerge w:val="continue"/>
            <w:vAlign w:val="center"/>
          </w:tcPr>
          <w:p>
            <w:pPr>
              <w:pStyle w:val="39"/>
              <w:rPr>
                <w:rFonts w:ascii="Times New Roman" w:hAnsi="Times New Roman"/>
              </w:rPr>
            </w:pPr>
          </w:p>
        </w:tc>
        <w:tc>
          <w:tcPr>
            <w:tcW w:w="791" w:type="pct"/>
            <w:vAlign w:val="center"/>
          </w:tcPr>
          <w:p>
            <w:pPr>
              <w:pStyle w:val="39"/>
              <w:rPr>
                <w:rFonts w:ascii="Times New Roman" w:hAnsi="Times New Roman"/>
                <w:lang w:bidi="ar"/>
              </w:rPr>
            </w:pPr>
            <w:r>
              <w:rPr>
                <w:rFonts w:ascii="Times New Roman" w:hAnsi="Times New Roman"/>
                <w:lang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总硬度</w:t>
            </w:r>
          </w:p>
        </w:tc>
        <w:tc>
          <w:tcPr>
            <w:tcW w:w="758" w:type="pct"/>
            <w:vAlign w:val="center"/>
          </w:tcPr>
          <w:p>
            <w:pPr>
              <w:pStyle w:val="39"/>
              <w:rPr>
                <w:rFonts w:ascii="Times New Roman" w:hAnsi="Times New Roman"/>
              </w:rPr>
            </w:pPr>
            <w:r>
              <w:rPr>
                <w:rFonts w:ascii="Times New Roman" w:hAnsi="Times New Roman"/>
              </w:rPr>
              <w:t>EDTA 滴定法</w:t>
            </w:r>
          </w:p>
        </w:tc>
        <w:tc>
          <w:tcPr>
            <w:tcW w:w="1630" w:type="pct"/>
            <w:vAlign w:val="center"/>
          </w:tcPr>
          <w:p>
            <w:pPr>
              <w:pStyle w:val="39"/>
              <w:rPr>
                <w:rFonts w:ascii="Times New Roman" w:hAnsi="Times New Roman"/>
              </w:rPr>
            </w:pPr>
            <w:r>
              <w:rPr>
                <w:rFonts w:ascii="Times New Roman" w:hAnsi="Times New Roman"/>
              </w:rPr>
              <w:t>水质 钙和镁总量的测定</w:t>
            </w:r>
          </w:p>
          <w:p>
            <w:pPr>
              <w:pStyle w:val="39"/>
              <w:rPr>
                <w:rFonts w:ascii="Times New Roman" w:hAnsi="Times New Roman"/>
              </w:rPr>
            </w:pPr>
            <w:r>
              <w:rPr>
                <w:rFonts w:ascii="Times New Roman" w:hAnsi="Times New Roman"/>
              </w:rPr>
              <w:t>EDTA 滴定法 GB/T 7477-1987</w:t>
            </w:r>
          </w:p>
        </w:tc>
        <w:tc>
          <w:tcPr>
            <w:tcW w:w="1246" w:type="pct"/>
            <w:vMerge w:val="continue"/>
            <w:vAlign w:val="center"/>
          </w:tcPr>
          <w:p>
            <w:pPr>
              <w:pStyle w:val="39"/>
              <w:rPr>
                <w:rFonts w:ascii="Times New Roman" w:hAnsi="Times New Roman"/>
              </w:rPr>
            </w:pPr>
          </w:p>
        </w:tc>
        <w:tc>
          <w:tcPr>
            <w:tcW w:w="791" w:type="pct"/>
            <w:vAlign w:val="center"/>
          </w:tcPr>
          <w:p>
            <w:pPr>
              <w:pStyle w:val="39"/>
              <w:rPr>
                <w:rFonts w:ascii="Times New Roman" w:hAnsi="Times New Roman"/>
                <w:lang w:bidi="ar"/>
              </w:rPr>
            </w:pPr>
            <w:r>
              <w:rPr>
                <w:rFonts w:ascii="Times New Roman" w:hAnsi="Times New Roman"/>
                <w:lang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溶解性总固体</w:t>
            </w:r>
          </w:p>
        </w:tc>
        <w:tc>
          <w:tcPr>
            <w:tcW w:w="758" w:type="pct"/>
            <w:vAlign w:val="center"/>
          </w:tcPr>
          <w:p>
            <w:pPr>
              <w:pStyle w:val="39"/>
              <w:rPr>
                <w:rFonts w:ascii="Times New Roman" w:hAnsi="Times New Roman"/>
              </w:rPr>
            </w:pPr>
            <w:r>
              <w:rPr>
                <w:rFonts w:ascii="Times New Roman" w:hAnsi="Times New Roman"/>
              </w:rPr>
              <w:t>重量法</w:t>
            </w:r>
          </w:p>
        </w:tc>
        <w:tc>
          <w:tcPr>
            <w:tcW w:w="1630" w:type="pct"/>
            <w:vAlign w:val="center"/>
          </w:tcPr>
          <w:p>
            <w:pPr>
              <w:pStyle w:val="39"/>
              <w:rPr>
                <w:rFonts w:ascii="Times New Roman" w:hAnsi="Times New Roman"/>
              </w:rPr>
            </w:pPr>
            <w:r>
              <w:rPr>
                <w:rFonts w:ascii="Times New Roman" w:hAnsi="Times New Roman"/>
              </w:rPr>
              <w:t>《水和废水监测分析方法》（第四版 增补版）国家环境保护总局（2002年）3.1.7.2</w:t>
            </w:r>
          </w:p>
        </w:tc>
        <w:tc>
          <w:tcPr>
            <w:tcW w:w="1246" w:type="pct"/>
            <w:vAlign w:val="center"/>
          </w:tcPr>
          <w:p>
            <w:pPr>
              <w:pStyle w:val="39"/>
              <w:rPr>
                <w:rFonts w:ascii="Times New Roman" w:hAnsi="Times New Roman"/>
              </w:rPr>
            </w:pPr>
            <w:r>
              <w:rPr>
                <w:rFonts w:ascii="Times New Roman" w:hAnsi="Times New Roman"/>
              </w:rPr>
              <w:t>电子天平（双量程）</w:t>
            </w:r>
          </w:p>
          <w:p>
            <w:pPr>
              <w:pStyle w:val="39"/>
              <w:rPr>
                <w:rFonts w:ascii="Times New Roman" w:hAnsi="Times New Roman"/>
              </w:rPr>
            </w:pPr>
            <w:r>
              <w:rPr>
                <w:rFonts w:ascii="Times New Roman" w:hAnsi="Times New Roman"/>
              </w:rPr>
              <w:t>DV215CD</w:t>
            </w:r>
          </w:p>
          <w:p>
            <w:pPr>
              <w:pStyle w:val="39"/>
              <w:rPr>
                <w:rFonts w:ascii="Times New Roman" w:hAnsi="Times New Roman"/>
              </w:rPr>
            </w:pPr>
            <w:r>
              <w:rPr>
                <w:rFonts w:ascii="Times New Roman" w:hAnsi="Times New Roman"/>
              </w:rPr>
              <w:t>SCIE-0009</w:t>
            </w:r>
          </w:p>
        </w:tc>
        <w:tc>
          <w:tcPr>
            <w:tcW w:w="791" w:type="pct"/>
            <w:vAlign w:val="center"/>
          </w:tcPr>
          <w:p>
            <w:pPr>
              <w:pStyle w:val="39"/>
              <w:rPr>
                <w:rFonts w:ascii="Times New Roman" w:hAnsi="Times New Roman"/>
                <w:lang w:bidi="ar"/>
              </w:rPr>
            </w:pPr>
            <w:r>
              <w:rPr>
                <w:rFonts w:ascii="Times New Roman" w:hAnsi="Times New Roman"/>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高锰酸盐指数</w:t>
            </w:r>
          </w:p>
          <w:p>
            <w:pPr>
              <w:pStyle w:val="39"/>
              <w:rPr>
                <w:rFonts w:ascii="Times New Roman" w:hAnsi="Times New Roman"/>
              </w:rPr>
            </w:pPr>
            <w:r>
              <w:rPr>
                <w:rFonts w:ascii="Times New Roman" w:hAnsi="Times New Roman"/>
              </w:rPr>
              <w:t>（耗氧量）</w:t>
            </w:r>
          </w:p>
        </w:tc>
        <w:tc>
          <w:tcPr>
            <w:tcW w:w="758" w:type="pct"/>
            <w:vAlign w:val="center"/>
          </w:tcPr>
          <w:p>
            <w:pPr>
              <w:pStyle w:val="39"/>
              <w:rPr>
                <w:rFonts w:ascii="Times New Roman" w:hAnsi="Times New Roman"/>
              </w:rPr>
            </w:pPr>
            <w:r>
              <w:rPr>
                <w:rFonts w:ascii="Times New Roman" w:hAnsi="Times New Roman"/>
              </w:rPr>
              <w:t>酸性高锰酸钾</w:t>
            </w:r>
          </w:p>
          <w:p>
            <w:pPr>
              <w:pStyle w:val="39"/>
              <w:rPr>
                <w:rFonts w:ascii="Times New Roman" w:hAnsi="Times New Roman"/>
              </w:rPr>
            </w:pPr>
            <w:r>
              <w:rPr>
                <w:rFonts w:ascii="Times New Roman" w:hAnsi="Times New Roman"/>
              </w:rPr>
              <w:t>滴定法</w:t>
            </w:r>
          </w:p>
        </w:tc>
        <w:tc>
          <w:tcPr>
            <w:tcW w:w="1630" w:type="pct"/>
            <w:vAlign w:val="center"/>
          </w:tcPr>
          <w:p>
            <w:pPr>
              <w:pStyle w:val="39"/>
              <w:rPr>
                <w:rFonts w:ascii="Times New Roman" w:hAnsi="Times New Roman"/>
              </w:rPr>
            </w:pPr>
            <w:r>
              <w:rPr>
                <w:rFonts w:ascii="Times New Roman" w:hAnsi="Times New Roman"/>
              </w:rPr>
              <w:t>生活饮用水标准检验方法 第7部分：有机物综合指标</w:t>
            </w:r>
          </w:p>
          <w:p>
            <w:pPr>
              <w:pStyle w:val="39"/>
              <w:rPr>
                <w:rFonts w:ascii="Times New Roman" w:hAnsi="Times New Roman"/>
              </w:rPr>
            </w:pPr>
            <w:r>
              <w:rPr>
                <w:rFonts w:ascii="Times New Roman" w:hAnsi="Times New Roman"/>
              </w:rPr>
              <w:t>GB/T 5750.7-2023（4.1）</w:t>
            </w:r>
          </w:p>
        </w:tc>
        <w:tc>
          <w:tcPr>
            <w:tcW w:w="1246" w:type="pct"/>
            <w:vAlign w:val="center"/>
          </w:tcPr>
          <w:p>
            <w:pPr>
              <w:pStyle w:val="39"/>
              <w:rPr>
                <w:rFonts w:ascii="Times New Roman" w:hAnsi="Times New Roman"/>
              </w:rPr>
            </w:pPr>
            <w:r>
              <w:rPr>
                <w:rFonts w:ascii="Times New Roman" w:hAnsi="Times New Roman"/>
              </w:rPr>
              <w:t>25mL 酸式滴定管</w:t>
            </w:r>
          </w:p>
          <w:p>
            <w:pPr>
              <w:pStyle w:val="39"/>
              <w:rPr>
                <w:rFonts w:ascii="Times New Roman" w:hAnsi="Times New Roman"/>
              </w:rPr>
            </w:pPr>
            <w:r>
              <w:rPr>
                <w:rFonts w:ascii="Times New Roman" w:hAnsi="Times New Roman"/>
              </w:rPr>
              <w:t>SCIE-2234-07</w:t>
            </w:r>
          </w:p>
        </w:tc>
        <w:tc>
          <w:tcPr>
            <w:tcW w:w="791" w:type="pct"/>
            <w:vAlign w:val="center"/>
          </w:tcPr>
          <w:p>
            <w:pPr>
              <w:pStyle w:val="39"/>
              <w:rPr>
                <w:rFonts w:ascii="Times New Roman" w:hAnsi="Times New Roman"/>
                <w:lang w:bidi="ar"/>
              </w:rPr>
            </w:pPr>
            <w:r>
              <w:rPr>
                <w:rFonts w:ascii="Times New Roman" w:hAnsi="Times New Roman"/>
                <w:lang w:bidi="ar"/>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氟化物</w:t>
            </w:r>
          </w:p>
        </w:tc>
        <w:tc>
          <w:tcPr>
            <w:tcW w:w="758" w:type="pct"/>
            <w:vMerge w:val="restart"/>
            <w:vAlign w:val="center"/>
          </w:tcPr>
          <w:p>
            <w:pPr>
              <w:pStyle w:val="39"/>
              <w:rPr>
                <w:rFonts w:ascii="Times New Roman" w:hAnsi="Times New Roman"/>
              </w:rPr>
            </w:pPr>
            <w:r>
              <w:rPr>
                <w:rFonts w:ascii="Times New Roman" w:hAnsi="Times New Roman"/>
              </w:rPr>
              <w:t>离子色谱法</w:t>
            </w:r>
          </w:p>
        </w:tc>
        <w:tc>
          <w:tcPr>
            <w:tcW w:w="1630" w:type="pct"/>
            <w:vMerge w:val="restart"/>
            <w:vAlign w:val="center"/>
          </w:tcPr>
          <w:p>
            <w:pPr>
              <w:pStyle w:val="39"/>
              <w:rPr>
                <w:rFonts w:ascii="Times New Roman" w:hAnsi="Times New Roman"/>
              </w:rPr>
            </w:pPr>
            <w:r>
              <w:rPr>
                <w:rFonts w:ascii="Times New Roman" w:hAnsi="Times New Roman"/>
              </w:rPr>
              <w:t>水质 无机阴离子（F</w:t>
            </w:r>
            <w:r>
              <w:rPr>
                <w:rFonts w:ascii="Times New Roman" w:hAnsi="Times New Roman"/>
                <w:vertAlign w:val="superscript"/>
              </w:rPr>
              <w:t>-</w:t>
            </w:r>
            <w:r>
              <w:rPr>
                <w:rFonts w:ascii="Times New Roman" w:hAnsi="Times New Roman"/>
              </w:rPr>
              <w:t>、Cl</w:t>
            </w:r>
            <w:r>
              <w:rPr>
                <w:rFonts w:ascii="Times New Roman" w:hAnsi="Times New Roman"/>
                <w:vertAlign w:val="superscript"/>
              </w:rPr>
              <w:t>-</w:t>
            </w:r>
            <w:r>
              <w:rPr>
                <w:rFonts w:ascii="Times New Roman" w:hAnsi="Times New Roman"/>
              </w:rPr>
              <w:t>、 NO</w:t>
            </w:r>
            <w:r>
              <w:rPr>
                <w:rFonts w:ascii="Times New Roman" w:hAnsi="Times New Roman"/>
                <w:vertAlign w:val="superscript"/>
              </w:rPr>
              <w:t>2-</w:t>
            </w:r>
            <w:r>
              <w:rPr>
                <w:rFonts w:ascii="Times New Roman" w:hAnsi="Times New Roman"/>
              </w:rPr>
              <w:t>、Br</w:t>
            </w:r>
            <w:r>
              <w:rPr>
                <w:rFonts w:ascii="Times New Roman" w:hAnsi="Times New Roman"/>
                <w:vertAlign w:val="superscript"/>
              </w:rPr>
              <w:t>-</w:t>
            </w:r>
            <w:r>
              <w:rPr>
                <w:rFonts w:ascii="Times New Roman" w:hAnsi="Times New Roman"/>
              </w:rPr>
              <w:t>、NO</w:t>
            </w:r>
            <w:r>
              <w:rPr>
                <w:rFonts w:ascii="Times New Roman" w:hAnsi="Times New Roman"/>
                <w:vertAlign w:val="subscript"/>
              </w:rPr>
              <w:t>3</w:t>
            </w:r>
            <w:r>
              <w:rPr>
                <w:rFonts w:ascii="Times New Roman" w:hAnsi="Times New Roman"/>
                <w:vertAlign w:val="superscript"/>
              </w:rPr>
              <w:t>-</w:t>
            </w:r>
            <w:r>
              <w:rPr>
                <w:rFonts w:ascii="Times New Roman" w:hAnsi="Times New Roman"/>
              </w:rPr>
              <w:t>、 PO</w:t>
            </w:r>
            <w:r>
              <w:rPr>
                <w:rFonts w:ascii="Times New Roman" w:hAnsi="Times New Roman"/>
                <w:vertAlign w:val="subscript"/>
              </w:rPr>
              <w:t>4</w:t>
            </w:r>
            <w:r>
              <w:rPr>
                <w:rFonts w:ascii="Times New Roman" w:hAnsi="Times New Roman"/>
                <w:vertAlign w:val="superscript"/>
              </w:rPr>
              <w:t>3-</w:t>
            </w:r>
            <w:r>
              <w:rPr>
                <w:rFonts w:ascii="Times New Roman" w:hAnsi="Times New Roman"/>
              </w:rPr>
              <w:t>、 SO</w:t>
            </w:r>
            <w:r>
              <w:rPr>
                <w:rFonts w:ascii="Times New Roman" w:hAnsi="Times New Roman"/>
                <w:vertAlign w:val="subscript"/>
              </w:rPr>
              <w:t>3</w:t>
            </w:r>
            <w:r>
              <w:rPr>
                <w:rFonts w:ascii="Times New Roman" w:hAnsi="Times New Roman"/>
              </w:rPr>
              <w:t>2-、 SO</w:t>
            </w:r>
            <w:r>
              <w:rPr>
                <w:rFonts w:ascii="Times New Roman" w:hAnsi="Times New Roman"/>
                <w:vertAlign w:val="subscript"/>
              </w:rPr>
              <w:t>4</w:t>
            </w:r>
            <w:r>
              <w:rPr>
                <w:rFonts w:ascii="Times New Roman" w:hAnsi="Times New Roman"/>
                <w:vertAlign w:val="superscript"/>
              </w:rPr>
              <w:t>2-</w:t>
            </w:r>
            <w:r>
              <w:rPr>
                <w:rFonts w:ascii="Times New Roman" w:hAnsi="Times New Roman"/>
              </w:rPr>
              <w:t>）的测定 离子色谱法 HJ 84-2016</w:t>
            </w:r>
          </w:p>
        </w:tc>
        <w:tc>
          <w:tcPr>
            <w:tcW w:w="1246" w:type="pct"/>
            <w:vMerge w:val="restart"/>
            <w:vAlign w:val="center"/>
          </w:tcPr>
          <w:p>
            <w:pPr>
              <w:pStyle w:val="39"/>
              <w:rPr>
                <w:rFonts w:ascii="Times New Roman" w:hAnsi="Times New Roman"/>
              </w:rPr>
            </w:pPr>
            <w:r>
              <w:rPr>
                <w:rFonts w:ascii="Times New Roman" w:hAnsi="Times New Roman"/>
              </w:rPr>
              <w:t>离子色谱仪</w:t>
            </w:r>
          </w:p>
          <w:p>
            <w:pPr>
              <w:pStyle w:val="39"/>
              <w:rPr>
                <w:rFonts w:ascii="Times New Roman" w:hAnsi="Times New Roman"/>
              </w:rPr>
            </w:pPr>
            <w:r>
              <w:rPr>
                <w:rFonts w:ascii="Times New Roman" w:hAnsi="Times New Roman"/>
              </w:rPr>
              <w:t>Integrion</w:t>
            </w:r>
          </w:p>
          <w:p>
            <w:pPr>
              <w:pStyle w:val="39"/>
              <w:rPr>
                <w:rFonts w:ascii="Times New Roman" w:hAnsi="Times New Roman"/>
              </w:rPr>
            </w:pPr>
            <w:r>
              <w:rPr>
                <w:rFonts w:ascii="Times New Roman" w:hAnsi="Times New Roman"/>
              </w:rPr>
              <w:t>SCIE-0921</w:t>
            </w:r>
          </w:p>
        </w:tc>
        <w:tc>
          <w:tcPr>
            <w:tcW w:w="791" w:type="pct"/>
          </w:tcPr>
          <w:p>
            <w:pPr>
              <w:pStyle w:val="39"/>
              <w:rPr>
                <w:rFonts w:ascii="Times New Roman" w:hAnsi="Times New Roman"/>
                <w:lang w:bidi="ar"/>
              </w:rPr>
            </w:pPr>
            <w:r>
              <w:rPr>
                <w:rFonts w:ascii="Times New Roman" w:hAnsi="Times New Roman"/>
                <w:lang w:bidi="ar"/>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硫酸盐</w:t>
            </w:r>
          </w:p>
        </w:tc>
        <w:tc>
          <w:tcPr>
            <w:tcW w:w="758" w:type="pct"/>
            <w:vMerge w:val="continue"/>
            <w:vAlign w:val="center"/>
          </w:tcPr>
          <w:p>
            <w:pPr>
              <w:pStyle w:val="39"/>
              <w:rPr>
                <w:rFonts w:ascii="Times New Roman" w:hAnsi="Times New Roman"/>
              </w:rPr>
            </w:pPr>
          </w:p>
        </w:tc>
        <w:tc>
          <w:tcPr>
            <w:tcW w:w="1630" w:type="pct"/>
            <w:vMerge w:val="continue"/>
            <w:vAlign w:val="center"/>
          </w:tcPr>
          <w:p>
            <w:pPr>
              <w:pStyle w:val="39"/>
              <w:rPr>
                <w:rFonts w:ascii="Times New Roman" w:hAnsi="Times New Roman"/>
              </w:rPr>
            </w:pPr>
          </w:p>
        </w:tc>
        <w:tc>
          <w:tcPr>
            <w:tcW w:w="1246" w:type="pct"/>
            <w:vMerge w:val="continue"/>
            <w:vAlign w:val="center"/>
          </w:tcPr>
          <w:p>
            <w:pPr>
              <w:pStyle w:val="39"/>
              <w:rPr>
                <w:rFonts w:ascii="Times New Roman" w:hAnsi="Times New Roman"/>
              </w:rPr>
            </w:pPr>
          </w:p>
        </w:tc>
        <w:tc>
          <w:tcPr>
            <w:tcW w:w="791" w:type="pct"/>
          </w:tcPr>
          <w:p>
            <w:pPr>
              <w:pStyle w:val="39"/>
              <w:rPr>
                <w:rFonts w:ascii="Times New Roman" w:hAnsi="Times New Roman"/>
                <w:lang w:bidi="ar"/>
              </w:rPr>
            </w:pPr>
            <w:r>
              <w:rPr>
                <w:rFonts w:ascii="Times New Roman" w:hAnsi="Times New Roman"/>
                <w:lang w:bidi="ar"/>
              </w:rPr>
              <w:t>0.018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氯化物</w:t>
            </w:r>
          </w:p>
        </w:tc>
        <w:tc>
          <w:tcPr>
            <w:tcW w:w="758" w:type="pct"/>
            <w:vMerge w:val="continue"/>
            <w:vAlign w:val="center"/>
          </w:tcPr>
          <w:p>
            <w:pPr>
              <w:pStyle w:val="39"/>
              <w:rPr>
                <w:rFonts w:ascii="Times New Roman" w:hAnsi="Times New Roman"/>
              </w:rPr>
            </w:pPr>
          </w:p>
        </w:tc>
        <w:tc>
          <w:tcPr>
            <w:tcW w:w="1630" w:type="pct"/>
            <w:vMerge w:val="continue"/>
            <w:vAlign w:val="center"/>
          </w:tcPr>
          <w:p>
            <w:pPr>
              <w:pStyle w:val="39"/>
              <w:rPr>
                <w:rFonts w:ascii="Times New Roman" w:hAnsi="Times New Roman"/>
              </w:rPr>
            </w:pPr>
          </w:p>
        </w:tc>
        <w:tc>
          <w:tcPr>
            <w:tcW w:w="1246" w:type="pct"/>
            <w:vMerge w:val="continue"/>
            <w:vAlign w:val="center"/>
          </w:tcPr>
          <w:p>
            <w:pPr>
              <w:pStyle w:val="39"/>
              <w:rPr>
                <w:rFonts w:ascii="Times New Roman" w:hAnsi="Times New Roman"/>
              </w:rPr>
            </w:pPr>
          </w:p>
        </w:tc>
        <w:tc>
          <w:tcPr>
            <w:tcW w:w="791" w:type="pct"/>
          </w:tcPr>
          <w:p>
            <w:pPr>
              <w:pStyle w:val="39"/>
              <w:rPr>
                <w:rFonts w:ascii="Times New Roman" w:hAnsi="Times New Roman"/>
                <w:lang w:bidi="ar"/>
              </w:rPr>
            </w:pPr>
            <w:r>
              <w:rPr>
                <w:rFonts w:ascii="Times New Roman" w:hAnsi="Times New Roman"/>
                <w:lang w:bidi="ar"/>
              </w:rPr>
              <w:t>0.007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硝酸盐（以 N 计）</w:t>
            </w:r>
          </w:p>
        </w:tc>
        <w:tc>
          <w:tcPr>
            <w:tcW w:w="758" w:type="pct"/>
            <w:vMerge w:val="continue"/>
            <w:vAlign w:val="center"/>
          </w:tcPr>
          <w:p>
            <w:pPr>
              <w:pStyle w:val="39"/>
              <w:rPr>
                <w:rFonts w:ascii="Times New Roman" w:hAnsi="Times New Roman"/>
              </w:rPr>
            </w:pPr>
          </w:p>
        </w:tc>
        <w:tc>
          <w:tcPr>
            <w:tcW w:w="1630" w:type="pct"/>
            <w:vMerge w:val="continue"/>
            <w:vAlign w:val="center"/>
          </w:tcPr>
          <w:p>
            <w:pPr>
              <w:pStyle w:val="39"/>
              <w:rPr>
                <w:rFonts w:ascii="Times New Roman" w:hAnsi="Times New Roman"/>
              </w:rPr>
            </w:pPr>
          </w:p>
        </w:tc>
        <w:tc>
          <w:tcPr>
            <w:tcW w:w="1246" w:type="pct"/>
            <w:vMerge w:val="continue"/>
            <w:vAlign w:val="center"/>
          </w:tcPr>
          <w:p>
            <w:pPr>
              <w:pStyle w:val="39"/>
              <w:rPr>
                <w:rFonts w:ascii="Times New Roman" w:hAnsi="Times New Roman"/>
              </w:rPr>
            </w:pPr>
          </w:p>
        </w:tc>
        <w:tc>
          <w:tcPr>
            <w:tcW w:w="791" w:type="pct"/>
            <w:vAlign w:val="center"/>
          </w:tcPr>
          <w:p>
            <w:pPr>
              <w:pStyle w:val="39"/>
              <w:rPr>
                <w:rFonts w:ascii="Times New Roman" w:hAnsi="Times New Roman"/>
                <w:lang w:bidi="ar"/>
              </w:rPr>
            </w:pPr>
            <w:r>
              <w:rPr>
                <w:rFonts w:ascii="Times New Roman" w:hAnsi="Times New Roman"/>
                <w:lang w:bidi="ar"/>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亚硝酸盐</w:t>
            </w:r>
          </w:p>
        </w:tc>
        <w:tc>
          <w:tcPr>
            <w:tcW w:w="758" w:type="pct"/>
            <w:vAlign w:val="center"/>
          </w:tcPr>
          <w:p>
            <w:pPr>
              <w:pStyle w:val="39"/>
              <w:rPr>
                <w:rFonts w:ascii="Times New Roman" w:hAnsi="Times New Roman"/>
              </w:rPr>
            </w:pPr>
            <w:r>
              <w:rPr>
                <w:rFonts w:ascii="Times New Roman" w:hAnsi="Times New Roman"/>
              </w:rPr>
              <w:t>重氮偶合分光</w:t>
            </w:r>
          </w:p>
          <w:p>
            <w:pPr>
              <w:pStyle w:val="39"/>
              <w:rPr>
                <w:rFonts w:ascii="Times New Roman" w:hAnsi="Times New Roman"/>
              </w:rPr>
            </w:pPr>
            <w:r>
              <w:rPr>
                <w:rFonts w:ascii="Times New Roman" w:hAnsi="Times New Roman"/>
              </w:rPr>
              <w:t>光度法</w:t>
            </w:r>
          </w:p>
        </w:tc>
        <w:tc>
          <w:tcPr>
            <w:tcW w:w="1630" w:type="pct"/>
            <w:vAlign w:val="center"/>
          </w:tcPr>
          <w:p>
            <w:pPr>
              <w:pStyle w:val="39"/>
              <w:rPr>
                <w:rFonts w:ascii="Times New Roman" w:hAnsi="Times New Roman"/>
              </w:rPr>
            </w:pPr>
            <w:r>
              <w:rPr>
                <w:rFonts w:ascii="Times New Roman" w:hAnsi="Times New Roman"/>
              </w:rPr>
              <w:t>生活饮用水标准检验方法</w:t>
            </w:r>
          </w:p>
          <w:p>
            <w:pPr>
              <w:pStyle w:val="39"/>
              <w:rPr>
                <w:rFonts w:ascii="Times New Roman" w:hAnsi="Times New Roman"/>
              </w:rPr>
            </w:pPr>
            <w:r>
              <w:rPr>
                <w:rFonts w:ascii="Times New Roman" w:hAnsi="Times New Roman"/>
              </w:rPr>
              <w:t>第5 部分：无机非金属指标</w:t>
            </w:r>
          </w:p>
          <w:p>
            <w:pPr>
              <w:pStyle w:val="39"/>
              <w:rPr>
                <w:rFonts w:ascii="Times New Roman" w:hAnsi="Times New Roman"/>
              </w:rPr>
            </w:pPr>
            <w:r>
              <w:rPr>
                <w:rFonts w:ascii="Times New Roman" w:hAnsi="Times New Roman"/>
              </w:rPr>
              <w:t>GB/T 5750.5-2023（12.1）</w:t>
            </w:r>
          </w:p>
        </w:tc>
        <w:tc>
          <w:tcPr>
            <w:tcW w:w="1246" w:type="pct"/>
            <w:vMerge w:val="restart"/>
            <w:vAlign w:val="center"/>
          </w:tcPr>
          <w:p>
            <w:pPr>
              <w:pStyle w:val="39"/>
              <w:rPr>
                <w:rFonts w:ascii="Times New Roman" w:hAnsi="Times New Roman"/>
              </w:rPr>
            </w:pPr>
            <w:r>
              <w:rPr>
                <w:rFonts w:ascii="Times New Roman" w:hAnsi="Times New Roman"/>
              </w:rPr>
              <w:t>紫外可见分光光度计</w:t>
            </w:r>
          </w:p>
          <w:p>
            <w:pPr>
              <w:pStyle w:val="39"/>
              <w:rPr>
                <w:rFonts w:ascii="Times New Roman" w:hAnsi="Times New Roman"/>
              </w:rPr>
            </w:pPr>
            <w:r>
              <w:rPr>
                <w:rFonts w:ascii="Times New Roman" w:hAnsi="Times New Roman"/>
              </w:rPr>
              <w:t>UV-1800</w:t>
            </w:r>
          </w:p>
          <w:p>
            <w:pPr>
              <w:pStyle w:val="39"/>
              <w:rPr>
                <w:rFonts w:ascii="Times New Roman" w:hAnsi="Times New Roman"/>
              </w:rPr>
            </w:pPr>
            <w:r>
              <w:rPr>
                <w:rFonts w:ascii="Times New Roman" w:hAnsi="Times New Roman"/>
              </w:rPr>
              <w:t>SCIE-0008</w:t>
            </w:r>
          </w:p>
        </w:tc>
        <w:tc>
          <w:tcPr>
            <w:tcW w:w="791" w:type="pct"/>
            <w:vAlign w:val="center"/>
          </w:tcPr>
          <w:p>
            <w:pPr>
              <w:pStyle w:val="39"/>
              <w:rPr>
                <w:rFonts w:ascii="Times New Roman" w:hAnsi="Times New Roman"/>
                <w:lang w:bidi="ar"/>
              </w:rPr>
            </w:pPr>
            <w:r>
              <w:rPr>
                <w:rFonts w:ascii="Times New Roman" w:hAnsi="Times New Roman"/>
                <w:lang w:bidi="ar"/>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氰化物</w:t>
            </w:r>
          </w:p>
        </w:tc>
        <w:tc>
          <w:tcPr>
            <w:tcW w:w="758" w:type="pct"/>
            <w:vAlign w:val="center"/>
          </w:tcPr>
          <w:p>
            <w:pPr>
              <w:pStyle w:val="39"/>
              <w:rPr>
                <w:rFonts w:ascii="Times New Roman" w:hAnsi="Times New Roman"/>
              </w:rPr>
            </w:pPr>
            <w:r>
              <w:rPr>
                <w:rFonts w:ascii="Times New Roman" w:hAnsi="Times New Roman"/>
              </w:rPr>
              <w:t>异烟酸-巴比妥酸分光光度法</w:t>
            </w:r>
          </w:p>
        </w:tc>
        <w:tc>
          <w:tcPr>
            <w:tcW w:w="1630" w:type="pct"/>
            <w:vAlign w:val="center"/>
          </w:tcPr>
          <w:p>
            <w:pPr>
              <w:pStyle w:val="39"/>
              <w:rPr>
                <w:rFonts w:ascii="Times New Roman" w:hAnsi="Times New Roman"/>
              </w:rPr>
            </w:pPr>
            <w:r>
              <w:rPr>
                <w:rFonts w:ascii="Times New Roman" w:hAnsi="Times New Roman"/>
              </w:rPr>
              <w:t>生活饮用水标准检验方法</w:t>
            </w:r>
          </w:p>
          <w:p>
            <w:pPr>
              <w:pStyle w:val="39"/>
              <w:rPr>
                <w:rFonts w:ascii="Times New Roman" w:hAnsi="Times New Roman"/>
              </w:rPr>
            </w:pPr>
            <w:r>
              <w:rPr>
                <w:rFonts w:ascii="Times New Roman" w:hAnsi="Times New Roman"/>
              </w:rPr>
              <w:t>第5部分：无机非金属指标</w:t>
            </w:r>
          </w:p>
          <w:p>
            <w:pPr>
              <w:pStyle w:val="39"/>
              <w:rPr>
                <w:rFonts w:ascii="Times New Roman" w:hAnsi="Times New Roman"/>
              </w:rPr>
            </w:pPr>
            <w:r>
              <w:rPr>
                <w:rFonts w:ascii="Times New Roman" w:hAnsi="Times New Roman"/>
              </w:rPr>
              <w:t>GB/T 5750.5-2023（7.2）</w:t>
            </w:r>
          </w:p>
        </w:tc>
        <w:tc>
          <w:tcPr>
            <w:tcW w:w="1246" w:type="pct"/>
            <w:vMerge w:val="continue"/>
            <w:vAlign w:val="center"/>
          </w:tcPr>
          <w:p>
            <w:pPr>
              <w:pStyle w:val="39"/>
              <w:rPr>
                <w:rFonts w:ascii="Times New Roman" w:hAnsi="Times New Roman"/>
              </w:rPr>
            </w:pPr>
          </w:p>
        </w:tc>
        <w:tc>
          <w:tcPr>
            <w:tcW w:w="791" w:type="pct"/>
            <w:vAlign w:val="center"/>
          </w:tcPr>
          <w:p>
            <w:pPr>
              <w:pStyle w:val="39"/>
              <w:rPr>
                <w:rFonts w:ascii="Times New Roman" w:hAnsi="Times New Roman"/>
                <w:lang w:bidi="ar"/>
              </w:rPr>
            </w:pPr>
            <w:r>
              <w:rPr>
                <w:rFonts w:ascii="Times New Roman" w:hAnsi="Times New Roman"/>
                <w:lang w:bidi="ar"/>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硫化物</w:t>
            </w:r>
          </w:p>
        </w:tc>
        <w:tc>
          <w:tcPr>
            <w:tcW w:w="758" w:type="pct"/>
            <w:vAlign w:val="center"/>
          </w:tcPr>
          <w:p>
            <w:pPr>
              <w:pStyle w:val="39"/>
              <w:rPr>
                <w:rFonts w:ascii="Times New Roman" w:hAnsi="Times New Roman"/>
              </w:rPr>
            </w:pPr>
            <w:r>
              <w:rPr>
                <w:rFonts w:ascii="Times New Roman" w:hAnsi="Times New Roman"/>
              </w:rPr>
              <w:t>亚甲基蓝分光</w:t>
            </w:r>
          </w:p>
          <w:p>
            <w:pPr>
              <w:pStyle w:val="39"/>
              <w:rPr>
                <w:rFonts w:ascii="Times New Roman" w:hAnsi="Times New Roman"/>
              </w:rPr>
            </w:pPr>
            <w:r>
              <w:rPr>
                <w:rFonts w:ascii="Times New Roman" w:hAnsi="Times New Roman"/>
              </w:rPr>
              <w:t>光度法</w:t>
            </w:r>
          </w:p>
        </w:tc>
        <w:tc>
          <w:tcPr>
            <w:tcW w:w="1630" w:type="pct"/>
            <w:vAlign w:val="center"/>
          </w:tcPr>
          <w:p>
            <w:pPr>
              <w:pStyle w:val="39"/>
              <w:rPr>
                <w:rFonts w:ascii="Times New Roman" w:hAnsi="Times New Roman"/>
              </w:rPr>
            </w:pPr>
            <w:r>
              <w:rPr>
                <w:rFonts w:ascii="Times New Roman" w:hAnsi="Times New Roman"/>
              </w:rPr>
              <w:t>水质 硫化物的测定 亚甲基蓝分光光度法 HJ 1226-2021</w:t>
            </w:r>
          </w:p>
        </w:tc>
        <w:tc>
          <w:tcPr>
            <w:tcW w:w="1246" w:type="pct"/>
            <w:vMerge w:val="continue"/>
            <w:vAlign w:val="center"/>
          </w:tcPr>
          <w:p>
            <w:pPr>
              <w:pStyle w:val="39"/>
              <w:rPr>
                <w:rFonts w:ascii="Times New Roman" w:hAnsi="Times New Roman"/>
              </w:rPr>
            </w:pPr>
          </w:p>
        </w:tc>
        <w:tc>
          <w:tcPr>
            <w:tcW w:w="791" w:type="pct"/>
            <w:vAlign w:val="center"/>
          </w:tcPr>
          <w:p>
            <w:pPr>
              <w:pStyle w:val="39"/>
              <w:rPr>
                <w:rFonts w:ascii="Times New Roman" w:hAnsi="Times New Roman"/>
                <w:lang w:bidi="ar"/>
              </w:rPr>
            </w:pPr>
            <w:r>
              <w:rPr>
                <w:rFonts w:ascii="Times New Roman" w:hAnsi="Times New Roman"/>
                <w:lang w:bidi="ar"/>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铬（六价）</w:t>
            </w:r>
          </w:p>
        </w:tc>
        <w:tc>
          <w:tcPr>
            <w:tcW w:w="758" w:type="pct"/>
            <w:vAlign w:val="center"/>
          </w:tcPr>
          <w:p>
            <w:pPr>
              <w:pStyle w:val="39"/>
              <w:rPr>
                <w:rFonts w:ascii="Times New Roman" w:hAnsi="Times New Roman"/>
              </w:rPr>
            </w:pPr>
            <w:r>
              <w:rPr>
                <w:rFonts w:ascii="Times New Roman" w:hAnsi="Times New Roman"/>
              </w:rPr>
              <w:t>二苯碳酰二肼</w:t>
            </w:r>
          </w:p>
          <w:p>
            <w:pPr>
              <w:pStyle w:val="39"/>
              <w:rPr>
                <w:rFonts w:ascii="Times New Roman" w:hAnsi="Times New Roman"/>
              </w:rPr>
            </w:pPr>
            <w:r>
              <w:rPr>
                <w:rFonts w:ascii="Times New Roman" w:hAnsi="Times New Roman"/>
              </w:rPr>
              <w:t>分光光度法</w:t>
            </w:r>
          </w:p>
        </w:tc>
        <w:tc>
          <w:tcPr>
            <w:tcW w:w="1630" w:type="pct"/>
            <w:vAlign w:val="center"/>
          </w:tcPr>
          <w:p>
            <w:pPr>
              <w:pStyle w:val="39"/>
              <w:rPr>
                <w:rFonts w:ascii="Times New Roman" w:hAnsi="Times New Roman"/>
              </w:rPr>
            </w:pPr>
            <w:r>
              <w:rPr>
                <w:rFonts w:ascii="Times New Roman" w:hAnsi="Times New Roman"/>
              </w:rPr>
              <w:t>生活饮用水标准检验方法第 6 部分：金属和类金属指标</w:t>
            </w:r>
          </w:p>
          <w:p>
            <w:pPr>
              <w:pStyle w:val="39"/>
              <w:rPr>
                <w:rFonts w:ascii="Times New Roman" w:hAnsi="Times New Roman"/>
              </w:rPr>
            </w:pPr>
            <w:r>
              <w:rPr>
                <w:rFonts w:ascii="Times New Roman" w:hAnsi="Times New Roman"/>
              </w:rPr>
              <w:t>GB/T 5750.6-2023（13.1）</w:t>
            </w:r>
          </w:p>
        </w:tc>
        <w:tc>
          <w:tcPr>
            <w:tcW w:w="1246" w:type="pct"/>
            <w:vMerge w:val="continue"/>
            <w:vAlign w:val="center"/>
          </w:tcPr>
          <w:p>
            <w:pPr>
              <w:pStyle w:val="39"/>
              <w:rPr>
                <w:rFonts w:ascii="Times New Roman" w:hAnsi="Times New Roman"/>
              </w:rPr>
            </w:pPr>
          </w:p>
        </w:tc>
        <w:tc>
          <w:tcPr>
            <w:tcW w:w="791" w:type="pct"/>
            <w:vAlign w:val="center"/>
          </w:tcPr>
          <w:p>
            <w:pPr>
              <w:pStyle w:val="39"/>
              <w:rPr>
                <w:rFonts w:ascii="Times New Roman" w:hAnsi="Times New Roman"/>
                <w:lang w:bidi="ar"/>
              </w:rPr>
            </w:pPr>
            <w:r>
              <w:rPr>
                <w:rFonts w:ascii="Times New Roman" w:hAnsi="Times New Roman"/>
                <w:lang w:bidi="ar"/>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挥发酚</w:t>
            </w:r>
          </w:p>
        </w:tc>
        <w:tc>
          <w:tcPr>
            <w:tcW w:w="758" w:type="pct"/>
            <w:vAlign w:val="center"/>
          </w:tcPr>
          <w:p>
            <w:pPr>
              <w:pStyle w:val="39"/>
              <w:rPr>
                <w:rFonts w:ascii="Times New Roman" w:hAnsi="Times New Roman"/>
              </w:rPr>
            </w:pPr>
            <w:r>
              <w:rPr>
                <w:rFonts w:ascii="Times New Roman" w:hAnsi="Times New Roman"/>
              </w:rPr>
              <w:t>4-氨基安替比林分光光度法</w:t>
            </w:r>
          </w:p>
        </w:tc>
        <w:tc>
          <w:tcPr>
            <w:tcW w:w="1630" w:type="pct"/>
            <w:vAlign w:val="center"/>
          </w:tcPr>
          <w:p>
            <w:pPr>
              <w:pStyle w:val="39"/>
              <w:rPr>
                <w:rFonts w:ascii="Times New Roman" w:hAnsi="Times New Roman"/>
              </w:rPr>
            </w:pPr>
            <w:r>
              <w:rPr>
                <w:rFonts w:ascii="Times New Roman" w:hAnsi="Times New Roman"/>
              </w:rPr>
              <w:t>水质 挥发酚的测定 4-氨基安替比林分光光度法 HJ 503-2009（方法 1）</w:t>
            </w:r>
          </w:p>
        </w:tc>
        <w:tc>
          <w:tcPr>
            <w:tcW w:w="1246" w:type="pct"/>
            <w:vMerge w:val="continue"/>
            <w:vAlign w:val="center"/>
          </w:tcPr>
          <w:p>
            <w:pPr>
              <w:pStyle w:val="39"/>
              <w:rPr>
                <w:rFonts w:ascii="Times New Roman" w:hAnsi="Times New Roman"/>
              </w:rPr>
            </w:pPr>
          </w:p>
        </w:tc>
        <w:tc>
          <w:tcPr>
            <w:tcW w:w="791" w:type="pct"/>
            <w:vAlign w:val="center"/>
          </w:tcPr>
          <w:p>
            <w:pPr>
              <w:pStyle w:val="39"/>
              <w:rPr>
                <w:rFonts w:ascii="Times New Roman" w:hAnsi="Times New Roman"/>
                <w:lang w:bidi="ar"/>
              </w:rPr>
            </w:pPr>
            <w:r>
              <w:rPr>
                <w:rFonts w:ascii="Times New Roman" w:hAnsi="Times New Roman"/>
                <w:lang w:bidi="ar"/>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氨氮</w:t>
            </w:r>
          </w:p>
        </w:tc>
        <w:tc>
          <w:tcPr>
            <w:tcW w:w="758" w:type="pct"/>
            <w:vAlign w:val="center"/>
          </w:tcPr>
          <w:p>
            <w:pPr>
              <w:pStyle w:val="39"/>
              <w:rPr>
                <w:rFonts w:ascii="Times New Roman" w:hAnsi="Times New Roman"/>
              </w:rPr>
            </w:pPr>
            <w:r>
              <w:rPr>
                <w:rFonts w:ascii="Times New Roman" w:hAnsi="Times New Roman"/>
              </w:rPr>
              <w:t>水杨酸分光</w:t>
            </w:r>
          </w:p>
          <w:p>
            <w:pPr>
              <w:pStyle w:val="39"/>
              <w:rPr>
                <w:rFonts w:ascii="Times New Roman" w:hAnsi="Times New Roman"/>
              </w:rPr>
            </w:pPr>
            <w:r>
              <w:rPr>
                <w:rFonts w:ascii="Times New Roman" w:hAnsi="Times New Roman"/>
              </w:rPr>
              <w:t>光度法</w:t>
            </w:r>
          </w:p>
        </w:tc>
        <w:tc>
          <w:tcPr>
            <w:tcW w:w="1630" w:type="pct"/>
            <w:vAlign w:val="center"/>
          </w:tcPr>
          <w:p>
            <w:pPr>
              <w:pStyle w:val="39"/>
              <w:rPr>
                <w:rFonts w:ascii="Times New Roman" w:hAnsi="Times New Roman"/>
              </w:rPr>
            </w:pPr>
            <w:r>
              <w:rPr>
                <w:rFonts w:ascii="Times New Roman" w:hAnsi="Times New Roman"/>
              </w:rPr>
              <w:t>水质 氨氮的测定 水杨酸分光</w:t>
            </w:r>
          </w:p>
          <w:p>
            <w:pPr>
              <w:pStyle w:val="39"/>
              <w:rPr>
                <w:rFonts w:ascii="Times New Roman" w:hAnsi="Times New Roman"/>
              </w:rPr>
            </w:pPr>
            <w:r>
              <w:rPr>
                <w:rFonts w:ascii="Times New Roman" w:hAnsi="Times New Roman"/>
              </w:rPr>
              <w:t>光度法 HJ 536-2009</w:t>
            </w:r>
          </w:p>
        </w:tc>
        <w:tc>
          <w:tcPr>
            <w:tcW w:w="1246" w:type="pct"/>
            <w:vMerge w:val="continue"/>
            <w:vAlign w:val="center"/>
          </w:tcPr>
          <w:p>
            <w:pPr>
              <w:pStyle w:val="39"/>
              <w:rPr>
                <w:rFonts w:ascii="Times New Roman" w:hAnsi="Times New Roman"/>
              </w:rPr>
            </w:pPr>
          </w:p>
        </w:tc>
        <w:tc>
          <w:tcPr>
            <w:tcW w:w="791" w:type="pct"/>
            <w:vAlign w:val="center"/>
          </w:tcPr>
          <w:p>
            <w:pPr>
              <w:pStyle w:val="39"/>
              <w:rPr>
                <w:rFonts w:ascii="Times New Roman" w:hAnsi="Times New Roman"/>
                <w:lang w:bidi="ar"/>
              </w:rPr>
            </w:pPr>
            <w:r>
              <w:rPr>
                <w:rFonts w:ascii="Times New Roman" w:hAnsi="Times New Roman"/>
                <w:lang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石油类</w:t>
            </w:r>
          </w:p>
        </w:tc>
        <w:tc>
          <w:tcPr>
            <w:tcW w:w="758" w:type="pct"/>
            <w:vAlign w:val="center"/>
          </w:tcPr>
          <w:p>
            <w:pPr>
              <w:pStyle w:val="39"/>
              <w:rPr>
                <w:rFonts w:ascii="Times New Roman" w:hAnsi="Times New Roman"/>
              </w:rPr>
            </w:pPr>
            <w:r>
              <w:rPr>
                <w:rFonts w:ascii="Times New Roman" w:hAnsi="Times New Roman"/>
              </w:rPr>
              <w:t>紫外分光</w:t>
            </w:r>
          </w:p>
          <w:p>
            <w:pPr>
              <w:pStyle w:val="39"/>
              <w:rPr>
                <w:rFonts w:ascii="Times New Roman" w:hAnsi="Times New Roman"/>
              </w:rPr>
            </w:pPr>
            <w:r>
              <w:rPr>
                <w:rFonts w:ascii="Times New Roman" w:hAnsi="Times New Roman"/>
              </w:rPr>
              <w:t>光度法</w:t>
            </w:r>
          </w:p>
        </w:tc>
        <w:tc>
          <w:tcPr>
            <w:tcW w:w="1630" w:type="pct"/>
            <w:vAlign w:val="center"/>
          </w:tcPr>
          <w:p>
            <w:pPr>
              <w:pStyle w:val="39"/>
              <w:rPr>
                <w:rFonts w:ascii="Times New Roman" w:hAnsi="Times New Roman"/>
              </w:rPr>
            </w:pPr>
            <w:r>
              <w:rPr>
                <w:rFonts w:ascii="Times New Roman" w:hAnsi="Times New Roman"/>
              </w:rPr>
              <w:t>水质 石油类的测定 紫外分光光度法（试行）HJ 970-2018</w:t>
            </w:r>
          </w:p>
        </w:tc>
        <w:tc>
          <w:tcPr>
            <w:tcW w:w="1246" w:type="pct"/>
            <w:vMerge w:val="continue"/>
            <w:vAlign w:val="center"/>
          </w:tcPr>
          <w:p>
            <w:pPr>
              <w:pStyle w:val="39"/>
              <w:rPr>
                <w:rFonts w:ascii="Times New Roman" w:hAnsi="Times New Roman"/>
              </w:rPr>
            </w:pPr>
          </w:p>
        </w:tc>
        <w:tc>
          <w:tcPr>
            <w:tcW w:w="791" w:type="pct"/>
            <w:vAlign w:val="center"/>
          </w:tcPr>
          <w:p>
            <w:pPr>
              <w:pStyle w:val="39"/>
              <w:rPr>
                <w:rFonts w:ascii="Times New Roman" w:hAnsi="Times New Roman"/>
                <w:lang w:bidi="ar"/>
              </w:rPr>
            </w:pPr>
            <w:r>
              <w:rPr>
                <w:rFonts w:ascii="Times New Roman" w:hAnsi="Times New Roman"/>
                <w:lang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铅</w:t>
            </w:r>
          </w:p>
        </w:tc>
        <w:tc>
          <w:tcPr>
            <w:tcW w:w="758" w:type="pct"/>
            <w:vMerge w:val="restart"/>
            <w:vAlign w:val="center"/>
          </w:tcPr>
          <w:p>
            <w:pPr>
              <w:pStyle w:val="39"/>
              <w:rPr>
                <w:rFonts w:ascii="Times New Roman" w:hAnsi="Times New Roman"/>
              </w:rPr>
            </w:pPr>
            <w:r>
              <w:rPr>
                <w:rFonts w:ascii="Times New Roman" w:hAnsi="Times New Roman"/>
              </w:rPr>
              <w:t>电感耦合等离子体</w:t>
            </w:r>
          </w:p>
          <w:p>
            <w:pPr>
              <w:pStyle w:val="39"/>
              <w:rPr>
                <w:rFonts w:ascii="Times New Roman" w:hAnsi="Times New Roman"/>
              </w:rPr>
            </w:pPr>
            <w:r>
              <w:rPr>
                <w:rFonts w:ascii="Times New Roman" w:hAnsi="Times New Roman"/>
              </w:rPr>
              <w:t>质谱法</w:t>
            </w:r>
          </w:p>
        </w:tc>
        <w:tc>
          <w:tcPr>
            <w:tcW w:w="1630" w:type="pct"/>
            <w:vMerge w:val="restart"/>
            <w:vAlign w:val="center"/>
          </w:tcPr>
          <w:p>
            <w:pPr>
              <w:pStyle w:val="39"/>
              <w:rPr>
                <w:rFonts w:ascii="Times New Roman" w:hAnsi="Times New Roman"/>
              </w:rPr>
            </w:pPr>
            <w:r>
              <w:rPr>
                <w:rFonts w:ascii="Times New Roman" w:hAnsi="Times New Roman"/>
              </w:rPr>
              <w:t>水质 65 种元素的测定 电感耦合等离子体质谱法 HJ 700-2014</w:t>
            </w:r>
          </w:p>
        </w:tc>
        <w:tc>
          <w:tcPr>
            <w:tcW w:w="1246" w:type="pct"/>
            <w:vMerge w:val="restart"/>
            <w:vAlign w:val="center"/>
          </w:tcPr>
          <w:p>
            <w:pPr>
              <w:pStyle w:val="39"/>
              <w:rPr>
                <w:rFonts w:ascii="Times New Roman" w:hAnsi="Times New Roman"/>
              </w:rPr>
            </w:pPr>
            <w:r>
              <w:rPr>
                <w:rFonts w:ascii="Times New Roman" w:hAnsi="Times New Roman"/>
              </w:rPr>
              <w:t>电感耦合等离子体</w:t>
            </w:r>
          </w:p>
          <w:p>
            <w:pPr>
              <w:pStyle w:val="39"/>
              <w:rPr>
                <w:rFonts w:ascii="Times New Roman" w:hAnsi="Times New Roman"/>
              </w:rPr>
            </w:pPr>
            <w:r>
              <w:rPr>
                <w:rFonts w:ascii="Times New Roman" w:hAnsi="Times New Roman"/>
              </w:rPr>
              <w:t>质谱仪</w:t>
            </w:r>
          </w:p>
          <w:p>
            <w:pPr>
              <w:pStyle w:val="39"/>
              <w:rPr>
                <w:rFonts w:ascii="Times New Roman" w:hAnsi="Times New Roman"/>
              </w:rPr>
            </w:pPr>
            <w:r>
              <w:rPr>
                <w:rFonts w:ascii="Times New Roman" w:hAnsi="Times New Roman"/>
              </w:rPr>
              <w:t>7900</w:t>
            </w:r>
          </w:p>
          <w:p>
            <w:pPr>
              <w:pStyle w:val="39"/>
              <w:rPr>
                <w:rFonts w:ascii="Times New Roman" w:hAnsi="Times New Roman"/>
              </w:rPr>
            </w:pPr>
            <w:r>
              <w:rPr>
                <w:rFonts w:ascii="Times New Roman" w:hAnsi="Times New Roman"/>
              </w:rPr>
              <w:t>SCIE-0915</w:t>
            </w:r>
          </w:p>
        </w:tc>
        <w:tc>
          <w:tcPr>
            <w:tcW w:w="791" w:type="pct"/>
            <w:vAlign w:val="center"/>
          </w:tcPr>
          <w:p>
            <w:pPr>
              <w:pStyle w:val="39"/>
              <w:rPr>
                <w:rFonts w:ascii="Times New Roman" w:hAnsi="Times New Roman"/>
                <w:lang w:bidi="ar"/>
              </w:rPr>
            </w:pPr>
            <w:r>
              <w:rPr>
                <w:rFonts w:ascii="Times New Roman" w:hAnsi="Times New Roman"/>
                <w:lang w:bidi="ar"/>
              </w:rPr>
              <w:t>0.09µg/L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镉</w:t>
            </w:r>
          </w:p>
        </w:tc>
        <w:tc>
          <w:tcPr>
            <w:tcW w:w="758" w:type="pct"/>
            <w:vMerge w:val="continue"/>
            <w:vAlign w:val="center"/>
          </w:tcPr>
          <w:p>
            <w:pPr>
              <w:pStyle w:val="39"/>
              <w:rPr>
                <w:rFonts w:ascii="Times New Roman" w:hAnsi="Times New Roman"/>
              </w:rPr>
            </w:pPr>
          </w:p>
        </w:tc>
        <w:tc>
          <w:tcPr>
            <w:tcW w:w="1630" w:type="pct"/>
            <w:vMerge w:val="continue"/>
            <w:vAlign w:val="center"/>
          </w:tcPr>
          <w:p>
            <w:pPr>
              <w:pStyle w:val="39"/>
              <w:rPr>
                <w:rFonts w:ascii="Times New Roman" w:hAnsi="Times New Roman"/>
              </w:rPr>
            </w:pPr>
          </w:p>
        </w:tc>
        <w:tc>
          <w:tcPr>
            <w:tcW w:w="1246" w:type="pct"/>
            <w:vMerge w:val="continue"/>
            <w:vAlign w:val="center"/>
          </w:tcPr>
          <w:p>
            <w:pPr>
              <w:pStyle w:val="39"/>
              <w:rPr>
                <w:rFonts w:ascii="Times New Roman" w:hAnsi="Times New Roman"/>
              </w:rPr>
            </w:pPr>
          </w:p>
        </w:tc>
        <w:tc>
          <w:tcPr>
            <w:tcW w:w="791" w:type="pct"/>
            <w:vAlign w:val="center"/>
          </w:tcPr>
          <w:p>
            <w:pPr>
              <w:pStyle w:val="39"/>
              <w:rPr>
                <w:rFonts w:ascii="Times New Roman" w:hAnsi="Times New Roman"/>
                <w:lang w:bidi="ar"/>
              </w:rPr>
            </w:pPr>
            <w:r>
              <w:rPr>
                <w:rFonts w:ascii="Times New Roman" w:hAnsi="Times New Roman"/>
                <w:lang w:bidi="ar"/>
              </w:rPr>
              <w:t>0.09µg/L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钡</w:t>
            </w:r>
          </w:p>
        </w:tc>
        <w:tc>
          <w:tcPr>
            <w:tcW w:w="758" w:type="pct"/>
            <w:vMerge w:val="continue"/>
            <w:vAlign w:val="center"/>
          </w:tcPr>
          <w:p>
            <w:pPr>
              <w:pStyle w:val="39"/>
              <w:rPr>
                <w:rFonts w:ascii="Times New Roman" w:hAnsi="Times New Roman"/>
              </w:rPr>
            </w:pPr>
          </w:p>
        </w:tc>
        <w:tc>
          <w:tcPr>
            <w:tcW w:w="1630" w:type="pct"/>
            <w:vMerge w:val="continue"/>
            <w:vAlign w:val="center"/>
          </w:tcPr>
          <w:p>
            <w:pPr>
              <w:pStyle w:val="39"/>
              <w:rPr>
                <w:rFonts w:ascii="Times New Roman" w:hAnsi="Times New Roman"/>
              </w:rPr>
            </w:pPr>
          </w:p>
        </w:tc>
        <w:tc>
          <w:tcPr>
            <w:tcW w:w="1246" w:type="pct"/>
            <w:vMerge w:val="continue"/>
            <w:vAlign w:val="center"/>
          </w:tcPr>
          <w:p>
            <w:pPr>
              <w:pStyle w:val="39"/>
              <w:rPr>
                <w:rFonts w:ascii="Times New Roman" w:hAnsi="Times New Roman"/>
              </w:rPr>
            </w:pPr>
          </w:p>
        </w:tc>
        <w:tc>
          <w:tcPr>
            <w:tcW w:w="791" w:type="pct"/>
            <w:vAlign w:val="center"/>
          </w:tcPr>
          <w:p>
            <w:pPr>
              <w:pStyle w:val="39"/>
              <w:rPr>
                <w:rFonts w:ascii="Times New Roman" w:hAnsi="Times New Roman"/>
                <w:lang w:bidi="ar"/>
              </w:rPr>
            </w:pPr>
            <w:r>
              <w:rPr>
                <w:rFonts w:ascii="Times New Roman" w:hAnsi="Times New Roman"/>
                <w:lang w:bidi="ar"/>
              </w:rPr>
              <w:t>0.20µg/L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汞</w:t>
            </w:r>
          </w:p>
        </w:tc>
        <w:tc>
          <w:tcPr>
            <w:tcW w:w="758" w:type="pct"/>
            <w:vMerge w:val="restart"/>
            <w:vAlign w:val="center"/>
          </w:tcPr>
          <w:p>
            <w:pPr>
              <w:pStyle w:val="39"/>
              <w:rPr>
                <w:rFonts w:ascii="Times New Roman" w:hAnsi="Times New Roman"/>
              </w:rPr>
            </w:pPr>
            <w:r>
              <w:rPr>
                <w:rFonts w:ascii="Times New Roman" w:hAnsi="Times New Roman"/>
              </w:rPr>
              <w:t>原子荧光法</w:t>
            </w:r>
          </w:p>
        </w:tc>
        <w:tc>
          <w:tcPr>
            <w:tcW w:w="1630" w:type="pct"/>
            <w:vMerge w:val="restart"/>
            <w:vAlign w:val="center"/>
          </w:tcPr>
          <w:p>
            <w:pPr>
              <w:pStyle w:val="39"/>
              <w:rPr>
                <w:rFonts w:ascii="Times New Roman" w:hAnsi="Times New Roman"/>
              </w:rPr>
            </w:pPr>
            <w:r>
              <w:rPr>
                <w:rFonts w:ascii="Times New Roman" w:hAnsi="Times New Roman"/>
              </w:rPr>
              <w:t>水质 汞、 砷、 硒、 铋和锑的测定原子荧光法 HJ 694-2014</w:t>
            </w:r>
          </w:p>
        </w:tc>
        <w:tc>
          <w:tcPr>
            <w:tcW w:w="1246" w:type="pct"/>
            <w:vMerge w:val="restart"/>
            <w:vAlign w:val="center"/>
          </w:tcPr>
          <w:p>
            <w:pPr>
              <w:pStyle w:val="39"/>
              <w:rPr>
                <w:rFonts w:ascii="Times New Roman" w:hAnsi="Times New Roman"/>
              </w:rPr>
            </w:pPr>
            <w:r>
              <w:rPr>
                <w:rFonts w:ascii="Times New Roman" w:hAnsi="Times New Roman"/>
              </w:rPr>
              <w:t>原子荧光光谱仪</w:t>
            </w:r>
          </w:p>
          <w:p>
            <w:pPr>
              <w:pStyle w:val="39"/>
              <w:rPr>
                <w:rFonts w:ascii="Times New Roman" w:hAnsi="Times New Roman"/>
              </w:rPr>
            </w:pPr>
            <w:r>
              <w:rPr>
                <w:rFonts w:ascii="Times New Roman" w:hAnsi="Times New Roman"/>
              </w:rPr>
              <w:t>BAF-2000B</w:t>
            </w:r>
          </w:p>
          <w:p>
            <w:pPr>
              <w:pStyle w:val="39"/>
              <w:rPr>
                <w:rFonts w:ascii="Times New Roman" w:hAnsi="Times New Roman"/>
              </w:rPr>
            </w:pPr>
            <w:r>
              <w:rPr>
                <w:rFonts w:ascii="Times New Roman" w:hAnsi="Times New Roman"/>
              </w:rPr>
              <w:t>SCIE-0934-1</w:t>
            </w:r>
          </w:p>
        </w:tc>
        <w:tc>
          <w:tcPr>
            <w:tcW w:w="791" w:type="pct"/>
            <w:vAlign w:val="center"/>
          </w:tcPr>
          <w:p>
            <w:pPr>
              <w:pStyle w:val="39"/>
              <w:rPr>
                <w:rFonts w:ascii="Times New Roman" w:hAnsi="Times New Roman"/>
                <w:lang w:bidi="ar"/>
              </w:rPr>
            </w:pPr>
            <w:r>
              <w:rPr>
                <w:rFonts w:ascii="Times New Roman" w:hAnsi="Times New Roman"/>
                <w:lang w:bidi="ar"/>
              </w:rPr>
              <w:t>0.04µg/L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Align w:val="center"/>
          </w:tcPr>
          <w:p>
            <w:pPr>
              <w:pStyle w:val="39"/>
              <w:rPr>
                <w:rFonts w:ascii="Times New Roman" w:hAnsi="Times New Roman"/>
              </w:rPr>
            </w:pPr>
            <w:r>
              <w:rPr>
                <w:rFonts w:ascii="Times New Roman" w:hAnsi="Times New Roman"/>
              </w:rPr>
              <w:t>砷</w:t>
            </w:r>
          </w:p>
        </w:tc>
        <w:tc>
          <w:tcPr>
            <w:tcW w:w="758" w:type="pct"/>
            <w:vMerge w:val="continue"/>
            <w:vAlign w:val="center"/>
          </w:tcPr>
          <w:p>
            <w:pPr>
              <w:pStyle w:val="39"/>
              <w:rPr>
                <w:rFonts w:ascii="Times New Roman" w:hAnsi="Times New Roman"/>
              </w:rPr>
            </w:pPr>
          </w:p>
        </w:tc>
        <w:tc>
          <w:tcPr>
            <w:tcW w:w="1630" w:type="pct"/>
            <w:vMerge w:val="continue"/>
            <w:vAlign w:val="center"/>
          </w:tcPr>
          <w:p>
            <w:pPr>
              <w:pStyle w:val="39"/>
              <w:rPr>
                <w:rFonts w:ascii="Times New Roman" w:hAnsi="Times New Roman"/>
              </w:rPr>
            </w:pPr>
          </w:p>
        </w:tc>
        <w:tc>
          <w:tcPr>
            <w:tcW w:w="1246" w:type="pct"/>
            <w:vMerge w:val="continue"/>
            <w:vAlign w:val="center"/>
          </w:tcPr>
          <w:p>
            <w:pPr>
              <w:pStyle w:val="39"/>
              <w:rPr>
                <w:rFonts w:ascii="Times New Roman" w:hAnsi="Times New Roman"/>
              </w:rPr>
            </w:pPr>
          </w:p>
        </w:tc>
        <w:tc>
          <w:tcPr>
            <w:tcW w:w="791" w:type="pct"/>
            <w:vAlign w:val="center"/>
          </w:tcPr>
          <w:p>
            <w:pPr>
              <w:pStyle w:val="39"/>
              <w:rPr>
                <w:rFonts w:ascii="Times New Roman" w:hAnsi="Times New Roman"/>
                <w:lang w:bidi="ar"/>
              </w:rPr>
            </w:pPr>
            <w:r>
              <w:rPr>
                <w:rFonts w:ascii="Times New Roman" w:hAnsi="Times New Roman"/>
                <w:lang w:bidi="ar"/>
              </w:rPr>
              <w:t>0.3µg/L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Merge w:val="restart"/>
            <w:vAlign w:val="center"/>
          </w:tcPr>
          <w:p>
            <w:pPr>
              <w:pStyle w:val="39"/>
              <w:rPr>
                <w:rFonts w:ascii="Times New Roman" w:hAnsi="Times New Roman"/>
              </w:rPr>
            </w:pPr>
            <w:r>
              <w:rPr>
                <w:rFonts w:ascii="Times New Roman" w:hAnsi="Times New Roman"/>
              </w:rPr>
              <w:t>总大肠</w:t>
            </w:r>
          </w:p>
          <w:p>
            <w:pPr>
              <w:pStyle w:val="39"/>
              <w:rPr>
                <w:rFonts w:ascii="Times New Roman" w:hAnsi="Times New Roman"/>
              </w:rPr>
            </w:pPr>
            <w:r>
              <w:rPr>
                <w:rFonts w:ascii="Times New Roman" w:hAnsi="Times New Roman"/>
              </w:rPr>
              <w:t>菌群</w:t>
            </w:r>
          </w:p>
        </w:tc>
        <w:tc>
          <w:tcPr>
            <w:tcW w:w="758" w:type="pct"/>
            <w:vMerge w:val="restart"/>
            <w:vAlign w:val="center"/>
          </w:tcPr>
          <w:p>
            <w:pPr>
              <w:pStyle w:val="39"/>
              <w:rPr>
                <w:rFonts w:ascii="Times New Roman" w:hAnsi="Times New Roman"/>
              </w:rPr>
            </w:pPr>
            <w:r>
              <w:rPr>
                <w:rFonts w:ascii="Times New Roman" w:hAnsi="Times New Roman"/>
              </w:rPr>
              <w:t>多管发酵法</w:t>
            </w:r>
          </w:p>
        </w:tc>
        <w:tc>
          <w:tcPr>
            <w:tcW w:w="1630" w:type="pct"/>
            <w:vMerge w:val="restart"/>
            <w:vAlign w:val="center"/>
          </w:tcPr>
          <w:p>
            <w:pPr>
              <w:pStyle w:val="39"/>
              <w:rPr>
                <w:rFonts w:ascii="Times New Roman" w:hAnsi="Times New Roman"/>
              </w:rPr>
            </w:pPr>
            <w:r>
              <w:rPr>
                <w:rFonts w:ascii="Times New Roman" w:hAnsi="Times New Roman"/>
              </w:rPr>
              <w:t xml:space="preserve">生活饮用水标准检验方法 第 12 部分：微生物指标 </w:t>
            </w:r>
          </w:p>
          <w:p>
            <w:pPr>
              <w:pStyle w:val="39"/>
              <w:rPr>
                <w:rFonts w:ascii="Times New Roman" w:hAnsi="Times New Roman"/>
              </w:rPr>
            </w:pPr>
            <w:r>
              <w:rPr>
                <w:rFonts w:ascii="Times New Roman" w:hAnsi="Times New Roman"/>
              </w:rPr>
              <w:t>GB/T 5750.12-2023（5.1）</w:t>
            </w:r>
          </w:p>
        </w:tc>
        <w:tc>
          <w:tcPr>
            <w:tcW w:w="1246" w:type="pct"/>
            <w:vAlign w:val="center"/>
          </w:tcPr>
          <w:p>
            <w:pPr>
              <w:pStyle w:val="39"/>
              <w:rPr>
                <w:rFonts w:ascii="Times New Roman" w:hAnsi="Times New Roman"/>
              </w:rPr>
            </w:pPr>
            <w:r>
              <w:rPr>
                <w:rFonts w:ascii="Times New Roman" w:hAnsi="Times New Roman"/>
              </w:rPr>
              <w:t>电热恒温培养箱</w:t>
            </w:r>
          </w:p>
          <w:p>
            <w:pPr>
              <w:pStyle w:val="39"/>
              <w:rPr>
                <w:rFonts w:ascii="Times New Roman" w:hAnsi="Times New Roman"/>
              </w:rPr>
            </w:pPr>
            <w:r>
              <w:rPr>
                <w:rFonts w:ascii="Times New Roman" w:hAnsi="Times New Roman"/>
              </w:rPr>
              <w:t>HPX-9272MBE</w:t>
            </w:r>
          </w:p>
          <w:p>
            <w:pPr>
              <w:pStyle w:val="39"/>
              <w:rPr>
                <w:rFonts w:ascii="Times New Roman" w:hAnsi="Times New Roman"/>
              </w:rPr>
            </w:pPr>
            <w:r>
              <w:rPr>
                <w:rFonts w:ascii="Times New Roman" w:hAnsi="Times New Roman"/>
              </w:rPr>
              <w:t>SCIE-0113</w:t>
            </w:r>
          </w:p>
        </w:tc>
        <w:tc>
          <w:tcPr>
            <w:tcW w:w="791" w:type="pct"/>
            <w:vMerge w:val="restart"/>
            <w:vAlign w:val="center"/>
          </w:tcPr>
          <w:p>
            <w:pPr>
              <w:pStyle w:val="39"/>
              <w:rPr>
                <w:rFonts w:ascii="Times New Roman" w:hAnsi="Times New Roman"/>
                <w:lang w:bidi="ar"/>
              </w:rPr>
            </w:pPr>
            <w:r>
              <w:rPr>
                <w:rFonts w:ascii="Times New Roman" w:hAnsi="Times New Roman"/>
                <w:lang w:bidi="ar"/>
              </w:rPr>
              <w:t>2MPN/100mL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Merge w:val="continue"/>
            <w:vAlign w:val="center"/>
          </w:tcPr>
          <w:p>
            <w:pPr>
              <w:pStyle w:val="39"/>
              <w:rPr>
                <w:rFonts w:ascii="Times New Roman" w:hAnsi="Times New Roman"/>
              </w:rPr>
            </w:pPr>
          </w:p>
        </w:tc>
        <w:tc>
          <w:tcPr>
            <w:tcW w:w="758" w:type="pct"/>
            <w:vMerge w:val="continue"/>
            <w:vAlign w:val="center"/>
          </w:tcPr>
          <w:p>
            <w:pPr>
              <w:pStyle w:val="39"/>
              <w:rPr>
                <w:rFonts w:ascii="Times New Roman" w:hAnsi="Times New Roman"/>
              </w:rPr>
            </w:pPr>
          </w:p>
        </w:tc>
        <w:tc>
          <w:tcPr>
            <w:tcW w:w="1630" w:type="pct"/>
            <w:vMerge w:val="continue"/>
            <w:vAlign w:val="center"/>
          </w:tcPr>
          <w:p>
            <w:pPr>
              <w:pStyle w:val="39"/>
              <w:rPr>
                <w:rFonts w:ascii="Times New Roman" w:hAnsi="Times New Roman"/>
              </w:rPr>
            </w:pPr>
          </w:p>
        </w:tc>
        <w:tc>
          <w:tcPr>
            <w:tcW w:w="1246" w:type="pct"/>
            <w:vAlign w:val="center"/>
          </w:tcPr>
          <w:p>
            <w:pPr>
              <w:pStyle w:val="39"/>
              <w:rPr>
                <w:rFonts w:ascii="Times New Roman" w:hAnsi="Times New Roman"/>
              </w:rPr>
            </w:pPr>
            <w:r>
              <w:rPr>
                <w:rFonts w:ascii="Times New Roman" w:hAnsi="Times New Roman"/>
              </w:rPr>
              <w:t>隔水培养箱</w:t>
            </w:r>
          </w:p>
          <w:p>
            <w:pPr>
              <w:pStyle w:val="39"/>
              <w:rPr>
                <w:rFonts w:ascii="Times New Roman" w:hAnsi="Times New Roman"/>
              </w:rPr>
            </w:pPr>
            <w:r>
              <w:rPr>
                <w:rFonts w:ascii="Times New Roman" w:hAnsi="Times New Roman"/>
              </w:rPr>
              <w:t>RHJC/YQ-170830</w:t>
            </w:r>
          </w:p>
        </w:tc>
        <w:tc>
          <w:tcPr>
            <w:tcW w:w="791" w:type="pct"/>
            <w:vMerge w:val="continue"/>
            <w:vAlign w:val="center"/>
          </w:tcPr>
          <w:p>
            <w:pPr>
              <w:pStyle w:val="39"/>
              <w:rPr>
                <w:rFonts w:ascii="Times New Roman" w:hAnsi="Times New Roman"/>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Merge w:val="restart"/>
            <w:vAlign w:val="center"/>
          </w:tcPr>
          <w:p>
            <w:pPr>
              <w:pStyle w:val="39"/>
              <w:rPr>
                <w:rFonts w:ascii="Times New Roman" w:hAnsi="Times New Roman"/>
              </w:rPr>
            </w:pPr>
            <w:r>
              <w:rPr>
                <w:rFonts w:ascii="Times New Roman" w:hAnsi="Times New Roman"/>
              </w:rPr>
              <w:t>菌落总数</w:t>
            </w:r>
          </w:p>
        </w:tc>
        <w:tc>
          <w:tcPr>
            <w:tcW w:w="758" w:type="pct"/>
            <w:vMerge w:val="restart"/>
            <w:vAlign w:val="center"/>
          </w:tcPr>
          <w:p>
            <w:pPr>
              <w:pStyle w:val="39"/>
              <w:rPr>
                <w:rFonts w:ascii="Times New Roman" w:hAnsi="Times New Roman"/>
              </w:rPr>
            </w:pPr>
            <w:r>
              <w:rPr>
                <w:rFonts w:ascii="Times New Roman" w:hAnsi="Times New Roman"/>
              </w:rPr>
              <w:t>平皿计数法</w:t>
            </w:r>
          </w:p>
        </w:tc>
        <w:tc>
          <w:tcPr>
            <w:tcW w:w="1630" w:type="pct"/>
            <w:vMerge w:val="restart"/>
            <w:vAlign w:val="center"/>
          </w:tcPr>
          <w:p>
            <w:pPr>
              <w:pStyle w:val="39"/>
              <w:rPr>
                <w:rFonts w:ascii="Times New Roman" w:hAnsi="Times New Roman"/>
              </w:rPr>
            </w:pPr>
            <w:r>
              <w:rPr>
                <w:rFonts w:ascii="Times New Roman" w:hAnsi="Times New Roman"/>
              </w:rPr>
              <w:t>生活饮用水标准检验方法 第 12 部分：微生物指标 GB/T 5750.12-2023（4.1）</w:t>
            </w:r>
          </w:p>
        </w:tc>
        <w:tc>
          <w:tcPr>
            <w:tcW w:w="1246" w:type="pct"/>
            <w:vAlign w:val="center"/>
          </w:tcPr>
          <w:p>
            <w:pPr>
              <w:pStyle w:val="39"/>
              <w:rPr>
                <w:rFonts w:ascii="Times New Roman" w:hAnsi="Times New Roman"/>
              </w:rPr>
            </w:pPr>
            <w:r>
              <w:rPr>
                <w:rFonts w:ascii="Times New Roman" w:hAnsi="Times New Roman"/>
              </w:rPr>
              <w:t>电热恒温培养箱</w:t>
            </w:r>
          </w:p>
          <w:p>
            <w:pPr>
              <w:pStyle w:val="39"/>
              <w:rPr>
                <w:rFonts w:ascii="Times New Roman" w:hAnsi="Times New Roman"/>
              </w:rPr>
            </w:pPr>
            <w:r>
              <w:rPr>
                <w:rFonts w:ascii="Times New Roman" w:hAnsi="Times New Roman"/>
              </w:rPr>
              <w:t>HPX-9272MBE</w:t>
            </w:r>
          </w:p>
          <w:p>
            <w:pPr>
              <w:pStyle w:val="39"/>
              <w:rPr>
                <w:rFonts w:ascii="Times New Roman" w:hAnsi="Times New Roman"/>
              </w:rPr>
            </w:pPr>
            <w:r>
              <w:rPr>
                <w:rFonts w:ascii="Times New Roman" w:hAnsi="Times New Roman"/>
              </w:rPr>
              <w:t>SCIE-0113</w:t>
            </w:r>
          </w:p>
        </w:tc>
        <w:tc>
          <w:tcPr>
            <w:tcW w:w="791" w:type="pct"/>
            <w:vMerge w:val="continue"/>
            <w:vAlign w:val="center"/>
          </w:tcPr>
          <w:p>
            <w:pPr>
              <w:pStyle w:val="39"/>
              <w:rPr>
                <w:rFonts w:ascii="Times New Roman" w:hAnsi="Times New Roman"/>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75" w:type="pct"/>
            <w:vMerge w:val="continue"/>
            <w:vAlign w:val="center"/>
          </w:tcPr>
          <w:p>
            <w:pPr>
              <w:pStyle w:val="39"/>
              <w:rPr>
                <w:rFonts w:ascii="Times New Roman" w:hAnsi="Times New Roman"/>
              </w:rPr>
            </w:pPr>
          </w:p>
        </w:tc>
        <w:tc>
          <w:tcPr>
            <w:tcW w:w="758" w:type="pct"/>
            <w:vMerge w:val="continue"/>
            <w:vAlign w:val="center"/>
          </w:tcPr>
          <w:p>
            <w:pPr>
              <w:pStyle w:val="39"/>
              <w:rPr>
                <w:rFonts w:ascii="Times New Roman" w:hAnsi="Times New Roman"/>
              </w:rPr>
            </w:pPr>
          </w:p>
        </w:tc>
        <w:tc>
          <w:tcPr>
            <w:tcW w:w="1630" w:type="pct"/>
            <w:vMerge w:val="continue"/>
            <w:vAlign w:val="center"/>
          </w:tcPr>
          <w:p>
            <w:pPr>
              <w:pStyle w:val="39"/>
              <w:rPr>
                <w:rFonts w:ascii="Times New Roman" w:hAnsi="Times New Roman"/>
              </w:rPr>
            </w:pPr>
          </w:p>
        </w:tc>
        <w:tc>
          <w:tcPr>
            <w:tcW w:w="1246" w:type="pct"/>
            <w:vAlign w:val="center"/>
          </w:tcPr>
          <w:p>
            <w:pPr>
              <w:pStyle w:val="39"/>
              <w:rPr>
                <w:rFonts w:ascii="Times New Roman" w:hAnsi="Times New Roman"/>
              </w:rPr>
            </w:pPr>
            <w:r>
              <w:rPr>
                <w:rFonts w:ascii="Times New Roman" w:hAnsi="Times New Roman"/>
              </w:rPr>
              <w:t>隔水培养箱</w:t>
            </w:r>
          </w:p>
          <w:p>
            <w:pPr>
              <w:pStyle w:val="39"/>
              <w:rPr>
                <w:rFonts w:ascii="Times New Roman" w:hAnsi="Times New Roman"/>
              </w:rPr>
            </w:pPr>
            <w:r>
              <w:rPr>
                <w:rFonts w:ascii="Times New Roman" w:hAnsi="Times New Roman"/>
              </w:rPr>
              <w:t>RHJC/YQ-170830</w:t>
            </w:r>
          </w:p>
        </w:tc>
        <w:tc>
          <w:tcPr>
            <w:tcW w:w="791" w:type="pct"/>
            <w:vMerge w:val="continue"/>
            <w:vAlign w:val="center"/>
          </w:tcPr>
          <w:p>
            <w:pPr>
              <w:pStyle w:val="39"/>
              <w:rPr>
                <w:rFonts w:ascii="Times New Roman" w:hAnsi="Times New Roman"/>
                <w:lang w:bidi="ar"/>
              </w:rPr>
            </w:pPr>
          </w:p>
        </w:tc>
      </w:tr>
    </w:tbl>
    <w:p>
      <w:pPr>
        <w:ind w:firstLine="480"/>
        <w:rPr>
          <w:rFonts w:ascii="Times New Roman" w:hAnsi="Times New Roman"/>
        </w:rPr>
      </w:pPr>
    </w:p>
    <w:p>
      <w:pPr>
        <w:pStyle w:val="4"/>
        <w:rPr>
          <w:rFonts w:ascii="Times New Roman" w:hAnsi="Times New Roman" w:cs="Times New Roman"/>
        </w:rPr>
      </w:pPr>
      <w:r>
        <w:rPr>
          <w:rFonts w:ascii="Times New Roman" w:hAnsi="Times New Roman" w:cs="Times New Roman"/>
        </w:rPr>
        <w:t>监测结果及评价</w:t>
      </w:r>
    </w:p>
    <w:p>
      <w:pPr>
        <w:ind w:firstLine="480"/>
        <w:rPr>
          <w:rFonts w:ascii="Times New Roman" w:hAnsi="Times New Roman"/>
        </w:rPr>
      </w:pPr>
      <w:r>
        <w:rPr>
          <w:rFonts w:ascii="Times New Roman" w:hAnsi="Times New Roman"/>
        </w:rPr>
        <w:t>地下水水质现状监测及评价结果见</w:t>
      </w:r>
      <w:r>
        <w:rPr>
          <w:rFonts w:ascii="Times New Roman" w:hAnsi="Times New Roman"/>
        </w:rPr>
        <w:fldChar w:fldCharType="begin"/>
      </w:r>
      <w:r>
        <w:rPr>
          <w:rFonts w:ascii="Times New Roman" w:hAnsi="Times New Roman"/>
        </w:rPr>
        <w:instrText xml:space="preserve"> REF _Ref98506683 \h  \* MERGEFORMAT </w:instrText>
      </w:r>
      <w:r>
        <w:rPr>
          <w:rFonts w:ascii="Times New Roman" w:hAnsi="Times New Roman"/>
        </w:rPr>
        <w:fldChar w:fldCharType="separate"/>
      </w:r>
      <w:r>
        <w:rPr>
          <w:rFonts w:ascii="Times New Roman" w:hAnsi="Times New Roman"/>
        </w:rPr>
        <w:t>表5</w:t>
      </w:r>
      <w:r>
        <w:rPr>
          <w:rFonts w:ascii="Times New Roman" w:hAnsi="Times New Roman"/>
        </w:rPr>
        <w:noBreakHyphen/>
      </w:r>
      <w:r>
        <w:rPr>
          <w:rFonts w:ascii="Times New Roman" w:hAnsi="Times New Roman"/>
        </w:rPr>
        <w:t>7</w:t>
      </w:r>
      <w:r>
        <w:rPr>
          <w:rFonts w:ascii="Times New Roman" w:hAnsi="Times New Roman"/>
        </w:rPr>
        <w:fldChar w:fldCharType="end"/>
      </w:r>
      <w:r>
        <w:rPr>
          <w:rFonts w:ascii="Times New Roman" w:hAnsi="Times New Roman"/>
        </w:rPr>
        <w:t>，数据的统计分析见</w:t>
      </w:r>
      <w:r>
        <w:rPr>
          <w:rFonts w:ascii="Times New Roman" w:hAnsi="Times New Roman"/>
        </w:rPr>
        <w:fldChar w:fldCharType="begin"/>
      </w:r>
      <w:r>
        <w:rPr>
          <w:rFonts w:ascii="Times New Roman" w:hAnsi="Times New Roman"/>
        </w:rPr>
        <w:instrText xml:space="preserve"> REF _Ref161991458 \h  \* MERGEFORMAT </w:instrText>
      </w:r>
      <w:r>
        <w:rPr>
          <w:rFonts w:ascii="Times New Roman" w:hAnsi="Times New Roman"/>
        </w:rPr>
        <w:fldChar w:fldCharType="separate"/>
      </w:r>
      <w:r>
        <w:rPr>
          <w:rFonts w:ascii="Times New Roman" w:hAnsi="Times New Roman"/>
        </w:rPr>
        <w:t>表5</w:t>
      </w:r>
      <w:r>
        <w:rPr>
          <w:rFonts w:ascii="Times New Roman" w:hAnsi="Times New Roman"/>
        </w:rPr>
        <w:noBreakHyphen/>
      </w:r>
      <w:r>
        <w:rPr>
          <w:rFonts w:ascii="Times New Roman" w:hAnsi="Times New Roman"/>
        </w:rPr>
        <w:t>8</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从本次地下水水质现状监测及评价结果可以看出：项目附近GW1监测点总大肠菌群超标；监测点总大肠菌群超标、菌落总数超标；GW4监测点锰、总大肠菌群、菌落总数超标；GW5监测点锰；GW10监测点总大肠菌群超标。其余各项监测指标均满足《地下水质量标准》（GB/T14848-2017）Ⅲ类标准要求。GW4、GW5监测点锰超标可能因天然地质背景原因导致该监测点位锰偏高，区域地层主要为中生界侏罗系和白垩系的碎屑岩，即“红层”，岩性以砂岩为主，该地层铁锰元素富集程度高；GW1、GW3、GW4、GW5、GW10总大肠菌群、细菌总数超标，可能是因为生活垃圾淋滤入渗或生活污水漫流入渗所致。</w:t>
      </w:r>
    </w:p>
    <w:p>
      <w:pPr>
        <w:widowControl/>
        <w:ind w:firstLine="480"/>
        <w:rPr>
          <w:rFonts w:ascii="Times New Roman" w:hAnsi="Times New Roman"/>
          <w:kern w:val="0"/>
        </w:rPr>
      </w:pPr>
    </w:p>
    <w:p>
      <w:pPr>
        <w:widowControl/>
        <w:ind w:firstLine="480"/>
        <w:rPr>
          <w:rFonts w:ascii="Times New Roman" w:hAnsi="Times New Roman"/>
          <w:kern w:val="0"/>
        </w:rPr>
      </w:pPr>
    </w:p>
    <w:p>
      <w:pPr>
        <w:widowControl/>
        <w:ind w:firstLine="480"/>
        <w:rPr>
          <w:rFonts w:ascii="Times New Roman" w:hAnsi="Times New Roman"/>
          <w:kern w:val="0"/>
        </w:rPr>
        <w:sectPr>
          <w:pgSz w:w="11906" w:h="16838"/>
          <w:pgMar w:top="1440" w:right="1800" w:bottom="1440" w:left="1800" w:header="851" w:footer="992" w:gutter="0"/>
          <w:cols w:space="425" w:num="1"/>
          <w:docGrid w:type="lines" w:linePitch="312" w:charSpace="0"/>
        </w:sectPr>
      </w:pPr>
    </w:p>
    <w:p>
      <w:pPr>
        <w:pStyle w:val="37"/>
        <w:spacing w:before="156" w:after="156"/>
        <w:rPr>
          <w:rFonts w:ascii="Times New Roman" w:hAnsi="Times New Roman" w:cs="Times New Roman"/>
        </w:rPr>
      </w:pPr>
      <w:bookmarkStart w:id="143" w:name="_Ref98506683"/>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bookmarkEnd w:id="143"/>
      <w:r>
        <w:rPr>
          <w:rFonts w:ascii="Times New Roman" w:hAnsi="Times New Roman" w:cs="Times New Roman"/>
        </w:rPr>
        <w:t xml:space="preserve">  地下水水质现状监测及评价结果</w:t>
      </w:r>
    </w:p>
    <w:tbl>
      <w:tblPr>
        <w:tblStyle w:val="28"/>
        <w:tblW w:w="139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4"/>
        <w:gridCol w:w="759"/>
        <w:gridCol w:w="1228"/>
        <w:gridCol w:w="976"/>
        <w:gridCol w:w="992"/>
        <w:gridCol w:w="976"/>
        <w:gridCol w:w="976"/>
        <w:gridCol w:w="992"/>
        <w:gridCol w:w="976"/>
        <w:gridCol w:w="992"/>
        <w:gridCol w:w="992"/>
        <w:gridCol w:w="976"/>
        <w:gridCol w:w="992"/>
        <w:gridCol w:w="9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094" w:type="dxa"/>
            <w:shd w:val="clear" w:color="auto" w:fill="auto"/>
            <w:noWrap/>
            <w:vAlign w:val="center"/>
          </w:tcPr>
          <w:p>
            <w:pPr>
              <w:pStyle w:val="39"/>
              <w:rPr>
                <w:rFonts w:ascii="Times New Roman" w:hAnsi="Times New Roman"/>
                <w:sz w:val="18"/>
                <w:szCs w:val="18"/>
              </w:rPr>
            </w:pPr>
            <w:bookmarkStart w:id="144" w:name="_Hlk161990964"/>
            <w:r>
              <w:rPr>
                <w:rFonts w:ascii="Times New Roman" w:hAnsi="Times New Roman"/>
                <w:sz w:val="18"/>
                <w:szCs w:val="18"/>
              </w:rPr>
              <w:t>监测项目</w:t>
            </w:r>
          </w:p>
        </w:tc>
        <w:tc>
          <w:tcPr>
            <w:tcW w:w="759"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标准值</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现状评价</w:t>
            </w:r>
          </w:p>
        </w:tc>
        <w:tc>
          <w:tcPr>
            <w:tcW w:w="976"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GW1</w:t>
            </w:r>
          </w:p>
        </w:tc>
        <w:tc>
          <w:tcPr>
            <w:tcW w:w="992"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GW2</w:t>
            </w:r>
          </w:p>
        </w:tc>
        <w:tc>
          <w:tcPr>
            <w:tcW w:w="976"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GW3</w:t>
            </w:r>
          </w:p>
        </w:tc>
        <w:tc>
          <w:tcPr>
            <w:tcW w:w="976"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GW4</w:t>
            </w:r>
          </w:p>
        </w:tc>
        <w:tc>
          <w:tcPr>
            <w:tcW w:w="992"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GW5</w:t>
            </w:r>
          </w:p>
        </w:tc>
        <w:tc>
          <w:tcPr>
            <w:tcW w:w="976"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GW6</w:t>
            </w:r>
          </w:p>
        </w:tc>
        <w:tc>
          <w:tcPr>
            <w:tcW w:w="992"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GW7</w:t>
            </w:r>
          </w:p>
        </w:tc>
        <w:tc>
          <w:tcPr>
            <w:tcW w:w="992"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GW8</w:t>
            </w:r>
          </w:p>
        </w:tc>
        <w:tc>
          <w:tcPr>
            <w:tcW w:w="976"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GW9</w:t>
            </w:r>
          </w:p>
        </w:tc>
        <w:tc>
          <w:tcPr>
            <w:tcW w:w="992"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GW10</w:t>
            </w:r>
          </w:p>
        </w:tc>
        <w:tc>
          <w:tcPr>
            <w:tcW w:w="992"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GW11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钾</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1.61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1.32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1.27</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0.76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1.55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0.78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0.9</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1.64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钠</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200</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6.68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17</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6.28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16.1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12.2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22.9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9.06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7.86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8.98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3.81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8.01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0.11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钙</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80.5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98.4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59.9</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73.6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53.6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74. 1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35.4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77.9</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82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17.4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50.3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镁</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5.38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13.6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7.44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14. 1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13.4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5.39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8.94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8.71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2.38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6.82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碳酸根</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重碳酸根</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227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356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185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200</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188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78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122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290</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296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63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pH 值</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6.5～8.5</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7.9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7.2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7. 1</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7.7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7.8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7.6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7.7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7.8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7.8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7.6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0.47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0.53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0.47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0.53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0.53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总硬度</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450</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191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313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166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239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171</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211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214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230</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56.8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0.42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0.7</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0.37</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0.53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0.38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0.47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0.23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0.48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0.51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溶解性总固体</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1000</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254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358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208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260</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206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268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130</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284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299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63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0.25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0.36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0.21</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0.26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0.21</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0.27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0.28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硫酸盐</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250</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12.7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14.8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13.2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22.2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86.6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10.5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19.8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1.01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0.35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氯化物</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250</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4.84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32.7</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1.19</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34.2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14.4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134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27.9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3.1</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22.7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0.671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0.14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0.54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铁</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0.3</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锰</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0.1</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0.662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0.037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6.62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0.37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挥发酚</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0.002</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高锰酸盐指数（耗氧量）</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3</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0.78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0.82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0.53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0.96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1.76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0.83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0.93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0.94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0.26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0.27</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0.18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0.32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0.59</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0.28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0.31</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0.31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氨氮</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0.5</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0.09</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0.16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0. 14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0.48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0.32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0.96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0.26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0.16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硫化物</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0.02</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总大肠菌群</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3</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17</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2.67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0.67</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5.67</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1.67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0.67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0.67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4.33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细菌总数（菌落总数）</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100</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88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20</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120</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120</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82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26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39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73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0.88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0.82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0.26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0.39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0.73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亚硝酸盐</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1</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0.021</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0.009</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硝酸盐（以 N 计）</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20</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1.12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6.37</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1.48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0.528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0.292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2.18</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1.22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1.25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0.084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0.056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0.32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0.07</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0.11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氰化物</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0.05</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氟化物</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1</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0.059</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0.194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0.086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0.023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0.048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0.874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0.524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0.19</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0.09</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0.87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汞</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0.001</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砷</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0.01</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0.0007</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0.0007</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0.0012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0.0011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＜0.0003</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0.07</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0.07</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0.11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镉</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0.005</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＜0.00005</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铬（六价）</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0.05</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铅</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0.01</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＜0.00009</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＜0.00009</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＜0.00009</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＜0.00009</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＜0.00009</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＜0.00009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钡</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0.7</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0.464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0.0888</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0.135</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0.516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0.186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0.52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0.0706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0.459</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0.307</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0.0311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0.66</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0.13</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0.19</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0.74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0.27</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0.74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0.66</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0.44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0.044</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石油类*</w:t>
            </w:r>
          </w:p>
        </w:tc>
        <w:tc>
          <w:tcPr>
            <w:tcW w:w="759" w:type="dxa"/>
            <w:vMerge w:val="restart"/>
            <w:shd w:val="clear" w:color="auto" w:fill="auto"/>
            <w:noWrap/>
            <w:vAlign w:val="center"/>
          </w:tcPr>
          <w:p>
            <w:pPr>
              <w:pStyle w:val="39"/>
              <w:rPr>
                <w:rFonts w:ascii="Times New Roman" w:hAnsi="Times New Roman"/>
                <w:sz w:val="18"/>
                <w:szCs w:val="18"/>
              </w:rPr>
            </w:pPr>
            <w:r>
              <w:rPr>
                <w:rFonts w:ascii="Times New Roman" w:hAnsi="Times New Roman"/>
                <w:sz w:val="18"/>
                <w:szCs w:val="18"/>
              </w:rPr>
              <w:t>0.05</w:t>
            </w: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监测结果</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94" w:type="dxa"/>
            <w:vMerge w:val="continue"/>
            <w:vAlign w:val="center"/>
          </w:tcPr>
          <w:p>
            <w:pPr>
              <w:pStyle w:val="39"/>
              <w:rPr>
                <w:rFonts w:ascii="Times New Roman" w:hAnsi="Times New Roman"/>
                <w:sz w:val="18"/>
                <w:szCs w:val="18"/>
              </w:rPr>
            </w:pPr>
          </w:p>
        </w:tc>
        <w:tc>
          <w:tcPr>
            <w:tcW w:w="759" w:type="dxa"/>
            <w:vMerge w:val="continue"/>
            <w:vAlign w:val="center"/>
          </w:tcPr>
          <w:p>
            <w:pPr>
              <w:pStyle w:val="39"/>
              <w:rPr>
                <w:rFonts w:ascii="Times New Roman" w:hAnsi="Times New Roman"/>
                <w:sz w:val="18"/>
                <w:szCs w:val="18"/>
              </w:rPr>
            </w:pPr>
          </w:p>
        </w:tc>
        <w:tc>
          <w:tcPr>
            <w:tcW w:w="1228" w:type="dxa"/>
            <w:shd w:val="clear" w:color="auto" w:fill="auto"/>
            <w:noWrap/>
            <w:vAlign w:val="center"/>
          </w:tcPr>
          <w:p>
            <w:pPr>
              <w:pStyle w:val="39"/>
              <w:rPr>
                <w:rFonts w:ascii="Times New Roman" w:hAnsi="Times New Roman"/>
                <w:sz w:val="18"/>
                <w:szCs w:val="18"/>
              </w:rPr>
            </w:pPr>
            <w:r>
              <w:rPr>
                <w:rFonts w:ascii="Times New Roman" w:hAnsi="Times New Roman"/>
                <w:sz w:val="18"/>
                <w:szCs w:val="18"/>
              </w:rPr>
              <w:t>标准指数</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0.2</w:t>
            </w:r>
          </w:p>
        </w:tc>
        <w:tc>
          <w:tcPr>
            <w:tcW w:w="976" w:type="dxa"/>
            <w:shd w:val="clear" w:color="auto" w:fill="auto"/>
            <w:vAlign w:val="center"/>
          </w:tcPr>
          <w:p>
            <w:pPr>
              <w:pStyle w:val="39"/>
              <w:rPr>
                <w:rFonts w:ascii="Times New Roman" w:hAnsi="Times New Roman"/>
                <w:sz w:val="18"/>
                <w:szCs w:val="18"/>
              </w:rPr>
            </w:pPr>
            <w:r>
              <w:rPr>
                <w:rFonts w:ascii="Times New Roman" w:hAnsi="Times New Roman"/>
                <w:sz w:val="18"/>
                <w:szCs w:val="18"/>
              </w:rPr>
              <w:t>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0.2</w:t>
            </w:r>
          </w:p>
        </w:tc>
        <w:tc>
          <w:tcPr>
            <w:tcW w:w="992" w:type="dxa"/>
            <w:shd w:val="clear" w:color="auto" w:fill="auto"/>
            <w:vAlign w:val="center"/>
          </w:tcPr>
          <w:p>
            <w:pPr>
              <w:pStyle w:val="39"/>
              <w:rPr>
                <w:rFonts w:ascii="Times New Roman" w:hAnsi="Times New Roman"/>
                <w:sz w:val="18"/>
                <w:szCs w:val="18"/>
              </w:rPr>
            </w:pPr>
            <w:r>
              <w:rPr>
                <w:rFonts w:ascii="Times New Roman" w:hAnsi="Times New Roman"/>
                <w:sz w:val="18"/>
                <w:szCs w:val="18"/>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3916" w:type="dxa"/>
            <w:gridSpan w:val="14"/>
            <w:shd w:val="clear" w:color="auto" w:fill="auto"/>
            <w:noWrap/>
            <w:vAlign w:val="center"/>
          </w:tcPr>
          <w:p>
            <w:pPr>
              <w:pStyle w:val="39"/>
              <w:rPr>
                <w:rFonts w:ascii="Times New Roman" w:hAnsi="Times New Roman"/>
                <w:sz w:val="18"/>
                <w:szCs w:val="18"/>
              </w:rPr>
            </w:pPr>
            <w:r>
              <w:rPr>
                <w:rFonts w:ascii="Times New Roman" w:hAnsi="Times New Roman"/>
                <w:sz w:val="18"/>
                <w:szCs w:val="18"/>
              </w:rPr>
              <w:t>单位：细菌总数（MPN/100mL)、总大肠菌群（CFU/100mL）、pH：无量纲、其他单位（mg/L）</w:t>
            </w:r>
          </w:p>
        </w:tc>
      </w:tr>
      <w:bookmarkEnd w:id="144"/>
    </w:tbl>
    <w:p>
      <w:pPr>
        <w:pStyle w:val="41"/>
        <w:spacing w:before="156" w:after="156"/>
        <w:rPr>
          <w:rFonts w:ascii="Times New Roman" w:hAnsi="Times New Roman" w:cs="Times New Roman"/>
        </w:rPr>
      </w:pPr>
      <w:r>
        <w:rPr>
          <w:rFonts w:ascii="Times New Roman" w:hAnsi="Times New Roman" w:cs="Times New Roman"/>
        </w:rPr>
        <w:t>注：1、“*”表示石油类执行《地表水环境质量标准》（GB 3838-2002）的Ⅲ类标准限值；2、“/”表示标准中对此项无限值要求。</w:t>
      </w:r>
    </w:p>
    <w:p>
      <w:pPr>
        <w:pStyle w:val="37"/>
        <w:spacing w:before="156" w:after="156"/>
        <w:rPr>
          <w:rFonts w:ascii="Times New Roman" w:hAnsi="Times New Roman" w:cs="Times New Roman"/>
        </w:rPr>
      </w:pPr>
    </w:p>
    <w:p>
      <w:pPr>
        <w:pStyle w:val="37"/>
        <w:spacing w:before="156" w:after="156"/>
        <w:rPr>
          <w:rFonts w:ascii="Times New Roman" w:hAnsi="Times New Roman" w:cs="Times New Roman"/>
        </w:rPr>
        <w:sectPr>
          <w:pgSz w:w="16838" w:h="11906" w:orient="landscape"/>
          <w:pgMar w:top="1797" w:right="1440" w:bottom="1797" w:left="1440" w:header="851" w:footer="992" w:gutter="0"/>
          <w:cols w:space="425" w:num="1"/>
          <w:docGrid w:type="linesAndChars" w:linePitch="312" w:charSpace="0"/>
        </w:sectPr>
      </w:pPr>
    </w:p>
    <w:p>
      <w:pPr>
        <w:pStyle w:val="37"/>
        <w:spacing w:before="156" w:after="156"/>
        <w:rPr>
          <w:rFonts w:ascii="Times New Roman" w:hAnsi="Times New Roman" w:cs="Times New Roman"/>
        </w:rPr>
      </w:pPr>
      <w:bookmarkStart w:id="145" w:name="_Ref161991458"/>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bookmarkEnd w:id="145"/>
      <w:r>
        <w:rPr>
          <w:rFonts w:ascii="Times New Roman" w:hAnsi="Times New Roman" w:cs="Times New Roman"/>
        </w:rPr>
        <w:t xml:space="preserve">  地下水水质现状监测统计分析表</w:t>
      </w:r>
    </w:p>
    <w:tbl>
      <w:tblPr>
        <w:tblStyle w:val="28"/>
        <w:tblW w:w="5138" w:type="pct"/>
        <w:tblInd w:w="0" w:type="dxa"/>
        <w:tblLayout w:type="autofit"/>
        <w:tblCellMar>
          <w:top w:w="0" w:type="dxa"/>
          <w:left w:w="108" w:type="dxa"/>
          <w:bottom w:w="0" w:type="dxa"/>
          <w:right w:w="108" w:type="dxa"/>
        </w:tblCellMar>
      </w:tblPr>
      <w:tblGrid>
        <w:gridCol w:w="2399"/>
        <w:gridCol w:w="880"/>
        <w:gridCol w:w="878"/>
        <w:gridCol w:w="931"/>
        <w:gridCol w:w="1041"/>
        <w:gridCol w:w="878"/>
        <w:gridCol w:w="878"/>
        <w:gridCol w:w="878"/>
      </w:tblGrid>
      <w:tr>
        <w:tblPrEx>
          <w:tblCellMar>
            <w:top w:w="0" w:type="dxa"/>
            <w:left w:w="108" w:type="dxa"/>
            <w:bottom w:w="0" w:type="dxa"/>
            <w:right w:w="108" w:type="dxa"/>
          </w:tblCellMar>
        </w:tblPrEx>
        <w:trPr>
          <w:trHeight w:val="312" w:hRule="atLeast"/>
        </w:trPr>
        <w:tc>
          <w:tcPr>
            <w:tcW w:w="136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监测项目</w:t>
            </w:r>
          </w:p>
        </w:tc>
        <w:tc>
          <w:tcPr>
            <w:tcW w:w="50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样品数</w:t>
            </w:r>
          </w:p>
        </w:tc>
        <w:tc>
          <w:tcPr>
            <w:tcW w:w="50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最大值</w:t>
            </w:r>
          </w:p>
        </w:tc>
        <w:tc>
          <w:tcPr>
            <w:tcW w:w="53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最小值</w:t>
            </w:r>
          </w:p>
        </w:tc>
        <w:tc>
          <w:tcPr>
            <w:tcW w:w="59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均值</w:t>
            </w:r>
          </w:p>
        </w:tc>
        <w:tc>
          <w:tcPr>
            <w:tcW w:w="50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标准差</w:t>
            </w:r>
          </w:p>
        </w:tc>
        <w:tc>
          <w:tcPr>
            <w:tcW w:w="50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检出率</w:t>
            </w:r>
          </w:p>
        </w:tc>
        <w:tc>
          <w:tcPr>
            <w:tcW w:w="50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超标率</w:t>
            </w:r>
          </w:p>
        </w:tc>
      </w:tr>
      <w:tr>
        <w:tblPrEx>
          <w:tblCellMar>
            <w:top w:w="0" w:type="dxa"/>
            <w:left w:w="108" w:type="dxa"/>
            <w:bottom w:w="0" w:type="dxa"/>
            <w:right w:w="108" w:type="dxa"/>
          </w:tblCellMar>
        </w:tblPrEx>
        <w:trPr>
          <w:trHeight w:val="312" w:hRule="atLeast"/>
        </w:trPr>
        <w:tc>
          <w:tcPr>
            <w:tcW w:w="1369"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502"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501"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531"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594"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501"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501"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501"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钾</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1.64</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0.76</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1.24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0.32</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钠</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22.9</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3.81</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10.81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5.69</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钙</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98.4</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17.4</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62.90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29.92</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镁</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13.6</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2.38</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8.25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4.19</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碳酸根</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8</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2.5</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3.00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1.66</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9%</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重碳酸根</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356</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63</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196.45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91.8</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pH 值</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8</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7.2</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7.71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2.33</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总硬度</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313</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56.8</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185.07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69.66</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285"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溶解性总固体</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358</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63</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228.64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82.42</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硫酸盐</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86.6</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1.01</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20.78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22.52</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氯化物</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134</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0.671</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26.33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37.81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铁</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锰</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1.5</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0.002</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0.20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0.47</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27%</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b/>
                <w:bCs/>
                <w:sz w:val="22"/>
              </w:rPr>
            </w:pPr>
            <w:r>
              <w:rPr>
                <w:rFonts w:ascii="Times New Roman" w:hAnsi="Times New Roman"/>
                <w:b/>
                <w:bCs/>
                <w:sz w:val="22"/>
              </w:rPr>
              <w:t>18%</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挥发酚</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27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高锰酸盐指数（耗氧量）</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1.76</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0.53</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0.93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0.325</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氨氮</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0.48</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0.05</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0.13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0.126</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硫化物</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285"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总大肠菌群</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17</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4.91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5.49</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73%</w:t>
            </w:r>
          </w:p>
        </w:tc>
        <w:tc>
          <w:tcPr>
            <w:tcW w:w="501" w:type="pct"/>
            <w:tcBorders>
              <w:top w:val="nil"/>
              <w:left w:val="nil"/>
              <w:bottom w:val="single" w:color="auto" w:sz="4" w:space="0"/>
              <w:right w:val="single" w:color="auto" w:sz="4" w:space="0"/>
            </w:tcBorders>
            <w:shd w:val="clear" w:color="auto" w:fill="auto"/>
            <w:vAlign w:val="bottom"/>
          </w:tcPr>
          <w:p>
            <w:pPr>
              <w:pStyle w:val="39"/>
              <w:rPr>
                <w:rFonts w:ascii="Times New Roman" w:hAnsi="Times New Roman"/>
                <w:b/>
                <w:bCs/>
              </w:rPr>
            </w:pPr>
            <w:r>
              <w:rPr>
                <w:rFonts w:ascii="Times New Roman" w:hAnsi="Times New Roman"/>
                <w:b/>
                <w:bCs/>
              </w:rPr>
              <w:t>36%</w:t>
            </w:r>
          </w:p>
        </w:tc>
      </w:tr>
      <w:tr>
        <w:tblPrEx>
          <w:tblCellMar>
            <w:top w:w="0" w:type="dxa"/>
            <w:left w:w="108" w:type="dxa"/>
            <w:bottom w:w="0" w:type="dxa"/>
            <w:right w:w="108" w:type="dxa"/>
          </w:tblCellMar>
        </w:tblPrEx>
        <w:trPr>
          <w:trHeight w:val="36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细菌总数（菌落总数）</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120</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9</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61.45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41.59</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vAlign w:val="bottom"/>
          </w:tcPr>
          <w:p>
            <w:pPr>
              <w:pStyle w:val="39"/>
              <w:rPr>
                <w:rFonts w:ascii="Times New Roman" w:hAnsi="Times New Roman"/>
                <w:b/>
                <w:bCs/>
              </w:rPr>
            </w:pPr>
            <w:r>
              <w:rPr>
                <w:rFonts w:ascii="Times New Roman" w:hAnsi="Times New Roman"/>
                <w:b/>
                <w:bCs/>
              </w:rPr>
              <w:t>18%</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亚硝酸盐</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0.021</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0.004</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0.01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0.005</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硝酸盐（以 N 计）</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6.37</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0.084</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1.52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1.71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氰化物</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氟化物</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0.874</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0.003</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0.169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0.28</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82%</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汞</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砷</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0.0012</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0.00015</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0.000591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0.0003</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82%</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镉</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3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铬（六价）</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铅</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钡</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0.52</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0.0311</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0.26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0.19</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r>
        <w:tblPrEx>
          <w:tblCellMar>
            <w:top w:w="0" w:type="dxa"/>
            <w:left w:w="108" w:type="dxa"/>
            <w:bottom w:w="0" w:type="dxa"/>
            <w:right w:w="108" w:type="dxa"/>
          </w:tblCellMar>
        </w:tblPrEx>
        <w:trPr>
          <w:trHeight w:val="300" w:hRule="atLeast"/>
        </w:trPr>
        <w:tc>
          <w:tcPr>
            <w:tcW w:w="1369" w:type="pct"/>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石油类*</w:t>
            </w:r>
          </w:p>
        </w:tc>
        <w:tc>
          <w:tcPr>
            <w:tcW w:w="502"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9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 xml:space="preserve">0.010 </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100%</w:t>
            </w:r>
          </w:p>
        </w:tc>
        <w:tc>
          <w:tcPr>
            <w:tcW w:w="50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sz w:val="22"/>
              </w:rPr>
            </w:pPr>
            <w:r>
              <w:rPr>
                <w:rFonts w:ascii="Times New Roman" w:hAnsi="Times New Roman"/>
                <w:sz w:val="22"/>
              </w:rPr>
              <w:t>0%</w:t>
            </w:r>
          </w:p>
        </w:tc>
      </w:tr>
    </w:tbl>
    <w:p>
      <w:pPr>
        <w:pStyle w:val="41"/>
        <w:spacing w:before="156" w:after="156"/>
        <w:rPr>
          <w:rFonts w:ascii="Times New Roman" w:hAnsi="Times New Roman" w:cs="Times New Roman"/>
        </w:rPr>
      </w:pPr>
      <w:r>
        <w:rPr>
          <w:rFonts w:ascii="Times New Roman" w:hAnsi="Times New Roman" w:cs="Times New Roman"/>
        </w:rPr>
        <w:t>注：1、“*”表示石油类执行《地表水环境质量标准》（GB 3838-2002）的Ⅲ类标准限值；2、“/”表示标准中对此项无限值要求。</w:t>
      </w:r>
    </w:p>
    <w:p>
      <w:pPr>
        <w:widowControl/>
        <w:ind w:firstLine="480"/>
        <w:rPr>
          <w:rFonts w:ascii="Times New Roman" w:hAnsi="Times New Roman"/>
          <w:kern w:val="0"/>
        </w:rPr>
      </w:pPr>
    </w:p>
    <w:p>
      <w:pPr>
        <w:widowControl/>
        <w:ind w:firstLine="480"/>
        <w:rPr>
          <w:rFonts w:ascii="Times New Roman" w:hAnsi="Times New Roman"/>
          <w:kern w:val="0"/>
        </w:rPr>
      </w:pPr>
    </w:p>
    <w:p>
      <w:pPr>
        <w:widowControl/>
        <w:ind w:firstLine="480"/>
        <w:rPr>
          <w:rFonts w:ascii="Times New Roman" w:hAnsi="Times New Roman"/>
          <w:kern w:val="0"/>
        </w:rPr>
        <w:sectPr>
          <w:pgSz w:w="11906" w:h="16838"/>
          <w:pgMar w:top="1440" w:right="1797" w:bottom="1440" w:left="1797" w:header="851" w:footer="992" w:gutter="0"/>
          <w:cols w:space="425" w:num="1"/>
          <w:docGrid w:type="lines" w:linePitch="312" w:charSpace="0"/>
        </w:sectPr>
      </w:pPr>
    </w:p>
    <w:p>
      <w:pPr>
        <w:pStyle w:val="4"/>
        <w:rPr>
          <w:rFonts w:ascii="Times New Roman" w:hAnsi="Times New Roman" w:cs="Times New Roman"/>
        </w:rPr>
      </w:pPr>
      <w:r>
        <w:rPr>
          <w:rFonts w:ascii="Times New Roman" w:hAnsi="Times New Roman" w:cs="Times New Roman"/>
        </w:rPr>
        <w:t>地下水化学类型分析</w:t>
      </w:r>
    </w:p>
    <w:p>
      <w:pPr>
        <w:ind w:firstLine="480"/>
        <w:rPr>
          <w:rFonts w:ascii="Times New Roman" w:hAnsi="Times New Roman"/>
        </w:rPr>
      </w:pPr>
      <w:r>
        <w:rPr>
          <w:rFonts w:ascii="Times New Roman" w:hAnsi="Times New Roman"/>
        </w:rPr>
        <w:t>地下水水化学类型分类方式有很多，本评价采用舒卡列夫方法进行地下水水化学分类。</w:t>
      </w:r>
    </w:p>
    <w:p>
      <w:pPr>
        <w:ind w:firstLine="480"/>
        <w:rPr>
          <w:rFonts w:ascii="Times New Roman" w:hAnsi="Times New Roman"/>
        </w:rPr>
      </w:pPr>
      <w:r>
        <w:rPr>
          <w:rFonts w:ascii="Times New Roman" w:hAnsi="Times New Roman"/>
        </w:rPr>
        <w:t>根据地下水八种主要离子——K</w:t>
      </w:r>
      <w:r>
        <w:rPr>
          <w:rFonts w:ascii="Times New Roman" w:hAnsi="Times New Roman"/>
          <w:vertAlign w:val="superscript"/>
        </w:rPr>
        <w:t>+</w:t>
      </w:r>
      <w:r>
        <w:rPr>
          <w:rFonts w:ascii="Times New Roman" w:hAnsi="Times New Roman"/>
        </w:rPr>
        <w:t>+Na</w:t>
      </w:r>
      <w:r>
        <w:rPr>
          <w:rFonts w:ascii="Times New Roman" w:hAnsi="Times New Roman"/>
          <w:vertAlign w:val="superscript"/>
        </w:rPr>
        <w:t>+</w:t>
      </w:r>
      <w:r>
        <w:rPr>
          <w:rFonts w:ascii="Times New Roman" w:hAnsi="Times New Roman"/>
        </w:rPr>
        <w:t>（K</w:t>
      </w:r>
      <w:r>
        <w:rPr>
          <w:rFonts w:ascii="Times New Roman" w:hAnsi="Times New Roman"/>
          <w:vertAlign w:val="superscript"/>
        </w:rPr>
        <w:t>+</w:t>
      </w:r>
      <w:r>
        <w:rPr>
          <w:rFonts w:ascii="Times New Roman" w:hAnsi="Times New Roman"/>
        </w:rPr>
        <w:t>合并到Na</w:t>
      </w:r>
      <w:r>
        <w:rPr>
          <w:rFonts w:ascii="Times New Roman" w:hAnsi="Times New Roman"/>
          <w:vertAlign w:val="superscript"/>
        </w:rPr>
        <w:t>+</w:t>
      </w:r>
      <w:r>
        <w:rPr>
          <w:rFonts w:ascii="Times New Roman" w:hAnsi="Times New Roman"/>
        </w:rPr>
        <w:t>中）、Ca</w:t>
      </w:r>
      <w:r>
        <w:rPr>
          <w:rFonts w:ascii="Times New Roman" w:hAnsi="Times New Roman"/>
          <w:vertAlign w:val="superscript"/>
        </w:rPr>
        <w:t>2+</w:t>
      </w:r>
      <w:r>
        <w:rPr>
          <w:rFonts w:ascii="Times New Roman" w:hAnsi="Times New Roman"/>
        </w:rPr>
        <w:t>、Mg</w:t>
      </w:r>
      <w:r>
        <w:rPr>
          <w:rFonts w:ascii="Times New Roman" w:hAnsi="Times New Roman"/>
          <w:vertAlign w:val="superscript"/>
        </w:rPr>
        <w:t>2+</w:t>
      </w:r>
      <w:r>
        <w:rPr>
          <w:rFonts w:ascii="Times New Roman" w:hAnsi="Times New Roman"/>
        </w:rPr>
        <w:t>、HCO</w:t>
      </w:r>
      <w:r>
        <w:rPr>
          <w:rFonts w:ascii="Times New Roman" w:hAnsi="Times New Roman"/>
          <w:vertAlign w:val="subscript"/>
        </w:rPr>
        <w:t>3</w:t>
      </w:r>
      <w:r>
        <w:rPr>
          <w:rFonts w:ascii="Times New Roman" w:hAnsi="Times New Roman"/>
          <w:vertAlign w:val="superscript"/>
        </w:rPr>
        <w:t>-</w:t>
      </w:r>
      <w:r>
        <w:rPr>
          <w:rFonts w:ascii="Times New Roman" w:hAnsi="Times New Roman"/>
        </w:rPr>
        <w:t>、CO</w:t>
      </w:r>
      <w:r>
        <w:rPr>
          <w:rFonts w:ascii="Times New Roman" w:hAnsi="Times New Roman"/>
          <w:vertAlign w:val="subscript"/>
        </w:rPr>
        <w:t>3</w:t>
      </w:r>
      <w:r>
        <w:rPr>
          <w:rFonts w:ascii="Times New Roman" w:hAnsi="Times New Roman"/>
          <w:vertAlign w:val="superscript"/>
        </w:rPr>
        <w:t>2-</w:t>
      </w:r>
      <w:r>
        <w:rPr>
          <w:rFonts w:ascii="Times New Roman" w:hAnsi="Times New Roman"/>
        </w:rPr>
        <w:t>、Cl</w:t>
      </w:r>
      <w:r>
        <w:rPr>
          <w:rFonts w:ascii="Times New Roman" w:hAnsi="Times New Roman"/>
          <w:vertAlign w:val="superscript"/>
        </w:rPr>
        <w:t>-</w:t>
      </w:r>
      <w:r>
        <w:rPr>
          <w:rFonts w:ascii="Times New Roman" w:hAnsi="Times New Roman"/>
        </w:rPr>
        <w:t>、SO</w:t>
      </w:r>
      <w:r>
        <w:rPr>
          <w:rFonts w:ascii="Times New Roman" w:hAnsi="Times New Roman"/>
          <w:vertAlign w:val="subscript"/>
        </w:rPr>
        <w:t>4</w:t>
      </w:r>
      <w:r>
        <w:rPr>
          <w:rFonts w:ascii="Times New Roman" w:hAnsi="Times New Roman"/>
          <w:vertAlign w:val="superscript"/>
        </w:rPr>
        <w:t>2-</w:t>
      </w:r>
      <w:r>
        <w:rPr>
          <w:rFonts w:ascii="Times New Roman" w:hAnsi="Times New Roman"/>
        </w:rPr>
        <w:t>，将</w:t>
      </w:r>
      <w:bookmarkStart w:id="146" w:name="_Hlk47269969"/>
      <w:r>
        <w:rPr>
          <w:rFonts w:ascii="Times New Roman" w:hAnsi="Times New Roman"/>
        </w:rPr>
        <w:t>摩尔分数</w:t>
      </w:r>
      <w:bookmarkEnd w:id="146"/>
      <w:r>
        <w:rPr>
          <w:rFonts w:ascii="Times New Roman" w:hAnsi="Times New Roman"/>
        </w:rPr>
        <w:t>大于25%的阴离子和阳离子进行组合，可划分成49种不同化学类型地下水。本项目各水质监测点位的地下水水化学类型如</w:t>
      </w:r>
      <w:r>
        <w:rPr>
          <w:rFonts w:ascii="Times New Roman" w:hAnsi="Times New Roman"/>
        </w:rPr>
        <w:fldChar w:fldCharType="begin"/>
      </w:r>
      <w:r>
        <w:rPr>
          <w:rFonts w:ascii="Times New Roman" w:hAnsi="Times New Roman"/>
        </w:rPr>
        <w:instrText xml:space="preserve"> REF _Ref157460381 \h  \* MERGEFORMAT </w:instrText>
      </w:r>
      <w:r>
        <w:rPr>
          <w:rFonts w:ascii="Times New Roman" w:hAnsi="Times New Roman"/>
        </w:rPr>
        <w:fldChar w:fldCharType="separate"/>
      </w:r>
      <w:r>
        <w:rPr>
          <w:rFonts w:ascii="Times New Roman" w:hAnsi="Times New Roman"/>
        </w:rPr>
        <w:t>表5</w:t>
      </w:r>
      <w:r>
        <w:rPr>
          <w:rFonts w:ascii="Times New Roman" w:hAnsi="Times New Roman"/>
        </w:rPr>
        <w:noBreakHyphen/>
      </w:r>
      <w:r>
        <w:rPr>
          <w:rFonts w:ascii="Times New Roman" w:hAnsi="Times New Roman"/>
        </w:rPr>
        <w:t>9</w:t>
      </w:r>
      <w:r>
        <w:rPr>
          <w:rFonts w:ascii="Times New Roman" w:hAnsi="Times New Roman"/>
        </w:rPr>
        <w:fldChar w:fldCharType="end"/>
      </w:r>
      <w:r>
        <w:rPr>
          <w:rFonts w:ascii="Times New Roman" w:hAnsi="Times New Roman"/>
        </w:rPr>
        <w:t>所示。可以看出，本项目评价区地下水类型为基岩裂隙水，地下水水化学类型主要为HCO</w:t>
      </w:r>
      <w:r>
        <w:rPr>
          <w:rFonts w:ascii="Times New Roman" w:hAnsi="Times New Roman"/>
          <w:vertAlign w:val="subscript"/>
        </w:rPr>
        <w:t>3</w:t>
      </w:r>
      <w:r>
        <w:rPr>
          <w:rFonts w:ascii="Times New Roman" w:hAnsi="Times New Roman"/>
        </w:rPr>
        <w:t>-Ca型水。</w:t>
      </w:r>
    </w:p>
    <w:p>
      <w:pPr>
        <w:widowControl/>
        <w:ind w:firstLine="480"/>
        <w:rPr>
          <w:rFonts w:ascii="Times New Roman" w:hAnsi="Times New Roman"/>
          <w:kern w:val="0"/>
        </w:rPr>
      </w:pPr>
    </w:p>
    <w:p>
      <w:pPr>
        <w:widowControl/>
        <w:ind w:firstLine="480"/>
        <w:rPr>
          <w:rFonts w:ascii="Times New Roman" w:hAnsi="Times New Roman"/>
          <w:kern w:val="0"/>
        </w:rPr>
        <w:sectPr>
          <w:pgSz w:w="11906" w:h="16838"/>
          <w:pgMar w:top="1440" w:right="1800" w:bottom="1440" w:left="1800" w:header="851" w:footer="992" w:gutter="0"/>
          <w:cols w:space="425" w:num="1"/>
          <w:docGrid w:type="lines" w:linePitch="312" w:charSpace="0"/>
        </w:sectPr>
      </w:pPr>
    </w:p>
    <w:p>
      <w:pPr>
        <w:pStyle w:val="37"/>
        <w:spacing w:before="156" w:after="156"/>
        <w:rPr>
          <w:rFonts w:ascii="Times New Roman" w:hAnsi="Times New Roman" w:cs="Times New Roman"/>
        </w:rPr>
      </w:pPr>
      <w:bookmarkStart w:id="147" w:name="_Ref157460381"/>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bookmarkEnd w:id="147"/>
      <w:r>
        <w:rPr>
          <w:rFonts w:ascii="Times New Roman" w:hAnsi="Times New Roman" w:cs="Times New Roman"/>
        </w:rPr>
        <w:t xml:space="preserve">  地下水化学类型分析表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84"/>
        <w:gridCol w:w="1550"/>
        <w:gridCol w:w="825"/>
        <w:gridCol w:w="825"/>
        <w:gridCol w:w="825"/>
        <w:gridCol w:w="825"/>
        <w:gridCol w:w="825"/>
        <w:gridCol w:w="918"/>
        <w:gridCol w:w="825"/>
        <w:gridCol w:w="825"/>
        <w:gridCol w:w="825"/>
        <w:gridCol w:w="825"/>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34" w:type="dxa"/>
            <w:gridSpan w:val="2"/>
            <w:vMerge w:val="restart"/>
            <w:shd w:val="clear" w:color="auto" w:fill="auto"/>
            <w:noWrap/>
            <w:vAlign w:val="center"/>
          </w:tcPr>
          <w:p>
            <w:pPr>
              <w:pStyle w:val="39"/>
              <w:rPr>
                <w:rFonts w:ascii="Times New Roman" w:hAnsi="Times New Roman"/>
              </w:rPr>
            </w:pPr>
            <w:r>
              <w:rPr>
                <w:rFonts w:ascii="Times New Roman" w:hAnsi="Times New Roman"/>
              </w:rPr>
              <w:t>项目</w:t>
            </w:r>
          </w:p>
        </w:tc>
        <w:tc>
          <w:tcPr>
            <w:tcW w:w="0" w:type="auto"/>
            <w:gridSpan w:val="11"/>
            <w:shd w:val="clear" w:color="auto" w:fill="auto"/>
            <w:vAlign w:val="center"/>
          </w:tcPr>
          <w:p>
            <w:pPr>
              <w:pStyle w:val="39"/>
              <w:rPr>
                <w:rFonts w:ascii="Times New Roman" w:hAnsi="Times New Roman"/>
              </w:rPr>
            </w:pPr>
            <w:r>
              <w:rPr>
                <w:rFonts w:ascii="Times New Roman" w:hAnsi="Times New Roman"/>
              </w:rPr>
              <w:t>监测点位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34" w:type="dxa"/>
            <w:gridSpan w:val="2"/>
            <w:vMerge w:val="continue"/>
            <w:shd w:val="clear" w:color="auto" w:fill="auto"/>
            <w:noWrap/>
            <w:vAlign w:val="center"/>
          </w:tcPr>
          <w:p>
            <w:pPr>
              <w:pStyle w:val="39"/>
              <w:rPr>
                <w:rFonts w:ascii="Times New Roman" w:hAnsi="Times New Roman"/>
              </w:rPr>
            </w:pPr>
          </w:p>
        </w:tc>
        <w:tc>
          <w:tcPr>
            <w:tcW w:w="0" w:type="auto"/>
            <w:shd w:val="clear" w:color="auto" w:fill="auto"/>
            <w:vAlign w:val="center"/>
          </w:tcPr>
          <w:p>
            <w:pPr>
              <w:pStyle w:val="39"/>
              <w:rPr>
                <w:rFonts w:ascii="Times New Roman" w:hAnsi="Times New Roman"/>
              </w:rPr>
            </w:pPr>
            <w:r>
              <w:rPr>
                <w:rFonts w:ascii="Times New Roman" w:hAnsi="Times New Roman"/>
              </w:rPr>
              <w:t>GW1</w:t>
            </w:r>
          </w:p>
        </w:tc>
        <w:tc>
          <w:tcPr>
            <w:tcW w:w="0" w:type="auto"/>
            <w:shd w:val="clear" w:color="auto" w:fill="auto"/>
            <w:vAlign w:val="center"/>
          </w:tcPr>
          <w:p>
            <w:pPr>
              <w:pStyle w:val="39"/>
              <w:rPr>
                <w:rFonts w:ascii="Times New Roman" w:hAnsi="Times New Roman"/>
              </w:rPr>
            </w:pPr>
            <w:r>
              <w:rPr>
                <w:rFonts w:ascii="Times New Roman" w:hAnsi="Times New Roman"/>
              </w:rPr>
              <w:t>GW2</w:t>
            </w:r>
          </w:p>
        </w:tc>
        <w:tc>
          <w:tcPr>
            <w:tcW w:w="0" w:type="auto"/>
            <w:shd w:val="clear" w:color="auto" w:fill="auto"/>
            <w:vAlign w:val="center"/>
          </w:tcPr>
          <w:p>
            <w:pPr>
              <w:pStyle w:val="39"/>
              <w:rPr>
                <w:rFonts w:ascii="Times New Roman" w:hAnsi="Times New Roman"/>
              </w:rPr>
            </w:pPr>
            <w:r>
              <w:rPr>
                <w:rFonts w:ascii="Times New Roman" w:hAnsi="Times New Roman"/>
              </w:rPr>
              <w:t>GW3</w:t>
            </w:r>
          </w:p>
        </w:tc>
        <w:tc>
          <w:tcPr>
            <w:tcW w:w="0" w:type="auto"/>
            <w:shd w:val="clear" w:color="auto" w:fill="auto"/>
            <w:vAlign w:val="center"/>
          </w:tcPr>
          <w:p>
            <w:pPr>
              <w:pStyle w:val="39"/>
              <w:rPr>
                <w:rFonts w:ascii="Times New Roman" w:hAnsi="Times New Roman"/>
              </w:rPr>
            </w:pPr>
            <w:r>
              <w:rPr>
                <w:rFonts w:ascii="Times New Roman" w:hAnsi="Times New Roman"/>
              </w:rPr>
              <w:t>GW4</w:t>
            </w:r>
          </w:p>
        </w:tc>
        <w:tc>
          <w:tcPr>
            <w:tcW w:w="0" w:type="auto"/>
            <w:shd w:val="clear" w:color="auto" w:fill="auto"/>
            <w:vAlign w:val="center"/>
          </w:tcPr>
          <w:p>
            <w:pPr>
              <w:pStyle w:val="39"/>
              <w:rPr>
                <w:rFonts w:ascii="Times New Roman" w:hAnsi="Times New Roman"/>
              </w:rPr>
            </w:pPr>
            <w:r>
              <w:rPr>
                <w:rFonts w:ascii="Times New Roman" w:hAnsi="Times New Roman"/>
              </w:rPr>
              <w:t>GW5</w:t>
            </w:r>
          </w:p>
        </w:tc>
        <w:tc>
          <w:tcPr>
            <w:tcW w:w="0" w:type="auto"/>
            <w:vAlign w:val="center"/>
          </w:tcPr>
          <w:p>
            <w:pPr>
              <w:pStyle w:val="39"/>
              <w:rPr>
                <w:rFonts w:ascii="Times New Roman" w:hAnsi="Times New Roman"/>
              </w:rPr>
            </w:pPr>
            <w:r>
              <w:rPr>
                <w:rFonts w:ascii="Times New Roman" w:hAnsi="Times New Roman"/>
              </w:rPr>
              <w:t>GW6</w:t>
            </w:r>
          </w:p>
        </w:tc>
        <w:tc>
          <w:tcPr>
            <w:tcW w:w="0" w:type="auto"/>
            <w:vAlign w:val="center"/>
          </w:tcPr>
          <w:p>
            <w:pPr>
              <w:pStyle w:val="39"/>
              <w:rPr>
                <w:rFonts w:ascii="Times New Roman" w:hAnsi="Times New Roman"/>
              </w:rPr>
            </w:pPr>
            <w:r>
              <w:rPr>
                <w:rFonts w:ascii="Times New Roman" w:hAnsi="Times New Roman"/>
              </w:rPr>
              <w:t>GW7</w:t>
            </w:r>
          </w:p>
        </w:tc>
        <w:tc>
          <w:tcPr>
            <w:tcW w:w="0" w:type="auto"/>
            <w:vAlign w:val="center"/>
          </w:tcPr>
          <w:p>
            <w:pPr>
              <w:pStyle w:val="39"/>
              <w:rPr>
                <w:rFonts w:ascii="Times New Roman" w:hAnsi="Times New Roman"/>
              </w:rPr>
            </w:pPr>
            <w:r>
              <w:rPr>
                <w:rFonts w:ascii="Times New Roman" w:hAnsi="Times New Roman"/>
              </w:rPr>
              <w:t>GW8</w:t>
            </w:r>
          </w:p>
        </w:tc>
        <w:tc>
          <w:tcPr>
            <w:tcW w:w="0" w:type="auto"/>
            <w:vAlign w:val="center"/>
          </w:tcPr>
          <w:p>
            <w:pPr>
              <w:pStyle w:val="39"/>
              <w:rPr>
                <w:rFonts w:ascii="Times New Roman" w:hAnsi="Times New Roman"/>
              </w:rPr>
            </w:pPr>
            <w:r>
              <w:rPr>
                <w:rFonts w:ascii="Times New Roman" w:hAnsi="Times New Roman"/>
              </w:rPr>
              <w:t>GW9</w:t>
            </w:r>
          </w:p>
        </w:tc>
        <w:tc>
          <w:tcPr>
            <w:tcW w:w="0" w:type="auto"/>
            <w:vAlign w:val="center"/>
          </w:tcPr>
          <w:p>
            <w:pPr>
              <w:pStyle w:val="39"/>
              <w:rPr>
                <w:rFonts w:ascii="Times New Roman" w:hAnsi="Times New Roman"/>
              </w:rPr>
            </w:pPr>
            <w:r>
              <w:rPr>
                <w:rFonts w:ascii="Times New Roman" w:hAnsi="Times New Roman"/>
              </w:rPr>
              <w:t>GW10</w:t>
            </w:r>
          </w:p>
        </w:tc>
        <w:tc>
          <w:tcPr>
            <w:tcW w:w="0" w:type="auto"/>
            <w:vAlign w:val="center"/>
          </w:tcPr>
          <w:p>
            <w:pPr>
              <w:pStyle w:val="39"/>
              <w:rPr>
                <w:rFonts w:ascii="Times New Roman" w:hAnsi="Times New Roman"/>
              </w:rPr>
            </w:pPr>
            <w:r>
              <w:rPr>
                <w:rFonts w:ascii="Times New Roman" w:hAnsi="Times New Roman"/>
              </w:rPr>
              <w:t>GW11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484" w:type="dxa"/>
            <w:vMerge w:val="restart"/>
            <w:shd w:val="clear" w:color="auto" w:fill="auto"/>
            <w:noWrap/>
            <w:vAlign w:val="center"/>
          </w:tcPr>
          <w:p>
            <w:pPr>
              <w:pStyle w:val="39"/>
              <w:rPr>
                <w:rFonts w:ascii="Times New Roman" w:hAnsi="Times New Roman"/>
              </w:rPr>
            </w:pPr>
            <w:r>
              <w:rPr>
                <w:rFonts w:ascii="Times New Roman" w:hAnsi="Times New Roman"/>
              </w:rPr>
              <w:t>浓度</w:t>
            </w:r>
          </w:p>
          <w:p>
            <w:pPr>
              <w:pStyle w:val="39"/>
              <w:rPr>
                <w:rFonts w:ascii="Times New Roman" w:hAnsi="Times New Roman"/>
              </w:rPr>
            </w:pPr>
            <w:r>
              <w:rPr>
                <w:rFonts w:ascii="Times New Roman" w:hAnsi="Times New Roman"/>
              </w:rPr>
              <w:t>mg/L</w:t>
            </w:r>
          </w:p>
        </w:tc>
        <w:tc>
          <w:tcPr>
            <w:tcW w:w="1550" w:type="dxa"/>
            <w:shd w:val="clear" w:color="auto" w:fill="auto"/>
            <w:vAlign w:val="center"/>
          </w:tcPr>
          <w:p>
            <w:pPr>
              <w:pStyle w:val="39"/>
              <w:rPr>
                <w:rFonts w:ascii="Times New Roman" w:hAnsi="Times New Roman"/>
              </w:rPr>
            </w:pPr>
            <w:r>
              <w:rPr>
                <w:rFonts w:ascii="Times New Roman" w:hAnsi="Times New Roman"/>
              </w:rPr>
              <w:t>K</w:t>
            </w:r>
            <w:r>
              <w:rPr>
                <w:rFonts w:ascii="Times New Roman" w:hAnsi="Times New Roman"/>
                <w:vertAlign w:val="superscript"/>
              </w:rPr>
              <w:t>+</w:t>
            </w:r>
          </w:p>
        </w:tc>
        <w:tc>
          <w:tcPr>
            <w:tcW w:w="0" w:type="auto"/>
            <w:shd w:val="clear" w:color="auto" w:fill="auto"/>
            <w:vAlign w:val="center"/>
          </w:tcPr>
          <w:p>
            <w:pPr>
              <w:pStyle w:val="39"/>
              <w:rPr>
                <w:rFonts w:ascii="Times New Roman" w:hAnsi="Times New Roman"/>
              </w:rPr>
            </w:pPr>
            <w:r>
              <w:rPr>
                <w:rFonts w:ascii="Times New Roman" w:hAnsi="Times New Roman"/>
              </w:rPr>
              <w:t>1.61</w:t>
            </w:r>
          </w:p>
        </w:tc>
        <w:tc>
          <w:tcPr>
            <w:tcW w:w="0" w:type="auto"/>
            <w:shd w:val="clear" w:color="auto" w:fill="auto"/>
            <w:vAlign w:val="center"/>
          </w:tcPr>
          <w:p>
            <w:pPr>
              <w:pStyle w:val="39"/>
              <w:rPr>
                <w:rFonts w:ascii="Times New Roman" w:hAnsi="Times New Roman"/>
              </w:rPr>
            </w:pPr>
            <w:r>
              <w:rPr>
                <w:rFonts w:ascii="Times New Roman" w:hAnsi="Times New Roman"/>
              </w:rPr>
              <w:t>1.32</w:t>
            </w:r>
          </w:p>
        </w:tc>
        <w:tc>
          <w:tcPr>
            <w:tcW w:w="0" w:type="auto"/>
            <w:shd w:val="clear" w:color="auto" w:fill="auto"/>
            <w:vAlign w:val="center"/>
          </w:tcPr>
          <w:p>
            <w:pPr>
              <w:pStyle w:val="39"/>
              <w:rPr>
                <w:rFonts w:ascii="Times New Roman" w:hAnsi="Times New Roman"/>
              </w:rPr>
            </w:pPr>
            <w:r>
              <w:rPr>
                <w:rFonts w:ascii="Times New Roman" w:hAnsi="Times New Roman"/>
              </w:rPr>
              <w:t>1.27</w:t>
            </w:r>
          </w:p>
        </w:tc>
        <w:tc>
          <w:tcPr>
            <w:tcW w:w="0" w:type="auto"/>
            <w:shd w:val="clear" w:color="auto" w:fill="auto"/>
            <w:vAlign w:val="center"/>
          </w:tcPr>
          <w:p>
            <w:pPr>
              <w:pStyle w:val="39"/>
              <w:rPr>
                <w:rFonts w:ascii="Times New Roman" w:hAnsi="Times New Roman"/>
              </w:rPr>
            </w:pPr>
            <w:r>
              <w:rPr>
                <w:rFonts w:ascii="Times New Roman" w:hAnsi="Times New Roman"/>
              </w:rPr>
              <w:t>0.76</w:t>
            </w:r>
          </w:p>
        </w:tc>
        <w:tc>
          <w:tcPr>
            <w:tcW w:w="0" w:type="auto"/>
            <w:shd w:val="clear" w:color="auto" w:fill="auto"/>
            <w:vAlign w:val="center"/>
          </w:tcPr>
          <w:p>
            <w:pPr>
              <w:pStyle w:val="39"/>
              <w:rPr>
                <w:rFonts w:ascii="Times New Roman" w:hAnsi="Times New Roman"/>
              </w:rPr>
            </w:pPr>
            <w:r>
              <w:rPr>
                <w:rFonts w:ascii="Times New Roman" w:hAnsi="Times New Roman"/>
              </w:rPr>
              <w:t>1.55</w:t>
            </w:r>
          </w:p>
        </w:tc>
        <w:tc>
          <w:tcPr>
            <w:tcW w:w="0" w:type="auto"/>
            <w:vAlign w:val="center"/>
          </w:tcPr>
          <w:p>
            <w:pPr>
              <w:pStyle w:val="39"/>
              <w:rPr>
                <w:rFonts w:ascii="Times New Roman" w:hAnsi="Times New Roman"/>
              </w:rPr>
            </w:pPr>
            <w:r>
              <w:rPr>
                <w:rFonts w:ascii="Times New Roman" w:hAnsi="Times New Roman"/>
              </w:rPr>
              <w:t>1.4</w:t>
            </w:r>
          </w:p>
        </w:tc>
        <w:tc>
          <w:tcPr>
            <w:tcW w:w="0" w:type="auto"/>
            <w:vAlign w:val="center"/>
          </w:tcPr>
          <w:p>
            <w:pPr>
              <w:pStyle w:val="39"/>
              <w:rPr>
                <w:rFonts w:ascii="Times New Roman" w:hAnsi="Times New Roman"/>
              </w:rPr>
            </w:pPr>
            <w:r>
              <w:rPr>
                <w:rFonts w:ascii="Times New Roman" w:hAnsi="Times New Roman"/>
              </w:rPr>
              <w:t>0.78</w:t>
            </w:r>
          </w:p>
        </w:tc>
        <w:tc>
          <w:tcPr>
            <w:tcW w:w="0" w:type="auto"/>
            <w:vAlign w:val="center"/>
          </w:tcPr>
          <w:p>
            <w:pPr>
              <w:pStyle w:val="39"/>
              <w:rPr>
                <w:rFonts w:ascii="Times New Roman" w:hAnsi="Times New Roman"/>
              </w:rPr>
            </w:pPr>
            <w:r>
              <w:rPr>
                <w:rFonts w:ascii="Times New Roman" w:hAnsi="Times New Roman"/>
              </w:rPr>
              <w:t>0.9</w:t>
            </w:r>
          </w:p>
        </w:tc>
        <w:tc>
          <w:tcPr>
            <w:tcW w:w="0" w:type="auto"/>
            <w:vAlign w:val="center"/>
          </w:tcPr>
          <w:p>
            <w:pPr>
              <w:pStyle w:val="39"/>
              <w:rPr>
                <w:rFonts w:ascii="Times New Roman" w:hAnsi="Times New Roman"/>
              </w:rPr>
            </w:pPr>
            <w:r>
              <w:rPr>
                <w:rFonts w:ascii="Times New Roman" w:hAnsi="Times New Roman"/>
              </w:rPr>
              <w:t>1.64</w:t>
            </w:r>
          </w:p>
        </w:tc>
        <w:tc>
          <w:tcPr>
            <w:tcW w:w="0" w:type="auto"/>
            <w:vAlign w:val="center"/>
          </w:tcPr>
          <w:p>
            <w:pPr>
              <w:pStyle w:val="39"/>
              <w:rPr>
                <w:rFonts w:ascii="Times New Roman" w:hAnsi="Times New Roman"/>
              </w:rPr>
            </w:pPr>
            <w:r>
              <w:rPr>
                <w:rFonts w:ascii="Times New Roman" w:hAnsi="Times New Roman"/>
              </w:rPr>
              <w:t>1.03</w:t>
            </w:r>
          </w:p>
        </w:tc>
        <w:tc>
          <w:tcPr>
            <w:tcW w:w="0" w:type="auto"/>
            <w:vAlign w:val="center"/>
          </w:tcPr>
          <w:p>
            <w:pPr>
              <w:pStyle w:val="39"/>
              <w:rPr>
                <w:rFonts w:ascii="Times New Roman" w:hAnsi="Times New Roman"/>
              </w:rPr>
            </w:pPr>
            <w:r>
              <w:rPr>
                <w:rFonts w:ascii="Times New Roman" w:hAnsi="Times New Roman"/>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1484" w:type="dxa"/>
            <w:vMerge w:val="continue"/>
            <w:shd w:val="clear" w:color="auto" w:fill="auto"/>
            <w:noWrap/>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Na</w:t>
            </w:r>
            <w:r>
              <w:rPr>
                <w:rFonts w:ascii="Times New Roman" w:hAnsi="Times New Roman"/>
                <w:vertAlign w:val="superscript"/>
              </w:rPr>
              <w:t>+</w:t>
            </w:r>
          </w:p>
        </w:tc>
        <w:tc>
          <w:tcPr>
            <w:tcW w:w="0" w:type="auto"/>
            <w:shd w:val="clear" w:color="auto" w:fill="auto"/>
            <w:vAlign w:val="center"/>
          </w:tcPr>
          <w:p>
            <w:pPr>
              <w:pStyle w:val="39"/>
              <w:rPr>
                <w:rFonts w:ascii="Times New Roman" w:hAnsi="Times New Roman"/>
              </w:rPr>
            </w:pPr>
            <w:r>
              <w:rPr>
                <w:rFonts w:ascii="Times New Roman" w:hAnsi="Times New Roman"/>
              </w:rPr>
              <w:t>6.68</w:t>
            </w:r>
          </w:p>
        </w:tc>
        <w:tc>
          <w:tcPr>
            <w:tcW w:w="0" w:type="auto"/>
            <w:shd w:val="clear" w:color="auto" w:fill="auto"/>
            <w:vAlign w:val="center"/>
          </w:tcPr>
          <w:p>
            <w:pPr>
              <w:pStyle w:val="39"/>
              <w:rPr>
                <w:rFonts w:ascii="Times New Roman" w:hAnsi="Times New Roman"/>
              </w:rPr>
            </w:pPr>
            <w:r>
              <w:rPr>
                <w:rFonts w:ascii="Times New Roman" w:hAnsi="Times New Roman"/>
              </w:rPr>
              <w:t>17</w:t>
            </w:r>
          </w:p>
        </w:tc>
        <w:tc>
          <w:tcPr>
            <w:tcW w:w="0" w:type="auto"/>
            <w:shd w:val="clear" w:color="auto" w:fill="auto"/>
            <w:vAlign w:val="center"/>
          </w:tcPr>
          <w:p>
            <w:pPr>
              <w:pStyle w:val="39"/>
              <w:rPr>
                <w:rFonts w:ascii="Times New Roman" w:hAnsi="Times New Roman"/>
              </w:rPr>
            </w:pPr>
            <w:r>
              <w:rPr>
                <w:rFonts w:ascii="Times New Roman" w:hAnsi="Times New Roman"/>
              </w:rPr>
              <w:t>6.28</w:t>
            </w:r>
          </w:p>
        </w:tc>
        <w:tc>
          <w:tcPr>
            <w:tcW w:w="0" w:type="auto"/>
            <w:shd w:val="clear" w:color="auto" w:fill="auto"/>
            <w:vAlign w:val="center"/>
          </w:tcPr>
          <w:p>
            <w:pPr>
              <w:pStyle w:val="39"/>
              <w:rPr>
                <w:rFonts w:ascii="Times New Roman" w:hAnsi="Times New Roman"/>
              </w:rPr>
            </w:pPr>
            <w:r>
              <w:rPr>
                <w:rFonts w:ascii="Times New Roman" w:hAnsi="Times New Roman"/>
              </w:rPr>
              <w:t>16.1</w:t>
            </w:r>
          </w:p>
        </w:tc>
        <w:tc>
          <w:tcPr>
            <w:tcW w:w="0" w:type="auto"/>
            <w:shd w:val="clear" w:color="auto" w:fill="auto"/>
            <w:vAlign w:val="center"/>
          </w:tcPr>
          <w:p>
            <w:pPr>
              <w:pStyle w:val="39"/>
              <w:rPr>
                <w:rFonts w:ascii="Times New Roman" w:hAnsi="Times New Roman"/>
              </w:rPr>
            </w:pPr>
            <w:r>
              <w:rPr>
                <w:rFonts w:ascii="Times New Roman" w:hAnsi="Times New Roman"/>
              </w:rPr>
              <w:t>12.2</w:t>
            </w:r>
          </w:p>
        </w:tc>
        <w:tc>
          <w:tcPr>
            <w:tcW w:w="0" w:type="auto"/>
            <w:vAlign w:val="center"/>
          </w:tcPr>
          <w:p>
            <w:pPr>
              <w:pStyle w:val="39"/>
              <w:rPr>
                <w:rFonts w:ascii="Times New Roman" w:hAnsi="Times New Roman"/>
              </w:rPr>
            </w:pPr>
            <w:r>
              <w:rPr>
                <w:rFonts w:ascii="Times New Roman" w:hAnsi="Times New Roman"/>
              </w:rPr>
              <w:t>22.9</w:t>
            </w:r>
          </w:p>
        </w:tc>
        <w:tc>
          <w:tcPr>
            <w:tcW w:w="0" w:type="auto"/>
            <w:vAlign w:val="center"/>
          </w:tcPr>
          <w:p>
            <w:pPr>
              <w:pStyle w:val="39"/>
              <w:rPr>
                <w:rFonts w:ascii="Times New Roman" w:hAnsi="Times New Roman"/>
              </w:rPr>
            </w:pPr>
            <w:r>
              <w:rPr>
                <w:rFonts w:ascii="Times New Roman" w:hAnsi="Times New Roman"/>
              </w:rPr>
              <w:t>9.06</w:t>
            </w:r>
          </w:p>
        </w:tc>
        <w:tc>
          <w:tcPr>
            <w:tcW w:w="0" w:type="auto"/>
            <w:vAlign w:val="center"/>
          </w:tcPr>
          <w:p>
            <w:pPr>
              <w:pStyle w:val="39"/>
              <w:rPr>
                <w:rFonts w:ascii="Times New Roman" w:hAnsi="Times New Roman"/>
              </w:rPr>
            </w:pPr>
            <w:r>
              <w:rPr>
                <w:rFonts w:ascii="Times New Roman" w:hAnsi="Times New Roman"/>
              </w:rPr>
              <w:t>7.86</w:t>
            </w:r>
          </w:p>
        </w:tc>
        <w:tc>
          <w:tcPr>
            <w:tcW w:w="0" w:type="auto"/>
            <w:vAlign w:val="center"/>
          </w:tcPr>
          <w:p>
            <w:pPr>
              <w:pStyle w:val="39"/>
              <w:rPr>
                <w:rFonts w:ascii="Times New Roman" w:hAnsi="Times New Roman"/>
              </w:rPr>
            </w:pPr>
            <w:r>
              <w:rPr>
                <w:rFonts w:ascii="Times New Roman" w:hAnsi="Times New Roman"/>
              </w:rPr>
              <w:t>8.98</w:t>
            </w:r>
          </w:p>
        </w:tc>
        <w:tc>
          <w:tcPr>
            <w:tcW w:w="0" w:type="auto"/>
            <w:vAlign w:val="center"/>
          </w:tcPr>
          <w:p>
            <w:pPr>
              <w:pStyle w:val="39"/>
              <w:rPr>
                <w:rFonts w:ascii="Times New Roman" w:hAnsi="Times New Roman"/>
              </w:rPr>
            </w:pPr>
            <w:r>
              <w:rPr>
                <w:rFonts w:ascii="Times New Roman" w:hAnsi="Times New Roman"/>
              </w:rPr>
              <w:t>3.81</w:t>
            </w:r>
          </w:p>
        </w:tc>
        <w:tc>
          <w:tcPr>
            <w:tcW w:w="0" w:type="auto"/>
            <w:vAlign w:val="center"/>
          </w:tcPr>
          <w:p>
            <w:pPr>
              <w:pStyle w:val="39"/>
              <w:rPr>
                <w:rFonts w:ascii="Times New Roman" w:hAnsi="Times New Roman"/>
              </w:rPr>
            </w:pPr>
            <w:r>
              <w:rPr>
                <w:rFonts w:ascii="Times New Roman" w:hAnsi="Times New Roman"/>
              </w:rPr>
              <w:t>8.01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1484" w:type="dxa"/>
            <w:vMerge w:val="continue"/>
            <w:shd w:val="clear" w:color="auto" w:fill="auto"/>
            <w:noWrap/>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Ca</w:t>
            </w:r>
            <w:r>
              <w:rPr>
                <w:rFonts w:ascii="Times New Roman" w:hAnsi="Times New Roman"/>
                <w:vertAlign w:val="superscript"/>
              </w:rPr>
              <w:t>2+</w:t>
            </w:r>
          </w:p>
        </w:tc>
        <w:tc>
          <w:tcPr>
            <w:tcW w:w="0" w:type="auto"/>
            <w:shd w:val="clear" w:color="auto" w:fill="auto"/>
            <w:vAlign w:val="center"/>
          </w:tcPr>
          <w:p>
            <w:pPr>
              <w:pStyle w:val="39"/>
              <w:rPr>
                <w:rFonts w:ascii="Times New Roman" w:hAnsi="Times New Roman"/>
              </w:rPr>
            </w:pPr>
            <w:r>
              <w:rPr>
                <w:rFonts w:ascii="Times New Roman" w:hAnsi="Times New Roman"/>
              </w:rPr>
              <w:t>80.5</w:t>
            </w:r>
          </w:p>
        </w:tc>
        <w:tc>
          <w:tcPr>
            <w:tcW w:w="0" w:type="auto"/>
            <w:shd w:val="clear" w:color="auto" w:fill="auto"/>
            <w:vAlign w:val="center"/>
          </w:tcPr>
          <w:p>
            <w:pPr>
              <w:pStyle w:val="39"/>
              <w:rPr>
                <w:rFonts w:ascii="Times New Roman" w:hAnsi="Times New Roman"/>
              </w:rPr>
            </w:pPr>
            <w:r>
              <w:rPr>
                <w:rFonts w:ascii="Times New Roman" w:hAnsi="Times New Roman"/>
              </w:rPr>
              <w:t>98.4</w:t>
            </w:r>
          </w:p>
        </w:tc>
        <w:tc>
          <w:tcPr>
            <w:tcW w:w="0" w:type="auto"/>
            <w:shd w:val="clear" w:color="auto" w:fill="auto"/>
            <w:vAlign w:val="center"/>
          </w:tcPr>
          <w:p>
            <w:pPr>
              <w:pStyle w:val="39"/>
              <w:rPr>
                <w:rFonts w:ascii="Times New Roman" w:hAnsi="Times New Roman"/>
              </w:rPr>
            </w:pPr>
            <w:r>
              <w:rPr>
                <w:rFonts w:ascii="Times New Roman" w:hAnsi="Times New Roman"/>
              </w:rPr>
              <w:t>59.9</w:t>
            </w:r>
          </w:p>
        </w:tc>
        <w:tc>
          <w:tcPr>
            <w:tcW w:w="0" w:type="auto"/>
            <w:shd w:val="clear" w:color="auto" w:fill="auto"/>
            <w:vAlign w:val="center"/>
          </w:tcPr>
          <w:p>
            <w:pPr>
              <w:pStyle w:val="39"/>
              <w:rPr>
                <w:rFonts w:ascii="Times New Roman" w:hAnsi="Times New Roman"/>
              </w:rPr>
            </w:pPr>
            <w:r>
              <w:rPr>
                <w:rFonts w:ascii="Times New Roman" w:hAnsi="Times New Roman"/>
              </w:rPr>
              <w:t>73.6</w:t>
            </w:r>
          </w:p>
        </w:tc>
        <w:tc>
          <w:tcPr>
            <w:tcW w:w="0" w:type="auto"/>
            <w:shd w:val="clear" w:color="auto" w:fill="auto"/>
            <w:vAlign w:val="center"/>
          </w:tcPr>
          <w:p>
            <w:pPr>
              <w:pStyle w:val="39"/>
              <w:rPr>
                <w:rFonts w:ascii="Times New Roman" w:hAnsi="Times New Roman"/>
              </w:rPr>
            </w:pPr>
            <w:r>
              <w:rPr>
                <w:rFonts w:ascii="Times New Roman" w:hAnsi="Times New Roman"/>
              </w:rPr>
              <w:t>53.6</w:t>
            </w:r>
          </w:p>
        </w:tc>
        <w:tc>
          <w:tcPr>
            <w:tcW w:w="0" w:type="auto"/>
            <w:vAlign w:val="center"/>
          </w:tcPr>
          <w:p>
            <w:pPr>
              <w:pStyle w:val="39"/>
              <w:rPr>
                <w:rFonts w:ascii="Times New Roman" w:hAnsi="Times New Roman"/>
              </w:rPr>
            </w:pPr>
            <w:r>
              <w:rPr>
                <w:rFonts w:ascii="Times New Roman" w:hAnsi="Times New Roman"/>
              </w:rPr>
              <w:t>74.1</w:t>
            </w:r>
          </w:p>
        </w:tc>
        <w:tc>
          <w:tcPr>
            <w:tcW w:w="0" w:type="auto"/>
            <w:vAlign w:val="center"/>
          </w:tcPr>
          <w:p>
            <w:pPr>
              <w:pStyle w:val="39"/>
              <w:rPr>
                <w:rFonts w:ascii="Times New Roman" w:hAnsi="Times New Roman"/>
              </w:rPr>
            </w:pPr>
            <w:r>
              <w:rPr>
                <w:rFonts w:ascii="Times New Roman" w:hAnsi="Times New Roman"/>
              </w:rPr>
              <w:t>35.4</w:t>
            </w:r>
          </w:p>
        </w:tc>
        <w:tc>
          <w:tcPr>
            <w:tcW w:w="0" w:type="auto"/>
            <w:vAlign w:val="center"/>
          </w:tcPr>
          <w:p>
            <w:pPr>
              <w:pStyle w:val="39"/>
              <w:rPr>
                <w:rFonts w:ascii="Times New Roman" w:hAnsi="Times New Roman"/>
              </w:rPr>
            </w:pPr>
            <w:r>
              <w:rPr>
                <w:rFonts w:ascii="Times New Roman" w:hAnsi="Times New Roman"/>
              </w:rPr>
              <w:t>77.9</w:t>
            </w:r>
          </w:p>
        </w:tc>
        <w:tc>
          <w:tcPr>
            <w:tcW w:w="0" w:type="auto"/>
            <w:vAlign w:val="center"/>
          </w:tcPr>
          <w:p>
            <w:pPr>
              <w:pStyle w:val="39"/>
              <w:rPr>
                <w:rFonts w:ascii="Times New Roman" w:hAnsi="Times New Roman"/>
              </w:rPr>
            </w:pPr>
            <w:r>
              <w:rPr>
                <w:rFonts w:ascii="Times New Roman" w:hAnsi="Times New Roman"/>
              </w:rPr>
              <w:t>82</w:t>
            </w:r>
          </w:p>
        </w:tc>
        <w:tc>
          <w:tcPr>
            <w:tcW w:w="0" w:type="auto"/>
            <w:vAlign w:val="center"/>
          </w:tcPr>
          <w:p>
            <w:pPr>
              <w:pStyle w:val="39"/>
              <w:rPr>
                <w:rFonts w:ascii="Times New Roman" w:hAnsi="Times New Roman"/>
              </w:rPr>
            </w:pPr>
            <w:r>
              <w:rPr>
                <w:rFonts w:ascii="Times New Roman" w:hAnsi="Times New Roman"/>
              </w:rPr>
              <w:t>17.4</w:t>
            </w:r>
          </w:p>
        </w:tc>
        <w:tc>
          <w:tcPr>
            <w:tcW w:w="0" w:type="auto"/>
            <w:vAlign w:val="center"/>
          </w:tcPr>
          <w:p>
            <w:pPr>
              <w:pStyle w:val="39"/>
              <w:rPr>
                <w:rFonts w:ascii="Times New Roman" w:hAnsi="Times New Roman"/>
              </w:rPr>
            </w:pPr>
            <w:r>
              <w:rPr>
                <w:rFonts w:ascii="Times New Roman" w:hAnsi="Times New Roman"/>
              </w:rPr>
              <w:t>50.3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1484" w:type="dxa"/>
            <w:vMerge w:val="continue"/>
            <w:shd w:val="clear" w:color="auto" w:fill="auto"/>
            <w:noWrap/>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Mg</w:t>
            </w:r>
            <w:r>
              <w:rPr>
                <w:rFonts w:ascii="Times New Roman" w:hAnsi="Times New Roman"/>
                <w:vertAlign w:val="superscript"/>
              </w:rPr>
              <w:t>2+</w:t>
            </w:r>
          </w:p>
        </w:tc>
        <w:tc>
          <w:tcPr>
            <w:tcW w:w="0" w:type="auto"/>
            <w:shd w:val="clear" w:color="auto" w:fill="auto"/>
            <w:vAlign w:val="center"/>
          </w:tcPr>
          <w:p>
            <w:pPr>
              <w:pStyle w:val="39"/>
              <w:rPr>
                <w:rFonts w:ascii="Times New Roman" w:hAnsi="Times New Roman"/>
              </w:rPr>
            </w:pPr>
            <w:r>
              <w:rPr>
                <w:rFonts w:ascii="Times New Roman" w:hAnsi="Times New Roman"/>
              </w:rPr>
              <w:t>5.38</w:t>
            </w:r>
          </w:p>
        </w:tc>
        <w:tc>
          <w:tcPr>
            <w:tcW w:w="0" w:type="auto"/>
            <w:shd w:val="clear" w:color="auto" w:fill="auto"/>
            <w:vAlign w:val="center"/>
          </w:tcPr>
          <w:p>
            <w:pPr>
              <w:pStyle w:val="39"/>
              <w:rPr>
                <w:rFonts w:ascii="Times New Roman" w:hAnsi="Times New Roman"/>
              </w:rPr>
            </w:pPr>
            <w:r>
              <w:rPr>
                <w:rFonts w:ascii="Times New Roman" w:hAnsi="Times New Roman"/>
              </w:rPr>
              <w:t>13.6</w:t>
            </w:r>
          </w:p>
        </w:tc>
        <w:tc>
          <w:tcPr>
            <w:tcW w:w="0" w:type="auto"/>
            <w:shd w:val="clear" w:color="auto" w:fill="auto"/>
            <w:vAlign w:val="center"/>
          </w:tcPr>
          <w:p>
            <w:pPr>
              <w:pStyle w:val="39"/>
              <w:rPr>
                <w:rFonts w:ascii="Times New Roman" w:hAnsi="Times New Roman"/>
              </w:rPr>
            </w:pPr>
            <w:r>
              <w:rPr>
                <w:rFonts w:ascii="Times New Roman" w:hAnsi="Times New Roman"/>
              </w:rPr>
              <w:t>7.44</w:t>
            </w:r>
          </w:p>
        </w:tc>
        <w:tc>
          <w:tcPr>
            <w:tcW w:w="0" w:type="auto"/>
            <w:shd w:val="clear" w:color="auto" w:fill="auto"/>
            <w:vAlign w:val="center"/>
          </w:tcPr>
          <w:p>
            <w:pPr>
              <w:pStyle w:val="39"/>
              <w:rPr>
                <w:rFonts w:ascii="Times New Roman" w:hAnsi="Times New Roman"/>
              </w:rPr>
            </w:pPr>
            <w:r>
              <w:rPr>
                <w:rFonts w:ascii="Times New Roman" w:hAnsi="Times New Roman"/>
              </w:rPr>
              <w:t>14.1</w:t>
            </w:r>
          </w:p>
        </w:tc>
        <w:tc>
          <w:tcPr>
            <w:tcW w:w="0" w:type="auto"/>
            <w:shd w:val="clear" w:color="auto" w:fill="auto"/>
            <w:vAlign w:val="center"/>
          </w:tcPr>
          <w:p>
            <w:pPr>
              <w:pStyle w:val="39"/>
              <w:rPr>
                <w:rFonts w:ascii="Times New Roman" w:hAnsi="Times New Roman"/>
              </w:rPr>
            </w:pPr>
            <w:r>
              <w:rPr>
                <w:rFonts w:ascii="Times New Roman" w:hAnsi="Times New Roman"/>
              </w:rPr>
              <w:t>10.4</w:t>
            </w:r>
          </w:p>
        </w:tc>
        <w:tc>
          <w:tcPr>
            <w:tcW w:w="0" w:type="auto"/>
            <w:vAlign w:val="center"/>
          </w:tcPr>
          <w:p>
            <w:pPr>
              <w:pStyle w:val="39"/>
              <w:rPr>
                <w:rFonts w:ascii="Times New Roman" w:hAnsi="Times New Roman"/>
              </w:rPr>
            </w:pPr>
            <w:r>
              <w:rPr>
                <w:rFonts w:ascii="Times New Roman" w:hAnsi="Times New Roman"/>
              </w:rPr>
              <w:t>13.4</w:t>
            </w:r>
          </w:p>
        </w:tc>
        <w:tc>
          <w:tcPr>
            <w:tcW w:w="0" w:type="auto"/>
            <w:vAlign w:val="center"/>
          </w:tcPr>
          <w:p>
            <w:pPr>
              <w:pStyle w:val="39"/>
              <w:rPr>
                <w:rFonts w:ascii="Times New Roman" w:hAnsi="Times New Roman"/>
              </w:rPr>
            </w:pPr>
            <w:r>
              <w:rPr>
                <w:rFonts w:ascii="Times New Roman" w:hAnsi="Times New Roman"/>
              </w:rPr>
              <w:t>5.39</w:t>
            </w:r>
          </w:p>
        </w:tc>
        <w:tc>
          <w:tcPr>
            <w:tcW w:w="0" w:type="auto"/>
            <w:vAlign w:val="center"/>
          </w:tcPr>
          <w:p>
            <w:pPr>
              <w:pStyle w:val="39"/>
              <w:rPr>
                <w:rFonts w:ascii="Times New Roman" w:hAnsi="Times New Roman"/>
              </w:rPr>
            </w:pPr>
            <w:r>
              <w:rPr>
                <w:rFonts w:ascii="Times New Roman" w:hAnsi="Times New Roman"/>
              </w:rPr>
              <w:t>8.94</w:t>
            </w:r>
          </w:p>
        </w:tc>
        <w:tc>
          <w:tcPr>
            <w:tcW w:w="0" w:type="auto"/>
            <w:vAlign w:val="center"/>
          </w:tcPr>
          <w:p>
            <w:pPr>
              <w:pStyle w:val="39"/>
              <w:rPr>
                <w:rFonts w:ascii="Times New Roman" w:hAnsi="Times New Roman"/>
              </w:rPr>
            </w:pPr>
            <w:r>
              <w:rPr>
                <w:rFonts w:ascii="Times New Roman" w:hAnsi="Times New Roman"/>
              </w:rPr>
              <w:t>8.71</w:t>
            </w:r>
          </w:p>
        </w:tc>
        <w:tc>
          <w:tcPr>
            <w:tcW w:w="0" w:type="auto"/>
            <w:vAlign w:val="center"/>
          </w:tcPr>
          <w:p>
            <w:pPr>
              <w:pStyle w:val="39"/>
              <w:rPr>
                <w:rFonts w:ascii="Times New Roman" w:hAnsi="Times New Roman"/>
              </w:rPr>
            </w:pPr>
            <w:r>
              <w:rPr>
                <w:rFonts w:ascii="Times New Roman" w:hAnsi="Times New Roman"/>
              </w:rPr>
              <w:t>2.38</w:t>
            </w:r>
          </w:p>
        </w:tc>
        <w:tc>
          <w:tcPr>
            <w:tcW w:w="0" w:type="auto"/>
            <w:vAlign w:val="center"/>
          </w:tcPr>
          <w:p>
            <w:pPr>
              <w:pStyle w:val="39"/>
              <w:rPr>
                <w:rFonts w:ascii="Times New Roman" w:hAnsi="Times New Roman"/>
              </w:rPr>
            </w:pPr>
            <w:r>
              <w:rPr>
                <w:rFonts w:ascii="Times New Roman" w:hAnsi="Times New Roman"/>
              </w:rPr>
              <w:t>6.82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1484" w:type="dxa"/>
            <w:vMerge w:val="continue"/>
            <w:shd w:val="clear" w:color="auto" w:fill="auto"/>
            <w:noWrap/>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CO</w:t>
            </w:r>
            <w:r>
              <w:rPr>
                <w:rFonts w:ascii="Times New Roman" w:hAnsi="Times New Roman"/>
                <w:vertAlign w:val="subscript"/>
              </w:rPr>
              <w:t>3</w:t>
            </w:r>
            <w:r>
              <w:rPr>
                <w:rFonts w:ascii="Times New Roman" w:hAnsi="Times New Roman"/>
                <w:vertAlign w:val="superscript"/>
              </w:rPr>
              <w:t>2-</w:t>
            </w:r>
          </w:p>
        </w:tc>
        <w:tc>
          <w:tcPr>
            <w:tcW w:w="0" w:type="auto"/>
            <w:shd w:val="clear" w:color="auto" w:fill="auto"/>
            <w:vAlign w:val="center"/>
          </w:tcPr>
          <w:p>
            <w:pPr>
              <w:pStyle w:val="39"/>
              <w:rPr>
                <w:rFonts w:ascii="Times New Roman" w:hAnsi="Times New Roman"/>
              </w:rPr>
            </w:pPr>
            <w:r>
              <w:rPr>
                <w:rFonts w:ascii="Times New Roman" w:hAnsi="Times New Roman"/>
              </w:rPr>
              <w:t>8</w:t>
            </w:r>
          </w:p>
        </w:tc>
        <w:tc>
          <w:tcPr>
            <w:tcW w:w="0" w:type="auto"/>
            <w:shd w:val="clear" w:color="auto" w:fill="auto"/>
            <w:vAlign w:val="center"/>
          </w:tcPr>
          <w:p>
            <w:pPr>
              <w:pStyle w:val="39"/>
              <w:rPr>
                <w:rFonts w:ascii="Times New Roman" w:hAnsi="Times New Roman"/>
              </w:rPr>
            </w:pPr>
            <w:r>
              <w:rPr>
                <w:rFonts w:ascii="Times New Roman" w:hAnsi="Times New Roman"/>
              </w:rPr>
              <w:t>＜5</w:t>
            </w:r>
          </w:p>
        </w:tc>
        <w:tc>
          <w:tcPr>
            <w:tcW w:w="0" w:type="auto"/>
            <w:shd w:val="clear" w:color="auto" w:fill="auto"/>
          </w:tcPr>
          <w:p>
            <w:pPr>
              <w:pStyle w:val="39"/>
              <w:rPr>
                <w:rFonts w:ascii="Times New Roman" w:hAnsi="Times New Roman"/>
              </w:rPr>
            </w:pPr>
            <w:r>
              <w:rPr>
                <w:rFonts w:ascii="Times New Roman" w:hAnsi="Times New Roman"/>
              </w:rPr>
              <w:t>＜5</w:t>
            </w:r>
          </w:p>
        </w:tc>
        <w:tc>
          <w:tcPr>
            <w:tcW w:w="0" w:type="auto"/>
            <w:shd w:val="clear" w:color="auto" w:fill="auto"/>
          </w:tcPr>
          <w:p>
            <w:pPr>
              <w:pStyle w:val="39"/>
              <w:rPr>
                <w:rFonts w:ascii="Times New Roman" w:hAnsi="Times New Roman"/>
              </w:rPr>
            </w:pPr>
            <w:r>
              <w:rPr>
                <w:rFonts w:ascii="Times New Roman" w:hAnsi="Times New Roman"/>
              </w:rPr>
              <w:t>＜5</w:t>
            </w:r>
          </w:p>
        </w:tc>
        <w:tc>
          <w:tcPr>
            <w:tcW w:w="0" w:type="auto"/>
            <w:shd w:val="clear" w:color="auto" w:fill="auto"/>
          </w:tcPr>
          <w:p>
            <w:pPr>
              <w:pStyle w:val="39"/>
              <w:rPr>
                <w:rFonts w:ascii="Times New Roman" w:hAnsi="Times New Roman"/>
              </w:rPr>
            </w:pPr>
            <w:r>
              <w:rPr>
                <w:rFonts w:ascii="Times New Roman" w:hAnsi="Times New Roman"/>
              </w:rPr>
              <w:t>＜5</w:t>
            </w:r>
          </w:p>
        </w:tc>
        <w:tc>
          <w:tcPr>
            <w:tcW w:w="0" w:type="auto"/>
          </w:tcPr>
          <w:p>
            <w:pPr>
              <w:pStyle w:val="39"/>
              <w:rPr>
                <w:rFonts w:ascii="Times New Roman" w:hAnsi="Times New Roman"/>
              </w:rPr>
            </w:pPr>
            <w:r>
              <w:rPr>
                <w:rFonts w:ascii="Times New Roman" w:hAnsi="Times New Roman"/>
              </w:rPr>
              <w:t>＜5</w:t>
            </w:r>
          </w:p>
        </w:tc>
        <w:tc>
          <w:tcPr>
            <w:tcW w:w="0" w:type="auto"/>
          </w:tcPr>
          <w:p>
            <w:pPr>
              <w:pStyle w:val="39"/>
              <w:rPr>
                <w:rFonts w:ascii="Times New Roman" w:hAnsi="Times New Roman"/>
              </w:rPr>
            </w:pPr>
            <w:r>
              <w:rPr>
                <w:rFonts w:ascii="Times New Roman" w:hAnsi="Times New Roman"/>
              </w:rPr>
              <w:t>＜5</w:t>
            </w:r>
          </w:p>
        </w:tc>
        <w:tc>
          <w:tcPr>
            <w:tcW w:w="0" w:type="auto"/>
          </w:tcPr>
          <w:p>
            <w:pPr>
              <w:pStyle w:val="39"/>
              <w:rPr>
                <w:rFonts w:ascii="Times New Roman" w:hAnsi="Times New Roman"/>
              </w:rPr>
            </w:pPr>
            <w:r>
              <w:rPr>
                <w:rFonts w:ascii="Times New Roman" w:hAnsi="Times New Roman"/>
              </w:rPr>
              <w:t>＜5</w:t>
            </w:r>
          </w:p>
        </w:tc>
        <w:tc>
          <w:tcPr>
            <w:tcW w:w="0" w:type="auto"/>
          </w:tcPr>
          <w:p>
            <w:pPr>
              <w:pStyle w:val="39"/>
              <w:rPr>
                <w:rFonts w:ascii="Times New Roman" w:hAnsi="Times New Roman"/>
              </w:rPr>
            </w:pPr>
            <w:r>
              <w:rPr>
                <w:rFonts w:ascii="Times New Roman" w:hAnsi="Times New Roman"/>
              </w:rPr>
              <w:t>＜5</w:t>
            </w:r>
          </w:p>
        </w:tc>
        <w:tc>
          <w:tcPr>
            <w:tcW w:w="0" w:type="auto"/>
          </w:tcPr>
          <w:p>
            <w:pPr>
              <w:pStyle w:val="39"/>
              <w:rPr>
                <w:rFonts w:ascii="Times New Roman" w:hAnsi="Times New Roman"/>
              </w:rPr>
            </w:pPr>
            <w:r>
              <w:rPr>
                <w:rFonts w:ascii="Times New Roman" w:hAnsi="Times New Roman"/>
              </w:rPr>
              <w:t>＜5</w:t>
            </w:r>
          </w:p>
        </w:tc>
        <w:tc>
          <w:tcPr>
            <w:tcW w:w="0" w:type="auto"/>
          </w:tcPr>
          <w:p>
            <w:pPr>
              <w:pStyle w:val="39"/>
              <w:rPr>
                <w:rFonts w:ascii="Times New Roman" w:hAnsi="Times New Roman"/>
              </w:rPr>
            </w:pPr>
            <w:r>
              <w:rPr>
                <w:rFonts w:ascii="Times New Roman" w:hAnsi="Times New Roma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1484" w:type="dxa"/>
            <w:vMerge w:val="continue"/>
            <w:shd w:val="clear" w:color="auto" w:fill="auto"/>
            <w:noWrap/>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HCO</w:t>
            </w:r>
            <w:r>
              <w:rPr>
                <w:rFonts w:ascii="Times New Roman" w:hAnsi="Times New Roman"/>
                <w:vertAlign w:val="subscript"/>
              </w:rPr>
              <w:t>3</w:t>
            </w:r>
            <w:r>
              <w:rPr>
                <w:rFonts w:ascii="Times New Roman" w:hAnsi="Times New Roman"/>
                <w:vertAlign w:val="superscript"/>
              </w:rPr>
              <w:t>-</w:t>
            </w:r>
          </w:p>
        </w:tc>
        <w:tc>
          <w:tcPr>
            <w:tcW w:w="0" w:type="auto"/>
            <w:shd w:val="clear" w:color="auto" w:fill="auto"/>
            <w:vAlign w:val="center"/>
          </w:tcPr>
          <w:p>
            <w:pPr>
              <w:pStyle w:val="39"/>
              <w:rPr>
                <w:rFonts w:ascii="Times New Roman" w:hAnsi="Times New Roman"/>
              </w:rPr>
            </w:pPr>
            <w:r>
              <w:rPr>
                <w:rFonts w:ascii="Times New Roman" w:hAnsi="Times New Roman"/>
              </w:rPr>
              <w:t>227</w:t>
            </w:r>
          </w:p>
        </w:tc>
        <w:tc>
          <w:tcPr>
            <w:tcW w:w="0" w:type="auto"/>
            <w:shd w:val="clear" w:color="auto" w:fill="auto"/>
            <w:vAlign w:val="center"/>
          </w:tcPr>
          <w:p>
            <w:pPr>
              <w:pStyle w:val="39"/>
              <w:rPr>
                <w:rFonts w:ascii="Times New Roman" w:hAnsi="Times New Roman"/>
              </w:rPr>
            </w:pPr>
            <w:r>
              <w:rPr>
                <w:rFonts w:ascii="Times New Roman" w:hAnsi="Times New Roman"/>
              </w:rPr>
              <w:t>356</w:t>
            </w:r>
          </w:p>
        </w:tc>
        <w:tc>
          <w:tcPr>
            <w:tcW w:w="0" w:type="auto"/>
            <w:shd w:val="clear" w:color="auto" w:fill="auto"/>
            <w:vAlign w:val="center"/>
          </w:tcPr>
          <w:p>
            <w:pPr>
              <w:pStyle w:val="39"/>
              <w:rPr>
                <w:rFonts w:ascii="Times New Roman" w:hAnsi="Times New Roman"/>
              </w:rPr>
            </w:pPr>
            <w:r>
              <w:rPr>
                <w:rFonts w:ascii="Times New Roman" w:hAnsi="Times New Roman"/>
              </w:rPr>
              <w:t>185</w:t>
            </w:r>
          </w:p>
        </w:tc>
        <w:tc>
          <w:tcPr>
            <w:tcW w:w="0" w:type="auto"/>
            <w:shd w:val="clear" w:color="auto" w:fill="auto"/>
            <w:vAlign w:val="center"/>
          </w:tcPr>
          <w:p>
            <w:pPr>
              <w:pStyle w:val="39"/>
              <w:rPr>
                <w:rFonts w:ascii="Times New Roman" w:hAnsi="Times New Roman"/>
              </w:rPr>
            </w:pPr>
            <w:r>
              <w:rPr>
                <w:rFonts w:ascii="Times New Roman" w:hAnsi="Times New Roman"/>
              </w:rPr>
              <w:t>200</w:t>
            </w:r>
          </w:p>
        </w:tc>
        <w:tc>
          <w:tcPr>
            <w:tcW w:w="0" w:type="auto"/>
            <w:shd w:val="clear" w:color="auto" w:fill="auto"/>
            <w:vAlign w:val="center"/>
          </w:tcPr>
          <w:p>
            <w:pPr>
              <w:pStyle w:val="39"/>
              <w:rPr>
                <w:rFonts w:ascii="Times New Roman" w:hAnsi="Times New Roman"/>
              </w:rPr>
            </w:pPr>
            <w:r>
              <w:rPr>
                <w:rFonts w:ascii="Times New Roman" w:hAnsi="Times New Roman"/>
              </w:rPr>
              <w:t>188</w:t>
            </w:r>
          </w:p>
        </w:tc>
        <w:tc>
          <w:tcPr>
            <w:tcW w:w="0" w:type="auto"/>
            <w:vAlign w:val="center"/>
          </w:tcPr>
          <w:p>
            <w:pPr>
              <w:pStyle w:val="39"/>
              <w:rPr>
                <w:rFonts w:ascii="Times New Roman" w:hAnsi="Times New Roman"/>
              </w:rPr>
            </w:pPr>
            <w:r>
              <w:rPr>
                <w:rFonts w:ascii="Times New Roman" w:hAnsi="Times New Roman"/>
              </w:rPr>
              <w:t>78</w:t>
            </w:r>
          </w:p>
        </w:tc>
        <w:tc>
          <w:tcPr>
            <w:tcW w:w="0" w:type="auto"/>
            <w:vAlign w:val="center"/>
          </w:tcPr>
          <w:p>
            <w:pPr>
              <w:pStyle w:val="39"/>
              <w:rPr>
                <w:rFonts w:ascii="Times New Roman" w:hAnsi="Times New Roman"/>
              </w:rPr>
            </w:pPr>
            <w:r>
              <w:rPr>
                <w:rFonts w:ascii="Times New Roman" w:hAnsi="Times New Roman"/>
              </w:rPr>
              <w:t>122</w:t>
            </w:r>
          </w:p>
        </w:tc>
        <w:tc>
          <w:tcPr>
            <w:tcW w:w="0" w:type="auto"/>
            <w:vAlign w:val="center"/>
          </w:tcPr>
          <w:p>
            <w:pPr>
              <w:pStyle w:val="39"/>
              <w:rPr>
                <w:rFonts w:ascii="Times New Roman" w:hAnsi="Times New Roman"/>
              </w:rPr>
            </w:pPr>
            <w:r>
              <w:rPr>
                <w:rFonts w:ascii="Times New Roman" w:hAnsi="Times New Roman"/>
              </w:rPr>
              <w:t>290</w:t>
            </w:r>
          </w:p>
        </w:tc>
        <w:tc>
          <w:tcPr>
            <w:tcW w:w="0" w:type="auto"/>
            <w:vAlign w:val="center"/>
          </w:tcPr>
          <w:p>
            <w:pPr>
              <w:pStyle w:val="39"/>
              <w:rPr>
                <w:rFonts w:ascii="Times New Roman" w:hAnsi="Times New Roman"/>
              </w:rPr>
            </w:pPr>
            <w:r>
              <w:rPr>
                <w:rFonts w:ascii="Times New Roman" w:hAnsi="Times New Roman"/>
              </w:rPr>
              <w:t>296</w:t>
            </w:r>
          </w:p>
        </w:tc>
        <w:tc>
          <w:tcPr>
            <w:tcW w:w="0" w:type="auto"/>
            <w:vAlign w:val="center"/>
          </w:tcPr>
          <w:p>
            <w:pPr>
              <w:pStyle w:val="39"/>
              <w:rPr>
                <w:rFonts w:ascii="Times New Roman" w:hAnsi="Times New Roman"/>
              </w:rPr>
            </w:pPr>
            <w:r>
              <w:rPr>
                <w:rFonts w:ascii="Times New Roman" w:hAnsi="Times New Roman"/>
              </w:rPr>
              <w:t>63</w:t>
            </w:r>
          </w:p>
        </w:tc>
        <w:tc>
          <w:tcPr>
            <w:tcW w:w="0" w:type="auto"/>
            <w:vAlign w:val="center"/>
          </w:tcPr>
          <w:p>
            <w:pPr>
              <w:pStyle w:val="39"/>
              <w:rPr>
                <w:rFonts w:ascii="Times New Roman" w:hAnsi="Times New Roman"/>
              </w:rPr>
            </w:pPr>
            <w:r>
              <w:rPr>
                <w:rFonts w:ascii="Times New Roman" w:hAnsi="Times New Roman"/>
              </w:rPr>
              <w:t>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1484" w:type="dxa"/>
            <w:vMerge w:val="continue"/>
            <w:shd w:val="clear" w:color="auto" w:fill="auto"/>
            <w:noWrap/>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4</w:t>
            </w:r>
            <w:r>
              <w:rPr>
                <w:rFonts w:ascii="Times New Roman" w:hAnsi="Times New Roman"/>
                <w:vertAlign w:val="superscript"/>
              </w:rPr>
              <w:t>2-</w:t>
            </w:r>
          </w:p>
        </w:tc>
        <w:tc>
          <w:tcPr>
            <w:tcW w:w="0" w:type="auto"/>
            <w:shd w:val="clear" w:color="auto" w:fill="auto"/>
            <w:vAlign w:val="center"/>
          </w:tcPr>
          <w:p>
            <w:pPr>
              <w:pStyle w:val="39"/>
              <w:rPr>
                <w:rFonts w:ascii="Times New Roman" w:hAnsi="Times New Roman"/>
              </w:rPr>
            </w:pPr>
            <w:r>
              <w:rPr>
                <w:rFonts w:ascii="Times New Roman" w:hAnsi="Times New Roman"/>
              </w:rPr>
              <w:t>12.7</w:t>
            </w:r>
          </w:p>
        </w:tc>
        <w:tc>
          <w:tcPr>
            <w:tcW w:w="0" w:type="auto"/>
            <w:shd w:val="clear" w:color="auto" w:fill="auto"/>
            <w:vAlign w:val="center"/>
          </w:tcPr>
          <w:p>
            <w:pPr>
              <w:pStyle w:val="39"/>
              <w:rPr>
                <w:rFonts w:ascii="Times New Roman" w:hAnsi="Times New Roman"/>
              </w:rPr>
            </w:pPr>
            <w:r>
              <w:rPr>
                <w:rFonts w:ascii="Times New Roman" w:hAnsi="Times New Roman"/>
              </w:rPr>
              <w:t>14.8</w:t>
            </w:r>
          </w:p>
        </w:tc>
        <w:tc>
          <w:tcPr>
            <w:tcW w:w="0" w:type="auto"/>
            <w:shd w:val="clear" w:color="auto" w:fill="auto"/>
            <w:vAlign w:val="center"/>
          </w:tcPr>
          <w:p>
            <w:pPr>
              <w:pStyle w:val="39"/>
              <w:rPr>
                <w:rFonts w:ascii="Times New Roman" w:hAnsi="Times New Roman"/>
              </w:rPr>
            </w:pPr>
            <w:r>
              <w:rPr>
                <w:rFonts w:ascii="Times New Roman" w:hAnsi="Times New Roman"/>
              </w:rPr>
              <w:t>13.2</w:t>
            </w:r>
          </w:p>
        </w:tc>
        <w:tc>
          <w:tcPr>
            <w:tcW w:w="0" w:type="auto"/>
            <w:shd w:val="clear" w:color="auto" w:fill="auto"/>
            <w:vAlign w:val="center"/>
          </w:tcPr>
          <w:p>
            <w:pPr>
              <w:pStyle w:val="39"/>
              <w:rPr>
                <w:rFonts w:ascii="Times New Roman" w:hAnsi="Times New Roman"/>
              </w:rPr>
            </w:pPr>
            <w:r>
              <w:rPr>
                <w:rFonts w:ascii="Times New Roman" w:hAnsi="Times New Roman"/>
              </w:rPr>
              <w:t>22.2</w:t>
            </w:r>
          </w:p>
        </w:tc>
        <w:tc>
          <w:tcPr>
            <w:tcW w:w="0" w:type="auto"/>
            <w:shd w:val="clear" w:color="auto" w:fill="auto"/>
            <w:vAlign w:val="center"/>
          </w:tcPr>
          <w:p>
            <w:pPr>
              <w:pStyle w:val="39"/>
              <w:rPr>
                <w:rFonts w:ascii="Times New Roman" w:hAnsi="Times New Roman"/>
              </w:rPr>
            </w:pPr>
            <w:r>
              <w:rPr>
                <w:rFonts w:ascii="Times New Roman" w:hAnsi="Times New Roman"/>
              </w:rPr>
              <w:t>13</w:t>
            </w:r>
          </w:p>
        </w:tc>
        <w:tc>
          <w:tcPr>
            <w:tcW w:w="0" w:type="auto"/>
            <w:vAlign w:val="center"/>
          </w:tcPr>
          <w:p>
            <w:pPr>
              <w:pStyle w:val="39"/>
              <w:rPr>
                <w:rFonts w:ascii="Times New Roman" w:hAnsi="Times New Roman"/>
              </w:rPr>
            </w:pPr>
            <w:r>
              <w:rPr>
                <w:rFonts w:ascii="Times New Roman" w:hAnsi="Times New Roman"/>
              </w:rPr>
              <w:t>86.6</w:t>
            </w:r>
          </w:p>
        </w:tc>
        <w:tc>
          <w:tcPr>
            <w:tcW w:w="0" w:type="auto"/>
            <w:vAlign w:val="center"/>
          </w:tcPr>
          <w:p>
            <w:pPr>
              <w:pStyle w:val="39"/>
              <w:rPr>
                <w:rFonts w:ascii="Times New Roman" w:hAnsi="Times New Roman"/>
              </w:rPr>
            </w:pPr>
            <w:r>
              <w:rPr>
                <w:rFonts w:ascii="Times New Roman" w:hAnsi="Times New Roman"/>
              </w:rPr>
              <w:t>17</w:t>
            </w:r>
          </w:p>
        </w:tc>
        <w:tc>
          <w:tcPr>
            <w:tcW w:w="0" w:type="auto"/>
            <w:vAlign w:val="center"/>
          </w:tcPr>
          <w:p>
            <w:pPr>
              <w:pStyle w:val="39"/>
              <w:rPr>
                <w:rFonts w:ascii="Times New Roman" w:hAnsi="Times New Roman"/>
              </w:rPr>
            </w:pPr>
            <w:r>
              <w:rPr>
                <w:rFonts w:ascii="Times New Roman" w:hAnsi="Times New Roman"/>
              </w:rPr>
              <w:t>10.5</w:t>
            </w:r>
          </w:p>
        </w:tc>
        <w:tc>
          <w:tcPr>
            <w:tcW w:w="0" w:type="auto"/>
            <w:vAlign w:val="center"/>
          </w:tcPr>
          <w:p>
            <w:pPr>
              <w:pStyle w:val="39"/>
              <w:rPr>
                <w:rFonts w:ascii="Times New Roman" w:hAnsi="Times New Roman"/>
              </w:rPr>
            </w:pPr>
            <w:r>
              <w:rPr>
                <w:rFonts w:ascii="Times New Roman" w:hAnsi="Times New Roman"/>
              </w:rPr>
              <w:t>19.8</w:t>
            </w:r>
          </w:p>
        </w:tc>
        <w:tc>
          <w:tcPr>
            <w:tcW w:w="0" w:type="auto"/>
            <w:vAlign w:val="center"/>
          </w:tcPr>
          <w:p>
            <w:pPr>
              <w:pStyle w:val="39"/>
              <w:rPr>
                <w:rFonts w:ascii="Times New Roman" w:hAnsi="Times New Roman"/>
              </w:rPr>
            </w:pPr>
            <w:r>
              <w:rPr>
                <w:rFonts w:ascii="Times New Roman" w:hAnsi="Times New Roman"/>
              </w:rPr>
              <w:t>1.01</w:t>
            </w:r>
          </w:p>
        </w:tc>
        <w:tc>
          <w:tcPr>
            <w:tcW w:w="0" w:type="auto"/>
            <w:vAlign w:val="center"/>
          </w:tcPr>
          <w:p>
            <w:pPr>
              <w:pStyle w:val="39"/>
              <w:rPr>
                <w:rFonts w:ascii="Times New Roman" w:hAnsi="Times New Roman"/>
              </w:rPr>
            </w:pPr>
            <w:r>
              <w:rPr>
                <w:rFonts w:ascii="Times New Roman" w:hAnsi="Times New Roman"/>
              </w:rPr>
              <w:t>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1484" w:type="dxa"/>
            <w:vMerge w:val="continue"/>
            <w:shd w:val="clear" w:color="auto" w:fill="auto"/>
            <w:noWrap/>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Cl</w:t>
            </w:r>
            <w:r>
              <w:rPr>
                <w:rFonts w:ascii="Times New Roman" w:hAnsi="Times New Roman"/>
                <w:vertAlign w:val="superscript"/>
              </w:rPr>
              <w:t>-</w:t>
            </w:r>
          </w:p>
        </w:tc>
        <w:tc>
          <w:tcPr>
            <w:tcW w:w="0" w:type="auto"/>
            <w:shd w:val="clear" w:color="auto" w:fill="auto"/>
            <w:vAlign w:val="center"/>
          </w:tcPr>
          <w:p>
            <w:pPr>
              <w:pStyle w:val="39"/>
              <w:rPr>
                <w:rFonts w:ascii="Times New Roman" w:hAnsi="Times New Roman"/>
              </w:rPr>
            </w:pPr>
            <w:r>
              <w:rPr>
                <w:rFonts w:ascii="Times New Roman" w:hAnsi="Times New Roman"/>
              </w:rPr>
              <w:t>4.84</w:t>
            </w:r>
          </w:p>
        </w:tc>
        <w:tc>
          <w:tcPr>
            <w:tcW w:w="0" w:type="auto"/>
            <w:shd w:val="clear" w:color="auto" w:fill="auto"/>
            <w:vAlign w:val="center"/>
          </w:tcPr>
          <w:p>
            <w:pPr>
              <w:pStyle w:val="39"/>
              <w:rPr>
                <w:rFonts w:ascii="Times New Roman" w:hAnsi="Times New Roman"/>
              </w:rPr>
            </w:pPr>
            <w:r>
              <w:rPr>
                <w:rFonts w:ascii="Times New Roman" w:hAnsi="Times New Roman"/>
              </w:rPr>
              <w:t>32.7</w:t>
            </w:r>
          </w:p>
        </w:tc>
        <w:tc>
          <w:tcPr>
            <w:tcW w:w="0" w:type="auto"/>
            <w:shd w:val="clear" w:color="auto" w:fill="auto"/>
            <w:vAlign w:val="center"/>
          </w:tcPr>
          <w:p>
            <w:pPr>
              <w:pStyle w:val="39"/>
              <w:rPr>
                <w:rFonts w:ascii="Times New Roman" w:hAnsi="Times New Roman"/>
              </w:rPr>
            </w:pPr>
            <w:r>
              <w:rPr>
                <w:rFonts w:ascii="Times New Roman" w:hAnsi="Times New Roman"/>
              </w:rPr>
              <w:t>1.19</w:t>
            </w:r>
          </w:p>
        </w:tc>
        <w:tc>
          <w:tcPr>
            <w:tcW w:w="0" w:type="auto"/>
            <w:shd w:val="clear" w:color="auto" w:fill="auto"/>
            <w:vAlign w:val="center"/>
          </w:tcPr>
          <w:p>
            <w:pPr>
              <w:pStyle w:val="39"/>
              <w:rPr>
                <w:rFonts w:ascii="Times New Roman" w:hAnsi="Times New Roman"/>
              </w:rPr>
            </w:pPr>
            <w:r>
              <w:rPr>
                <w:rFonts w:ascii="Times New Roman" w:hAnsi="Times New Roman"/>
              </w:rPr>
              <w:t>34.2</w:t>
            </w:r>
          </w:p>
        </w:tc>
        <w:tc>
          <w:tcPr>
            <w:tcW w:w="0" w:type="auto"/>
            <w:shd w:val="clear" w:color="auto" w:fill="auto"/>
            <w:vAlign w:val="center"/>
          </w:tcPr>
          <w:p>
            <w:pPr>
              <w:pStyle w:val="39"/>
              <w:rPr>
                <w:rFonts w:ascii="Times New Roman" w:hAnsi="Times New Roman"/>
              </w:rPr>
            </w:pPr>
            <w:r>
              <w:rPr>
                <w:rFonts w:ascii="Times New Roman" w:hAnsi="Times New Roman"/>
              </w:rPr>
              <w:t>14.4</w:t>
            </w:r>
          </w:p>
        </w:tc>
        <w:tc>
          <w:tcPr>
            <w:tcW w:w="0" w:type="auto"/>
            <w:vAlign w:val="center"/>
          </w:tcPr>
          <w:p>
            <w:pPr>
              <w:pStyle w:val="39"/>
              <w:rPr>
                <w:rFonts w:ascii="Times New Roman" w:hAnsi="Times New Roman"/>
              </w:rPr>
            </w:pPr>
            <w:r>
              <w:rPr>
                <w:rFonts w:ascii="Times New Roman" w:hAnsi="Times New Roman"/>
              </w:rPr>
              <w:t>134</w:t>
            </w:r>
          </w:p>
        </w:tc>
        <w:tc>
          <w:tcPr>
            <w:tcW w:w="0" w:type="auto"/>
            <w:vAlign w:val="center"/>
          </w:tcPr>
          <w:p>
            <w:pPr>
              <w:pStyle w:val="39"/>
              <w:rPr>
                <w:rFonts w:ascii="Times New Roman" w:hAnsi="Times New Roman"/>
              </w:rPr>
            </w:pPr>
            <w:r>
              <w:rPr>
                <w:rFonts w:ascii="Times New Roman" w:hAnsi="Times New Roman"/>
              </w:rPr>
              <w:t>27.9</w:t>
            </w:r>
          </w:p>
        </w:tc>
        <w:tc>
          <w:tcPr>
            <w:tcW w:w="0" w:type="auto"/>
            <w:vAlign w:val="center"/>
          </w:tcPr>
          <w:p>
            <w:pPr>
              <w:pStyle w:val="39"/>
              <w:rPr>
                <w:rFonts w:ascii="Times New Roman" w:hAnsi="Times New Roman"/>
              </w:rPr>
            </w:pPr>
            <w:r>
              <w:rPr>
                <w:rFonts w:ascii="Times New Roman" w:hAnsi="Times New Roman"/>
              </w:rPr>
              <w:t>3.1</w:t>
            </w:r>
          </w:p>
        </w:tc>
        <w:tc>
          <w:tcPr>
            <w:tcW w:w="0" w:type="auto"/>
            <w:vAlign w:val="center"/>
          </w:tcPr>
          <w:p>
            <w:pPr>
              <w:pStyle w:val="39"/>
              <w:rPr>
                <w:rFonts w:ascii="Times New Roman" w:hAnsi="Times New Roman"/>
              </w:rPr>
            </w:pPr>
            <w:r>
              <w:rPr>
                <w:rFonts w:ascii="Times New Roman" w:hAnsi="Times New Roman"/>
              </w:rPr>
              <w:t>22.7</w:t>
            </w:r>
          </w:p>
        </w:tc>
        <w:tc>
          <w:tcPr>
            <w:tcW w:w="0" w:type="auto"/>
            <w:vAlign w:val="center"/>
          </w:tcPr>
          <w:p>
            <w:pPr>
              <w:pStyle w:val="39"/>
              <w:rPr>
                <w:rFonts w:ascii="Times New Roman" w:hAnsi="Times New Roman"/>
              </w:rPr>
            </w:pPr>
            <w:r>
              <w:rPr>
                <w:rFonts w:ascii="Times New Roman" w:hAnsi="Times New Roman"/>
              </w:rPr>
              <w:t>0.671</w:t>
            </w:r>
          </w:p>
        </w:tc>
        <w:tc>
          <w:tcPr>
            <w:tcW w:w="0" w:type="auto"/>
            <w:vAlign w:val="center"/>
          </w:tcPr>
          <w:p>
            <w:pPr>
              <w:pStyle w:val="39"/>
              <w:rPr>
                <w:rFonts w:ascii="Times New Roman" w:hAnsi="Times New Roman"/>
              </w:rPr>
            </w:pPr>
            <w:r>
              <w:rPr>
                <w:rFonts w:ascii="Times New Roman" w:hAnsi="Times New Roman"/>
              </w:rPr>
              <w:t>13.9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1484" w:type="dxa"/>
            <w:vMerge w:val="restart"/>
            <w:shd w:val="clear" w:color="auto" w:fill="auto"/>
            <w:vAlign w:val="center"/>
          </w:tcPr>
          <w:p>
            <w:pPr>
              <w:pStyle w:val="39"/>
              <w:rPr>
                <w:rFonts w:ascii="Times New Roman" w:hAnsi="Times New Roman"/>
              </w:rPr>
            </w:pPr>
            <w:r>
              <w:rPr>
                <w:rFonts w:ascii="Times New Roman" w:hAnsi="Times New Roman"/>
              </w:rPr>
              <w:t>当量浓度</w:t>
            </w:r>
          </w:p>
          <w:p>
            <w:pPr>
              <w:pStyle w:val="39"/>
              <w:rPr>
                <w:rFonts w:ascii="Times New Roman" w:hAnsi="Times New Roman"/>
              </w:rPr>
            </w:pPr>
            <w:r>
              <w:rPr>
                <w:rFonts w:ascii="Times New Roman" w:hAnsi="Times New Roman"/>
              </w:rPr>
              <w:t>meq/L</w:t>
            </w:r>
          </w:p>
        </w:tc>
        <w:tc>
          <w:tcPr>
            <w:tcW w:w="1550" w:type="dxa"/>
            <w:shd w:val="clear" w:color="auto" w:fill="auto"/>
            <w:vAlign w:val="center"/>
          </w:tcPr>
          <w:p>
            <w:pPr>
              <w:pStyle w:val="39"/>
              <w:rPr>
                <w:rFonts w:ascii="Times New Roman" w:hAnsi="Times New Roman"/>
              </w:rPr>
            </w:pPr>
            <w:r>
              <w:rPr>
                <w:rFonts w:ascii="Times New Roman" w:hAnsi="Times New Roman"/>
              </w:rPr>
              <w:t>K</w:t>
            </w:r>
            <w:r>
              <w:rPr>
                <w:rFonts w:ascii="Times New Roman" w:hAnsi="Times New Roman"/>
                <w:vertAlign w:val="superscript"/>
              </w:rPr>
              <w:t>+</w:t>
            </w:r>
            <w:r>
              <w:rPr>
                <w:rFonts w:ascii="Times New Roman" w:hAnsi="Times New Roman"/>
              </w:rPr>
              <w:t>+Na</w:t>
            </w:r>
            <w:r>
              <w:rPr>
                <w:rFonts w:ascii="Times New Roman" w:hAnsi="Times New Roman"/>
                <w:vertAlign w:val="superscript"/>
              </w:rPr>
              <w:t>+</w:t>
            </w:r>
          </w:p>
        </w:tc>
        <w:tc>
          <w:tcPr>
            <w:tcW w:w="0" w:type="auto"/>
            <w:shd w:val="clear" w:color="auto" w:fill="auto"/>
            <w:noWrap/>
            <w:vAlign w:val="center"/>
          </w:tcPr>
          <w:p>
            <w:pPr>
              <w:pStyle w:val="39"/>
              <w:rPr>
                <w:rFonts w:ascii="Times New Roman" w:hAnsi="Times New Roman"/>
              </w:rPr>
            </w:pPr>
            <w:r>
              <w:rPr>
                <w:rFonts w:ascii="Times New Roman" w:hAnsi="Times New Roman"/>
              </w:rPr>
              <w:t>0.33</w:t>
            </w:r>
          </w:p>
        </w:tc>
        <w:tc>
          <w:tcPr>
            <w:tcW w:w="0" w:type="auto"/>
            <w:shd w:val="clear" w:color="auto" w:fill="auto"/>
            <w:vAlign w:val="center"/>
          </w:tcPr>
          <w:p>
            <w:pPr>
              <w:pStyle w:val="39"/>
              <w:rPr>
                <w:rFonts w:ascii="Times New Roman" w:hAnsi="Times New Roman"/>
              </w:rPr>
            </w:pPr>
            <w:r>
              <w:rPr>
                <w:rFonts w:ascii="Times New Roman" w:hAnsi="Times New Roman"/>
              </w:rPr>
              <w:t>0.77</w:t>
            </w:r>
          </w:p>
        </w:tc>
        <w:tc>
          <w:tcPr>
            <w:tcW w:w="0" w:type="auto"/>
            <w:shd w:val="clear" w:color="auto" w:fill="auto"/>
            <w:vAlign w:val="center"/>
          </w:tcPr>
          <w:p>
            <w:pPr>
              <w:pStyle w:val="39"/>
              <w:rPr>
                <w:rFonts w:ascii="Times New Roman" w:hAnsi="Times New Roman"/>
              </w:rPr>
            </w:pPr>
            <w:r>
              <w:rPr>
                <w:rFonts w:ascii="Times New Roman" w:hAnsi="Times New Roman"/>
              </w:rPr>
              <w:t>0.31</w:t>
            </w:r>
          </w:p>
        </w:tc>
        <w:tc>
          <w:tcPr>
            <w:tcW w:w="0" w:type="auto"/>
            <w:shd w:val="clear" w:color="auto" w:fill="auto"/>
            <w:vAlign w:val="center"/>
          </w:tcPr>
          <w:p>
            <w:pPr>
              <w:pStyle w:val="39"/>
              <w:rPr>
                <w:rFonts w:ascii="Times New Roman" w:hAnsi="Times New Roman"/>
              </w:rPr>
            </w:pPr>
            <w:r>
              <w:rPr>
                <w:rFonts w:ascii="Times New Roman" w:hAnsi="Times New Roman"/>
              </w:rPr>
              <w:t>0.72</w:t>
            </w:r>
          </w:p>
        </w:tc>
        <w:tc>
          <w:tcPr>
            <w:tcW w:w="0" w:type="auto"/>
            <w:shd w:val="clear" w:color="auto" w:fill="auto"/>
            <w:vAlign w:val="center"/>
          </w:tcPr>
          <w:p>
            <w:pPr>
              <w:pStyle w:val="39"/>
              <w:rPr>
                <w:rFonts w:ascii="Times New Roman" w:hAnsi="Times New Roman"/>
              </w:rPr>
            </w:pPr>
            <w:r>
              <w:rPr>
                <w:rFonts w:ascii="Times New Roman" w:hAnsi="Times New Roman"/>
              </w:rPr>
              <w:t>0.57</w:t>
            </w:r>
          </w:p>
        </w:tc>
        <w:tc>
          <w:tcPr>
            <w:tcW w:w="0" w:type="auto"/>
            <w:vAlign w:val="center"/>
          </w:tcPr>
          <w:p>
            <w:pPr>
              <w:pStyle w:val="39"/>
              <w:rPr>
                <w:rFonts w:ascii="Times New Roman" w:hAnsi="Times New Roman"/>
              </w:rPr>
            </w:pPr>
            <w:r>
              <w:rPr>
                <w:rFonts w:ascii="Times New Roman" w:hAnsi="Times New Roman"/>
              </w:rPr>
              <w:t>1.03</w:t>
            </w:r>
          </w:p>
        </w:tc>
        <w:tc>
          <w:tcPr>
            <w:tcW w:w="0" w:type="auto"/>
            <w:vAlign w:val="center"/>
          </w:tcPr>
          <w:p>
            <w:pPr>
              <w:pStyle w:val="39"/>
              <w:rPr>
                <w:rFonts w:ascii="Times New Roman" w:hAnsi="Times New Roman"/>
              </w:rPr>
            </w:pPr>
            <w:r>
              <w:rPr>
                <w:rFonts w:ascii="Times New Roman" w:hAnsi="Times New Roman"/>
              </w:rPr>
              <w:t>0.41</w:t>
            </w:r>
          </w:p>
        </w:tc>
        <w:tc>
          <w:tcPr>
            <w:tcW w:w="0" w:type="auto"/>
            <w:vAlign w:val="center"/>
          </w:tcPr>
          <w:p>
            <w:pPr>
              <w:pStyle w:val="39"/>
              <w:rPr>
                <w:rFonts w:ascii="Times New Roman" w:hAnsi="Times New Roman"/>
              </w:rPr>
            </w:pPr>
            <w:r>
              <w:rPr>
                <w:rFonts w:ascii="Times New Roman" w:hAnsi="Times New Roman"/>
              </w:rPr>
              <w:t>0.36</w:t>
            </w:r>
          </w:p>
        </w:tc>
        <w:tc>
          <w:tcPr>
            <w:tcW w:w="0" w:type="auto"/>
            <w:vAlign w:val="center"/>
          </w:tcPr>
          <w:p>
            <w:pPr>
              <w:pStyle w:val="39"/>
              <w:rPr>
                <w:rFonts w:ascii="Times New Roman" w:hAnsi="Times New Roman"/>
              </w:rPr>
            </w:pPr>
            <w:r>
              <w:rPr>
                <w:rFonts w:ascii="Times New Roman" w:hAnsi="Times New Roman"/>
              </w:rPr>
              <w:t>0.43</w:t>
            </w:r>
          </w:p>
        </w:tc>
        <w:tc>
          <w:tcPr>
            <w:tcW w:w="0" w:type="auto"/>
            <w:vAlign w:val="center"/>
          </w:tcPr>
          <w:p>
            <w:pPr>
              <w:pStyle w:val="39"/>
              <w:rPr>
                <w:rFonts w:ascii="Times New Roman" w:hAnsi="Times New Roman"/>
              </w:rPr>
            </w:pPr>
            <w:r>
              <w:rPr>
                <w:rFonts w:ascii="Times New Roman" w:hAnsi="Times New Roman"/>
              </w:rPr>
              <w:t>0.19</w:t>
            </w:r>
          </w:p>
        </w:tc>
        <w:tc>
          <w:tcPr>
            <w:tcW w:w="0" w:type="auto"/>
            <w:vAlign w:val="center"/>
          </w:tcPr>
          <w:p>
            <w:pPr>
              <w:pStyle w:val="39"/>
              <w:rPr>
                <w:rFonts w:ascii="Times New Roman" w:hAnsi="Times New Roman"/>
              </w:rPr>
            </w:pPr>
            <w:r>
              <w:rPr>
                <w:rFonts w:ascii="Times New Roman" w:hAnsi="Times New Roman"/>
              </w:rPr>
              <w:t>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1484" w:type="dxa"/>
            <w:vMerge w:val="continue"/>
            <w:shd w:val="clear" w:color="auto" w:fill="auto"/>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Ca</w:t>
            </w:r>
            <w:r>
              <w:rPr>
                <w:rFonts w:ascii="Times New Roman" w:hAnsi="Times New Roman"/>
                <w:vertAlign w:val="superscript"/>
              </w:rPr>
              <w:t>2+</w:t>
            </w:r>
          </w:p>
        </w:tc>
        <w:tc>
          <w:tcPr>
            <w:tcW w:w="0" w:type="auto"/>
            <w:shd w:val="clear" w:color="auto" w:fill="auto"/>
            <w:noWrap/>
            <w:vAlign w:val="center"/>
          </w:tcPr>
          <w:p>
            <w:pPr>
              <w:pStyle w:val="39"/>
              <w:rPr>
                <w:rFonts w:ascii="Times New Roman" w:hAnsi="Times New Roman"/>
              </w:rPr>
            </w:pPr>
            <w:r>
              <w:rPr>
                <w:rFonts w:ascii="Times New Roman" w:hAnsi="Times New Roman"/>
              </w:rPr>
              <w:t>4.03</w:t>
            </w:r>
          </w:p>
        </w:tc>
        <w:tc>
          <w:tcPr>
            <w:tcW w:w="0" w:type="auto"/>
            <w:shd w:val="clear" w:color="auto" w:fill="auto"/>
            <w:vAlign w:val="center"/>
          </w:tcPr>
          <w:p>
            <w:pPr>
              <w:pStyle w:val="39"/>
              <w:rPr>
                <w:rFonts w:ascii="Times New Roman" w:hAnsi="Times New Roman"/>
              </w:rPr>
            </w:pPr>
            <w:r>
              <w:rPr>
                <w:rFonts w:ascii="Times New Roman" w:hAnsi="Times New Roman"/>
              </w:rPr>
              <w:t>4.92</w:t>
            </w:r>
          </w:p>
        </w:tc>
        <w:tc>
          <w:tcPr>
            <w:tcW w:w="0" w:type="auto"/>
            <w:shd w:val="clear" w:color="auto" w:fill="auto"/>
            <w:vAlign w:val="center"/>
          </w:tcPr>
          <w:p>
            <w:pPr>
              <w:pStyle w:val="39"/>
              <w:rPr>
                <w:rFonts w:ascii="Times New Roman" w:hAnsi="Times New Roman"/>
              </w:rPr>
            </w:pPr>
            <w:r>
              <w:rPr>
                <w:rFonts w:ascii="Times New Roman" w:hAnsi="Times New Roman"/>
              </w:rPr>
              <w:t>3.00</w:t>
            </w:r>
          </w:p>
        </w:tc>
        <w:tc>
          <w:tcPr>
            <w:tcW w:w="0" w:type="auto"/>
            <w:shd w:val="clear" w:color="auto" w:fill="auto"/>
            <w:vAlign w:val="center"/>
          </w:tcPr>
          <w:p>
            <w:pPr>
              <w:pStyle w:val="39"/>
              <w:rPr>
                <w:rFonts w:ascii="Times New Roman" w:hAnsi="Times New Roman"/>
              </w:rPr>
            </w:pPr>
            <w:r>
              <w:rPr>
                <w:rFonts w:ascii="Times New Roman" w:hAnsi="Times New Roman"/>
              </w:rPr>
              <w:t>3.68</w:t>
            </w:r>
          </w:p>
        </w:tc>
        <w:tc>
          <w:tcPr>
            <w:tcW w:w="0" w:type="auto"/>
            <w:shd w:val="clear" w:color="auto" w:fill="auto"/>
            <w:vAlign w:val="center"/>
          </w:tcPr>
          <w:p>
            <w:pPr>
              <w:pStyle w:val="39"/>
              <w:rPr>
                <w:rFonts w:ascii="Times New Roman" w:hAnsi="Times New Roman"/>
              </w:rPr>
            </w:pPr>
            <w:r>
              <w:rPr>
                <w:rFonts w:ascii="Times New Roman" w:hAnsi="Times New Roman"/>
              </w:rPr>
              <w:t>2.68</w:t>
            </w:r>
          </w:p>
        </w:tc>
        <w:tc>
          <w:tcPr>
            <w:tcW w:w="0" w:type="auto"/>
            <w:vAlign w:val="center"/>
          </w:tcPr>
          <w:p>
            <w:pPr>
              <w:pStyle w:val="39"/>
              <w:rPr>
                <w:rFonts w:ascii="Times New Roman" w:hAnsi="Times New Roman"/>
              </w:rPr>
            </w:pPr>
            <w:r>
              <w:rPr>
                <w:rFonts w:ascii="Times New Roman" w:hAnsi="Times New Roman"/>
              </w:rPr>
              <w:t>3.71</w:t>
            </w:r>
          </w:p>
        </w:tc>
        <w:tc>
          <w:tcPr>
            <w:tcW w:w="0" w:type="auto"/>
            <w:vAlign w:val="center"/>
          </w:tcPr>
          <w:p>
            <w:pPr>
              <w:pStyle w:val="39"/>
              <w:rPr>
                <w:rFonts w:ascii="Times New Roman" w:hAnsi="Times New Roman"/>
              </w:rPr>
            </w:pPr>
            <w:r>
              <w:rPr>
                <w:rFonts w:ascii="Times New Roman" w:hAnsi="Times New Roman"/>
              </w:rPr>
              <w:t>1.77</w:t>
            </w:r>
          </w:p>
        </w:tc>
        <w:tc>
          <w:tcPr>
            <w:tcW w:w="0" w:type="auto"/>
            <w:vAlign w:val="center"/>
          </w:tcPr>
          <w:p>
            <w:pPr>
              <w:pStyle w:val="39"/>
              <w:rPr>
                <w:rFonts w:ascii="Times New Roman" w:hAnsi="Times New Roman"/>
              </w:rPr>
            </w:pPr>
            <w:r>
              <w:rPr>
                <w:rFonts w:ascii="Times New Roman" w:hAnsi="Times New Roman"/>
              </w:rPr>
              <w:t>3.90</w:t>
            </w:r>
          </w:p>
        </w:tc>
        <w:tc>
          <w:tcPr>
            <w:tcW w:w="0" w:type="auto"/>
            <w:vAlign w:val="center"/>
          </w:tcPr>
          <w:p>
            <w:pPr>
              <w:pStyle w:val="39"/>
              <w:rPr>
                <w:rFonts w:ascii="Times New Roman" w:hAnsi="Times New Roman"/>
              </w:rPr>
            </w:pPr>
            <w:r>
              <w:rPr>
                <w:rFonts w:ascii="Times New Roman" w:hAnsi="Times New Roman"/>
              </w:rPr>
              <w:t>4.10</w:t>
            </w:r>
          </w:p>
        </w:tc>
        <w:tc>
          <w:tcPr>
            <w:tcW w:w="0" w:type="auto"/>
            <w:vAlign w:val="center"/>
          </w:tcPr>
          <w:p>
            <w:pPr>
              <w:pStyle w:val="39"/>
              <w:rPr>
                <w:rFonts w:ascii="Times New Roman" w:hAnsi="Times New Roman"/>
              </w:rPr>
            </w:pPr>
            <w:r>
              <w:rPr>
                <w:rFonts w:ascii="Times New Roman" w:hAnsi="Times New Roman"/>
              </w:rPr>
              <w:t>0.87</w:t>
            </w:r>
          </w:p>
        </w:tc>
        <w:tc>
          <w:tcPr>
            <w:tcW w:w="0" w:type="auto"/>
            <w:vAlign w:val="center"/>
          </w:tcPr>
          <w:p>
            <w:pPr>
              <w:pStyle w:val="39"/>
              <w:rPr>
                <w:rFonts w:ascii="Times New Roman" w:hAnsi="Times New Roman"/>
              </w:rPr>
            </w:pPr>
            <w:r>
              <w:rPr>
                <w:rFonts w:ascii="Times New Roman" w:hAnsi="Times New Roman"/>
              </w:rPr>
              <w:t>2.52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1484" w:type="dxa"/>
            <w:vMerge w:val="continue"/>
            <w:shd w:val="clear" w:color="auto" w:fill="auto"/>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Mg</w:t>
            </w:r>
            <w:r>
              <w:rPr>
                <w:rFonts w:ascii="Times New Roman" w:hAnsi="Times New Roman"/>
                <w:vertAlign w:val="superscript"/>
              </w:rPr>
              <w:t>2+</w:t>
            </w:r>
          </w:p>
        </w:tc>
        <w:tc>
          <w:tcPr>
            <w:tcW w:w="0" w:type="auto"/>
            <w:shd w:val="clear" w:color="auto" w:fill="auto"/>
            <w:noWrap/>
            <w:vAlign w:val="center"/>
          </w:tcPr>
          <w:p>
            <w:pPr>
              <w:pStyle w:val="39"/>
              <w:rPr>
                <w:rFonts w:ascii="Times New Roman" w:hAnsi="Times New Roman"/>
              </w:rPr>
            </w:pPr>
            <w:r>
              <w:rPr>
                <w:rFonts w:ascii="Times New Roman" w:hAnsi="Times New Roman"/>
              </w:rPr>
              <w:t>0.45</w:t>
            </w:r>
          </w:p>
        </w:tc>
        <w:tc>
          <w:tcPr>
            <w:tcW w:w="0" w:type="auto"/>
            <w:shd w:val="clear" w:color="auto" w:fill="auto"/>
            <w:vAlign w:val="center"/>
          </w:tcPr>
          <w:p>
            <w:pPr>
              <w:pStyle w:val="39"/>
              <w:rPr>
                <w:rFonts w:ascii="Times New Roman" w:hAnsi="Times New Roman"/>
              </w:rPr>
            </w:pPr>
            <w:r>
              <w:rPr>
                <w:rFonts w:ascii="Times New Roman" w:hAnsi="Times New Roman"/>
              </w:rPr>
              <w:t>1.13</w:t>
            </w:r>
          </w:p>
        </w:tc>
        <w:tc>
          <w:tcPr>
            <w:tcW w:w="0" w:type="auto"/>
            <w:shd w:val="clear" w:color="auto" w:fill="auto"/>
            <w:vAlign w:val="center"/>
          </w:tcPr>
          <w:p>
            <w:pPr>
              <w:pStyle w:val="39"/>
              <w:rPr>
                <w:rFonts w:ascii="Times New Roman" w:hAnsi="Times New Roman"/>
              </w:rPr>
            </w:pPr>
            <w:r>
              <w:rPr>
                <w:rFonts w:ascii="Times New Roman" w:hAnsi="Times New Roman"/>
              </w:rPr>
              <w:t>0.62</w:t>
            </w:r>
          </w:p>
        </w:tc>
        <w:tc>
          <w:tcPr>
            <w:tcW w:w="0" w:type="auto"/>
            <w:shd w:val="clear" w:color="auto" w:fill="auto"/>
            <w:vAlign w:val="center"/>
          </w:tcPr>
          <w:p>
            <w:pPr>
              <w:pStyle w:val="39"/>
              <w:rPr>
                <w:rFonts w:ascii="Times New Roman" w:hAnsi="Times New Roman"/>
              </w:rPr>
            </w:pPr>
            <w:r>
              <w:rPr>
                <w:rFonts w:ascii="Times New Roman" w:hAnsi="Times New Roman"/>
              </w:rPr>
              <w:t>1.18</w:t>
            </w:r>
          </w:p>
        </w:tc>
        <w:tc>
          <w:tcPr>
            <w:tcW w:w="0" w:type="auto"/>
            <w:shd w:val="clear" w:color="auto" w:fill="auto"/>
            <w:vAlign w:val="center"/>
          </w:tcPr>
          <w:p>
            <w:pPr>
              <w:pStyle w:val="39"/>
              <w:rPr>
                <w:rFonts w:ascii="Times New Roman" w:hAnsi="Times New Roman"/>
              </w:rPr>
            </w:pPr>
            <w:r>
              <w:rPr>
                <w:rFonts w:ascii="Times New Roman" w:hAnsi="Times New Roman"/>
              </w:rPr>
              <w:t>0.87</w:t>
            </w:r>
          </w:p>
        </w:tc>
        <w:tc>
          <w:tcPr>
            <w:tcW w:w="0" w:type="auto"/>
            <w:vAlign w:val="center"/>
          </w:tcPr>
          <w:p>
            <w:pPr>
              <w:pStyle w:val="39"/>
              <w:rPr>
                <w:rFonts w:ascii="Times New Roman" w:hAnsi="Times New Roman"/>
              </w:rPr>
            </w:pPr>
            <w:r>
              <w:rPr>
                <w:rFonts w:ascii="Times New Roman" w:hAnsi="Times New Roman"/>
              </w:rPr>
              <w:t>1.12</w:t>
            </w:r>
          </w:p>
        </w:tc>
        <w:tc>
          <w:tcPr>
            <w:tcW w:w="0" w:type="auto"/>
            <w:vAlign w:val="center"/>
          </w:tcPr>
          <w:p>
            <w:pPr>
              <w:pStyle w:val="39"/>
              <w:rPr>
                <w:rFonts w:ascii="Times New Roman" w:hAnsi="Times New Roman"/>
              </w:rPr>
            </w:pPr>
            <w:r>
              <w:rPr>
                <w:rFonts w:ascii="Times New Roman" w:hAnsi="Times New Roman"/>
              </w:rPr>
              <w:t>0.45</w:t>
            </w:r>
          </w:p>
        </w:tc>
        <w:tc>
          <w:tcPr>
            <w:tcW w:w="0" w:type="auto"/>
            <w:vAlign w:val="center"/>
          </w:tcPr>
          <w:p>
            <w:pPr>
              <w:pStyle w:val="39"/>
              <w:rPr>
                <w:rFonts w:ascii="Times New Roman" w:hAnsi="Times New Roman"/>
              </w:rPr>
            </w:pPr>
            <w:r>
              <w:rPr>
                <w:rFonts w:ascii="Times New Roman" w:hAnsi="Times New Roman"/>
              </w:rPr>
              <w:t>0.75</w:t>
            </w:r>
          </w:p>
        </w:tc>
        <w:tc>
          <w:tcPr>
            <w:tcW w:w="0" w:type="auto"/>
            <w:vAlign w:val="center"/>
          </w:tcPr>
          <w:p>
            <w:pPr>
              <w:pStyle w:val="39"/>
              <w:rPr>
                <w:rFonts w:ascii="Times New Roman" w:hAnsi="Times New Roman"/>
              </w:rPr>
            </w:pPr>
            <w:r>
              <w:rPr>
                <w:rFonts w:ascii="Times New Roman" w:hAnsi="Times New Roman"/>
              </w:rPr>
              <w:t>0.73</w:t>
            </w:r>
          </w:p>
        </w:tc>
        <w:tc>
          <w:tcPr>
            <w:tcW w:w="0" w:type="auto"/>
            <w:vAlign w:val="center"/>
          </w:tcPr>
          <w:p>
            <w:pPr>
              <w:pStyle w:val="39"/>
              <w:rPr>
                <w:rFonts w:ascii="Times New Roman" w:hAnsi="Times New Roman"/>
              </w:rPr>
            </w:pPr>
            <w:r>
              <w:rPr>
                <w:rFonts w:ascii="Times New Roman" w:hAnsi="Times New Roman"/>
              </w:rPr>
              <w:t>0.20</w:t>
            </w:r>
          </w:p>
        </w:tc>
        <w:tc>
          <w:tcPr>
            <w:tcW w:w="0" w:type="auto"/>
            <w:vAlign w:val="center"/>
          </w:tcPr>
          <w:p>
            <w:pPr>
              <w:pStyle w:val="39"/>
              <w:rPr>
                <w:rFonts w:ascii="Times New Roman" w:hAnsi="Times New Roman"/>
              </w:rPr>
            </w:pPr>
            <w:r>
              <w:rPr>
                <w:rFonts w:ascii="Times New Roman" w:hAnsi="Times New Roman"/>
              </w:rPr>
              <w:t>0.57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1484" w:type="dxa"/>
            <w:vMerge w:val="continue"/>
            <w:shd w:val="clear" w:color="auto" w:fill="auto"/>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CO</w:t>
            </w:r>
            <w:r>
              <w:rPr>
                <w:rFonts w:ascii="Times New Roman" w:hAnsi="Times New Roman"/>
                <w:vertAlign w:val="subscript"/>
              </w:rPr>
              <w:t>3</w:t>
            </w:r>
            <w:r>
              <w:rPr>
                <w:rFonts w:ascii="Times New Roman" w:hAnsi="Times New Roman"/>
                <w:vertAlign w:val="superscript"/>
              </w:rPr>
              <w:t>2-</w:t>
            </w:r>
          </w:p>
        </w:tc>
        <w:tc>
          <w:tcPr>
            <w:tcW w:w="0" w:type="auto"/>
            <w:shd w:val="clear" w:color="auto" w:fill="auto"/>
            <w:noWrap/>
            <w:vAlign w:val="center"/>
          </w:tcPr>
          <w:p>
            <w:pPr>
              <w:pStyle w:val="39"/>
              <w:rPr>
                <w:rFonts w:ascii="Times New Roman" w:hAnsi="Times New Roman"/>
              </w:rPr>
            </w:pPr>
            <w:r>
              <w:rPr>
                <w:rFonts w:ascii="Times New Roman" w:hAnsi="Times New Roman"/>
              </w:rPr>
              <w:t>0.27</w:t>
            </w:r>
          </w:p>
        </w:tc>
        <w:tc>
          <w:tcPr>
            <w:tcW w:w="0" w:type="auto"/>
            <w:shd w:val="clear" w:color="auto" w:fill="auto"/>
            <w:vAlign w:val="center"/>
          </w:tcPr>
          <w:p>
            <w:pPr>
              <w:pStyle w:val="39"/>
              <w:rPr>
                <w:rFonts w:ascii="Times New Roman" w:hAnsi="Times New Roman"/>
              </w:rPr>
            </w:pPr>
            <w:r>
              <w:rPr>
                <w:rFonts w:ascii="Times New Roman" w:hAnsi="Times New Roman"/>
              </w:rPr>
              <w:t xml:space="preserve">0.08 </w:t>
            </w:r>
          </w:p>
        </w:tc>
        <w:tc>
          <w:tcPr>
            <w:tcW w:w="0" w:type="auto"/>
            <w:shd w:val="clear" w:color="auto" w:fill="auto"/>
            <w:vAlign w:val="center"/>
          </w:tcPr>
          <w:p>
            <w:pPr>
              <w:pStyle w:val="39"/>
              <w:rPr>
                <w:rFonts w:ascii="Times New Roman" w:hAnsi="Times New Roman"/>
              </w:rPr>
            </w:pPr>
            <w:r>
              <w:rPr>
                <w:rFonts w:ascii="Times New Roman" w:hAnsi="Times New Roman"/>
              </w:rPr>
              <w:t xml:space="preserve">0.08 </w:t>
            </w:r>
          </w:p>
        </w:tc>
        <w:tc>
          <w:tcPr>
            <w:tcW w:w="0" w:type="auto"/>
            <w:shd w:val="clear" w:color="auto" w:fill="auto"/>
            <w:vAlign w:val="center"/>
          </w:tcPr>
          <w:p>
            <w:pPr>
              <w:pStyle w:val="39"/>
              <w:rPr>
                <w:rFonts w:ascii="Times New Roman" w:hAnsi="Times New Roman"/>
              </w:rPr>
            </w:pPr>
            <w:r>
              <w:rPr>
                <w:rFonts w:ascii="Times New Roman" w:hAnsi="Times New Roman"/>
              </w:rPr>
              <w:t xml:space="preserve">0.08 </w:t>
            </w:r>
          </w:p>
        </w:tc>
        <w:tc>
          <w:tcPr>
            <w:tcW w:w="0" w:type="auto"/>
            <w:shd w:val="clear" w:color="auto" w:fill="auto"/>
            <w:vAlign w:val="center"/>
          </w:tcPr>
          <w:p>
            <w:pPr>
              <w:pStyle w:val="39"/>
              <w:rPr>
                <w:rFonts w:ascii="Times New Roman" w:hAnsi="Times New Roman"/>
              </w:rPr>
            </w:pPr>
            <w:r>
              <w:rPr>
                <w:rFonts w:ascii="Times New Roman" w:hAnsi="Times New Roman"/>
              </w:rPr>
              <w:t xml:space="preserve">0.08 </w:t>
            </w:r>
          </w:p>
        </w:tc>
        <w:tc>
          <w:tcPr>
            <w:tcW w:w="0" w:type="auto"/>
            <w:vAlign w:val="center"/>
          </w:tcPr>
          <w:p>
            <w:pPr>
              <w:pStyle w:val="39"/>
              <w:rPr>
                <w:rFonts w:ascii="Times New Roman" w:hAnsi="Times New Roman"/>
              </w:rPr>
            </w:pPr>
            <w:r>
              <w:rPr>
                <w:rFonts w:ascii="Times New Roman" w:hAnsi="Times New Roman"/>
              </w:rPr>
              <w:t xml:space="preserve">0.08 </w:t>
            </w:r>
          </w:p>
        </w:tc>
        <w:tc>
          <w:tcPr>
            <w:tcW w:w="0" w:type="auto"/>
            <w:vAlign w:val="center"/>
          </w:tcPr>
          <w:p>
            <w:pPr>
              <w:pStyle w:val="39"/>
              <w:rPr>
                <w:rFonts w:ascii="Times New Roman" w:hAnsi="Times New Roman"/>
              </w:rPr>
            </w:pPr>
            <w:r>
              <w:rPr>
                <w:rFonts w:ascii="Times New Roman" w:hAnsi="Times New Roman"/>
              </w:rPr>
              <w:t xml:space="preserve">0.08 </w:t>
            </w:r>
          </w:p>
        </w:tc>
        <w:tc>
          <w:tcPr>
            <w:tcW w:w="0" w:type="auto"/>
            <w:vAlign w:val="center"/>
          </w:tcPr>
          <w:p>
            <w:pPr>
              <w:pStyle w:val="39"/>
              <w:rPr>
                <w:rFonts w:ascii="Times New Roman" w:hAnsi="Times New Roman"/>
              </w:rPr>
            </w:pPr>
            <w:r>
              <w:rPr>
                <w:rFonts w:ascii="Times New Roman" w:hAnsi="Times New Roman"/>
              </w:rPr>
              <w:t xml:space="preserve">0.08 </w:t>
            </w:r>
          </w:p>
        </w:tc>
        <w:tc>
          <w:tcPr>
            <w:tcW w:w="0" w:type="auto"/>
            <w:vAlign w:val="center"/>
          </w:tcPr>
          <w:p>
            <w:pPr>
              <w:pStyle w:val="39"/>
              <w:rPr>
                <w:rFonts w:ascii="Times New Roman" w:hAnsi="Times New Roman"/>
              </w:rPr>
            </w:pPr>
            <w:r>
              <w:rPr>
                <w:rFonts w:ascii="Times New Roman" w:hAnsi="Times New Roman"/>
              </w:rPr>
              <w:t xml:space="preserve">0.08 </w:t>
            </w:r>
          </w:p>
        </w:tc>
        <w:tc>
          <w:tcPr>
            <w:tcW w:w="0" w:type="auto"/>
            <w:vAlign w:val="center"/>
          </w:tcPr>
          <w:p>
            <w:pPr>
              <w:pStyle w:val="39"/>
              <w:rPr>
                <w:rFonts w:ascii="Times New Roman" w:hAnsi="Times New Roman"/>
              </w:rPr>
            </w:pPr>
            <w:r>
              <w:rPr>
                <w:rFonts w:ascii="Times New Roman" w:hAnsi="Times New Roman"/>
              </w:rPr>
              <w:t xml:space="preserve">0.08 </w:t>
            </w:r>
          </w:p>
        </w:tc>
        <w:tc>
          <w:tcPr>
            <w:tcW w:w="0" w:type="auto"/>
            <w:vAlign w:val="center"/>
          </w:tcPr>
          <w:p>
            <w:pPr>
              <w:pStyle w:val="39"/>
              <w:rPr>
                <w:rFonts w:ascii="Times New Roman" w:hAnsi="Times New Roman"/>
              </w:rPr>
            </w:pPr>
            <w:r>
              <w:rPr>
                <w:rFonts w:ascii="Times New Roman" w:hAnsi="Times New Roman"/>
              </w:rPr>
              <w:t xml:space="preserve">0.08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484" w:type="dxa"/>
            <w:vMerge w:val="continue"/>
            <w:shd w:val="clear" w:color="auto" w:fill="auto"/>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HCO</w:t>
            </w:r>
            <w:r>
              <w:rPr>
                <w:rFonts w:ascii="Times New Roman" w:hAnsi="Times New Roman"/>
                <w:vertAlign w:val="subscript"/>
              </w:rPr>
              <w:t>3</w:t>
            </w:r>
            <w:r>
              <w:rPr>
                <w:rFonts w:ascii="Times New Roman" w:hAnsi="Times New Roman"/>
                <w:vertAlign w:val="superscript"/>
              </w:rPr>
              <w:t>-</w:t>
            </w:r>
          </w:p>
        </w:tc>
        <w:tc>
          <w:tcPr>
            <w:tcW w:w="0" w:type="auto"/>
            <w:shd w:val="clear" w:color="auto" w:fill="auto"/>
            <w:noWrap/>
            <w:vAlign w:val="center"/>
          </w:tcPr>
          <w:p>
            <w:pPr>
              <w:pStyle w:val="39"/>
              <w:rPr>
                <w:rFonts w:ascii="Times New Roman" w:hAnsi="Times New Roman"/>
              </w:rPr>
            </w:pPr>
            <w:r>
              <w:rPr>
                <w:rFonts w:ascii="Times New Roman" w:hAnsi="Times New Roman"/>
              </w:rPr>
              <w:t>3.72</w:t>
            </w:r>
          </w:p>
        </w:tc>
        <w:tc>
          <w:tcPr>
            <w:tcW w:w="0" w:type="auto"/>
            <w:shd w:val="clear" w:color="auto" w:fill="auto"/>
            <w:vAlign w:val="center"/>
          </w:tcPr>
          <w:p>
            <w:pPr>
              <w:pStyle w:val="39"/>
              <w:rPr>
                <w:rFonts w:ascii="Times New Roman" w:hAnsi="Times New Roman"/>
              </w:rPr>
            </w:pPr>
            <w:r>
              <w:rPr>
                <w:rFonts w:ascii="Times New Roman" w:hAnsi="Times New Roman"/>
              </w:rPr>
              <w:t>5.84</w:t>
            </w:r>
          </w:p>
        </w:tc>
        <w:tc>
          <w:tcPr>
            <w:tcW w:w="0" w:type="auto"/>
            <w:shd w:val="clear" w:color="auto" w:fill="auto"/>
            <w:vAlign w:val="center"/>
          </w:tcPr>
          <w:p>
            <w:pPr>
              <w:pStyle w:val="39"/>
              <w:rPr>
                <w:rFonts w:ascii="Times New Roman" w:hAnsi="Times New Roman"/>
              </w:rPr>
            </w:pPr>
            <w:r>
              <w:rPr>
                <w:rFonts w:ascii="Times New Roman" w:hAnsi="Times New Roman"/>
              </w:rPr>
              <w:t>3.03</w:t>
            </w:r>
          </w:p>
        </w:tc>
        <w:tc>
          <w:tcPr>
            <w:tcW w:w="0" w:type="auto"/>
            <w:shd w:val="clear" w:color="auto" w:fill="auto"/>
            <w:vAlign w:val="center"/>
          </w:tcPr>
          <w:p>
            <w:pPr>
              <w:pStyle w:val="39"/>
              <w:rPr>
                <w:rFonts w:ascii="Times New Roman" w:hAnsi="Times New Roman"/>
              </w:rPr>
            </w:pPr>
            <w:r>
              <w:rPr>
                <w:rFonts w:ascii="Times New Roman" w:hAnsi="Times New Roman"/>
              </w:rPr>
              <w:t>3.28</w:t>
            </w:r>
          </w:p>
        </w:tc>
        <w:tc>
          <w:tcPr>
            <w:tcW w:w="0" w:type="auto"/>
            <w:shd w:val="clear" w:color="auto" w:fill="auto"/>
            <w:vAlign w:val="center"/>
          </w:tcPr>
          <w:p>
            <w:pPr>
              <w:pStyle w:val="39"/>
              <w:rPr>
                <w:rFonts w:ascii="Times New Roman" w:hAnsi="Times New Roman"/>
              </w:rPr>
            </w:pPr>
            <w:r>
              <w:rPr>
                <w:rFonts w:ascii="Times New Roman" w:hAnsi="Times New Roman"/>
              </w:rPr>
              <w:t>3.08</w:t>
            </w:r>
          </w:p>
        </w:tc>
        <w:tc>
          <w:tcPr>
            <w:tcW w:w="0" w:type="auto"/>
            <w:vAlign w:val="center"/>
          </w:tcPr>
          <w:p>
            <w:pPr>
              <w:pStyle w:val="39"/>
              <w:rPr>
                <w:rFonts w:ascii="Times New Roman" w:hAnsi="Times New Roman"/>
              </w:rPr>
            </w:pPr>
            <w:r>
              <w:rPr>
                <w:rFonts w:ascii="Times New Roman" w:hAnsi="Times New Roman"/>
              </w:rPr>
              <w:t>1.28</w:t>
            </w:r>
          </w:p>
        </w:tc>
        <w:tc>
          <w:tcPr>
            <w:tcW w:w="0" w:type="auto"/>
            <w:vAlign w:val="center"/>
          </w:tcPr>
          <w:p>
            <w:pPr>
              <w:pStyle w:val="39"/>
              <w:rPr>
                <w:rFonts w:ascii="Times New Roman" w:hAnsi="Times New Roman"/>
              </w:rPr>
            </w:pPr>
            <w:r>
              <w:rPr>
                <w:rFonts w:ascii="Times New Roman" w:hAnsi="Times New Roman"/>
              </w:rPr>
              <w:t>2.00</w:t>
            </w:r>
          </w:p>
        </w:tc>
        <w:tc>
          <w:tcPr>
            <w:tcW w:w="0" w:type="auto"/>
            <w:vAlign w:val="center"/>
          </w:tcPr>
          <w:p>
            <w:pPr>
              <w:pStyle w:val="39"/>
              <w:rPr>
                <w:rFonts w:ascii="Times New Roman" w:hAnsi="Times New Roman"/>
              </w:rPr>
            </w:pPr>
            <w:r>
              <w:rPr>
                <w:rFonts w:ascii="Times New Roman" w:hAnsi="Times New Roman"/>
              </w:rPr>
              <w:t>4.75</w:t>
            </w:r>
          </w:p>
        </w:tc>
        <w:tc>
          <w:tcPr>
            <w:tcW w:w="0" w:type="auto"/>
            <w:vAlign w:val="center"/>
          </w:tcPr>
          <w:p>
            <w:pPr>
              <w:pStyle w:val="39"/>
              <w:rPr>
                <w:rFonts w:ascii="Times New Roman" w:hAnsi="Times New Roman"/>
              </w:rPr>
            </w:pPr>
            <w:r>
              <w:rPr>
                <w:rFonts w:ascii="Times New Roman" w:hAnsi="Times New Roman"/>
              </w:rPr>
              <w:t>4.85</w:t>
            </w:r>
          </w:p>
        </w:tc>
        <w:tc>
          <w:tcPr>
            <w:tcW w:w="0" w:type="auto"/>
            <w:vAlign w:val="center"/>
          </w:tcPr>
          <w:p>
            <w:pPr>
              <w:pStyle w:val="39"/>
              <w:rPr>
                <w:rFonts w:ascii="Times New Roman" w:hAnsi="Times New Roman"/>
              </w:rPr>
            </w:pPr>
            <w:r>
              <w:rPr>
                <w:rFonts w:ascii="Times New Roman" w:hAnsi="Times New Roman"/>
              </w:rPr>
              <w:t>1.03</w:t>
            </w:r>
          </w:p>
        </w:tc>
        <w:tc>
          <w:tcPr>
            <w:tcW w:w="0" w:type="auto"/>
            <w:vAlign w:val="center"/>
          </w:tcPr>
          <w:p>
            <w:pPr>
              <w:pStyle w:val="39"/>
              <w:rPr>
                <w:rFonts w:ascii="Times New Roman" w:hAnsi="Times New Roman"/>
              </w:rPr>
            </w:pPr>
            <w:r>
              <w:rPr>
                <w:rFonts w:ascii="Times New Roman" w:hAnsi="Times New Roman"/>
              </w:rPr>
              <w:t>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484" w:type="dxa"/>
            <w:vMerge w:val="continue"/>
            <w:shd w:val="clear" w:color="auto" w:fill="auto"/>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4</w:t>
            </w:r>
            <w:r>
              <w:rPr>
                <w:rFonts w:ascii="Times New Roman" w:hAnsi="Times New Roman"/>
                <w:vertAlign w:val="superscript"/>
              </w:rPr>
              <w:t>2-</w:t>
            </w:r>
          </w:p>
        </w:tc>
        <w:tc>
          <w:tcPr>
            <w:tcW w:w="0" w:type="auto"/>
            <w:shd w:val="clear" w:color="auto" w:fill="auto"/>
            <w:noWrap/>
            <w:vAlign w:val="center"/>
          </w:tcPr>
          <w:p>
            <w:pPr>
              <w:pStyle w:val="39"/>
              <w:rPr>
                <w:rFonts w:ascii="Times New Roman" w:hAnsi="Times New Roman"/>
              </w:rPr>
            </w:pPr>
            <w:r>
              <w:rPr>
                <w:rFonts w:ascii="Times New Roman" w:hAnsi="Times New Roman"/>
              </w:rPr>
              <w:t>0.26</w:t>
            </w:r>
          </w:p>
        </w:tc>
        <w:tc>
          <w:tcPr>
            <w:tcW w:w="0" w:type="auto"/>
            <w:shd w:val="clear" w:color="auto" w:fill="auto"/>
            <w:vAlign w:val="center"/>
          </w:tcPr>
          <w:p>
            <w:pPr>
              <w:pStyle w:val="39"/>
              <w:rPr>
                <w:rFonts w:ascii="Times New Roman" w:hAnsi="Times New Roman"/>
              </w:rPr>
            </w:pPr>
            <w:r>
              <w:rPr>
                <w:rFonts w:ascii="Times New Roman" w:hAnsi="Times New Roman"/>
              </w:rPr>
              <w:t>0.31</w:t>
            </w:r>
          </w:p>
        </w:tc>
        <w:tc>
          <w:tcPr>
            <w:tcW w:w="0" w:type="auto"/>
            <w:shd w:val="clear" w:color="auto" w:fill="auto"/>
            <w:vAlign w:val="center"/>
          </w:tcPr>
          <w:p>
            <w:pPr>
              <w:pStyle w:val="39"/>
              <w:rPr>
                <w:rFonts w:ascii="Times New Roman" w:hAnsi="Times New Roman"/>
              </w:rPr>
            </w:pPr>
            <w:r>
              <w:rPr>
                <w:rFonts w:ascii="Times New Roman" w:hAnsi="Times New Roman"/>
              </w:rPr>
              <w:t>0.28</w:t>
            </w:r>
          </w:p>
        </w:tc>
        <w:tc>
          <w:tcPr>
            <w:tcW w:w="0" w:type="auto"/>
            <w:shd w:val="clear" w:color="auto" w:fill="auto"/>
            <w:vAlign w:val="center"/>
          </w:tcPr>
          <w:p>
            <w:pPr>
              <w:pStyle w:val="39"/>
              <w:rPr>
                <w:rFonts w:ascii="Times New Roman" w:hAnsi="Times New Roman"/>
              </w:rPr>
            </w:pPr>
            <w:r>
              <w:rPr>
                <w:rFonts w:ascii="Times New Roman" w:hAnsi="Times New Roman"/>
              </w:rPr>
              <w:t>0.46</w:t>
            </w:r>
          </w:p>
        </w:tc>
        <w:tc>
          <w:tcPr>
            <w:tcW w:w="0" w:type="auto"/>
            <w:shd w:val="clear" w:color="auto" w:fill="auto"/>
            <w:vAlign w:val="center"/>
          </w:tcPr>
          <w:p>
            <w:pPr>
              <w:pStyle w:val="39"/>
              <w:rPr>
                <w:rFonts w:ascii="Times New Roman" w:hAnsi="Times New Roman"/>
              </w:rPr>
            </w:pPr>
            <w:r>
              <w:rPr>
                <w:rFonts w:ascii="Times New Roman" w:hAnsi="Times New Roman"/>
              </w:rPr>
              <w:t>0.27</w:t>
            </w:r>
          </w:p>
        </w:tc>
        <w:tc>
          <w:tcPr>
            <w:tcW w:w="0" w:type="auto"/>
            <w:vAlign w:val="center"/>
          </w:tcPr>
          <w:p>
            <w:pPr>
              <w:pStyle w:val="39"/>
              <w:rPr>
                <w:rFonts w:ascii="Times New Roman" w:hAnsi="Times New Roman"/>
              </w:rPr>
            </w:pPr>
            <w:r>
              <w:rPr>
                <w:rFonts w:ascii="Times New Roman" w:hAnsi="Times New Roman"/>
              </w:rPr>
              <w:t>1.80</w:t>
            </w:r>
          </w:p>
        </w:tc>
        <w:tc>
          <w:tcPr>
            <w:tcW w:w="0" w:type="auto"/>
            <w:vAlign w:val="center"/>
          </w:tcPr>
          <w:p>
            <w:pPr>
              <w:pStyle w:val="39"/>
              <w:rPr>
                <w:rFonts w:ascii="Times New Roman" w:hAnsi="Times New Roman"/>
              </w:rPr>
            </w:pPr>
            <w:r>
              <w:rPr>
                <w:rFonts w:ascii="Times New Roman" w:hAnsi="Times New Roman"/>
              </w:rPr>
              <w:t>0.35</w:t>
            </w:r>
          </w:p>
        </w:tc>
        <w:tc>
          <w:tcPr>
            <w:tcW w:w="0" w:type="auto"/>
            <w:vAlign w:val="center"/>
          </w:tcPr>
          <w:p>
            <w:pPr>
              <w:pStyle w:val="39"/>
              <w:rPr>
                <w:rFonts w:ascii="Times New Roman" w:hAnsi="Times New Roman"/>
              </w:rPr>
            </w:pPr>
            <w:r>
              <w:rPr>
                <w:rFonts w:ascii="Times New Roman" w:hAnsi="Times New Roman"/>
              </w:rPr>
              <w:t>0.22</w:t>
            </w:r>
          </w:p>
        </w:tc>
        <w:tc>
          <w:tcPr>
            <w:tcW w:w="0" w:type="auto"/>
            <w:vAlign w:val="center"/>
          </w:tcPr>
          <w:p>
            <w:pPr>
              <w:pStyle w:val="39"/>
              <w:rPr>
                <w:rFonts w:ascii="Times New Roman" w:hAnsi="Times New Roman"/>
              </w:rPr>
            </w:pPr>
            <w:r>
              <w:rPr>
                <w:rFonts w:ascii="Times New Roman" w:hAnsi="Times New Roman"/>
              </w:rPr>
              <w:t>0.41</w:t>
            </w:r>
          </w:p>
        </w:tc>
        <w:tc>
          <w:tcPr>
            <w:tcW w:w="0" w:type="auto"/>
            <w:vAlign w:val="center"/>
          </w:tcPr>
          <w:p>
            <w:pPr>
              <w:pStyle w:val="39"/>
              <w:rPr>
                <w:rFonts w:ascii="Times New Roman" w:hAnsi="Times New Roman"/>
              </w:rPr>
            </w:pPr>
            <w:r>
              <w:rPr>
                <w:rFonts w:ascii="Times New Roman" w:hAnsi="Times New Roman"/>
              </w:rPr>
              <w:t>0.02</w:t>
            </w:r>
          </w:p>
        </w:tc>
        <w:tc>
          <w:tcPr>
            <w:tcW w:w="0" w:type="auto"/>
            <w:vAlign w:val="center"/>
          </w:tcPr>
          <w:p>
            <w:pPr>
              <w:pStyle w:val="39"/>
              <w:rPr>
                <w:rFonts w:ascii="Times New Roman" w:hAnsi="Times New Roman"/>
              </w:rPr>
            </w:pPr>
            <w:r>
              <w:rPr>
                <w:rFonts w:ascii="Times New Roman" w:hAnsi="Times New Roman"/>
              </w:rPr>
              <w:t>0.37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1484" w:type="dxa"/>
            <w:vMerge w:val="continue"/>
            <w:shd w:val="clear" w:color="auto" w:fill="auto"/>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Cl</w:t>
            </w:r>
            <w:r>
              <w:rPr>
                <w:rFonts w:ascii="Times New Roman" w:hAnsi="Times New Roman"/>
                <w:vertAlign w:val="superscript"/>
              </w:rPr>
              <w:t>-</w:t>
            </w:r>
          </w:p>
        </w:tc>
        <w:tc>
          <w:tcPr>
            <w:tcW w:w="0" w:type="auto"/>
            <w:shd w:val="clear" w:color="auto" w:fill="auto"/>
            <w:noWrap/>
            <w:vAlign w:val="center"/>
          </w:tcPr>
          <w:p>
            <w:pPr>
              <w:pStyle w:val="39"/>
              <w:rPr>
                <w:rFonts w:ascii="Times New Roman" w:hAnsi="Times New Roman"/>
              </w:rPr>
            </w:pPr>
            <w:r>
              <w:rPr>
                <w:rFonts w:ascii="Times New Roman" w:hAnsi="Times New Roman"/>
              </w:rPr>
              <w:t>0.14</w:t>
            </w:r>
          </w:p>
        </w:tc>
        <w:tc>
          <w:tcPr>
            <w:tcW w:w="0" w:type="auto"/>
            <w:shd w:val="clear" w:color="auto" w:fill="auto"/>
            <w:vAlign w:val="center"/>
          </w:tcPr>
          <w:p>
            <w:pPr>
              <w:pStyle w:val="39"/>
              <w:rPr>
                <w:rFonts w:ascii="Times New Roman" w:hAnsi="Times New Roman"/>
              </w:rPr>
            </w:pPr>
            <w:r>
              <w:rPr>
                <w:rFonts w:ascii="Times New Roman" w:hAnsi="Times New Roman"/>
              </w:rPr>
              <w:t>0.92</w:t>
            </w:r>
          </w:p>
        </w:tc>
        <w:tc>
          <w:tcPr>
            <w:tcW w:w="0" w:type="auto"/>
            <w:shd w:val="clear" w:color="auto" w:fill="auto"/>
            <w:vAlign w:val="center"/>
          </w:tcPr>
          <w:p>
            <w:pPr>
              <w:pStyle w:val="39"/>
              <w:rPr>
                <w:rFonts w:ascii="Times New Roman" w:hAnsi="Times New Roman"/>
              </w:rPr>
            </w:pPr>
            <w:r>
              <w:rPr>
                <w:rFonts w:ascii="Times New Roman" w:hAnsi="Times New Roman"/>
              </w:rPr>
              <w:t>0.03</w:t>
            </w:r>
          </w:p>
        </w:tc>
        <w:tc>
          <w:tcPr>
            <w:tcW w:w="0" w:type="auto"/>
            <w:shd w:val="clear" w:color="auto" w:fill="auto"/>
            <w:vAlign w:val="center"/>
          </w:tcPr>
          <w:p>
            <w:pPr>
              <w:pStyle w:val="39"/>
              <w:rPr>
                <w:rFonts w:ascii="Times New Roman" w:hAnsi="Times New Roman"/>
              </w:rPr>
            </w:pPr>
            <w:r>
              <w:rPr>
                <w:rFonts w:ascii="Times New Roman" w:hAnsi="Times New Roman"/>
              </w:rPr>
              <w:t>0.96</w:t>
            </w:r>
          </w:p>
        </w:tc>
        <w:tc>
          <w:tcPr>
            <w:tcW w:w="0" w:type="auto"/>
            <w:shd w:val="clear" w:color="auto" w:fill="auto"/>
            <w:vAlign w:val="center"/>
          </w:tcPr>
          <w:p>
            <w:pPr>
              <w:pStyle w:val="39"/>
              <w:rPr>
                <w:rFonts w:ascii="Times New Roman" w:hAnsi="Times New Roman"/>
              </w:rPr>
            </w:pPr>
            <w:r>
              <w:rPr>
                <w:rFonts w:ascii="Times New Roman" w:hAnsi="Times New Roman"/>
              </w:rPr>
              <w:t>0.41</w:t>
            </w:r>
          </w:p>
        </w:tc>
        <w:tc>
          <w:tcPr>
            <w:tcW w:w="0" w:type="auto"/>
            <w:vAlign w:val="center"/>
          </w:tcPr>
          <w:p>
            <w:pPr>
              <w:pStyle w:val="39"/>
              <w:rPr>
                <w:rFonts w:ascii="Times New Roman" w:hAnsi="Times New Roman"/>
              </w:rPr>
            </w:pPr>
            <w:r>
              <w:rPr>
                <w:rFonts w:ascii="Times New Roman" w:hAnsi="Times New Roman"/>
              </w:rPr>
              <w:t>3.77</w:t>
            </w:r>
          </w:p>
        </w:tc>
        <w:tc>
          <w:tcPr>
            <w:tcW w:w="0" w:type="auto"/>
            <w:vAlign w:val="center"/>
          </w:tcPr>
          <w:p>
            <w:pPr>
              <w:pStyle w:val="39"/>
              <w:rPr>
                <w:rFonts w:ascii="Times New Roman" w:hAnsi="Times New Roman"/>
              </w:rPr>
            </w:pPr>
            <w:r>
              <w:rPr>
                <w:rFonts w:ascii="Times New Roman" w:hAnsi="Times New Roman"/>
              </w:rPr>
              <w:t>0.79</w:t>
            </w:r>
          </w:p>
        </w:tc>
        <w:tc>
          <w:tcPr>
            <w:tcW w:w="0" w:type="auto"/>
            <w:vAlign w:val="center"/>
          </w:tcPr>
          <w:p>
            <w:pPr>
              <w:pStyle w:val="39"/>
              <w:rPr>
                <w:rFonts w:ascii="Times New Roman" w:hAnsi="Times New Roman"/>
              </w:rPr>
            </w:pPr>
            <w:r>
              <w:rPr>
                <w:rFonts w:ascii="Times New Roman" w:hAnsi="Times New Roman"/>
              </w:rPr>
              <w:t>0.09</w:t>
            </w:r>
          </w:p>
        </w:tc>
        <w:tc>
          <w:tcPr>
            <w:tcW w:w="0" w:type="auto"/>
            <w:vAlign w:val="center"/>
          </w:tcPr>
          <w:p>
            <w:pPr>
              <w:pStyle w:val="39"/>
              <w:rPr>
                <w:rFonts w:ascii="Times New Roman" w:hAnsi="Times New Roman"/>
              </w:rPr>
            </w:pPr>
            <w:r>
              <w:rPr>
                <w:rFonts w:ascii="Times New Roman" w:hAnsi="Times New Roman"/>
              </w:rPr>
              <w:t>0.64</w:t>
            </w:r>
          </w:p>
        </w:tc>
        <w:tc>
          <w:tcPr>
            <w:tcW w:w="0" w:type="auto"/>
            <w:vAlign w:val="center"/>
          </w:tcPr>
          <w:p>
            <w:pPr>
              <w:pStyle w:val="39"/>
              <w:rPr>
                <w:rFonts w:ascii="Times New Roman" w:hAnsi="Times New Roman"/>
              </w:rPr>
            </w:pPr>
            <w:r>
              <w:rPr>
                <w:rFonts w:ascii="Times New Roman" w:hAnsi="Times New Roman"/>
              </w:rPr>
              <w:t>0.02</w:t>
            </w:r>
          </w:p>
        </w:tc>
        <w:tc>
          <w:tcPr>
            <w:tcW w:w="0" w:type="auto"/>
            <w:vAlign w:val="center"/>
          </w:tcPr>
          <w:p>
            <w:pPr>
              <w:pStyle w:val="39"/>
              <w:rPr>
                <w:rFonts w:ascii="Times New Roman" w:hAnsi="Times New Roman"/>
              </w:rPr>
            </w:pPr>
            <w:r>
              <w:rPr>
                <w:rFonts w:ascii="Times New Roman" w:hAnsi="Times New Roman"/>
              </w:rPr>
              <w:t>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1484" w:type="dxa"/>
            <w:vMerge w:val="restart"/>
            <w:shd w:val="clear" w:color="auto" w:fill="auto"/>
            <w:vAlign w:val="center"/>
          </w:tcPr>
          <w:p>
            <w:pPr>
              <w:pStyle w:val="39"/>
              <w:rPr>
                <w:rFonts w:ascii="Times New Roman" w:hAnsi="Times New Roman"/>
              </w:rPr>
            </w:pPr>
            <w:r>
              <w:rPr>
                <w:rFonts w:ascii="Times New Roman" w:hAnsi="Times New Roman"/>
              </w:rPr>
              <w:t>摩尔分数</w:t>
            </w:r>
          </w:p>
        </w:tc>
        <w:tc>
          <w:tcPr>
            <w:tcW w:w="1550" w:type="dxa"/>
            <w:shd w:val="clear" w:color="auto" w:fill="auto"/>
            <w:vAlign w:val="center"/>
          </w:tcPr>
          <w:p>
            <w:pPr>
              <w:pStyle w:val="39"/>
              <w:rPr>
                <w:rFonts w:ascii="Times New Roman" w:hAnsi="Times New Roman"/>
              </w:rPr>
            </w:pPr>
            <w:r>
              <w:rPr>
                <w:rFonts w:ascii="Times New Roman" w:hAnsi="Times New Roman"/>
              </w:rPr>
              <w:t>K</w:t>
            </w:r>
            <w:r>
              <w:rPr>
                <w:rFonts w:ascii="Times New Roman" w:hAnsi="Times New Roman"/>
                <w:vertAlign w:val="superscript"/>
              </w:rPr>
              <w:t>+</w:t>
            </w:r>
            <w:r>
              <w:rPr>
                <w:rFonts w:ascii="Times New Roman" w:hAnsi="Times New Roman"/>
              </w:rPr>
              <w:t>+Na</w:t>
            </w:r>
            <w:r>
              <w:rPr>
                <w:rFonts w:ascii="Times New Roman" w:hAnsi="Times New Roman"/>
                <w:vertAlign w:val="superscript"/>
              </w:rPr>
              <w:t>+</w:t>
            </w:r>
          </w:p>
        </w:tc>
        <w:tc>
          <w:tcPr>
            <w:tcW w:w="0" w:type="auto"/>
            <w:shd w:val="clear" w:color="auto" w:fill="auto"/>
            <w:noWrap/>
            <w:vAlign w:val="center"/>
          </w:tcPr>
          <w:p>
            <w:pPr>
              <w:pStyle w:val="39"/>
              <w:rPr>
                <w:rFonts w:ascii="Times New Roman" w:hAnsi="Times New Roman"/>
              </w:rPr>
            </w:pPr>
            <w:r>
              <w:rPr>
                <w:rFonts w:ascii="Times New Roman" w:hAnsi="Times New Roman"/>
              </w:rPr>
              <w:t>6.9%</w:t>
            </w:r>
          </w:p>
        </w:tc>
        <w:tc>
          <w:tcPr>
            <w:tcW w:w="0" w:type="auto"/>
            <w:shd w:val="clear" w:color="auto" w:fill="auto"/>
            <w:vAlign w:val="center"/>
          </w:tcPr>
          <w:p>
            <w:pPr>
              <w:pStyle w:val="39"/>
              <w:rPr>
                <w:rFonts w:ascii="Times New Roman" w:hAnsi="Times New Roman"/>
              </w:rPr>
            </w:pPr>
            <w:r>
              <w:rPr>
                <w:rFonts w:ascii="Times New Roman" w:hAnsi="Times New Roman"/>
              </w:rPr>
              <w:t>11.3%</w:t>
            </w:r>
          </w:p>
        </w:tc>
        <w:tc>
          <w:tcPr>
            <w:tcW w:w="0" w:type="auto"/>
            <w:shd w:val="clear" w:color="auto" w:fill="auto"/>
            <w:vAlign w:val="center"/>
          </w:tcPr>
          <w:p>
            <w:pPr>
              <w:pStyle w:val="39"/>
              <w:rPr>
                <w:rFonts w:ascii="Times New Roman" w:hAnsi="Times New Roman"/>
              </w:rPr>
            </w:pPr>
            <w:r>
              <w:rPr>
                <w:rFonts w:ascii="Times New Roman" w:hAnsi="Times New Roman"/>
              </w:rPr>
              <w:t>7.8%</w:t>
            </w:r>
          </w:p>
        </w:tc>
        <w:tc>
          <w:tcPr>
            <w:tcW w:w="0" w:type="auto"/>
            <w:shd w:val="clear" w:color="auto" w:fill="auto"/>
            <w:vAlign w:val="center"/>
          </w:tcPr>
          <w:p>
            <w:pPr>
              <w:pStyle w:val="39"/>
              <w:rPr>
                <w:rFonts w:ascii="Times New Roman" w:hAnsi="Times New Roman"/>
              </w:rPr>
            </w:pPr>
            <w:r>
              <w:rPr>
                <w:rFonts w:ascii="Times New Roman" w:hAnsi="Times New Roman"/>
              </w:rPr>
              <w:t>12.9%</w:t>
            </w:r>
          </w:p>
        </w:tc>
        <w:tc>
          <w:tcPr>
            <w:tcW w:w="0" w:type="auto"/>
            <w:shd w:val="clear" w:color="auto" w:fill="auto"/>
            <w:vAlign w:val="center"/>
          </w:tcPr>
          <w:p>
            <w:pPr>
              <w:pStyle w:val="39"/>
              <w:rPr>
                <w:rFonts w:ascii="Times New Roman" w:hAnsi="Times New Roman"/>
              </w:rPr>
            </w:pPr>
            <w:r>
              <w:rPr>
                <w:rFonts w:ascii="Times New Roman" w:hAnsi="Times New Roman"/>
              </w:rPr>
              <w:t>13.8%</w:t>
            </w:r>
          </w:p>
        </w:tc>
        <w:tc>
          <w:tcPr>
            <w:tcW w:w="0" w:type="auto"/>
            <w:vAlign w:val="center"/>
          </w:tcPr>
          <w:p>
            <w:pPr>
              <w:pStyle w:val="39"/>
              <w:rPr>
                <w:rFonts w:ascii="Times New Roman" w:hAnsi="Times New Roman"/>
              </w:rPr>
            </w:pPr>
            <w:r>
              <w:rPr>
                <w:rFonts w:ascii="Times New Roman" w:hAnsi="Times New Roman"/>
              </w:rPr>
              <w:t>17.6%</w:t>
            </w:r>
          </w:p>
        </w:tc>
        <w:tc>
          <w:tcPr>
            <w:tcW w:w="0" w:type="auto"/>
            <w:vAlign w:val="center"/>
          </w:tcPr>
          <w:p>
            <w:pPr>
              <w:pStyle w:val="39"/>
              <w:rPr>
                <w:rFonts w:ascii="Times New Roman" w:hAnsi="Times New Roman"/>
              </w:rPr>
            </w:pPr>
            <w:r>
              <w:rPr>
                <w:rFonts w:ascii="Times New Roman" w:hAnsi="Times New Roman"/>
              </w:rPr>
              <w:t>15.7%</w:t>
            </w:r>
          </w:p>
        </w:tc>
        <w:tc>
          <w:tcPr>
            <w:tcW w:w="0" w:type="auto"/>
            <w:vAlign w:val="center"/>
          </w:tcPr>
          <w:p>
            <w:pPr>
              <w:pStyle w:val="39"/>
              <w:rPr>
                <w:rFonts w:ascii="Times New Roman" w:hAnsi="Times New Roman"/>
              </w:rPr>
            </w:pPr>
            <w:r>
              <w:rPr>
                <w:rFonts w:ascii="Times New Roman" w:hAnsi="Times New Roman"/>
              </w:rPr>
              <w:t>7.3%</w:t>
            </w:r>
          </w:p>
        </w:tc>
        <w:tc>
          <w:tcPr>
            <w:tcW w:w="0" w:type="auto"/>
            <w:vAlign w:val="center"/>
          </w:tcPr>
          <w:p>
            <w:pPr>
              <w:pStyle w:val="39"/>
              <w:rPr>
                <w:rFonts w:ascii="Times New Roman" w:hAnsi="Times New Roman"/>
              </w:rPr>
            </w:pPr>
            <w:r>
              <w:rPr>
                <w:rFonts w:ascii="Times New Roman" w:hAnsi="Times New Roman"/>
              </w:rPr>
              <w:t>8.2%</w:t>
            </w:r>
          </w:p>
        </w:tc>
        <w:tc>
          <w:tcPr>
            <w:tcW w:w="0" w:type="auto"/>
            <w:vAlign w:val="center"/>
          </w:tcPr>
          <w:p>
            <w:pPr>
              <w:pStyle w:val="39"/>
              <w:rPr>
                <w:rFonts w:ascii="Times New Roman" w:hAnsi="Times New Roman"/>
              </w:rPr>
            </w:pPr>
            <w:r>
              <w:rPr>
                <w:rFonts w:ascii="Times New Roman" w:hAnsi="Times New Roman"/>
              </w:rPr>
              <w:t>15.2%</w:t>
            </w:r>
          </w:p>
        </w:tc>
        <w:tc>
          <w:tcPr>
            <w:tcW w:w="0" w:type="auto"/>
            <w:vAlign w:val="center"/>
          </w:tcPr>
          <w:p>
            <w:pPr>
              <w:pStyle w:val="39"/>
              <w:rPr>
                <w:rFonts w:ascii="Times New Roman" w:hAnsi="Times New Roman"/>
              </w:rPr>
            </w:pPr>
            <w:r>
              <w:rPr>
                <w:rFonts w:ascii="Times New Roman" w:hAnsi="Times New Roman"/>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484" w:type="dxa"/>
            <w:vMerge w:val="continue"/>
            <w:shd w:val="clear" w:color="auto" w:fill="auto"/>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Ca</w:t>
            </w:r>
            <w:r>
              <w:rPr>
                <w:rFonts w:ascii="Times New Roman" w:hAnsi="Times New Roman"/>
                <w:vertAlign w:val="superscript"/>
              </w:rPr>
              <w:t>2+</w:t>
            </w:r>
          </w:p>
        </w:tc>
        <w:tc>
          <w:tcPr>
            <w:tcW w:w="0" w:type="auto"/>
            <w:shd w:val="clear" w:color="auto" w:fill="auto"/>
            <w:noWrap/>
            <w:vAlign w:val="center"/>
          </w:tcPr>
          <w:p>
            <w:pPr>
              <w:pStyle w:val="39"/>
              <w:rPr>
                <w:rFonts w:ascii="Times New Roman" w:hAnsi="Times New Roman"/>
              </w:rPr>
            </w:pPr>
            <w:r>
              <w:rPr>
                <w:rFonts w:ascii="Times New Roman" w:hAnsi="Times New Roman"/>
              </w:rPr>
              <w:t>83.8%</w:t>
            </w:r>
          </w:p>
        </w:tc>
        <w:tc>
          <w:tcPr>
            <w:tcW w:w="0" w:type="auto"/>
            <w:shd w:val="clear" w:color="auto" w:fill="auto"/>
            <w:vAlign w:val="center"/>
          </w:tcPr>
          <w:p>
            <w:pPr>
              <w:pStyle w:val="39"/>
              <w:rPr>
                <w:rFonts w:ascii="Times New Roman" w:hAnsi="Times New Roman"/>
              </w:rPr>
            </w:pPr>
            <w:r>
              <w:rPr>
                <w:rFonts w:ascii="Times New Roman" w:hAnsi="Times New Roman"/>
              </w:rPr>
              <w:t>72.1%</w:t>
            </w:r>
          </w:p>
        </w:tc>
        <w:tc>
          <w:tcPr>
            <w:tcW w:w="0" w:type="auto"/>
            <w:shd w:val="clear" w:color="auto" w:fill="auto"/>
            <w:vAlign w:val="center"/>
          </w:tcPr>
          <w:p>
            <w:pPr>
              <w:pStyle w:val="39"/>
              <w:rPr>
                <w:rFonts w:ascii="Times New Roman" w:hAnsi="Times New Roman"/>
              </w:rPr>
            </w:pPr>
            <w:r>
              <w:rPr>
                <w:rFonts w:ascii="Times New Roman" w:hAnsi="Times New Roman"/>
              </w:rPr>
              <w:t>76.4%</w:t>
            </w:r>
          </w:p>
        </w:tc>
        <w:tc>
          <w:tcPr>
            <w:tcW w:w="0" w:type="auto"/>
            <w:shd w:val="clear" w:color="auto" w:fill="auto"/>
            <w:vAlign w:val="center"/>
          </w:tcPr>
          <w:p>
            <w:pPr>
              <w:pStyle w:val="39"/>
              <w:rPr>
                <w:rFonts w:ascii="Times New Roman" w:hAnsi="Times New Roman"/>
              </w:rPr>
            </w:pPr>
            <w:r>
              <w:rPr>
                <w:rFonts w:ascii="Times New Roman" w:hAnsi="Times New Roman"/>
              </w:rPr>
              <w:t>66.0%</w:t>
            </w:r>
          </w:p>
        </w:tc>
        <w:tc>
          <w:tcPr>
            <w:tcW w:w="0" w:type="auto"/>
            <w:shd w:val="clear" w:color="auto" w:fill="auto"/>
            <w:vAlign w:val="center"/>
          </w:tcPr>
          <w:p>
            <w:pPr>
              <w:pStyle w:val="39"/>
              <w:rPr>
                <w:rFonts w:ascii="Times New Roman" w:hAnsi="Times New Roman"/>
              </w:rPr>
            </w:pPr>
            <w:r>
              <w:rPr>
                <w:rFonts w:ascii="Times New Roman" w:hAnsi="Times New Roman"/>
              </w:rPr>
              <w:t>65.1%</w:t>
            </w:r>
          </w:p>
        </w:tc>
        <w:tc>
          <w:tcPr>
            <w:tcW w:w="0" w:type="auto"/>
            <w:vAlign w:val="center"/>
          </w:tcPr>
          <w:p>
            <w:pPr>
              <w:pStyle w:val="39"/>
              <w:rPr>
                <w:rFonts w:ascii="Times New Roman" w:hAnsi="Times New Roman"/>
              </w:rPr>
            </w:pPr>
            <w:r>
              <w:rPr>
                <w:rFonts w:ascii="Times New Roman" w:hAnsi="Times New Roman"/>
              </w:rPr>
              <w:t>63.3%</w:t>
            </w:r>
          </w:p>
        </w:tc>
        <w:tc>
          <w:tcPr>
            <w:tcW w:w="0" w:type="auto"/>
            <w:vAlign w:val="center"/>
          </w:tcPr>
          <w:p>
            <w:pPr>
              <w:pStyle w:val="39"/>
              <w:rPr>
                <w:rFonts w:ascii="Times New Roman" w:hAnsi="Times New Roman"/>
              </w:rPr>
            </w:pPr>
            <w:r>
              <w:rPr>
                <w:rFonts w:ascii="Times New Roman" w:hAnsi="Times New Roman"/>
              </w:rPr>
              <w:t>67.2%</w:t>
            </w:r>
          </w:p>
        </w:tc>
        <w:tc>
          <w:tcPr>
            <w:tcW w:w="0" w:type="auto"/>
            <w:vAlign w:val="center"/>
          </w:tcPr>
          <w:p>
            <w:pPr>
              <w:pStyle w:val="39"/>
              <w:rPr>
                <w:rFonts w:ascii="Times New Roman" w:hAnsi="Times New Roman"/>
              </w:rPr>
            </w:pPr>
            <w:r>
              <w:rPr>
                <w:rFonts w:ascii="Times New Roman" w:hAnsi="Times New Roman"/>
              </w:rPr>
              <w:t>77.8%</w:t>
            </w:r>
          </w:p>
        </w:tc>
        <w:tc>
          <w:tcPr>
            <w:tcW w:w="0" w:type="auto"/>
            <w:vAlign w:val="center"/>
          </w:tcPr>
          <w:p>
            <w:pPr>
              <w:pStyle w:val="39"/>
              <w:rPr>
                <w:rFonts w:ascii="Times New Roman" w:hAnsi="Times New Roman"/>
              </w:rPr>
            </w:pPr>
            <w:r>
              <w:rPr>
                <w:rFonts w:ascii="Times New Roman" w:hAnsi="Times New Roman"/>
              </w:rPr>
              <w:t>78.0%</w:t>
            </w:r>
          </w:p>
        </w:tc>
        <w:tc>
          <w:tcPr>
            <w:tcW w:w="0" w:type="auto"/>
            <w:vAlign w:val="center"/>
          </w:tcPr>
          <w:p>
            <w:pPr>
              <w:pStyle w:val="39"/>
              <w:rPr>
                <w:rFonts w:ascii="Times New Roman" w:hAnsi="Times New Roman"/>
              </w:rPr>
            </w:pPr>
            <w:r>
              <w:rPr>
                <w:rFonts w:ascii="Times New Roman" w:hAnsi="Times New Roman"/>
              </w:rPr>
              <w:t>69.0%</w:t>
            </w:r>
          </w:p>
        </w:tc>
        <w:tc>
          <w:tcPr>
            <w:tcW w:w="0" w:type="auto"/>
            <w:vAlign w:val="center"/>
          </w:tcPr>
          <w:p>
            <w:pPr>
              <w:pStyle w:val="39"/>
              <w:rPr>
                <w:rFonts w:ascii="Times New Roman" w:hAnsi="Times New Roman"/>
              </w:rPr>
            </w:pPr>
            <w:r>
              <w:rPr>
                <w:rFonts w:ascii="Times New Roman" w:hAnsi="Times New Roman"/>
              </w:rPr>
              <w:t>72.6%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484" w:type="dxa"/>
            <w:vMerge w:val="continue"/>
            <w:shd w:val="clear" w:color="auto" w:fill="auto"/>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Mg</w:t>
            </w:r>
            <w:r>
              <w:rPr>
                <w:rFonts w:ascii="Times New Roman" w:hAnsi="Times New Roman"/>
                <w:vertAlign w:val="superscript"/>
              </w:rPr>
              <w:t>2+</w:t>
            </w:r>
          </w:p>
        </w:tc>
        <w:tc>
          <w:tcPr>
            <w:tcW w:w="0" w:type="auto"/>
            <w:shd w:val="clear" w:color="auto" w:fill="auto"/>
            <w:noWrap/>
            <w:vAlign w:val="center"/>
          </w:tcPr>
          <w:p>
            <w:pPr>
              <w:pStyle w:val="39"/>
              <w:rPr>
                <w:rFonts w:ascii="Times New Roman" w:hAnsi="Times New Roman"/>
              </w:rPr>
            </w:pPr>
            <w:r>
              <w:rPr>
                <w:rFonts w:ascii="Times New Roman" w:hAnsi="Times New Roman"/>
              </w:rPr>
              <w:t>9.3%</w:t>
            </w:r>
          </w:p>
        </w:tc>
        <w:tc>
          <w:tcPr>
            <w:tcW w:w="0" w:type="auto"/>
            <w:shd w:val="clear" w:color="auto" w:fill="auto"/>
            <w:vAlign w:val="center"/>
          </w:tcPr>
          <w:p>
            <w:pPr>
              <w:pStyle w:val="39"/>
              <w:rPr>
                <w:rFonts w:ascii="Times New Roman" w:hAnsi="Times New Roman"/>
              </w:rPr>
            </w:pPr>
            <w:r>
              <w:rPr>
                <w:rFonts w:ascii="Times New Roman" w:hAnsi="Times New Roman"/>
              </w:rPr>
              <w:t>16.6%</w:t>
            </w:r>
          </w:p>
        </w:tc>
        <w:tc>
          <w:tcPr>
            <w:tcW w:w="0" w:type="auto"/>
            <w:shd w:val="clear" w:color="auto" w:fill="auto"/>
            <w:vAlign w:val="center"/>
          </w:tcPr>
          <w:p>
            <w:pPr>
              <w:pStyle w:val="39"/>
              <w:rPr>
                <w:rFonts w:ascii="Times New Roman" w:hAnsi="Times New Roman"/>
              </w:rPr>
            </w:pPr>
            <w:r>
              <w:rPr>
                <w:rFonts w:ascii="Times New Roman" w:hAnsi="Times New Roman"/>
              </w:rPr>
              <w:t>15.8%</w:t>
            </w:r>
          </w:p>
        </w:tc>
        <w:tc>
          <w:tcPr>
            <w:tcW w:w="0" w:type="auto"/>
            <w:shd w:val="clear" w:color="auto" w:fill="auto"/>
            <w:vAlign w:val="center"/>
          </w:tcPr>
          <w:p>
            <w:pPr>
              <w:pStyle w:val="39"/>
              <w:rPr>
                <w:rFonts w:ascii="Times New Roman" w:hAnsi="Times New Roman"/>
              </w:rPr>
            </w:pPr>
            <w:r>
              <w:rPr>
                <w:rFonts w:ascii="Times New Roman" w:hAnsi="Times New Roman"/>
              </w:rPr>
              <w:t>21.1%</w:t>
            </w:r>
          </w:p>
        </w:tc>
        <w:tc>
          <w:tcPr>
            <w:tcW w:w="0" w:type="auto"/>
            <w:shd w:val="clear" w:color="auto" w:fill="auto"/>
            <w:vAlign w:val="center"/>
          </w:tcPr>
          <w:p>
            <w:pPr>
              <w:pStyle w:val="39"/>
              <w:rPr>
                <w:rFonts w:ascii="Times New Roman" w:hAnsi="Times New Roman"/>
              </w:rPr>
            </w:pPr>
            <w:r>
              <w:rPr>
                <w:rFonts w:ascii="Times New Roman" w:hAnsi="Times New Roman"/>
              </w:rPr>
              <w:t>21.1%</w:t>
            </w:r>
          </w:p>
        </w:tc>
        <w:tc>
          <w:tcPr>
            <w:tcW w:w="0" w:type="auto"/>
            <w:vAlign w:val="center"/>
          </w:tcPr>
          <w:p>
            <w:pPr>
              <w:pStyle w:val="39"/>
              <w:rPr>
                <w:rFonts w:ascii="Times New Roman" w:hAnsi="Times New Roman"/>
              </w:rPr>
            </w:pPr>
            <w:r>
              <w:rPr>
                <w:rFonts w:ascii="Times New Roman" w:hAnsi="Times New Roman"/>
              </w:rPr>
              <w:t>19.1%</w:t>
            </w:r>
          </w:p>
        </w:tc>
        <w:tc>
          <w:tcPr>
            <w:tcW w:w="0" w:type="auto"/>
            <w:vAlign w:val="center"/>
          </w:tcPr>
          <w:p>
            <w:pPr>
              <w:pStyle w:val="39"/>
              <w:rPr>
                <w:rFonts w:ascii="Times New Roman" w:hAnsi="Times New Roman"/>
              </w:rPr>
            </w:pPr>
            <w:r>
              <w:rPr>
                <w:rFonts w:ascii="Times New Roman" w:hAnsi="Times New Roman"/>
              </w:rPr>
              <w:t>17.1%</w:t>
            </w:r>
          </w:p>
        </w:tc>
        <w:tc>
          <w:tcPr>
            <w:tcW w:w="0" w:type="auto"/>
            <w:vAlign w:val="center"/>
          </w:tcPr>
          <w:p>
            <w:pPr>
              <w:pStyle w:val="39"/>
              <w:rPr>
                <w:rFonts w:ascii="Times New Roman" w:hAnsi="Times New Roman"/>
              </w:rPr>
            </w:pPr>
            <w:r>
              <w:rPr>
                <w:rFonts w:ascii="Times New Roman" w:hAnsi="Times New Roman"/>
              </w:rPr>
              <w:t>14.9%</w:t>
            </w:r>
          </w:p>
        </w:tc>
        <w:tc>
          <w:tcPr>
            <w:tcW w:w="0" w:type="auto"/>
            <w:vAlign w:val="center"/>
          </w:tcPr>
          <w:p>
            <w:pPr>
              <w:pStyle w:val="39"/>
              <w:rPr>
                <w:rFonts w:ascii="Times New Roman" w:hAnsi="Times New Roman"/>
              </w:rPr>
            </w:pPr>
            <w:r>
              <w:rPr>
                <w:rFonts w:ascii="Times New Roman" w:hAnsi="Times New Roman"/>
              </w:rPr>
              <w:t>13.8%</w:t>
            </w:r>
          </w:p>
        </w:tc>
        <w:tc>
          <w:tcPr>
            <w:tcW w:w="0" w:type="auto"/>
            <w:vAlign w:val="center"/>
          </w:tcPr>
          <w:p>
            <w:pPr>
              <w:pStyle w:val="39"/>
              <w:rPr>
                <w:rFonts w:ascii="Times New Roman" w:hAnsi="Times New Roman"/>
              </w:rPr>
            </w:pPr>
            <w:r>
              <w:rPr>
                <w:rFonts w:ascii="Times New Roman" w:hAnsi="Times New Roman"/>
              </w:rPr>
              <w:t>15.7%</w:t>
            </w:r>
          </w:p>
        </w:tc>
        <w:tc>
          <w:tcPr>
            <w:tcW w:w="0" w:type="auto"/>
            <w:vAlign w:val="center"/>
          </w:tcPr>
          <w:p>
            <w:pPr>
              <w:pStyle w:val="39"/>
              <w:rPr>
                <w:rFonts w:ascii="Times New Roman" w:hAnsi="Times New Roman"/>
              </w:rPr>
            </w:pPr>
            <w:r>
              <w:rPr>
                <w:rFonts w:ascii="Times New Roman" w:hAnsi="Times New Roman"/>
              </w:rPr>
              <w:t>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484" w:type="dxa"/>
            <w:vMerge w:val="continue"/>
            <w:shd w:val="clear" w:color="auto" w:fill="auto"/>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CO</w:t>
            </w:r>
            <w:r>
              <w:rPr>
                <w:rFonts w:ascii="Times New Roman" w:hAnsi="Times New Roman"/>
                <w:vertAlign w:val="subscript"/>
              </w:rPr>
              <w:t>3</w:t>
            </w:r>
            <w:r>
              <w:rPr>
                <w:rFonts w:ascii="Times New Roman" w:hAnsi="Times New Roman"/>
                <w:vertAlign w:val="superscript"/>
              </w:rPr>
              <w:t>2-</w:t>
            </w:r>
          </w:p>
        </w:tc>
        <w:tc>
          <w:tcPr>
            <w:tcW w:w="0" w:type="auto"/>
            <w:shd w:val="clear" w:color="auto" w:fill="auto"/>
            <w:noWrap/>
            <w:vAlign w:val="center"/>
          </w:tcPr>
          <w:p>
            <w:pPr>
              <w:pStyle w:val="39"/>
              <w:rPr>
                <w:rFonts w:ascii="Times New Roman" w:hAnsi="Times New Roman"/>
              </w:rPr>
            </w:pPr>
            <w:r>
              <w:rPr>
                <w:rFonts w:ascii="Times New Roman" w:hAnsi="Times New Roman"/>
              </w:rPr>
              <w:t>6.1%</w:t>
            </w:r>
          </w:p>
        </w:tc>
        <w:tc>
          <w:tcPr>
            <w:tcW w:w="0" w:type="auto"/>
            <w:shd w:val="clear" w:color="auto" w:fill="auto"/>
            <w:vAlign w:val="center"/>
          </w:tcPr>
          <w:p>
            <w:pPr>
              <w:pStyle w:val="39"/>
              <w:rPr>
                <w:rFonts w:ascii="Times New Roman" w:hAnsi="Times New Roman"/>
              </w:rPr>
            </w:pPr>
            <w:r>
              <w:rPr>
                <w:rFonts w:ascii="Times New Roman" w:hAnsi="Times New Roman"/>
              </w:rPr>
              <w:t>1.2%</w:t>
            </w:r>
          </w:p>
        </w:tc>
        <w:tc>
          <w:tcPr>
            <w:tcW w:w="0" w:type="auto"/>
            <w:shd w:val="clear" w:color="auto" w:fill="auto"/>
            <w:vAlign w:val="center"/>
          </w:tcPr>
          <w:p>
            <w:pPr>
              <w:pStyle w:val="39"/>
              <w:rPr>
                <w:rFonts w:ascii="Times New Roman" w:hAnsi="Times New Roman"/>
              </w:rPr>
            </w:pPr>
            <w:r>
              <w:rPr>
                <w:rFonts w:ascii="Times New Roman" w:hAnsi="Times New Roman"/>
              </w:rPr>
              <w:t>2.4%</w:t>
            </w:r>
          </w:p>
        </w:tc>
        <w:tc>
          <w:tcPr>
            <w:tcW w:w="0" w:type="auto"/>
            <w:shd w:val="clear" w:color="auto" w:fill="auto"/>
            <w:vAlign w:val="center"/>
          </w:tcPr>
          <w:p>
            <w:pPr>
              <w:pStyle w:val="39"/>
              <w:rPr>
                <w:rFonts w:ascii="Times New Roman" w:hAnsi="Times New Roman"/>
              </w:rPr>
            </w:pPr>
            <w:r>
              <w:rPr>
                <w:rFonts w:ascii="Times New Roman" w:hAnsi="Times New Roman"/>
              </w:rPr>
              <w:t>1.7%</w:t>
            </w:r>
          </w:p>
        </w:tc>
        <w:tc>
          <w:tcPr>
            <w:tcW w:w="0" w:type="auto"/>
            <w:shd w:val="clear" w:color="auto" w:fill="auto"/>
            <w:vAlign w:val="center"/>
          </w:tcPr>
          <w:p>
            <w:pPr>
              <w:pStyle w:val="39"/>
              <w:rPr>
                <w:rFonts w:ascii="Times New Roman" w:hAnsi="Times New Roman"/>
              </w:rPr>
            </w:pPr>
            <w:r>
              <w:rPr>
                <w:rFonts w:ascii="Times New Roman" w:hAnsi="Times New Roman"/>
              </w:rPr>
              <w:t>2.2%</w:t>
            </w:r>
          </w:p>
        </w:tc>
        <w:tc>
          <w:tcPr>
            <w:tcW w:w="0" w:type="auto"/>
            <w:vAlign w:val="center"/>
          </w:tcPr>
          <w:p>
            <w:pPr>
              <w:pStyle w:val="39"/>
              <w:rPr>
                <w:rFonts w:ascii="Times New Roman" w:hAnsi="Times New Roman"/>
              </w:rPr>
            </w:pPr>
            <w:r>
              <w:rPr>
                <w:rFonts w:ascii="Times New Roman" w:hAnsi="Times New Roman"/>
              </w:rPr>
              <w:t>1.2%</w:t>
            </w:r>
          </w:p>
        </w:tc>
        <w:tc>
          <w:tcPr>
            <w:tcW w:w="0" w:type="auto"/>
            <w:vAlign w:val="center"/>
          </w:tcPr>
          <w:p>
            <w:pPr>
              <w:pStyle w:val="39"/>
              <w:rPr>
                <w:rFonts w:ascii="Times New Roman" w:hAnsi="Times New Roman"/>
              </w:rPr>
            </w:pPr>
            <w:r>
              <w:rPr>
                <w:rFonts w:ascii="Times New Roman" w:hAnsi="Times New Roman"/>
              </w:rPr>
              <w:t>2.6%</w:t>
            </w:r>
          </w:p>
        </w:tc>
        <w:tc>
          <w:tcPr>
            <w:tcW w:w="0" w:type="auto"/>
            <w:vAlign w:val="center"/>
          </w:tcPr>
          <w:p>
            <w:pPr>
              <w:pStyle w:val="39"/>
              <w:rPr>
                <w:rFonts w:ascii="Times New Roman" w:hAnsi="Times New Roman"/>
              </w:rPr>
            </w:pPr>
            <w:r>
              <w:rPr>
                <w:rFonts w:ascii="Times New Roman" w:hAnsi="Times New Roman"/>
              </w:rPr>
              <w:t>1.6%</w:t>
            </w:r>
          </w:p>
        </w:tc>
        <w:tc>
          <w:tcPr>
            <w:tcW w:w="0" w:type="auto"/>
            <w:vAlign w:val="center"/>
          </w:tcPr>
          <w:p>
            <w:pPr>
              <w:pStyle w:val="39"/>
              <w:rPr>
                <w:rFonts w:ascii="Times New Roman" w:hAnsi="Times New Roman"/>
              </w:rPr>
            </w:pPr>
            <w:r>
              <w:rPr>
                <w:rFonts w:ascii="Times New Roman" w:hAnsi="Times New Roman"/>
              </w:rPr>
              <w:t>1.4%</w:t>
            </w:r>
          </w:p>
        </w:tc>
        <w:tc>
          <w:tcPr>
            <w:tcW w:w="0" w:type="auto"/>
            <w:vAlign w:val="center"/>
          </w:tcPr>
          <w:p>
            <w:pPr>
              <w:pStyle w:val="39"/>
              <w:rPr>
                <w:rFonts w:ascii="Times New Roman" w:hAnsi="Times New Roman"/>
              </w:rPr>
            </w:pPr>
            <w:r>
              <w:rPr>
                <w:rFonts w:ascii="Times New Roman" w:hAnsi="Times New Roman"/>
              </w:rPr>
              <w:t>7.2%</w:t>
            </w:r>
          </w:p>
        </w:tc>
        <w:tc>
          <w:tcPr>
            <w:tcW w:w="0" w:type="auto"/>
            <w:vAlign w:val="center"/>
          </w:tcPr>
          <w:p>
            <w:pPr>
              <w:pStyle w:val="39"/>
              <w:rPr>
                <w:rFonts w:ascii="Times New Roman" w:hAnsi="Times New Roman"/>
              </w:rPr>
            </w:pPr>
            <w:r>
              <w:rPr>
                <w:rFonts w:ascii="Times New Roman" w:hAnsi="Times New Roma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484" w:type="dxa"/>
            <w:vMerge w:val="continue"/>
            <w:shd w:val="clear" w:color="auto" w:fill="auto"/>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HCO</w:t>
            </w:r>
            <w:r>
              <w:rPr>
                <w:rFonts w:ascii="Times New Roman" w:hAnsi="Times New Roman"/>
                <w:vertAlign w:val="subscript"/>
              </w:rPr>
              <w:t>3</w:t>
            </w:r>
            <w:r>
              <w:rPr>
                <w:rFonts w:ascii="Times New Roman" w:hAnsi="Times New Roman"/>
                <w:vertAlign w:val="superscript"/>
              </w:rPr>
              <w:t>-</w:t>
            </w:r>
          </w:p>
        </w:tc>
        <w:tc>
          <w:tcPr>
            <w:tcW w:w="0" w:type="auto"/>
            <w:shd w:val="clear" w:color="auto" w:fill="auto"/>
            <w:noWrap/>
            <w:vAlign w:val="center"/>
          </w:tcPr>
          <w:p>
            <w:pPr>
              <w:pStyle w:val="39"/>
              <w:rPr>
                <w:rFonts w:ascii="Times New Roman" w:hAnsi="Times New Roman"/>
              </w:rPr>
            </w:pPr>
            <w:r>
              <w:rPr>
                <w:rFonts w:ascii="Times New Roman" w:hAnsi="Times New Roman"/>
              </w:rPr>
              <w:t>84.8%</w:t>
            </w:r>
          </w:p>
        </w:tc>
        <w:tc>
          <w:tcPr>
            <w:tcW w:w="0" w:type="auto"/>
            <w:shd w:val="clear" w:color="auto" w:fill="auto"/>
            <w:vAlign w:val="center"/>
          </w:tcPr>
          <w:p>
            <w:pPr>
              <w:pStyle w:val="39"/>
              <w:rPr>
                <w:rFonts w:ascii="Times New Roman" w:hAnsi="Times New Roman"/>
              </w:rPr>
            </w:pPr>
            <w:r>
              <w:rPr>
                <w:rFonts w:ascii="Times New Roman" w:hAnsi="Times New Roman"/>
              </w:rPr>
              <w:t>81.6%</w:t>
            </w:r>
          </w:p>
        </w:tc>
        <w:tc>
          <w:tcPr>
            <w:tcW w:w="0" w:type="auto"/>
            <w:shd w:val="clear" w:color="auto" w:fill="auto"/>
            <w:vAlign w:val="center"/>
          </w:tcPr>
          <w:p>
            <w:pPr>
              <w:pStyle w:val="39"/>
              <w:rPr>
                <w:rFonts w:ascii="Times New Roman" w:hAnsi="Times New Roman"/>
              </w:rPr>
            </w:pPr>
            <w:r>
              <w:rPr>
                <w:rFonts w:ascii="Times New Roman" w:hAnsi="Times New Roman"/>
              </w:rPr>
              <w:t>88.6%</w:t>
            </w:r>
          </w:p>
        </w:tc>
        <w:tc>
          <w:tcPr>
            <w:tcW w:w="0" w:type="auto"/>
            <w:shd w:val="clear" w:color="auto" w:fill="auto"/>
            <w:vAlign w:val="center"/>
          </w:tcPr>
          <w:p>
            <w:pPr>
              <w:pStyle w:val="39"/>
              <w:rPr>
                <w:rFonts w:ascii="Times New Roman" w:hAnsi="Times New Roman"/>
              </w:rPr>
            </w:pPr>
            <w:r>
              <w:rPr>
                <w:rFonts w:ascii="Times New Roman" w:hAnsi="Times New Roman"/>
              </w:rPr>
              <w:t>68.5%</w:t>
            </w:r>
          </w:p>
        </w:tc>
        <w:tc>
          <w:tcPr>
            <w:tcW w:w="0" w:type="auto"/>
            <w:shd w:val="clear" w:color="auto" w:fill="auto"/>
            <w:vAlign w:val="center"/>
          </w:tcPr>
          <w:p>
            <w:pPr>
              <w:pStyle w:val="39"/>
              <w:rPr>
                <w:rFonts w:ascii="Times New Roman" w:hAnsi="Times New Roman"/>
              </w:rPr>
            </w:pPr>
            <w:r>
              <w:rPr>
                <w:rFonts w:ascii="Times New Roman" w:hAnsi="Times New Roman"/>
              </w:rPr>
              <w:t>80.2%</w:t>
            </w:r>
          </w:p>
        </w:tc>
        <w:tc>
          <w:tcPr>
            <w:tcW w:w="0" w:type="auto"/>
            <w:vAlign w:val="center"/>
          </w:tcPr>
          <w:p>
            <w:pPr>
              <w:pStyle w:val="39"/>
              <w:rPr>
                <w:rFonts w:ascii="Times New Roman" w:hAnsi="Times New Roman"/>
              </w:rPr>
            </w:pPr>
            <w:r>
              <w:rPr>
                <w:rFonts w:ascii="Times New Roman" w:hAnsi="Times New Roman"/>
              </w:rPr>
              <w:t>18.4%</w:t>
            </w:r>
          </w:p>
        </w:tc>
        <w:tc>
          <w:tcPr>
            <w:tcW w:w="0" w:type="auto"/>
            <w:vAlign w:val="center"/>
          </w:tcPr>
          <w:p>
            <w:pPr>
              <w:pStyle w:val="39"/>
              <w:rPr>
                <w:rFonts w:ascii="Times New Roman" w:hAnsi="Times New Roman"/>
              </w:rPr>
            </w:pPr>
            <w:r>
              <w:rPr>
                <w:rFonts w:ascii="Times New Roman" w:hAnsi="Times New Roman"/>
              </w:rPr>
              <w:t>62.0%</w:t>
            </w:r>
          </w:p>
        </w:tc>
        <w:tc>
          <w:tcPr>
            <w:tcW w:w="0" w:type="auto"/>
            <w:vAlign w:val="center"/>
          </w:tcPr>
          <w:p>
            <w:pPr>
              <w:pStyle w:val="39"/>
              <w:rPr>
                <w:rFonts w:ascii="Times New Roman" w:hAnsi="Times New Roman"/>
              </w:rPr>
            </w:pPr>
            <w:r>
              <w:rPr>
                <w:rFonts w:ascii="Times New Roman" w:hAnsi="Times New Roman"/>
              </w:rPr>
              <w:t>92.4%</w:t>
            </w:r>
          </w:p>
        </w:tc>
        <w:tc>
          <w:tcPr>
            <w:tcW w:w="0" w:type="auto"/>
            <w:vAlign w:val="center"/>
          </w:tcPr>
          <w:p>
            <w:pPr>
              <w:pStyle w:val="39"/>
              <w:rPr>
                <w:rFonts w:ascii="Times New Roman" w:hAnsi="Times New Roman"/>
              </w:rPr>
            </w:pPr>
            <w:r>
              <w:rPr>
                <w:rFonts w:ascii="Times New Roman" w:hAnsi="Times New Roman"/>
              </w:rPr>
              <w:t>81.0%</w:t>
            </w:r>
          </w:p>
        </w:tc>
        <w:tc>
          <w:tcPr>
            <w:tcW w:w="0" w:type="auto"/>
            <w:vAlign w:val="center"/>
          </w:tcPr>
          <w:p>
            <w:pPr>
              <w:pStyle w:val="39"/>
              <w:rPr>
                <w:rFonts w:ascii="Times New Roman" w:hAnsi="Times New Roman"/>
              </w:rPr>
            </w:pPr>
            <w:r>
              <w:rPr>
                <w:rFonts w:ascii="Times New Roman" w:hAnsi="Times New Roman"/>
              </w:rPr>
              <w:t>89.3%</w:t>
            </w:r>
          </w:p>
        </w:tc>
        <w:tc>
          <w:tcPr>
            <w:tcW w:w="0" w:type="auto"/>
            <w:vAlign w:val="center"/>
          </w:tcPr>
          <w:p>
            <w:pPr>
              <w:pStyle w:val="39"/>
              <w:rPr>
                <w:rFonts w:ascii="Times New Roman" w:hAnsi="Times New Roman"/>
              </w:rPr>
            </w:pPr>
            <w:r>
              <w:rPr>
                <w:rFonts w:ascii="Times New Roman" w:hAnsi="Times New Roman"/>
              </w:rPr>
              <w:t>75.1%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484" w:type="dxa"/>
            <w:vMerge w:val="continue"/>
            <w:shd w:val="clear" w:color="auto" w:fill="auto"/>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4</w:t>
            </w:r>
            <w:r>
              <w:rPr>
                <w:rFonts w:ascii="Times New Roman" w:hAnsi="Times New Roman"/>
                <w:vertAlign w:val="superscript"/>
              </w:rPr>
              <w:t>2-</w:t>
            </w:r>
          </w:p>
        </w:tc>
        <w:tc>
          <w:tcPr>
            <w:tcW w:w="0" w:type="auto"/>
            <w:shd w:val="clear" w:color="auto" w:fill="auto"/>
            <w:noWrap/>
            <w:vAlign w:val="center"/>
          </w:tcPr>
          <w:p>
            <w:pPr>
              <w:pStyle w:val="39"/>
              <w:rPr>
                <w:rFonts w:ascii="Times New Roman" w:hAnsi="Times New Roman"/>
              </w:rPr>
            </w:pPr>
            <w:r>
              <w:rPr>
                <w:rFonts w:ascii="Times New Roman" w:hAnsi="Times New Roman"/>
              </w:rPr>
              <w:t>6.0%</w:t>
            </w:r>
          </w:p>
        </w:tc>
        <w:tc>
          <w:tcPr>
            <w:tcW w:w="0" w:type="auto"/>
            <w:shd w:val="clear" w:color="auto" w:fill="auto"/>
            <w:vAlign w:val="center"/>
          </w:tcPr>
          <w:p>
            <w:pPr>
              <w:pStyle w:val="39"/>
              <w:rPr>
                <w:rFonts w:ascii="Times New Roman" w:hAnsi="Times New Roman"/>
              </w:rPr>
            </w:pPr>
            <w:r>
              <w:rPr>
                <w:rFonts w:ascii="Times New Roman" w:hAnsi="Times New Roman"/>
              </w:rPr>
              <w:t>4.3%</w:t>
            </w:r>
          </w:p>
        </w:tc>
        <w:tc>
          <w:tcPr>
            <w:tcW w:w="0" w:type="auto"/>
            <w:shd w:val="clear" w:color="auto" w:fill="auto"/>
            <w:vAlign w:val="center"/>
          </w:tcPr>
          <w:p>
            <w:pPr>
              <w:pStyle w:val="39"/>
              <w:rPr>
                <w:rFonts w:ascii="Times New Roman" w:hAnsi="Times New Roman"/>
              </w:rPr>
            </w:pPr>
            <w:r>
              <w:rPr>
                <w:rFonts w:ascii="Times New Roman" w:hAnsi="Times New Roman"/>
              </w:rPr>
              <w:t>8.0%</w:t>
            </w:r>
          </w:p>
        </w:tc>
        <w:tc>
          <w:tcPr>
            <w:tcW w:w="0" w:type="auto"/>
            <w:shd w:val="clear" w:color="auto" w:fill="auto"/>
            <w:vAlign w:val="center"/>
          </w:tcPr>
          <w:p>
            <w:pPr>
              <w:pStyle w:val="39"/>
              <w:rPr>
                <w:rFonts w:ascii="Times New Roman" w:hAnsi="Times New Roman"/>
              </w:rPr>
            </w:pPr>
            <w:r>
              <w:rPr>
                <w:rFonts w:ascii="Times New Roman" w:hAnsi="Times New Roman"/>
              </w:rPr>
              <w:t>9.7%</w:t>
            </w:r>
          </w:p>
        </w:tc>
        <w:tc>
          <w:tcPr>
            <w:tcW w:w="0" w:type="auto"/>
            <w:shd w:val="clear" w:color="auto" w:fill="auto"/>
            <w:vAlign w:val="center"/>
          </w:tcPr>
          <w:p>
            <w:pPr>
              <w:pStyle w:val="39"/>
              <w:rPr>
                <w:rFonts w:ascii="Times New Roman" w:hAnsi="Times New Roman"/>
              </w:rPr>
            </w:pPr>
            <w:r>
              <w:rPr>
                <w:rFonts w:ascii="Times New Roman" w:hAnsi="Times New Roman"/>
              </w:rPr>
              <w:t>7.0%</w:t>
            </w:r>
          </w:p>
        </w:tc>
        <w:tc>
          <w:tcPr>
            <w:tcW w:w="0" w:type="auto"/>
            <w:vAlign w:val="center"/>
          </w:tcPr>
          <w:p>
            <w:pPr>
              <w:pStyle w:val="39"/>
              <w:rPr>
                <w:rFonts w:ascii="Times New Roman" w:hAnsi="Times New Roman"/>
              </w:rPr>
            </w:pPr>
            <w:r>
              <w:rPr>
                <w:rFonts w:ascii="Times New Roman" w:hAnsi="Times New Roman"/>
              </w:rPr>
              <w:t>26.0%</w:t>
            </w:r>
          </w:p>
        </w:tc>
        <w:tc>
          <w:tcPr>
            <w:tcW w:w="0" w:type="auto"/>
            <w:vAlign w:val="center"/>
          </w:tcPr>
          <w:p>
            <w:pPr>
              <w:pStyle w:val="39"/>
              <w:rPr>
                <w:rFonts w:ascii="Times New Roman" w:hAnsi="Times New Roman"/>
              </w:rPr>
            </w:pPr>
            <w:r>
              <w:rPr>
                <w:rFonts w:ascii="Times New Roman" w:hAnsi="Times New Roman"/>
              </w:rPr>
              <w:t>11.0%</w:t>
            </w:r>
          </w:p>
        </w:tc>
        <w:tc>
          <w:tcPr>
            <w:tcW w:w="0" w:type="auto"/>
            <w:vAlign w:val="center"/>
          </w:tcPr>
          <w:p>
            <w:pPr>
              <w:pStyle w:val="39"/>
              <w:rPr>
                <w:rFonts w:ascii="Times New Roman" w:hAnsi="Times New Roman"/>
              </w:rPr>
            </w:pPr>
            <w:r>
              <w:rPr>
                <w:rFonts w:ascii="Times New Roman" w:hAnsi="Times New Roman"/>
              </w:rPr>
              <w:t>4.3%</w:t>
            </w:r>
          </w:p>
        </w:tc>
        <w:tc>
          <w:tcPr>
            <w:tcW w:w="0" w:type="auto"/>
            <w:vAlign w:val="center"/>
          </w:tcPr>
          <w:p>
            <w:pPr>
              <w:pStyle w:val="39"/>
              <w:rPr>
                <w:rFonts w:ascii="Times New Roman" w:hAnsi="Times New Roman"/>
              </w:rPr>
            </w:pPr>
            <w:r>
              <w:rPr>
                <w:rFonts w:ascii="Times New Roman" w:hAnsi="Times New Roman"/>
              </w:rPr>
              <w:t>6.9%</w:t>
            </w:r>
          </w:p>
        </w:tc>
        <w:tc>
          <w:tcPr>
            <w:tcW w:w="0" w:type="auto"/>
            <w:vAlign w:val="center"/>
          </w:tcPr>
          <w:p>
            <w:pPr>
              <w:pStyle w:val="39"/>
              <w:rPr>
                <w:rFonts w:ascii="Times New Roman" w:hAnsi="Times New Roman"/>
              </w:rPr>
            </w:pPr>
            <w:r>
              <w:rPr>
                <w:rFonts w:ascii="Times New Roman" w:hAnsi="Times New Roman"/>
              </w:rPr>
              <w:t>1.8%</w:t>
            </w:r>
          </w:p>
        </w:tc>
        <w:tc>
          <w:tcPr>
            <w:tcW w:w="0" w:type="auto"/>
            <w:vAlign w:val="center"/>
          </w:tcPr>
          <w:p>
            <w:pPr>
              <w:pStyle w:val="39"/>
              <w:rPr>
                <w:rFonts w:ascii="Times New Roman" w:hAnsi="Times New Roman"/>
              </w:rPr>
            </w:pPr>
            <w:r>
              <w:rPr>
                <w:rFonts w:ascii="Times New Roman" w:hAnsi="Times New Roman"/>
              </w:rPr>
              <w:t>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484" w:type="dxa"/>
            <w:vMerge w:val="continue"/>
            <w:shd w:val="clear" w:color="auto" w:fill="auto"/>
            <w:vAlign w:val="center"/>
          </w:tcPr>
          <w:p>
            <w:pPr>
              <w:pStyle w:val="39"/>
              <w:rPr>
                <w:rFonts w:ascii="Times New Roman" w:hAnsi="Times New Roman"/>
              </w:rPr>
            </w:pPr>
          </w:p>
        </w:tc>
        <w:tc>
          <w:tcPr>
            <w:tcW w:w="1550" w:type="dxa"/>
            <w:shd w:val="clear" w:color="auto" w:fill="auto"/>
            <w:vAlign w:val="center"/>
          </w:tcPr>
          <w:p>
            <w:pPr>
              <w:pStyle w:val="39"/>
              <w:rPr>
                <w:rFonts w:ascii="Times New Roman" w:hAnsi="Times New Roman"/>
              </w:rPr>
            </w:pPr>
            <w:r>
              <w:rPr>
                <w:rFonts w:ascii="Times New Roman" w:hAnsi="Times New Roman"/>
              </w:rPr>
              <w:t>Cl</w:t>
            </w:r>
            <w:r>
              <w:rPr>
                <w:rFonts w:ascii="Times New Roman" w:hAnsi="Times New Roman"/>
                <w:vertAlign w:val="superscript"/>
              </w:rPr>
              <w:t>-</w:t>
            </w:r>
          </w:p>
        </w:tc>
        <w:tc>
          <w:tcPr>
            <w:tcW w:w="0" w:type="auto"/>
            <w:shd w:val="clear" w:color="auto" w:fill="auto"/>
            <w:noWrap/>
            <w:vAlign w:val="center"/>
          </w:tcPr>
          <w:p>
            <w:pPr>
              <w:pStyle w:val="39"/>
              <w:rPr>
                <w:rFonts w:ascii="Times New Roman" w:hAnsi="Times New Roman"/>
              </w:rPr>
            </w:pPr>
            <w:r>
              <w:rPr>
                <w:rFonts w:ascii="Times New Roman" w:hAnsi="Times New Roman"/>
              </w:rPr>
              <w:t>3.1%</w:t>
            </w:r>
          </w:p>
        </w:tc>
        <w:tc>
          <w:tcPr>
            <w:tcW w:w="0" w:type="auto"/>
            <w:shd w:val="clear" w:color="auto" w:fill="auto"/>
            <w:vAlign w:val="center"/>
          </w:tcPr>
          <w:p>
            <w:pPr>
              <w:pStyle w:val="39"/>
              <w:rPr>
                <w:rFonts w:ascii="Times New Roman" w:hAnsi="Times New Roman"/>
              </w:rPr>
            </w:pPr>
            <w:r>
              <w:rPr>
                <w:rFonts w:ascii="Times New Roman" w:hAnsi="Times New Roman"/>
              </w:rPr>
              <w:t>12.9%</w:t>
            </w:r>
          </w:p>
        </w:tc>
        <w:tc>
          <w:tcPr>
            <w:tcW w:w="0" w:type="auto"/>
            <w:shd w:val="clear" w:color="auto" w:fill="auto"/>
            <w:vAlign w:val="center"/>
          </w:tcPr>
          <w:p>
            <w:pPr>
              <w:pStyle w:val="39"/>
              <w:rPr>
                <w:rFonts w:ascii="Times New Roman" w:hAnsi="Times New Roman"/>
              </w:rPr>
            </w:pPr>
            <w:r>
              <w:rPr>
                <w:rFonts w:ascii="Times New Roman" w:hAnsi="Times New Roman"/>
              </w:rPr>
              <w:t>1.0%</w:t>
            </w:r>
          </w:p>
        </w:tc>
        <w:tc>
          <w:tcPr>
            <w:tcW w:w="0" w:type="auto"/>
            <w:shd w:val="clear" w:color="auto" w:fill="auto"/>
            <w:vAlign w:val="center"/>
          </w:tcPr>
          <w:p>
            <w:pPr>
              <w:pStyle w:val="39"/>
              <w:rPr>
                <w:rFonts w:ascii="Times New Roman" w:hAnsi="Times New Roman"/>
              </w:rPr>
            </w:pPr>
            <w:r>
              <w:rPr>
                <w:rFonts w:ascii="Times New Roman" w:hAnsi="Times New Roman"/>
              </w:rPr>
              <w:t>20.1%</w:t>
            </w:r>
          </w:p>
        </w:tc>
        <w:tc>
          <w:tcPr>
            <w:tcW w:w="0" w:type="auto"/>
            <w:shd w:val="clear" w:color="auto" w:fill="auto"/>
            <w:vAlign w:val="center"/>
          </w:tcPr>
          <w:p>
            <w:pPr>
              <w:pStyle w:val="39"/>
              <w:rPr>
                <w:rFonts w:ascii="Times New Roman" w:hAnsi="Times New Roman"/>
              </w:rPr>
            </w:pPr>
            <w:r>
              <w:rPr>
                <w:rFonts w:ascii="Times New Roman" w:hAnsi="Times New Roman"/>
              </w:rPr>
              <w:t>10.6%</w:t>
            </w:r>
          </w:p>
        </w:tc>
        <w:tc>
          <w:tcPr>
            <w:tcW w:w="0" w:type="auto"/>
            <w:vAlign w:val="center"/>
          </w:tcPr>
          <w:p>
            <w:pPr>
              <w:pStyle w:val="39"/>
              <w:rPr>
                <w:rFonts w:ascii="Times New Roman" w:hAnsi="Times New Roman"/>
              </w:rPr>
            </w:pPr>
            <w:r>
              <w:rPr>
                <w:rFonts w:ascii="Times New Roman" w:hAnsi="Times New Roman"/>
              </w:rPr>
              <w:t>54.4%</w:t>
            </w:r>
          </w:p>
        </w:tc>
        <w:tc>
          <w:tcPr>
            <w:tcW w:w="0" w:type="auto"/>
            <w:vAlign w:val="center"/>
          </w:tcPr>
          <w:p>
            <w:pPr>
              <w:pStyle w:val="39"/>
              <w:rPr>
                <w:rFonts w:ascii="Times New Roman" w:hAnsi="Times New Roman"/>
              </w:rPr>
            </w:pPr>
            <w:r>
              <w:rPr>
                <w:rFonts w:ascii="Times New Roman" w:hAnsi="Times New Roman"/>
              </w:rPr>
              <w:t>24.4%</w:t>
            </w:r>
          </w:p>
        </w:tc>
        <w:tc>
          <w:tcPr>
            <w:tcW w:w="0" w:type="auto"/>
            <w:vAlign w:val="center"/>
          </w:tcPr>
          <w:p>
            <w:pPr>
              <w:pStyle w:val="39"/>
              <w:rPr>
                <w:rFonts w:ascii="Times New Roman" w:hAnsi="Times New Roman"/>
              </w:rPr>
            </w:pPr>
            <w:r>
              <w:rPr>
                <w:rFonts w:ascii="Times New Roman" w:hAnsi="Times New Roman"/>
              </w:rPr>
              <w:t>1.7%</w:t>
            </w:r>
          </w:p>
        </w:tc>
        <w:tc>
          <w:tcPr>
            <w:tcW w:w="0" w:type="auto"/>
            <w:vAlign w:val="center"/>
          </w:tcPr>
          <w:p>
            <w:pPr>
              <w:pStyle w:val="39"/>
              <w:rPr>
                <w:rFonts w:ascii="Times New Roman" w:hAnsi="Times New Roman"/>
              </w:rPr>
            </w:pPr>
            <w:r>
              <w:rPr>
                <w:rFonts w:ascii="Times New Roman" w:hAnsi="Times New Roman"/>
              </w:rPr>
              <w:t>10.7%</w:t>
            </w:r>
          </w:p>
        </w:tc>
        <w:tc>
          <w:tcPr>
            <w:tcW w:w="0" w:type="auto"/>
            <w:vAlign w:val="center"/>
          </w:tcPr>
          <w:p>
            <w:pPr>
              <w:pStyle w:val="39"/>
              <w:rPr>
                <w:rFonts w:ascii="Times New Roman" w:hAnsi="Times New Roman"/>
              </w:rPr>
            </w:pPr>
            <w:r>
              <w:rPr>
                <w:rFonts w:ascii="Times New Roman" w:hAnsi="Times New Roman"/>
              </w:rPr>
              <w:t>1.6%</w:t>
            </w:r>
          </w:p>
        </w:tc>
        <w:tc>
          <w:tcPr>
            <w:tcW w:w="0" w:type="auto"/>
            <w:vAlign w:val="center"/>
          </w:tcPr>
          <w:p>
            <w:pPr>
              <w:pStyle w:val="39"/>
              <w:rPr>
                <w:rFonts w:ascii="Times New Roman" w:hAnsi="Times New Roman"/>
              </w:rPr>
            </w:pPr>
            <w:r>
              <w:rPr>
                <w:rFonts w:ascii="Times New Roman" w:hAnsi="Times New Roman"/>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34" w:type="dxa"/>
            <w:gridSpan w:val="2"/>
            <w:shd w:val="clear" w:color="auto" w:fill="auto"/>
            <w:vAlign w:val="center"/>
          </w:tcPr>
          <w:p>
            <w:pPr>
              <w:pStyle w:val="39"/>
              <w:rPr>
                <w:rFonts w:ascii="Times New Roman" w:hAnsi="Times New Roman"/>
              </w:rPr>
            </w:pPr>
            <w:r>
              <w:rPr>
                <w:rFonts w:ascii="Times New Roman" w:hAnsi="Times New Roman"/>
              </w:rPr>
              <w:t>地下水水化学类型</w:t>
            </w:r>
          </w:p>
        </w:tc>
        <w:tc>
          <w:tcPr>
            <w:tcW w:w="0" w:type="auto"/>
            <w:shd w:val="clear" w:color="auto" w:fill="auto"/>
            <w:noWrap/>
            <w:vAlign w:val="center"/>
          </w:tcPr>
          <w:p>
            <w:pPr>
              <w:pStyle w:val="39"/>
              <w:rPr>
                <w:rFonts w:ascii="Times New Roman" w:hAnsi="Times New Roman"/>
              </w:rPr>
            </w:pPr>
            <w:r>
              <w:rPr>
                <w:rFonts w:ascii="Times New Roman" w:hAnsi="Times New Roman"/>
              </w:rPr>
              <w:t>HCO</w:t>
            </w:r>
            <w:r>
              <w:rPr>
                <w:rFonts w:ascii="Times New Roman" w:hAnsi="Times New Roman"/>
                <w:vertAlign w:val="subscript"/>
              </w:rPr>
              <w:t>3</w:t>
            </w:r>
            <w:r>
              <w:rPr>
                <w:rFonts w:ascii="Times New Roman" w:hAnsi="Times New Roman"/>
              </w:rPr>
              <w:t>-Ca</w:t>
            </w:r>
          </w:p>
        </w:tc>
        <w:tc>
          <w:tcPr>
            <w:tcW w:w="0" w:type="auto"/>
            <w:shd w:val="clear" w:color="auto" w:fill="auto"/>
            <w:vAlign w:val="center"/>
          </w:tcPr>
          <w:p>
            <w:pPr>
              <w:pStyle w:val="39"/>
              <w:rPr>
                <w:rFonts w:ascii="Times New Roman" w:hAnsi="Times New Roman"/>
              </w:rPr>
            </w:pPr>
            <w:r>
              <w:rPr>
                <w:rFonts w:ascii="Times New Roman" w:hAnsi="Times New Roman"/>
              </w:rPr>
              <w:t>HCO</w:t>
            </w:r>
            <w:r>
              <w:rPr>
                <w:rFonts w:ascii="Times New Roman" w:hAnsi="Times New Roman"/>
                <w:vertAlign w:val="subscript"/>
              </w:rPr>
              <w:t>3</w:t>
            </w:r>
            <w:r>
              <w:rPr>
                <w:rFonts w:ascii="Times New Roman" w:hAnsi="Times New Roman"/>
              </w:rPr>
              <w:t>-Ca</w:t>
            </w:r>
          </w:p>
        </w:tc>
        <w:tc>
          <w:tcPr>
            <w:tcW w:w="0" w:type="auto"/>
            <w:shd w:val="clear" w:color="auto" w:fill="auto"/>
            <w:vAlign w:val="center"/>
          </w:tcPr>
          <w:p>
            <w:pPr>
              <w:pStyle w:val="39"/>
              <w:rPr>
                <w:rFonts w:ascii="Times New Roman" w:hAnsi="Times New Roman"/>
              </w:rPr>
            </w:pPr>
            <w:r>
              <w:rPr>
                <w:rFonts w:ascii="Times New Roman" w:hAnsi="Times New Roman"/>
              </w:rPr>
              <w:t>HCO</w:t>
            </w:r>
            <w:r>
              <w:rPr>
                <w:rFonts w:ascii="Times New Roman" w:hAnsi="Times New Roman"/>
                <w:vertAlign w:val="subscript"/>
              </w:rPr>
              <w:t>3</w:t>
            </w:r>
            <w:r>
              <w:rPr>
                <w:rFonts w:ascii="Times New Roman" w:hAnsi="Times New Roman"/>
              </w:rPr>
              <w:t>-Ca</w:t>
            </w:r>
          </w:p>
        </w:tc>
        <w:tc>
          <w:tcPr>
            <w:tcW w:w="0" w:type="auto"/>
            <w:shd w:val="clear" w:color="auto" w:fill="auto"/>
            <w:vAlign w:val="center"/>
          </w:tcPr>
          <w:p>
            <w:pPr>
              <w:pStyle w:val="39"/>
              <w:rPr>
                <w:rFonts w:ascii="Times New Roman" w:hAnsi="Times New Roman"/>
              </w:rPr>
            </w:pPr>
            <w:r>
              <w:rPr>
                <w:rFonts w:ascii="Times New Roman" w:hAnsi="Times New Roman"/>
              </w:rPr>
              <w:t>HCO</w:t>
            </w:r>
            <w:r>
              <w:rPr>
                <w:rFonts w:ascii="Times New Roman" w:hAnsi="Times New Roman"/>
                <w:vertAlign w:val="subscript"/>
              </w:rPr>
              <w:t>3</w:t>
            </w:r>
            <w:r>
              <w:rPr>
                <w:rFonts w:ascii="Times New Roman" w:hAnsi="Times New Roman"/>
              </w:rPr>
              <w:t>-Ca</w:t>
            </w:r>
          </w:p>
        </w:tc>
        <w:tc>
          <w:tcPr>
            <w:tcW w:w="0" w:type="auto"/>
            <w:shd w:val="clear" w:color="auto" w:fill="auto"/>
            <w:vAlign w:val="center"/>
          </w:tcPr>
          <w:p>
            <w:pPr>
              <w:pStyle w:val="39"/>
              <w:rPr>
                <w:rFonts w:ascii="Times New Roman" w:hAnsi="Times New Roman"/>
              </w:rPr>
            </w:pPr>
            <w:r>
              <w:rPr>
                <w:rFonts w:ascii="Times New Roman" w:hAnsi="Times New Roman"/>
              </w:rPr>
              <w:t>HCO</w:t>
            </w:r>
            <w:r>
              <w:rPr>
                <w:rFonts w:ascii="Times New Roman" w:hAnsi="Times New Roman"/>
                <w:vertAlign w:val="subscript"/>
              </w:rPr>
              <w:t>3</w:t>
            </w:r>
            <w:r>
              <w:rPr>
                <w:rFonts w:ascii="Times New Roman" w:hAnsi="Times New Roman"/>
              </w:rPr>
              <w:t>-Ca</w:t>
            </w:r>
          </w:p>
        </w:tc>
        <w:tc>
          <w:tcPr>
            <w:tcW w:w="0" w:type="auto"/>
            <w:vAlign w:val="center"/>
          </w:tcPr>
          <w:p>
            <w:pPr>
              <w:pStyle w:val="39"/>
              <w:rPr>
                <w:rFonts w:ascii="Times New Roman" w:hAnsi="Times New Roman"/>
              </w:rPr>
            </w:pPr>
            <w:r>
              <w:rPr>
                <w:rFonts w:ascii="Times New Roman" w:hAnsi="Times New Roman"/>
              </w:rPr>
              <w:t>Cl·SO</w:t>
            </w:r>
            <w:r>
              <w:rPr>
                <w:rFonts w:ascii="Times New Roman" w:hAnsi="Times New Roman"/>
                <w:vertAlign w:val="subscript"/>
              </w:rPr>
              <w:t>4</w:t>
            </w:r>
            <w:r>
              <w:rPr>
                <w:rFonts w:ascii="Times New Roman" w:hAnsi="Times New Roman"/>
              </w:rPr>
              <w:t>-Ca</w:t>
            </w:r>
          </w:p>
        </w:tc>
        <w:tc>
          <w:tcPr>
            <w:tcW w:w="0" w:type="auto"/>
            <w:vAlign w:val="center"/>
          </w:tcPr>
          <w:p>
            <w:pPr>
              <w:pStyle w:val="39"/>
              <w:rPr>
                <w:rFonts w:ascii="Times New Roman" w:hAnsi="Times New Roman"/>
              </w:rPr>
            </w:pPr>
            <w:r>
              <w:rPr>
                <w:rFonts w:ascii="Times New Roman" w:hAnsi="Times New Roman"/>
              </w:rPr>
              <w:t>HCO</w:t>
            </w:r>
            <w:r>
              <w:rPr>
                <w:rFonts w:ascii="Times New Roman" w:hAnsi="Times New Roman"/>
                <w:vertAlign w:val="subscript"/>
              </w:rPr>
              <w:t>3</w:t>
            </w:r>
            <w:r>
              <w:rPr>
                <w:rFonts w:ascii="Times New Roman" w:hAnsi="Times New Roman"/>
              </w:rPr>
              <w:t>-Ca</w:t>
            </w:r>
          </w:p>
        </w:tc>
        <w:tc>
          <w:tcPr>
            <w:tcW w:w="0" w:type="auto"/>
            <w:vAlign w:val="center"/>
          </w:tcPr>
          <w:p>
            <w:pPr>
              <w:pStyle w:val="39"/>
              <w:rPr>
                <w:rFonts w:ascii="Times New Roman" w:hAnsi="Times New Roman"/>
              </w:rPr>
            </w:pPr>
            <w:r>
              <w:rPr>
                <w:rFonts w:ascii="Times New Roman" w:hAnsi="Times New Roman"/>
              </w:rPr>
              <w:t>HCO</w:t>
            </w:r>
            <w:r>
              <w:rPr>
                <w:rFonts w:ascii="Times New Roman" w:hAnsi="Times New Roman"/>
                <w:vertAlign w:val="subscript"/>
              </w:rPr>
              <w:t>3</w:t>
            </w:r>
            <w:r>
              <w:rPr>
                <w:rFonts w:ascii="Times New Roman" w:hAnsi="Times New Roman"/>
              </w:rPr>
              <w:t>-Ca</w:t>
            </w:r>
          </w:p>
        </w:tc>
        <w:tc>
          <w:tcPr>
            <w:tcW w:w="0" w:type="auto"/>
            <w:vAlign w:val="center"/>
          </w:tcPr>
          <w:p>
            <w:pPr>
              <w:pStyle w:val="39"/>
              <w:rPr>
                <w:rFonts w:ascii="Times New Roman" w:hAnsi="Times New Roman"/>
              </w:rPr>
            </w:pPr>
            <w:r>
              <w:rPr>
                <w:rFonts w:ascii="Times New Roman" w:hAnsi="Times New Roman"/>
              </w:rPr>
              <w:t>HCO</w:t>
            </w:r>
            <w:r>
              <w:rPr>
                <w:rFonts w:ascii="Times New Roman" w:hAnsi="Times New Roman"/>
                <w:vertAlign w:val="subscript"/>
              </w:rPr>
              <w:t>3</w:t>
            </w:r>
            <w:r>
              <w:rPr>
                <w:rFonts w:ascii="Times New Roman" w:hAnsi="Times New Roman"/>
              </w:rPr>
              <w:t>-Ca</w:t>
            </w:r>
          </w:p>
        </w:tc>
        <w:tc>
          <w:tcPr>
            <w:tcW w:w="0" w:type="auto"/>
            <w:vAlign w:val="center"/>
          </w:tcPr>
          <w:p>
            <w:pPr>
              <w:pStyle w:val="39"/>
              <w:rPr>
                <w:rFonts w:ascii="Times New Roman" w:hAnsi="Times New Roman"/>
              </w:rPr>
            </w:pPr>
            <w:r>
              <w:rPr>
                <w:rFonts w:ascii="Times New Roman" w:hAnsi="Times New Roman"/>
              </w:rPr>
              <w:t>HCO</w:t>
            </w:r>
            <w:r>
              <w:rPr>
                <w:rFonts w:ascii="Times New Roman" w:hAnsi="Times New Roman"/>
                <w:vertAlign w:val="subscript"/>
              </w:rPr>
              <w:t>3</w:t>
            </w:r>
            <w:r>
              <w:rPr>
                <w:rFonts w:ascii="Times New Roman" w:hAnsi="Times New Roman"/>
              </w:rPr>
              <w:t>-Ca</w:t>
            </w:r>
          </w:p>
        </w:tc>
        <w:tc>
          <w:tcPr>
            <w:tcW w:w="0" w:type="auto"/>
            <w:vAlign w:val="center"/>
          </w:tcPr>
          <w:p>
            <w:pPr>
              <w:pStyle w:val="39"/>
              <w:rPr>
                <w:rFonts w:ascii="Times New Roman" w:hAnsi="Times New Roman"/>
              </w:rPr>
            </w:pPr>
            <w:r>
              <w:rPr>
                <w:rFonts w:ascii="Times New Roman" w:hAnsi="Times New Roman"/>
              </w:rPr>
              <w:t>HCO</w:t>
            </w:r>
            <w:r>
              <w:rPr>
                <w:rFonts w:ascii="Times New Roman" w:hAnsi="Times New Roman"/>
                <w:vertAlign w:val="subscript"/>
              </w:rPr>
              <w:t>3</w:t>
            </w:r>
            <w:r>
              <w:rPr>
                <w:rFonts w:ascii="Times New Roman" w:hAnsi="Times New Roman"/>
              </w:rPr>
              <w:t>-Ca</w:t>
            </w:r>
          </w:p>
        </w:tc>
      </w:tr>
    </w:tbl>
    <w:p>
      <w:pPr>
        <w:widowControl/>
        <w:ind w:firstLine="480"/>
        <w:rPr>
          <w:rFonts w:ascii="Times New Roman" w:hAnsi="Times New Roman"/>
          <w:kern w:val="0"/>
        </w:rPr>
        <w:sectPr>
          <w:pgSz w:w="16838" w:h="11906" w:orient="landscape"/>
          <w:pgMar w:top="720" w:right="720" w:bottom="720" w:left="720" w:header="851" w:footer="992" w:gutter="0"/>
          <w:cols w:space="425" w:num="1"/>
          <w:docGrid w:type="linesAndChars" w:linePitch="326" w:charSpace="0"/>
        </w:sectPr>
      </w:pPr>
    </w:p>
    <w:p>
      <w:pPr>
        <w:pStyle w:val="4"/>
        <w:rPr>
          <w:rFonts w:ascii="Times New Roman" w:hAnsi="Times New Roman" w:cs="Times New Roman"/>
        </w:rPr>
      </w:pPr>
      <w:r>
        <w:rPr>
          <w:rFonts w:ascii="Times New Roman" w:hAnsi="Times New Roman" w:cs="Times New Roman"/>
        </w:rPr>
        <w:t>地下水水位监测结果</w:t>
      </w:r>
    </w:p>
    <w:p>
      <w:pPr>
        <w:widowControl/>
        <w:ind w:firstLine="480"/>
        <w:rPr>
          <w:rFonts w:ascii="Times New Roman" w:hAnsi="Times New Roman"/>
          <w:kern w:val="0"/>
        </w:rPr>
      </w:pPr>
      <w:r>
        <w:rPr>
          <w:rFonts w:ascii="Times New Roman" w:hAnsi="Times New Roman"/>
          <w:kern w:val="0"/>
        </w:rPr>
        <w:t>评价期（2023年12月27日）地下水水位监测结果见下表：</w:t>
      </w:r>
    </w:p>
    <w:p>
      <w:pPr>
        <w:pStyle w:val="37"/>
        <w:rPr>
          <w:rFonts w:ascii="Times New Roman" w:hAnsi="Times New Roman" w:cs="Times New Roman"/>
          <w:b/>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b/>
        </w:rPr>
        <w:t>地下水位监测数据</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1644"/>
        <w:gridCol w:w="3262"/>
        <w:gridCol w:w="1765"/>
        <w:gridCol w:w="1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65" w:hRule="atLeast"/>
          <w:jc w:val="center"/>
        </w:trPr>
        <w:tc>
          <w:tcPr>
            <w:tcW w:w="970" w:type="pct"/>
            <w:vAlign w:val="center"/>
          </w:tcPr>
          <w:p>
            <w:pPr>
              <w:pStyle w:val="39"/>
              <w:rPr>
                <w:rFonts w:ascii="Times New Roman" w:hAnsi="Times New Roman"/>
              </w:rPr>
            </w:pPr>
            <w:r>
              <w:rPr>
                <w:rFonts w:ascii="Times New Roman" w:hAnsi="Times New Roman"/>
              </w:rPr>
              <w:t>监测点位</w:t>
            </w:r>
          </w:p>
        </w:tc>
        <w:tc>
          <w:tcPr>
            <w:tcW w:w="1924" w:type="pct"/>
            <w:vAlign w:val="center"/>
          </w:tcPr>
          <w:p>
            <w:pPr>
              <w:pStyle w:val="39"/>
              <w:rPr>
                <w:rFonts w:ascii="Times New Roman" w:hAnsi="Times New Roman"/>
              </w:rPr>
            </w:pPr>
            <w:r>
              <w:rPr>
                <w:rFonts w:ascii="Times New Roman" w:hAnsi="Times New Roman"/>
              </w:rPr>
              <w:t>地面高程（m）</w:t>
            </w:r>
          </w:p>
        </w:tc>
        <w:tc>
          <w:tcPr>
            <w:tcW w:w="1041" w:type="pct"/>
            <w:vAlign w:val="center"/>
          </w:tcPr>
          <w:p>
            <w:pPr>
              <w:pStyle w:val="39"/>
              <w:rPr>
                <w:rFonts w:ascii="Times New Roman" w:hAnsi="Times New Roman"/>
              </w:rPr>
            </w:pPr>
            <w:r>
              <w:rPr>
                <w:rFonts w:ascii="Times New Roman" w:hAnsi="Times New Roman"/>
              </w:rPr>
              <w:t>水位埋深（m）</w:t>
            </w:r>
          </w:p>
        </w:tc>
        <w:tc>
          <w:tcPr>
            <w:tcW w:w="1066" w:type="pct"/>
            <w:vAlign w:val="center"/>
          </w:tcPr>
          <w:p>
            <w:pPr>
              <w:pStyle w:val="39"/>
              <w:rPr>
                <w:rFonts w:ascii="Times New Roman" w:hAnsi="Times New Roman"/>
              </w:rPr>
            </w:pPr>
            <w:r>
              <w:rPr>
                <w:rFonts w:ascii="Times New Roman" w:hAnsi="Times New Roman"/>
              </w:rPr>
              <w:t>绝对水位（m）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01" w:hRule="atLeast"/>
          <w:jc w:val="center"/>
        </w:trPr>
        <w:tc>
          <w:tcPr>
            <w:tcW w:w="970" w:type="pct"/>
            <w:vAlign w:val="center"/>
          </w:tcPr>
          <w:p>
            <w:pPr>
              <w:pStyle w:val="39"/>
              <w:rPr>
                <w:rFonts w:ascii="Times New Roman" w:hAnsi="Times New Roman"/>
              </w:rPr>
            </w:pPr>
            <w:r>
              <w:rPr>
                <w:rFonts w:ascii="Times New Roman" w:hAnsi="Times New Roman"/>
              </w:rPr>
              <w:t>GW1</w:t>
            </w:r>
          </w:p>
        </w:tc>
        <w:tc>
          <w:tcPr>
            <w:tcW w:w="1924" w:type="pct"/>
            <w:vAlign w:val="center"/>
          </w:tcPr>
          <w:p>
            <w:pPr>
              <w:pStyle w:val="39"/>
              <w:rPr>
                <w:rFonts w:ascii="Times New Roman" w:hAnsi="Times New Roman"/>
              </w:rPr>
            </w:pPr>
            <w:r>
              <w:rPr>
                <w:rFonts w:ascii="Times New Roman" w:hAnsi="Times New Roman"/>
              </w:rPr>
              <w:t>553.78</w:t>
            </w:r>
          </w:p>
        </w:tc>
        <w:tc>
          <w:tcPr>
            <w:tcW w:w="1041" w:type="pct"/>
            <w:vAlign w:val="center"/>
          </w:tcPr>
          <w:p>
            <w:pPr>
              <w:pStyle w:val="39"/>
              <w:rPr>
                <w:rFonts w:ascii="Times New Roman" w:hAnsi="Times New Roman"/>
              </w:rPr>
            </w:pPr>
            <w:r>
              <w:rPr>
                <w:rFonts w:ascii="Times New Roman" w:hAnsi="Times New Roman"/>
              </w:rPr>
              <w:t>-</w:t>
            </w:r>
          </w:p>
        </w:tc>
        <w:tc>
          <w:tcPr>
            <w:tcW w:w="1066" w:type="pct"/>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285" w:hRule="atLeast"/>
          <w:jc w:val="center"/>
        </w:trPr>
        <w:tc>
          <w:tcPr>
            <w:tcW w:w="970" w:type="pct"/>
          </w:tcPr>
          <w:p>
            <w:pPr>
              <w:pStyle w:val="39"/>
              <w:rPr>
                <w:rFonts w:ascii="Times New Roman" w:hAnsi="Times New Roman"/>
              </w:rPr>
            </w:pPr>
            <w:r>
              <w:rPr>
                <w:rFonts w:ascii="Times New Roman" w:hAnsi="Times New Roman"/>
              </w:rPr>
              <w:t>GW2</w:t>
            </w:r>
          </w:p>
        </w:tc>
        <w:tc>
          <w:tcPr>
            <w:tcW w:w="1924" w:type="pct"/>
          </w:tcPr>
          <w:p>
            <w:pPr>
              <w:pStyle w:val="39"/>
              <w:rPr>
                <w:rFonts w:ascii="Times New Roman" w:hAnsi="Times New Roman"/>
              </w:rPr>
            </w:pPr>
            <w:r>
              <w:rPr>
                <w:rFonts w:ascii="Times New Roman" w:hAnsi="Times New Roman"/>
              </w:rPr>
              <w:t>875.34</w:t>
            </w:r>
          </w:p>
        </w:tc>
        <w:tc>
          <w:tcPr>
            <w:tcW w:w="1041" w:type="pct"/>
          </w:tcPr>
          <w:p>
            <w:pPr>
              <w:pStyle w:val="39"/>
              <w:rPr>
                <w:rFonts w:ascii="Times New Roman" w:hAnsi="Times New Roman"/>
              </w:rPr>
            </w:pPr>
            <w:r>
              <w:rPr>
                <w:rFonts w:ascii="Times New Roman" w:hAnsi="Times New Roman"/>
              </w:rPr>
              <w:t>0.40</w:t>
            </w:r>
          </w:p>
        </w:tc>
        <w:tc>
          <w:tcPr>
            <w:tcW w:w="1066" w:type="pct"/>
          </w:tcPr>
          <w:p>
            <w:pPr>
              <w:pStyle w:val="39"/>
              <w:rPr>
                <w:rFonts w:ascii="Times New Roman" w:hAnsi="Times New Roman"/>
              </w:rPr>
            </w:pPr>
            <w:r>
              <w:rPr>
                <w:rFonts w:ascii="Times New Roman" w:hAnsi="Times New Roman"/>
              </w:rPr>
              <w:t>874.94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285" w:hRule="atLeast"/>
          <w:jc w:val="center"/>
        </w:trPr>
        <w:tc>
          <w:tcPr>
            <w:tcW w:w="970" w:type="pct"/>
          </w:tcPr>
          <w:p>
            <w:pPr>
              <w:pStyle w:val="39"/>
              <w:rPr>
                <w:rFonts w:ascii="Times New Roman" w:hAnsi="Times New Roman"/>
              </w:rPr>
            </w:pPr>
            <w:r>
              <w:rPr>
                <w:rFonts w:ascii="Times New Roman" w:hAnsi="Times New Roman"/>
              </w:rPr>
              <w:t>GW3</w:t>
            </w:r>
          </w:p>
        </w:tc>
        <w:tc>
          <w:tcPr>
            <w:tcW w:w="1924" w:type="pct"/>
          </w:tcPr>
          <w:p>
            <w:pPr>
              <w:pStyle w:val="39"/>
              <w:rPr>
                <w:rFonts w:ascii="Times New Roman" w:hAnsi="Times New Roman"/>
              </w:rPr>
            </w:pPr>
            <w:r>
              <w:rPr>
                <w:rFonts w:ascii="Times New Roman" w:hAnsi="Times New Roman"/>
              </w:rPr>
              <w:t>916.04</w:t>
            </w:r>
          </w:p>
        </w:tc>
        <w:tc>
          <w:tcPr>
            <w:tcW w:w="1041" w:type="pct"/>
          </w:tcPr>
          <w:p>
            <w:pPr>
              <w:pStyle w:val="39"/>
              <w:rPr>
                <w:rFonts w:ascii="Times New Roman" w:hAnsi="Times New Roman"/>
              </w:rPr>
            </w:pPr>
            <w:r>
              <w:rPr>
                <w:rFonts w:ascii="Times New Roman" w:hAnsi="Times New Roman"/>
              </w:rPr>
              <w:t>0.80</w:t>
            </w:r>
          </w:p>
        </w:tc>
        <w:tc>
          <w:tcPr>
            <w:tcW w:w="1066" w:type="pct"/>
          </w:tcPr>
          <w:p>
            <w:pPr>
              <w:pStyle w:val="39"/>
              <w:rPr>
                <w:rFonts w:ascii="Times New Roman" w:hAnsi="Times New Roman"/>
              </w:rPr>
            </w:pPr>
            <w:r>
              <w:rPr>
                <w:rFonts w:ascii="Times New Roman" w:hAnsi="Times New Roman"/>
              </w:rPr>
              <w:t>915.24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285" w:hRule="atLeast"/>
          <w:jc w:val="center"/>
        </w:trPr>
        <w:tc>
          <w:tcPr>
            <w:tcW w:w="970" w:type="pct"/>
          </w:tcPr>
          <w:p>
            <w:pPr>
              <w:pStyle w:val="39"/>
              <w:rPr>
                <w:rFonts w:ascii="Times New Roman" w:hAnsi="Times New Roman"/>
              </w:rPr>
            </w:pPr>
            <w:r>
              <w:rPr>
                <w:rFonts w:ascii="Times New Roman" w:hAnsi="Times New Roman"/>
              </w:rPr>
              <w:t>GW4</w:t>
            </w:r>
          </w:p>
        </w:tc>
        <w:tc>
          <w:tcPr>
            <w:tcW w:w="1924" w:type="pct"/>
          </w:tcPr>
          <w:p>
            <w:pPr>
              <w:pStyle w:val="39"/>
              <w:rPr>
                <w:rFonts w:ascii="Times New Roman" w:hAnsi="Times New Roman"/>
              </w:rPr>
            </w:pPr>
            <w:r>
              <w:rPr>
                <w:rFonts w:ascii="Times New Roman" w:hAnsi="Times New Roman"/>
              </w:rPr>
              <w:t>373.92</w:t>
            </w:r>
          </w:p>
        </w:tc>
        <w:tc>
          <w:tcPr>
            <w:tcW w:w="1041" w:type="pct"/>
          </w:tcPr>
          <w:p>
            <w:pPr>
              <w:pStyle w:val="39"/>
              <w:rPr>
                <w:rFonts w:ascii="Times New Roman" w:hAnsi="Times New Roman"/>
              </w:rPr>
            </w:pPr>
            <w:r>
              <w:rPr>
                <w:rFonts w:ascii="Times New Roman" w:hAnsi="Times New Roman"/>
              </w:rPr>
              <w:t>0.80</w:t>
            </w:r>
          </w:p>
        </w:tc>
        <w:tc>
          <w:tcPr>
            <w:tcW w:w="1066" w:type="pct"/>
          </w:tcPr>
          <w:p>
            <w:pPr>
              <w:pStyle w:val="39"/>
              <w:rPr>
                <w:rFonts w:ascii="Times New Roman" w:hAnsi="Times New Roman"/>
              </w:rPr>
            </w:pPr>
            <w:r>
              <w:rPr>
                <w:rFonts w:ascii="Times New Roman" w:hAnsi="Times New Roman"/>
              </w:rPr>
              <w:t>373.12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285" w:hRule="atLeast"/>
          <w:jc w:val="center"/>
        </w:trPr>
        <w:tc>
          <w:tcPr>
            <w:tcW w:w="970" w:type="pct"/>
          </w:tcPr>
          <w:p>
            <w:pPr>
              <w:pStyle w:val="39"/>
              <w:rPr>
                <w:rFonts w:ascii="Times New Roman" w:hAnsi="Times New Roman"/>
              </w:rPr>
            </w:pPr>
            <w:r>
              <w:rPr>
                <w:rFonts w:ascii="Times New Roman" w:hAnsi="Times New Roman"/>
              </w:rPr>
              <w:t>GW5</w:t>
            </w:r>
          </w:p>
        </w:tc>
        <w:tc>
          <w:tcPr>
            <w:tcW w:w="1924" w:type="pct"/>
          </w:tcPr>
          <w:p>
            <w:pPr>
              <w:pStyle w:val="39"/>
              <w:rPr>
                <w:rFonts w:ascii="Times New Roman" w:hAnsi="Times New Roman"/>
              </w:rPr>
            </w:pPr>
            <w:r>
              <w:rPr>
                <w:rFonts w:ascii="Times New Roman" w:hAnsi="Times New Roman"/>
              </w:rPr>
              <w:t>357.67</w:t>
            </w:r>
          </w:p>
        </w:tc>
        <w:tc>
          <w:tcPr>
            <w:tcW w:w="1041" w:type="pct"/>
          </w:tcPr>
          <w:p>
            <w:pPr>
              <w:pStyle w:val="39"/>
              <w:rPr>
                <w:rFonts w:ascii="Times New Roman" w:hAnsi="Times New Roman"/>
              </w:rPr>
            </w:pPr>
            <w:r>
              <w:rPr>
                <w:rFonts w:ascii="Times New Roman" w:hAnsi="Times New Roman"/>
              </w:rPr>
              <w:t>0.60</w:t>
            </w:r>
          </w:p>
        </w:tc>
        <w:tc>
          <w:tcPr>
            <w:tcW w:w="1066" w:type="pct"/>
          </w:tcPr>
          <w:p>
            <w:pPr>
              <w:pStyle w:val="39"/>
              <w:rPr>
                <w:rFonts w:ascii="Times New Roman" w:hAnsi="Times New Roman"/>
              </w:rPr>
            </w:pPr>
            <w:r>
              <w:rPr>
                <w:rFonts w:ascii="Times New Roman" w:hAnsi="Times New Roman"/>
              </w:rPr>
              <w:t>357.07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285" w:hRule="atLeast"/>
          <w:jc w:val="center"/>
        </w:trPr>
        <w:tc>
          <w:tcPr>
            <w:tcW w:w="970" w:type="pct"/>
          </w:tcPr>
          <w:p>
            <w:pPr>
              <w:pStyle w:val="39"/>
              <w:rPr>
                <w:rFonts w:ascii="Times New Roman" w:hAnsi="Times New Roman"/>
              </w:rPr>
            </w:pPr>
            <w:r>
              <w:rPr>
                <w:rFonts w:ascii="Times New Roman" w:hAnsi="Times New Roman"/>
              </w:rPr>
              <w:t>GW6</w:t>
            </w:r>
          </w:p>
        </w:tc>
        <w:tc>
          <w:tcPr>
            <w:tcW w:w="1924" w:type="pct"/>
          </w:tcPr>
          <w:p>
            <w:pPr>
              <w:pStyle w:val="39"/>
              <w:rPr>
                <w:rFonts w:ascii="Times New Roman" w:hAnsi="Times New Roman"/>
              </w:rPr>
            </w:pPr>
            <w:r>
              <w:rPr>
                <w:rFonts w:ascii="Times New Roman" w:hAnsi="Times New Roman"/>
              </w:rPr>
              <w:t>404.62</w:t>
            </w:r>
          </w:p>
        </w:tc>
        <w:tc>
          <w:tcPr>
            <w:tcW w:w="1041" w:type="pct"/>
          </w:tcPr>
          <w:p>
            <w:pPr>
              <w:pStyle w:val="39"/>
              <w:rPr>
                <w:rFonts w:ascii="Times New Roman" w:hAnsi="Times New Roman"/>
              </w:rPr>
            </w:pPr>
            <w:r>
              <w:rPr>
                <w:rFonts w:ascii="Times New Roman" w:hAnsi="Times New Roman"/>
              </w:rPr>
              <w:t>0.40</w:t>
            </w:r>
          </w:p>
        </w:tc>
        <w:tc>
          <w:tcPr>
            <w:tcW w:w="1066" w:type="pct"/>
          </w:tcPr>
          <w:p>
            <w:pPr>
              <w:pStyle w:val="39"/>
              <w:rPr>
                <w:rFonts w:ascii="Times New Roman" w:hAnsi="Times New Roman"/>
              </w:rPr>
            </w:pPr>
            <w:r>
              <w:rPr>
                <w:rFonts w:ascii="Times New Roman" w:hAnsi="Times New Roman"/>
              </w:rPr>
              <w:t>404.22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285" w:hRule="atLeast"/>
          <w:jc w:val="center"/>
        </w:trPr>
        <w:tc>
          <w:tcPr>
            <w:tcW w:w="970" w:type="pct"/>
          </w:tcPr>
          <w:p>
            <w:pPr>
              <w:pStyle w:val="39"/>
              <w:rPr>
                <w:rFonts w:ascii="Times New Roman" w:hAnsi="Times New Roman"/>
              </w:rPr>
            </w:pPr>
            <w:r>
              <w:rPr>
                <w:rFonts w:ascii="Times New Roman" w:hAnsi="Times New Roman"/>
              </w:rPr>
              <w:t>GW7</w:t>
            </w:r>
          </w:p>
        </w:tc>
        <w:tc>
          <w:tcPr>
            <w:tcW w:w="1924" w:type="pct"/>
          </w:tcPr>
          <w:p>
            <w:pPr>
              <w:pStyle w:val="39"/>
              <w:rPr>
                <w:rFonts w:ascii="Times New Roman" w:hAnsi="Times New Roman"/>
              </w:rPr>
            </w:pPr>
            <w:r>
              <w:rPr>
                <w:rFonts w:ascii="Times New Roman" w:hAnsi="Times New Roman"/>
              </w:rPr>
              <w:t>947.83</w:t>
            </w:r>
          </w:p>
        </w:tc>
        <w:tc>
          <w:tcPr>
            <w:tcW w:w="1041" w:type="pct"/>
          </w:tcPr>
          <w:p>
            <w:pPr>
              <w:pStyle w:val="39"/>
              <w:rPr>
                <w:rFonts w:ascii="Times New Roman" w:hAnsi="Times New Roman"/>
              </w:rPr>
            </w:pPr>
            <w:r>
              <w:rPr>
                <w:rFonts w:ascii="Times New Roman" w:hAnsi="Times New Roman"/>
              </w:rPr>
              <w:t>0.35</w:t>
            </w:r>
          </w:p>
        </w:tc>
        <w:tc>
          <w:tcPr>
            <w:tcW w:w="1066" w:type="pct"/>
          </w:tcPr>
          <w:p>
            <w:pPr>
              <w:pStyle w:val="39"/>
              <w:rPr>
                <w:rFonts w:ascii="Times New Roman" w:hAnsi="Times New Roman"/>
              </w:rPr>
            </w:pPr>
            <w:r>
              <w:rPr>
                <w:rFonts w:ascii="Times New Roman" w:hAnsi="Times New Roman"/>
              </w:rPr>
              <w:t>947.48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285" w:hRule="atLeast"/>
          <w:jc w:val="center"/>
        </w:trPr>
        <w:tc>
          <w:tcPr>
            <w:tcW w:w="970" w:type="pct"/>
          </w:tcPr>
          <w:p>
            <w:pPr>
              <w:pStyle w:val="39"/>
              <w:rPr>
                <w:rFonts w:ascii="Times New Roman" w:hAnsi="Times New Roman"/>
              </w:rPr>
            </w:pPr>
            <w:r>
              <w:rPr>
                <w:rFonts w:ascii="Times New Roman" w:hAnsi="Times New Roman"/>
              </w:rPr>
              <w:t>GW8</w:t>
            </w:r>
          </w:p>
        </w:tc>
        <w:tc>
          <w:tcPr>
            <w:tcW w:w="1924" w:type="pct"/>
          </w:tcPr>
          <w:p>
            <w:pPr>
              <w:pStyle w:val="39"/>
              <w:rPr>
                <w:rFonts w:ascii="Times New Roman" w:hAnsi="Times New Roman"/>
              </w:rPr>
            </w:pPr>
            <w:r>
              <w:rPr>
                <w:rFonts w:ascii="Times New Roman" w:hAnsi="Times New Roman"/>
              </w:rPr>
              <w:t>914.15</w:t>
            </w:r>
          </w:p>
        </w:tc>
        <w:tc>
          <w:tcPr>
            <w:tcW w:w="1041" w:type="pct"/>
          </w:tcPr>
          <w:p>
            <w:pPr>
              <w:pStyle w:val="39"/>
              <w:rPr>
                <w:rFonts w:ascii="Times New Roman" w:hAnsi="Times New Roman"/>
              </w:rPr>
            </w:pPr>
            <w:r>
              <w:rPr>
                <w:rFonts w:ascii="Times New Roman" w:hAnsi="Times New Roman"/>
              </w:rPr>
              <w:t>0.15</w:t>
            </w:r>
          </w:p>
        </w:tc>
        <w:tc>
          <w:tcPr>
            <w:tcW w:w="1066" w:type="pct"/>
          </w:tcPr>
          <w:p>
            <w:pPr>
              <w:pStyle w:val="39"/>
              <w:rPr>
                <w:rFonts w:ascii="Times New Roman" w:hAnsi="Times New Roman"/>
              </w:rPr>
            </w:pPr>
            <w:r>
              <w:rPr>
                <w:rFonts w:ascii="Times New Roman" w:hAnsi="Times New Roman"/>
              </w:rPr>
              <w:t>914.00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285" w:hRule="atLeast"/>
          <w:jc w:val="center"/>
        </w:trPr>
        <w:tc>
          <w:tcPr>
            <w:tcW w:w="970" w:type="pct"/>
          </w:tcPr>
          <w:p>
            <w:pPr>
              <w:pStyle w:val="39"/>
              <w:rPr>
                <w:rFonts w:ascii="Times New Roman" w:hAnsi="Times New Roman"/>
              </w:rPr>
            </w:pPr>
            <w:r>
              <w:rPr>
                <w:rFonts w:ascii="Times New Roman" w:hAnsi="Times New Roman"/>
              </w:rPr>
              <w:t>GW9</w:t>
            </w:r>
          </w:p>
        </w:tc>
        <w:tc>
          <w:tcPr>
            <w:tcW w:w="1924" w:type="pct"/>
          </w:tcPr>
          <w:p>
            <w:pPr>
              <w:pStyle w:val="39"/>
              <w:rPr>
                <w:rFonts w:ascii="Times New Roman" w:hAnsi="Times New Roman"/>
              </w:rPr>
            </w:pPr>
            <w:r>
              <w:rPr>
                <w:rFonts w:ascii="Times New Roman" w:hAnsi="Times New Roman"/>
              </w:rPr>
              <w:t>769.50</w:t>
            </w:r>
          </w:p>
        </w:tc>
        <w:tc>
          <w:tcPr>
            <w:tcW w:w="1041" w:type="pct"/>
          </w:tcPr>
          <w:p>
            <w:pPr>
              <w:pStyle w:val="39"/>
              <w:rPr>
                <w:rFonts w:ascii="Times New Roman" w:hAnsi="Times New Roman"/>
              </w:rPr>
            </w:pPr>
            <w:r>
              <w:rPr>
                <w:rFonts w:ascii="Times New Roman" w:hAnsi="Times New Roman"/>
              </w:rPr>
              <w:t>0.37</w:t>
            </w:r>
          </w:p>
        </w:tc>
        <w:tc>
          <w:tcPr>
            <w:tcW w:w="1066" w:type="pct"/>
          </w:tcPr>
          <w:p>
            <w:pPr>
              <w:pStyle w:val="39"/>
              <w:rPr>
                <w:rFonts w:ascii="Times New Roman" w:hAnsi="Times New Roman"/>
              </w:rPr>
            </w:pPr>
            <w:r>
              <w:rPr>
                <w:rFonts w:ascii="Times New Roman" w:hAnsi="Times New Roman"/>
              </w:rPr>
              <w:t>769.13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285" w:hRule="atLeast"/>
          <w:jc w:val="center"/>
        </w:trPr>
        <w:tc>
          <w:tcPr>
            <w:tcW w:w="970" w:type="pct"/>
          </w:tcPr>
          <w:p>
            <w:pPr>
              <w:pStyle w:val="39"/>
              <w:rPr>
                <w:rFonts w:ascii="Times New Roman" w:hAnsi="Times New Roman"/>
              </w:rPr>
            </w:pPr>
            <w:r>
              <w:rPr>
                <w:rFonts w:ascii="Times New Roman" w:hAnsi="Times New Roman"/>
              </w:rPr>
              <w:t>GW10</w:t>
            </w:r>
          </w:p>
        </w:tc>
        <w:tc>
          <w:tcPr>
            <w:tcW w:w="1924" w:type="pct"/>
          </w:tcPr>
          <w:p>
            <w:pPr>
              <w:pStyle w:val="39"/>
              <w:rPr>
                <w:rFonts w:ascii="Times New Roman" w:hAnsi="Times New Roman"/>
              </w:rPr>
            </w:pPr>
            <w:r>
              <w:rPr>
                <w:rFonts w:ascii="Times New Roman" w:hAnsi="Times New Roman"/>
              </w:rPr>
              <w:t>709.51</w:t>
            </w:r>
          </w:p>
        </w:tc>
        <w:tc>
          <w:tcPr>
            <w:tcW w:w="1041" w:type="pct"/>
          </w:tcPr>
          <w:p>
            <w:pPr>
              <w:pStyle w:val="39"/>
              <w:rPr>
                <w:rFonts w:ascii="Times New Roman" w:hAnsi="Times New Roman"/>
              </w:rPr>
            </w:pPr>
            <w:r>
              <w:rPr>
                <w:rFonts w:ascii="Times New Roman" w:hAnsi="Times New Roman"/>
              </w:rPr>
              <w:t>0.20</w:t>
            </w:r>
          </w:p>
        </w:tc>
        <w:tc>
          <w:tcPr>
            <w:tcW w:w="1066" w:type="pct"/>
          </w:tcPr>
          <w:p>
            <w:pPr>
              <w:pStyle w:val="39"/>
              <w:rPr>
                <w:rFonts w:ascii="Times New Roman" w:hAnsi="Times New Roman"/>
              </w:rPr>
            </w:pPr>
            <w:r>
              <w:rPr>
                <w:rFonts w:ascii="Times New Roman" w:hAnsi="Times New Roman"/>
              </w:rPr>
              <w:t>709.31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285" w:hRule="atLeast"/>
          <w:jc w:val="center"/>
        </w:trPr>
        <w:tc>
          <w:tcPr>
            <w:tcW w:w="970" w:type="pct"/>
          </w:tcPr>
          <w:p>
            <w:pPr>
              <w:pStyle w:val="39"/>
              <w:rPr>
                <w:rFonts w:ascii="Times New Roman" w:hAnsi="Times New Roman"/>
              </w:rPr>
            </w:pPr>
            <w:r>
              <w:rPr>
                <w:rFonts w:ascii="Times New Roman" w:hAnsi="Times New Roman"/>
              </w:rPr>
              <w:t>GW11</w:t>
            </w:r>
          </w:p>
        </w:tc>
        <w:tc>
          <w:tcPr>
            <w:tcW w:w="1924" w:type="pct"/>
          </w:tcPr>
          <w:p>
            <w:pPr>
              <w:pStyle w:val="39"/>
              <w:rPr>
                <w:rFonts w:ascii="Times New Roman" w:hAnsi="Times New Roman"/>
              </w:rPr>
            </w:pPr>
            <w:r>
              <w:rPr>
                <w:rFonts w:ascii="Times New Roman" w:hAnsi="Times New Roman"/>
              </w:rPr>
              <w:t>493.79</w:t>
            </w:r>
          </w:p>
        </w:tc>
        <w:tc>
          <w:tcPr>
            <w:tcW w:w="1041" w:type="pct"/>
          </w:tcPr>
          <w:p>
            <w:pPr>
              <w:pStyle w:val="39"/>
              <w:rPr>
                <w:rFonts w:ascii="Times New Roman" w:hAnsi="Times New Roman"/>
              </w:rPr>
            </w:pPr>
            <w:r>
              <w:rPr>
                <w:rFonts w:ascii="Times New Roman" w:hAnsi="Times New Roman"/>
              </w:rPr>
              <w:t>0.25</w:t>
            </w:r>
          </w:p>
        </w:tc>
        <w:tc>
          <w:tcPr>
            <w:tcW w:w="1066" w:type="pct"/>
          </w:tcPr>
          <w:p>
            <w:pPr>
              <w:pStyle w:val="39"/>
              <w:rPr>
                <w:rFonts w:ascii="Times New Roman" w:hAnsi="Times New Roman"/>
              </w:rPr>
            </w:pPr>
            <w:r>
              <w:rPr>
                <w:rFonts w:ascii="Times New Roman" w:hAnsi="Times New Roman"/>
              </w:rPr>
              <w:t>493.54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285" w:hRule="atLeast"/>
          <w:jc w:val="center"/>
        </w:trPr>
        <w:tc>
          <w:tcPr>
            <w:tcW w:w="970" w:type="pct"/>
          </w:tcPr>
          <w:p>
            <w:pPr>
              <w:pStyle w:val="39"/>
              <w:rPr>
                <w:rFonts w:ascii="Times New Roman" w:hAnsi="Times New Roman"/>
              </w:rPr>
            </w:pPr>
            <w:r>
              <w:rPr>
                <w:rFonts w:ascii="Times New Roman" w:hAnsi="Times New Roman"/>
              </w:rPr>
              <w:t>GW12</w:t>
            </w:r>
          </w:p>
        </w:tc>
        <w:tc>
          <w:tcPr>
            <w:tcW w:w="1924" w:type="pct"/>
          </w:tcPr>
          <w:p>
            <w:pPr>
              <w:pStyle w:val="39"/>
              <w:rPr>
                <w:rFonts w:ascii="Times New Roman" w:hAnsi="Times New Roman"/>
              </w:rPr>
            </w:pPr>
            <w:r>
              <w:rPr>
                <w:rFonts w:ascii="Times New Roman" w:hAnsi="Times New Roman"/>
              </w:rPr>
              <w:t>956.85</w:t>
            </w:r>
          </w:p>
        </w:tc>
        <w:tc>
          <w:tcPr>
            <w:tcW w:w="1041" w:type="pct"/>
          </w:tcPr>
          <w:p>
            <w:pPr>
              <w:pStyle w:val="39"/>
              <w:rPr>
                <w:rFonts w:ascii="Times New Roman" w:hAnsi="Times New Roman"/>
              </w:rPr>
            </w:pPr>
            <w:r>
              <w:rPr>
                <w:rFonts w:ascii="Times New Roman" w:hAnsi="Times New Roman"/>
              </w:rPr>
              <w:t>0.32</w:t>
            </w:r>
          </w:p>
        </w:tc>
        <w:tc>
          <w:tcPr>
            <w:tcW w:w="1066" w:type="pct"/>
          </w:tcPr>
          <w:p>
            <w:pPr>
              <w:pStyle w:val="39"/>
              <w:rPr>
                <w:rFonts w:ascii="Times New Roman" w:hAnsi="Times New Roman"/>
              </w:rPr>
            </w:pPr>
            <w:r>
              <w:rPr>
                <w:rFonts w:ascii="Times New Roman" w:hAnsi="Times New Roman"/>
              </w:rPr>
              <w:t>956.53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285" w:hRule="atLeast"/>
          <w:jc w:val="center"/>
        </w:trPr>
        <w:tc>
          <w:tcPr>
            <w:tcW w:w="970" w:type="pct"/>
          </w:tcPr>
          <w:p>
            <w:pPr>
              <w:pStyle w:val="39"/>
              <w:rPr>
                <w:rFonts w:ascii="Times New Roman" w:hAnsi="Times New Roman"/>
              </w:rPr>
            </w:pPr>
            <w:r>
              <w:rPr>
                <w:rFonts w:ascii="Times New Roman" w:hAnsi="Times New Roman"/>
              </w:rPr>
              <w:t>GW13</w:t>
            </w:r>
          </w:p>
        </w:tc>
        <w:tc>
          <w:tcPr>
            <w:tcW w:w="1924" w:type="pct"/>
          </w:tcPr>
          <w:p>
            <w:pPr>
              <w:pStyle w:val="39"/>
              <w:rPr>
                <w:rFonts w:ascii="Times New Roman" w:hAnsi="Times New Roman"/>
              </w:rPr>
            </w:pPr>
            <w:r>
              <w:rPr>
                <w:rFonts w:ascii="Times New Roman" w:hAnsi="Times New Roman"/>
              </w:rPr>
              <w:t>792.87</w:t>
            </w:r>
          </w:p>
        </w:tc>
        <w:tc>
          <w:tcPr>
            <w:tcW w:w="1041" w:type="pct"/>
          </w:tcPr>
          <w:p>
            <w:pPr>
              <w:pStyle w:val="39"/>
              <w:rPr>
                <w:rFonts w:ascii="Times New Roman" w:hAnsi="Times New Roman"/>
              </w:rPr>
            </w:pPr>
            <w:r>
              <w:rPr>
                <w:rFonts w:ascii="Times New Roman" w:hAnsi="Times New Roman"/>
              </w:rPr>
              <w:t>0.45</w:t>
            </w:r>
          </w:p>
        </w:tc>
        <w:tc>
          <w:tcPr>
            <w:tcW w:w="1066" w:type="pct"/>
          </w:tcPr>
          <w:p>
            <w:pPr>
              <w:pStyle w:val="39"/>
              <w:rPr>
                <w:rFonts w:ascii="Times New Roman" w:hAnsi="Times New Roman"/>
              </w:rPr>
            </w:pPr>
            <w:r>
              <w:rPr>
                <w:rFonts w:ascii="Times New Roman" w:hAnsi="Times New Roman"/>
              </w:rPr>
              <w:t>792.42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285" w:hRule="atLeast"/>
          <w:jc w:val="center"/>
        </w:trPr>
        <w:tc>
          <w:tcPr>
            <w:tcW w:w="970" w:type="pct"/>
          </w:tcPr>
          <w:p>
            <w:pPr>
              <w:pStyle w:val="39"/>
              <w:rPr>
                <w:rFonts w:ascii="Times New Roman" w:hAnsi="Times New Roman"/>
              </w:rPr>
            </w:pPr>
            <w:r>
              <w:rPr>
                <w:rFonts w:ascii="Times New Roman" w:hAnsi="Times New Roman"/>
              </w:rPr>
              <w:t>GW14</w:t>
            </w:r>
          </w:p>
        </w:tc>
        <w:tc>
          <w:tcPr>
            <w:tcW w:w="1924" w:type="pct"/>
          </w:tcPr>
          <w:p>
            <w:pPr>
              <w:pStyle w:val="39"/>
              <w:rPr>
                <w:rFonts w:ascii="Times New Roman" w:hAnsi="Times New Roman"/>
              </w:rPr>
            </w:pPr>
            <w:r>
              <w:rPr>
                <w:rFonts w:ascii="Times New Roman" w:hAnsi="Times New Roman"/>
              </w:rPr>
              <w:t>918.72</w:t>
            </w:r>
          </w:p>
        </w:tc>
        <w:tc>
          <w:tcPr>
            <w:tcW w:w="1041" w:type="pct"/>
          </w:tcPr>
          <w:p>
            <w:pPr>
              <w:pStyle w:val="39"/>
              <w:rPr>
                <w:rFonts w:ascii="Times New Roman" w:hAnsi="Times New Roman"/>
              </w:rPr>
            </w:pPr>
            <w:r>
              <w:rPr>
                <w:rFonts w:ascii="Times New Roman" w:hAnsi="Times New Roman"/>
              </w:rPr>
              <w:t>0.20</w:t>
            </w:r>
          </w:p>
        </w:tc>
        <w:tc>
          <w:tcPr>
            <w:tcW w:w="1066" w:type="pct"/>
          </w:tcPr>
          <w:p>
            <w:pPr>
              <w:pStyle w:val="39"/>
              <w:rPr>
                <w:rFonts w:ascii="Times New Roman" w:hAnsi="Times New Roman"/>
              </w:rPr>
            </w:pPr>
            <w:r>
              <w:rPr>
                <w:rFonts w:ascii="Times New Roman" w:hAnsi="Times New Roman"/>
              </w:rPr>
              <w:t>918.52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285" w:hRule="atLeast"/>
          <w:jc w:val="center"/>
        </w:trPr>
        <w:tc>
          <w:tcPr>
            <w:tcW w:w="970" w:type="pct"/>
          </w:tcPr>
          <w:p>
            <w:pPr>
              <w:pStyle w:val="39"/>
              <w:rPr>
                <w:rFonts w:ascii="Times New Roman" w:hAnsi="Times New Roman"/>
              </w:rPr>
            </w:pPr>
            <w:r>
              <w:rPr>
                <w:rFonts w:ascii="Times New Roman" w:hAnsi="Times New Roman"/>
              </w:rPr>
              <w:t>GW15</w:t>
            </w:r>
          </w:p>
        </w:tc>
        <w:tc>
          <w:tcPr>
            <w:tcW w:w="1924" w:type="pct"/>
          </w:tcPr>
          <w:p>
            <w:pPr>
              <w:pStyle w:val="39"/>
              <w:rPr>
                <w:rFonts w:ascii="Times New Roman" w:hAnsi="Times New Roman"/>
              </w:rPr>
            </w:pPr>
            <w:r>
              <w:rPr>
                <w:rFonts w:ascii="Times New Roman" w:hAnsi="Times New Roman"/>
              </w:rPr>
              <w:t>882.31</w:t>
            </w:r>
          </w:p>
        </w:tc>
        <w:tc>
          <w:tcPr>
            <w:tcW w:w="1041" w:type="pct"/>
          </w:tcPr>
          <w:p>
            <w:pPr>
              <w:pStyle w:val="39"/>
              <w:rPr>
                <w:rFonts w:ascii="Times New Roman" w:hAnsi="Times New Roman"/>
              </w:rPr>
            </w:pPr>
            <w:r>
              <w:rPr>
                <w:rFonts w:ascii="Times New Roman" w:hAnsi="Times New Roman"/>
              </w:rPr>
              <w:t>0.23</w:t>
            </w:r>
          </w:p>
        </w:tc>
        <w:tc>
          <w:tcPr>
            <w:tcW w:w="1066" w:type="pct"/>
          </w:tcPr>
          <w:p>
            <w:pPr>
              <w:pStyle w:val="39"/>
              <w:rPr>
                <w:rFonts w:ascii="Times New Roman" w:hAnsi="Times New Roman"/>
              </w:rPr>
            </w:pPr>
            <w:r>
              <w:rPr>
                <w:rFonts w:ascii="Times New Roman" w:hAnsi="Times New Roman"/>
              </w:rPr>
              <w:t>882.08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285" w:hRule="atLeast"/>
          <w:jc w:val="center"/>
        </w:trPr>
        <w:tc>
          <w:tcPr>
            <w:tcW w:w="970" w:type="pct"/>
          </w:tcPr>
          <w:p>
            <w:pPr>
              <w:pStyle w:val="39"/>
              <w:rPr>
                <w:rFonts w:ascii="Times New Roman" w:hAnsi="Times New Roman"/>
              </w:rPr>
            </w:pPr>
            <w:r>
              <w:rPr>
                <w:rFonts w:ascii="Times New Roman" w:hAnsi="Times New Roman"/>
              </w:rPr>
              <w:t>GW16</w:t>
            </w:r>
          </w:p>
        </w:tc>
        <w:tc>
          <w:tcPr>
            <w:tcW w:w="1924" w:type="pct"/>
          </w:tcPr>
          <w:p>
            <w:pPr>
              <w:pStyle w:val="39"/>
              <w:rPr>
                <w:rFonts w:ascii="Times New Roman" w:hAnsi="Times New Roman"/>
              </w:rPr>
            </w:pPr>
            <w:r>
              <w:rPr>
                <w:rFonts w:ascii="Times New Roman" w:hAnsi="Times New Roman"/>
              </w:rPr>
              <w:t>834.30</w:t>
            </w:r>
          </w:p>
        </w:tc>
        <w:tc>
          <w:tcPr>
            <w:tcW w:w="1041" w:type="pct"/>
          </w:tcPr>
          <w:p>
            <w:pPr>
              <w:pStyle w:val="39"/>
              <w:rPr>
                <w:rFonts w:ascii="Times New Roman" w:hAnsi="Times New Roman"/>
              </w:rPr>
            </w:pPr>
            <w:r>
              <w:rPr>
                <w:rFonts w:ascii="Times New Roman" w:hAnsi="Times New Roman"/>
              </w:rPr>
              <w:t>0.30</w:t>
            </w:r>
          </w:p>
        </w:tc>
        <w:tc>
          <w:tcPr>
            <w:tcW w:w="1066" w:type="pct"/>
          </w:tcPr>
          <w:p>
            <w:pPr>
              <w:pStyle w:val="39"/>
              <w:rPr>
                <w:rFonts w:ascii="Times New Roman" w:hAnsi="Times New Roman"/>
              </w:rPr>
            </w:pPr>
            <w:r>
              <w:rPr>
                <w:rFonts w:ascii="Times New Roman" w:hAnsi="Times New Roman"/>
              </w:rPr>
              <w:t>834.00</w:t>
            </w:r>
          </w:p>
        </w:tc>
      </w:tr>
    </w:tbl>
    <w:p>
      <w:pPr>
        <w:widowControl/>
        <w:ind w:firstLine="480"/>
        <w:rPr>
          <w:rFonts w:ascii="Times New Roman" w:hAnsi="Times New Roman"/>
          <w:kern w:val="0"/>
        </w:rPr>
      </w:pPr>
    </w:p>
    <w:p>
      <w:pPr>
        <w:pStyle w:val="3"/>
        <w:rPr>
          <w:rFonts w:ascii="Times New Roman" w:hAnsi="Times New Roman" w:cs="Times New Roman"/>
        </w:rPr>
      </w:pPr>
      <w:bookmarkStart w:id="148" w:name="_Toc162339419"/>
      <w:r>
        <w:rPr>
          <w:rFonts w:ascii="Times New Roman" w:hAnsi="Times New Roman" w:cs="Times New Roman"/>
        </w:rPr>
        <w:t>声环境</w:t>
      </w:r>
      <w:bookmarkEnd w:id="148"/>
    </w:p>
    <w:p>
      <w:pPr>
        <w:ind w:firstLine="480"/>
        <w:rPr>
          <w:rFonts w:ascii="Times New Roman" w:hAnsi="Times New Roman"/>
        </w:rPr>
      </w:pPr>
      <w:r>
        <w:rPr>
          <w:rFonts w:ascii="Times New Roman" w:hAnsi="Times New Roman"/>
        </w:rPr>
        <w:t>本次评价委托四川地风升检测服务有限公司对本项目两个井站及管道沿线居民区进行了声环境质量现状监测。</w:t>
      </w:r>
    </w:p>
    <w:p>
      <w:pPr>
        <w:pStyle w:val="4"/>
        <w:rPr>
          <w:rFonts w:ascii="Times New Roman" w:hAnsi="Times New Roman" w:cs="Times New Roman"/>
        </w:rPr>
      </w:pPr>
      <w:r>
        <w:rPr>
          <w:rFonts w:ascii="Times New Roman" w:hAnsi="Times New Roman" w:cs="Times New Roman"/>
        </w:rPr>
        <w:t>监测点位</w:t>
      </w:r>
    </w:p>
    <w:p>
      <w:pPr>
        <w:ind w:firstLine="480"/>
        <w:rPr>
          <w:rFonts w:ascii="Times New Roman" w:hAnsi="Times New Roman"/>
        </w:rPr>
      </w:pPr>
      <w:r>
        <w:rPr>
          <w:rFonts w:ascii="Times New Roman" w:hAnsi="Times New Roman"/>
        </w:rPr>
        <w:t>在各井站的四个厂界分别布设4个现状监测点位，在管道沿线距离居民较近的点位布设了3个监测点位，共计布设11个噪声监测点位，用以监测本项目所在区域噪声本底值。各监测点位的经纬度见</w:t>
      </w:r>
      <w:r>
        <w:rPr>
          <w:rFonts w:ascii="Times New Roman" w:hAnsi="Times New Roman"/>
        </w:rPr>
        <w:fldChar w:fldCharType="begin"/>
      </w:r>
      <w:r>
        <w:rPr>
          <w:rFonts w:ascii="Times New Roman" w:hAnsi="Times New Roman"/>
        </w:rPr>
        <w:instrText xml:space="preserve"> REF _Ref155116705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11</w:t>
      </w:r>
      <w:r>
        <w:rPr>
          <w:rFonts w:ascii="Times New Roman" w:hAnsi="Times New Roman"/>
        </w:rPr>
        <w:fldChar w:fldCharType="end"/>
      </w:r>
      <w:r>
        <w:rPr>
          <w:rFonts w:ascii="Times New Roman" w:hAnsi="Times New Roman"/>
        </w:rPr>
        <w:t>，监测点位示意图见</w:t>
      </w:r>
      <w:r>
        <w:rPr>
          <w:rFonts w:ascii="Times New Roman" w:hAnsi="Times New Roman"/>
        </w:rPr>
        <w:fldChar w:fldCharType="begin"/>
      </w:r>
      <w:r>
        <w:rPr>
          <w:rFonts w:ascii="Times New Roman" w:hAnsi="Times New Roman"/>
        </w:rPr>
        <w:instrText xml:space="preserve"> REF _Ref155276735 \h  \* MERGEFORMAT </w:instrText>
      </w:r>
      <w:r>
        <w:rPr>
          <w:rFonts w:ascii="Times New Roman" w:hAnsi="Times New Roman"/>
        </w:rPr>
        <w:fldChar w:fldCharType="separate"/>
      </w:r>
      <w:r>
        <w:rPr>
          <w:rFonts w:ascii="Times New Roman" w:hAnsi="Times New Roman"/>
        </w:rPr>
        <w:t>图 5</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（附图21）。</w:t>
      </w:r>
    </w:p>
    <w:p>
      <w:pPr>
        <w:ind w:firstLine="480"/>
        <w:rPr>
          <w:rFonts w:ascii="Times New Roman" w:hAnsi="Times New Roman"/>
        </w:rPr>
      </w:pPr>
    </w:p>
    <w:p>
      <w:pPr>
        <w:ind w:firstLine="480"/>
        <w:rPr>
          <w:rFonts w:ascii="Times New Roman" w:hAnsi="Times New Roman"/>
        </w:rPr>
      </w:pPr>
    </w:p>
    <w:p>
      <w:pPr>
        <w:pStyle w:val="37"/>
        <w:rPr>
          <w:rFonts w:ascii="Times New Roman" w:hAnsi="Times New Roman" w:cs="Times New Roman"/>
        </w:rPr>
      </w:pPr>
      <w:bookmarkStart w:id="149" w:name="_Ref155116705"/>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bookmarkEnd w:id="149"/>
      <w:r>
        <w:rPr>
          <w:rFonts w:ascii="Times New Roman" w:hAnsi="Times New Roman" w:cs="Times New Roman"/>
        </w:rPr>
        <w:t xml:space="preserve">  声环境现状监测布点</w:t>
      </w:r>
    </w:p>
    <w:tbl>
      <w:tblPr>
        <w:tblStyle w:val="28"/>
        <w:tblW w:w="87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5"/>
        <w:gridCol w:w="1120"/>
        <w:gridCol w:w="1738"/>
        <w:gridCol w:w="2559"/>
        <w:gridCol w:w="24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Merge w:val="restart"/>
            <w:vAlign w:val="center"/>
          </w:tcPr>
          <w:p>
            <w:pPr>
              <w:pStyle w:val="39"/>
              <w:rPr>
                <w:rFonts w:ascii="Times New Roman" w:hAnsi="Times New Roman"/>
              </w:rPr>
            </w:pPr>
            <w:r>
              <w:rPr>
                <w:rFonts w:ascii="Times New Roman" w:hAnsi="Times New Roman"/>
              </w:rPr>
              <w:t>站场/管线</w:t>
            </w:r>
          </w:p>
        </w:tc>
        <w:tc>
          <w:tcPr>
            <w:tcW w:w="2858" w:type="dxa"/>
            <w:gridSpan w:val="2"/>
          </w:tcPr>
          <w:p>
            <w:pPr>
              <w:pStyle w:val="39"/>
              <w:rPr>
                <w:rFonts w:ascii="Times New Roman" w:hAnsi="Times New Roman"/>
              </w:rPr>
            </w:pPr>
            <w:r>
              <w:rPr>
                <w:rFonts w:ascii="Times New Roman" w:hAnsi="Times New Roman"/>
              </w:rPr>
              <w:t>监测点位位置</w:t>
            </w:r>
          </w:p>
        </w:tc>
        <w:tc>
          <w:tcPr>
            <w:tcW w:w="5040" w:type="dxa"/>
            <w:gridSpan w:val="2"/>
            <w:vAlign w:val="center"/>
          </w:tcPr>
          <w:p>
            <w:pPr>
              <w:pStyle w:val="39"/>
              <w:rPr>
                <w:rFonts w:ascii="Times New Roman" w:hAnsi="Times New Roman"/>
              </w:rPr>
            </w:pPr>
            <w:r>
              <w:rPr>
                <w:rFonts w:ascii="Times New Roman" w:hAnsi="Times New Roman"/>
              </w:rPr>
              <w:t>经纬度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Merge w:val="continue"/>
            <w:vAlign w:val="center"/>
          </w:tcPr>
          <w:p>
            <w:pPr>
              <w:pStyle w:val="39"/>
              <w:rPr>
                <w:rFonts w:ascii="Times New Roman" w:hAnsi="Times New Roman"/>
              </w:rPr>
            </w:pPr>
          </w:p>
        </w:tc>
        <w:tc>
          <w:tcPr>
            <w:tcW w:w="1120" w:type="dxa"/>
          </w:tcPr>
          <w:p>
            <w:pPr>
              <w:pStyle w:val="39"/>
              <w:rPr>
                <w:rFonts w:ascii="Times New Roman" w:hAnsi="Times New Roman"/>
              </w:rPr>
            </w:pPr>
            <w:r>
              <w:rPr>
                <w:rFonts w:ascii="Times New Roman" w:hAnsi="Times New Roman"/>
              </w:rPr>
              <w:t>对应示意图编号</w:t>
            </w:r>
          </w:p>
        </w:tc>
        <w:tc>
          <w:tcPr>
            <w:tcW w:w="1738" w:type="dxa"/>
            <w:vAlign w:val="center"/>
          </w:tcPr>
          <w:p>
            <w:pPr>
              <w:pStyle w:val="39"/>
              <w:rPr>
                <w:rFonts w:ascii="Times New Roman" w:hAnsi="Times New Roman"/>
              </w:rPr>
            </w:pPr>
            <w:r>
              <w:rPr>
                <w:rFonts w:ascii="Times New Roman" w:hAnsi="Times New Roman"/>
              </w:rPr>
              <w:t>厂界位置</w:t>
            </w:r>
          </w:p>
        </w:tc>
        <w:tc>
          <w:tcPr>
            <w:tcW w:w="2559" w:type="dxa"/>
            <w:vAlign w:val="center"/>
          </w:tcPr>
          <w:p>
            <w:pPr>
              <w:pStyle w:val="39"/>
              <w:rPr>
                <w:rFonts w:ascii="Times New Roman" w:hAnsi="Times New Roman"/>
              </w:rPr>
            </w:pPr>
            <w:r>
              <w:rPr>
                <w:rFonts w:ascii="Times New Roman" w:hAnsi="Times New Roman"/>
              </w:rPr>
              <w:t>经度</w:t>
            </w:r>
          </w:p>
        </w:tc>
        <w:tc>
          <w:tcPr>
            <w:tcW w:w="2481" w:type="dxa"/>
            <w:vAlign w:val="center"/>
          </w:tcPr>
          <w:p>
            <w:pPr>
              <w:pStyle w:val="39"/>
              <w:rPr>
                <w:rFonts w:ascii="Times New Roman" w:hAnsi="Times New Roman"/>
              </w:rPr>
            </w:pPr>
            <w:r>
              <w:rPr>
                <w:rFonts w:ascii="Times New Roman" w:hAnsi="Times New Roman"/>
              </w:rPr>
              <w:t>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Merge w:val="restart"/>
            <w:vAlign w:val="center"/>
          </w:tcPr>
          <w:p>
            <w:pPr>
              <w:pStyle w:val="39"/>
              <w:rPr>
                <w:rFonts w:ascii="Times New Roman" w:hAnsi="Times New Roman"/>
              </w:rPr>
            </w:pPr>
            <w:r>
              <w:rPr>
                <w:rFonts w:ascii="Times New Roman" w:hAnsi="Times New Roman"/>
              </w:rPr>
              <w:t>宣探1井站</w:t>
            </w:r>
          </w:p>
        </w:tc>
        <w:tc>
          <w:tcPr>
            <w:tcW w:w="1120" w:type="dxa"/>
            <w:vAlign w:val="center"/>
          </w:tcPr>
          <w:p>
            <w:pPr>
              <w:pStyle w:val="39"/>
              <w:rPr>
                <w:rFonts w:ascii="Times New Roman" w:hAnsi="Times New Roman"/>
              </w:rPr>
            </w:pPr>
            <w:r>
              <w:rPr>
                <w:rFonts w:ascii="Times New Roman" w:hAnsi="Times New Roman"/>
              </w:rPr>
              <w:t>4#</w:t>
            </w:r>
          </w:p>
        </w:tc>
        <w:tc>
          <w:tcPr>
            <w:tcW w:w="1738" w:type="dxa"/>
            <w:vAlign w:val="center"/>
          </w:tcPr>
          <w:p>
            <w:pPr>
              <w:pStyle w:val="39"/>
              <w:rPr>
                <w:rFonts w:ascii="Times New Roman" w:hAnsi="Times New Roman"/>
              </w:rPr>
            </w:pPr>
            <w:r>
              <w:rPr>
                <w:rFonts w:ascii="Times New Roman" w:hAnsi="Times New Roman"/>
              </w:rPr>
              <w:t>北厂界</w:t>
            </w:r>
          </w:p>
        </w:tc>
        <w:tc>
          <w:tcPr>
            <w:tcW w:w="2559" w:type="dxa"/>
            <w:vAlign w:val="center"/>
          </w:tcPr>
          <w:p>
            <w:pPr>
              <w:pStyle w:val="39"/>
              <w:rPr>
                <w:rFonts w:ascii="Times New Roman" w:hAnsi="Times New Roman"/>
              </w:rPr>
            </w:pPr>
            <w:r>
              <w:rPr>
                <w:rFonts w:ascii="Times New Roman" w:hAnsi="Times New Roman"/>
              </w:rPr>
              <w:t>E107.84956187°</w:t>
            </w:r>
          </w:p>
        </w:tc>
        <w:tc>
          <w:tcPr>
            <w:tcW w:w="2481" w:type="dxa"/>
            <w:vAlign w:val="center"/>
          </w:tcPr>
          <w:p>
            <w:pPr>
              <w:pStyle w:val="39"/>
              <w:rPr>
                <w:rFonts w:ascii="Times New Roman" w:hAnsi="Times New Roman"/>
              </w:rPr>
            </w:pPr>
            <w:r>
              <w:rPr>
                <w:rFonts w:ascii="Times New Roman" w:hAnsi="Times New Roman"/>
              </w:rPr>
              <w:t>N31.43339375°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Merge w:val="continue"/>
            <w:vAlign w:val="center"/>
          </w:tcPr>
          <w:p>
            <w:pPr>
              <w:pStyle w:val="39"/>
              <w:rPr>
                <w:rFonts w:ascii="Times New Roman" w:hAnsi="Times New Roman"/>
              </w:rPr>
            </w:pPr>
          </w:p>
        </w:tc>
        <w:tc>
          <w:tcPr>
            <w:tcW w:w="1120" w:type="dxa"/>
            <w:vAlign w:val="center"/>
          </w:tcPr>
          <w:p>
            <w:pPr>
              <w:pStyle w:val="39"/>
              <w:rPr>
                <w:rFonts w:ascii="Times New Roman" w:hAnsi="Times New Roman"/>
              </w:rPr>
            </w:pPr>
            <w:r>
              <w:rPr>
                <w:rFonts w:ascii="Times New Roman" w:hAnsi="Times New Roman"/>
              </w:rPr>
              <w:t>5#</w:t>
            </w:r>
          </w:p>
        </w:tc>
        <w:tc>
          <w:tcPr>
            <w:tcW w:w="1738" w:type="dxa"/>
            <w:vAlign w:val="center"/>
          </w:tcPr>
          <w:p>
            <w:pPr>
              <w:pStyle w:val="39"/>
              <w:rPr>
                <w:rFonts w:ascii="Times New Roman" w:hAnsi="Times New Roman"/>
              </w:rPr>
            </w:pPr>
            <w:r>
              <w:rPr>
                <w:rFonts w:ascii="Times New Roman" w:hAnsi="Times New Roman"/>
              </w:rPr>
              <w:t>东厂界</w:t>
            </w:r>
          </w:p>
        </w:tc>
        <w:tc>
          <w:tcPr>
            <w:tcW w:w="2559" w:type="dxa"/>
            <w:vAlign w:val="center"/>
          </w:tcPr>
          <w:p>
            <w:pPr>
              <w:pStyle w:val="39"/>
              <w:rPr>
                <w:rFonts w:ascii="Times New Roman" w:hAnsi="Times New Roman"/>
              </w:rPr>
            </w:pPr>
            <w:r>
              <w:rPr>
                <w:rFonts w:ascii="Times New Roman" w:hAnsi="Times New Roman"/>
              </w:rPr>
              <w:t>E107.85041481°</w:t>
            </w:r>
          </w:p>
        </w:tc>
        <w:tc>
          <w:tcPr>
            <w:tcW w:w="2481" w:type="dxa"/>
            <w:vAlign w:val="center"/>
          </w:tcPr>
          <w:p>
            <w:pPr>
              <w:pStyle w:val="39"/>
              <w:rPr>
                <w:rFonts w:ascii="Times New Roman" w:hAnsi="Times New Roman"/>
              </w:rPr>
            </w:pPr>
            <w:r>
              <w:rPr>
                <w:rFonts w:ascii="Times New Roman" w:hAnsi="Times New Roman"/>
              </w:rPr>
              <w:t>N31.43324041°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Merge w:val="continue"/>
            <w:vAlign w:val="center"/>
          </w:tcPr>
          <w:p>
            <w:pPr>
              <w:pStyle w:val="39"/>
              <w:rPr>
                <w:rFonts w:ascii="Times New Roman" w:hAnsi="Times New Roman"/>
              </w:rPr>
            </w:pPr>
          </w:p>
        </w:tc>
        <w:tc>
          <w:tcPr>
            <w:tcW w:w="1120" w:type="dxa"/>
            <w:vAlign w:val="center"/>
          </w:tcPr>
          <w:p>
            <w:pPr>
              <w:pStyle w:val="39"/>
              <w:rPr>
                <w:rFonts w:ascii="Times New Roman" w:hAnsi="Times New Roman"/>
              </w:rPr>
            </w:pPr>
            <w:r>
              <w:rPr>
                <w:rFonts w:ascii="Times New Roman" w:hAnsi="Times New Roman"/>
              </w:rPr>
              <w:t>6#</w:t>
            </w:r>
          </w:p>
        </w:tc>
        <w:tc>
          <w:tcPr>
            <w:tcW w:w="1738" w:type="dxa"/>
            <w:vAlign w:val="center"/>
          </w:tcPr>
          <w:p>
            <w:pPr>
              <w:pStyle w:val="39"/>
              <w:rPr>
                <w:rFonts w:ascii="Times New Roman" w:hAnsi="Times New Roman"/>
              </w:rPr>
            </w:pPr>
            <w:r>
              <w:rPr>
                <w:rFonts w:ascii="Times New Roman" w:hAnsi="Times New Roman"/>
              </w:rPr>
              <w:t>南厂界</w:t>
            </w:r>
          </w:p>
        </w:tc>
        <w:tc>
          <w:tcPr>
            <w:tcW w:w="2559" w:type="dxa"/>
            <w:vAlign w:val="center"/>
          </w:tcPr>
          <w:p>
            <w:pPr>
              <w:pStyle w:val="39"/>
              <w:rPr>
                <w:rFonts w:ascii="Times New Roman" w:hAnsi="Times New Roman"/>
              </w:rPr>
            </w:pPr>
            <w:r>
              <w:rPr>
                <w:rFonts w:ascii="Times New Roman" w:hAnsi="Times New Roman"/>
              </w:rPr>
              <w:t>E107.84962356°</w:t>
            </w:r>
          </w:p>
        </w:tc>
        <w:tc>
          <w:tcPr>
            <w:tcW w:w="2481" w:type="dxa"/>
            <w:vAlign w:val="center"/>
          </w:tcPr>
          <w:p>
            <w:pPr>
              <w:pStyle w:val="39"/>
              <w:rPr>
                <w:rFonts w:ascii="Times New Roman" w:hAnsi="Times New Roman"/>
              </w:rPr>
            </w:pPr>
            <w:r>
              <w:rPr>
                <w:rFonts w:ascii="Times New Roman" w:hAnsi="Times New Roman"/>
              </w:rPr>
              <w:t>N31.43294060°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Merge w:val="continue"/>
            <w:vAlign w:val="center"/>
          </w:tcPr>
          <w:p>
            <w:pPr>
              <w:pStyle w:val="39"/>
              <w:rPr>
                <w:rFonts w:ascii="Times New Roman" w:hAnsi="Times New Roman"/>
              </w:rPr>
            </w:pPr>
          </w:p>
        </w:tc>
        <w:tc>
          <w:tcPr>
            <w:tcW w:w="1120" w:type="dxa"/>
            <w:vAlign w:val="center"/>
          </w:tcPr>
          <w:p>
            <w:pPr>
              <w:pStyle w:val="39"/>
              <w:rPr>
                <w:rFonts w:ascii="Times New Roman" w:hAnsi="Times New Roman"/>
              </w:rPr>
            </w:pPr>
            <w:r>
              <w:rPr>
                <w:rFonts w:ascii="Times New Roman" w:hAnsi="Times New Roman"/>
              </w:rPr>
              <w:t>7#</w:t>
            </w:r>
          </w:p>
        </w:tc>
        <w:tc>
          <w:tcPr>
            <w:tcW w:w="1738" w:type="dxa"/>
            <w:vAlign w:val="center"/>
          </w:tcPr>
          <w:p>
            <w:pPr>
              <w:pStyle w:val="39"/>
              <w:rPr>
                <w:rFonts w:ascii="Times New Roman" w:hAnsi="Times New Roman"/>
              </w:rPr>
            </w:pPr>
            <w:r>
              <w:rPr>
                <w:rFonts w:ascii="Times New Roman" w:hAnsi="Times New Roman"/>
              </w:rPr>
              <w:t>西厂界</w:t>
            </w:r>
          </w:p>
        </w:tc>
        <w:tc>
          <w:tcPr>
            <w:tcW w:w="2559" w:type="dxa"/>
            <w:vAlign w:val="center"/>
          </w:tcPr>
          <w:p>
            <w:pPr>
              <w:pStyle w:val="39"/>
              <w:rPr>
                <w:rFonts w:ascii="Times New Roman" w:hAnsi="Times New Roman"/>
              </w:rPr>
            </w:pPr>
            <w:r>
              <w:rPr>
                <w:rFonts w:ascii="Times New Roman" w:hAnsi="Times New Roman"/>
              </w:rPr>
              <w:t>E107.84881890°</w:t>
            </w:r>
          </w:p>
        </w:tc>
        <w:tc>
          <w:tcPr>
            <w:tcW w:w="2481" w:type="dxa"/>
            <w:vAlign w:val="center"/>
          </w:tcPr>
          <w:p>
            <w:pPr>
              <w:pStyle w:val="39"/>
              <w:rPr>
                <w:rFonts w:ascii="Times New Roman" w:hAnsi="Times New Roman"/>
              </w:rPr>
            </w:pPr>
            <w:r>
              <w:rPr>
                <w:rFonts w:ascii="Times New Roman" w:hAnsi="Times New Roman"/>
              </w:rPr>
              <w:t>N31.43306648°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Merge w:val="restart"/>
            <w:vAlign w:val="center"/>
          </w:tcPr>
          <w:p>
            <w:pPr>
              <w:pStyle w:val="39"/>
              <w:rPr>
                <w:rFonts w:ascii="Times New Roman" w:hAnsi="Times New Roman"/>
              </w:rPr>
            </w:pPr>
            <w:r>
              <w:rPr>
                <w:rFonts w:ascii="Times New Roman" w:hAnsi="Times New Roman"/>
              </w:rPr>
              <w:t>宣兴1井站</w:t>
            </w:r>
          </w:p>
        </w:tc>
        <w:tc>
          <w:tcPr>
            <w:tcW w:w="1120" w:type="dxa"/>
            <w:vAlign w:val="center"/>
          </w:tcPr>
          <w:p>
            <w:pPr>
              <w:pStyle w:val="39"/>
              <w:rPr>
                <w:rFonts w:ascii="Times New Roman" w:hAnsi="Times New Roman"/>
              </w:rPr>
            </w:pPr>
            <w:r>
              <w:rPr>
                <w:rFonts w:ascii="Times New Roman" w:hAnsi="Times New Roman"/>
              </w:rPr>
              <w:t>10#</w:t>
            </w:r>
          </w:p>
        </w:tc>
        <w:tc>
          <w:tcPr>
            <w:tcW w:w="1738" w:type="dxa"/>
            <w:vAlign w:val="center"/>
          </w:tcPr>
          <w:p>
            <w:pPr>
              <w:pStyle w:val="39"/>
              <w:rPr>
                <w:rFonts w:ascii="Times New Roman" w:hAnsi="Times New Roman"/>
              </w:rPr>
            </w:pPr>
            <w:r>
              <w:rPr>
                <w:rFonts w:ascii="Times New Roman" w:hAnsi="Times New Roman"/>
              </w:rPr>
              <w:t>东厂界</w:t>
            </w:r>
          </w:p>
        </w:tc>
        <w:tc>
          <w:tcPr>
            <w:tcW w:w="2559" w:type="dxa"/>
            <w:vAlign w:val="center"/>
          </w:tcPr>
          <w:p>
            <w:pPr>
              <w:pStyle w:val="39"/>
              <w:rPr>
                <w:rFonts w:ascii="Times New Roman" w:hAnsi="Times New Roman"/>
              </w:rPr>
            </w:pPr>
            <w:r>
              <w:rPr>
                <w:rFonts w:ascii="Times New Roman" w:hAnsi="Times New Roman"/>
              </w:rPr>
              <w:t>E107.85311580°</w:t>
            </w:r>
          </w:p>
        </w:tc>
        <w:tc>
          <w:tcPr>
            <w:tcW w:w="2481" w:type="dxa"/>
            <w:vAlign w:val="center"/>
          </w:tcPr>
          <w:p>
            <w:pPr>
              <w:pStyle w:val="39"/>
              <w:rPr>
                <w:rFonts w:ascii="Times New Roman" w:hAnsi="Times New Roman"/>
              </w:rPr>
            </w:pPr>
            <w:r>
              <w:rPr>
                <w:rFonts w:ascii="Times New Roman" w:hAnsi="Times New Roman"/>
              </w:rPr>
              <w:t>N31.45251751°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Merge w:val="continue"/>
            <w:vAlign w:val="center"/>
          </w:tcPr>
          <w:p>
            <w:pPr>
              <w:pStyle w:val="39"/>
              <w:rPr>
                <w:rFonts w:ascii="Times New Roman" w:hAnsi="Times New Roman"/>
              </w:rPr>
            </w:pPr>
          </w:p>
        </w:tc>
        <w:tc>
          <w:tcPr>
            <w:tcW w:w="1120" w:type="dxa"/>
            <w:vAlign w:val="center"/>
          </w:tcPr>
          <w:p>
            <w:pPr>
              <w:pStyle w:val="39"/>
              <w:rPr>
                <w:rFonts w:ascii="Times New Roman" w:hAnsi="Times New Roman"/>
              </w:rPr>
            </w:pPr>
            <w:r>
              <w:rPr>
                <w:rFonts w:ascii="Times New Roman" w:hAnsi="Times New Roman"/>
              </w:rPr>
              <w:t>9#</w:t>
            </w:r>
          </w:p>
        </w:tc>
        <w:tc>
          <w:tcPr>
            <w:tcW w:w="1738" w:type="dxa"/>
            <w:vAlign w:val="center"/>
          </w:tcPr>
          <w:p>
            <w:pPr>
              <w:pStyle w:val="39"/>
              <w:rPr>
                <w:rFonts w:ascii="Times New Roman" w:hAnsi="Times New Roman"/>
              </w:rPr>
            </w:pPr>
            <w:r>
              <w:rPr>
                <w:rFonts w:ascii="Times New Roman" w:hAnsi="Times New Roman"/>
              </w:rPr>
              <w:t>南厂界</w:t>
            </w:r>
          </w:p>
        </w:tc>
        <w:tc>
          <w:tcPr>
            <w:tcW w:w="2559" w:type="dxa"/>
            <w:vAlign w:val="center"/>
          </w:tcPr>
          <w:p>
            <w:pPr>
              <w:pStyle w:val="39"/>
              <w:rPr>
                <w:rFonts w:ascii="Times New Roman" w:hAnsi="Times New Roman"/>
              </w:rPr>
            </w:pPr>
            <w:r>
              <w:rPr>
                <w:rFonts w:ascii="Times New Roman" w:hAnsi="Times New Roman"/>
              </w:rPr>
              <w:t>E107.85228699°</w:t>
            </w:r>
          </w:p>
        </w:tc>
        <w:tc>
          <w:tcPr>
            <w:tcW w:w="2481" w:type="dxa"/>
            <w:vAlign w:val="center"/>
          </w:tcPr>
          <w:p>
            <w:pPr>
              <w:pStyle w:val="39"/>
              <w:rPr>
                <w:rFonts w:ascii="Times New Roman" w:hAnsi="Times New Roman"/>
              </w:rPr>
            </w:pPr>
            <w:r>
              <w:rPr>
                <w:rFonts w:ascii="Times New Roman" w:hAnsi="Times New Roman"/>
              </w:rPr>
              <w:t>N31.45262963°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Merge w:val="continue"/>
            <w:vAlign w:val="center"/>
          </w:tcPr>
          <w:p>
            <w:pPr>
              <w:pStyle w:val="39"/>
              <w:rPr>
                <w:rFonts w:ascii="Times New Roman" w:hAnsi="Times New Roman"/>
              </w:rPr>
            </w:pPr>
          </w:p>
        </w:tc>
        <w:tc>
          <w:tcPr>
            <w:tcW w:w="1120" w:type="dxa"/>
            <w:vAlign w:val="center"/>
          </w:tcPr>
          <w:p>
            <w:pPr>
              <w:pStyle w:val="39"/>
              <w:rPr>
                <w:rFonts w:ascii="Times New Roman" w:hAnsi="Times New Roman"/>
              </w:rPr>
            </w:pPr>
            <w:r>
              <w:rPr>
                <w:rFonts w:ascii="Times New Roman" w:hAnsi="Times New Roman"/>
              </w:rPr>
              <w:t>11#</w:t>
            </w:r>
          </w:p>
        </w:tc>
        <w:tc>
          <w:tcPr>
            <w:tcW w:w="1738" w:type="dxa"/>
            <w:vAlign w:val="center"/>
          </w:tcPr>
          <w:p>
            <w:pPr>
              <w:pStyle w:val="39"/>
              <w:rPr>
                <w:rFonts w:ascii="Times New Roman" w:hAnsi="Times New Roman"/>
              </w:rPr>
            </w:pPr>
            <w:r>
              <w:rPr>
                <w:rFonts w:ascii="Times New Roman" w:hAnsi="Times New Roman"/>
              </w:rPr>
              <w:t>西厂界</w:t>
            </w:r>
          </w:p>
        </w:tc>
        <w:tc>
          <w:tcPr>
            <w:tcW w:w="2559" w:type="dxa"/>
            <w:vAlign w:val="center"/>
          </w:tcPr>
          <w:p>
            <w:pPr>
              <w:pStyle w:val="39"/>
              <w:rPr>
                <w:rFonts w:ascii="Times New Roman" w:hAnsi="Times New Roman"/>
              </w:rPr>
            </w:pPr>
            <w:r>
              <w:rPr>
                <w:rFonts w:ascii="Times New Roman" w:hAnsi="Times New Roman"/>
              </w:rPr>
              <w:t>E107.85165131°</w:t>
            </w:r>
          </w:p>
        </w:tc>
        <w:tc>
          <w:tcPr>
            <w:tcW w:w="2481" w:type="dxa"/>
            <w:vAlign w:val="center"/>
          </w:tcPr>
          <w:p>
            <w:pPr>
              <w:pStyle w:val="39"/>
              <w:rPr>
                <w:rFonts w:ascii="Times New Roman" w:hAnsi="Times New Roman"/>
              </w:rPr>
            </w:pPr>
            <w:r>
              <w:rPr>
                <w:rFonts w:ascii="Times New Roman" w:hAnsi="Times New Roman"/>
              </w:rPr>
              <w:t>N31.45318564°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Merge w:val="continue"/>
            <w:vAlign w:val="center"/>
          </w:tcPr>
          <w:p>
            <w:pPr>
              <w:pStyle w:val="39"/>
              <w:rPr>
                <w:rFonts w:ascii="Times New Roman" w:hAnsi="Times New Roman"/>
              </w:rPr>
            </w:pPr>
          </w:p>
        </w:tc>
        <w:tc>
          <w:tcPr>
            <w:tcW w:w="1120" w:type="dxa"/>
            <w:vAlign w:val="center"/>
          </w:tcPr>
          <w:p>
            <w:pPr>
              <w:pStyle w:val="39"/>
              <w:rPr>
                <w:rFonts w:ascii="Times New Roman" w:hAnsi="Times New Roman"/>
              </w:rPr>
            </w:pPr>
            <w:r>
              <w:rPr>
                <w:rFonts w:ascii="Times New Roman" w:hAnsi="Times New Roman"/>
              </w:rPr>
              <w:t>8#</w:t>
            </w:r>
          </w:p>
        </w:tc>
        <w:tc>
          <w:tcPr>
            <w:tcW w:w="1738" w:type="dxa"/>
            <w:vAlign w:val="center"/>
          </w:tcPr>
          <w:p>
            <w:pPr>
              <w:pStyle w:val="39"/>
              <w:rPr>
                <w:rFonts w:ascii="Times New Roman" w:hAnsi="Times New Roman"/>
              </w:rPr>
            </w:pPr>
            <w:r>
              <w:rPr>
                <w:rFonts w:ascii="Times New Roman" w:hAnsi="Times New Roman"/>
              </w:rPr>
              <w:t>北厂界</w:t>
            </w:r>
          </w:p>
        </w:tc>
        <w:tc>
          <w:tcPr>
            <w:tcW w:w="2559" w:type="dxa"/>
            <w:vAlign w:val="center"/>
          </w:tcPr>
          <w:p>
            <w:pPr>
              <w:pStyle w:val="39"/>
              <w:rPr>
                <w:rFonts w:ascii="Times New Roman" w:hAnsi="Times New Roman"/>
              </w:rPr>
            </w:pPr>
            <w:r>
              <w:rPr>
                <w:rFonts w:ascii="Times New Roman" w:hAnsi="Times New Roman"/>
              </w:rPr>
              <w:t>E107.85251766°</w:t>
            </w:r>
          </w:p>
        </w:tc>
        <w:tc>
          <w:tcPr>
            <w:tcW w:w="2481" w:type="dxa"/>
            <w:vAlign w:val="center"/>
          </w:tcPr>
          <w:p>
            <w:pPr>
              <w:pStyle w:val="39"/>
              <w:rPr>
                <w:rFonts w:ascii="Times New Roman" w:hAnsi="Times New Roman"/>
              </w:rPr>
            </w:pPr>
            <w:r>
              <w:rPr>
                <w:rFonts w:ascii="Times New Roman" w:hAnsi="Times New Roman"/>
              </w:rPr>
              <w:t>N31.45309412°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Merge w:val="restart"/>
            <w:vAlign w:val="center"/>
          </w:tcPr>
          <w:p>
            <w:pPr>
              <w:pStyle w:val="39"/>
              <w:rPr>
                <w:rFonts w:ascii="Times New Roman" w:hAnsi="Times New Roman"/>
              </w:rPr>
            </w:pPr>
            <w:r>
              <w:rPr>
                <w:rFonts w:ascii="Times New Roman" w:hAnsi="Times New Roman"/>
              </w:rPr>
              <w:t>管道沿线</w:t>
            </w:r>
          </w:p>
        </w:tc>
        <w:tc>
          <w:tcPr>
            <w:tcW w:w="1120" w:type="dxa"/>
            <w:vAlign w:val="center"/>
          </w:tcPr>
          <w:p>
            <w:pPr>
              <w:pStyle w:val="39"/>
              <w:rPr>
                <w:rFonts w:ascii="Times New Roman" w:hAnsi="Times New Roman"/>
              </w:rPr>
            </w:pPr>
            <w:r>
              <w:rPr>
                <w:rFonts w:ascii="Times New Roman" w:hAnsi="Times New Roman"/>
              </w:rPr>
              <w:t>1#</w:t>
            </w:r>
          </w:p>
        </w:tc>
        <w:tc>
          <w:tcPr>
            <w:tcW w:w="1738" w:type="dxa"/>
            <w:vAlign w:val="center"/>
          </w:tcPr>
          <w:p>
            <w:pPr>
              <w:pStyle w:val="39"/>
              <w:rPr>
                <w:rFonts w:ascii="Times New Roman" w:hAnsi="Times New Roman"/>
              </w:rPr>
            </w:pPr>
            <w:r>
              <w:rPr>
                <w:rFonts w:ascii="Times New Roman" w:hAnsi="Times New Roman"/>
              </w:rPr>
              <w:t>管道监测点位1</w:t>
            </w:r>
          </w:p>
        </w:tc>
        <w:tc>
          <w:tcPr>
            <w:tcW w:w="2559" w:type="dxa"/>
            <w:vAlign w:val="center"/>
          </w:tcPr>
          <w:p>
            <w:pPr>
              <w:pStyle w:val="39"/>
              <w:rPr>
                <w:rFonts w:ascii="Times New Roman" w:hAnsi="Times New Roman"/>
              </w:rPr>
            </w:pPr>
            <w:r>
              <w:rPr>
                <w:rFonts w:ascii="Times New Roman" w:hAnsi="Times New Roman"/>
              </w:rPr>
              <w:t>E107.81065106°</w:t>
            </w:r>
          </w:p>
        </w:tc>
        <w:tc>
          <w:tcPr>
            <w:tcW w:w="2481" w:type="dxa"/>
            <w:vAlign w:val="center"/>
          </w:tcPr>
          <w:p>
            <w:pPr>
              <w:pStyle w:val="39"/>
              <w:rPr>
                <w:rFonts w:ascii="Times New Roman" w:hAnsi="Times New Roman"/>
              </w:rPr>
            </w:pPr>
            <w:r>
              <w:rPr>
                <w:rFonts w:ascii="Times New Roman" w:hAnsi="Times New Roman"/>
              </w:rPr>
              <w:t>N31.48884581°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Merge w:val="continue"/>
            <w:vAlign w:val="center"/>
          </w:tcPr>
          <w:p>
            <w:pPr>
              <w:pStyle w:val="39"/>
              <w:rPr>
                <w:rFonts w:ascii="Times New Roman" w:hAnsi="Times New Roman"/>
              </w:rPr>
            </w:pPr>
          </w:p>
        </w:tc>
        <w:tc>
          <w:tcPr>
            <w:tcW w:w="1120" w:type="dxa"/>
            <w:vAlign w:val="center"/>
          </w:tcPr>
          <w:p>
            <w:pPr>
              <w:pStyle w:val="39"/>
              <w:rPr>
                <w:rFonts w:ascii="Times New Roman" w:hAnsi="Times New Roman"/>
              </w:rPr>
            </w:pPr>
            <w:r>
              <w:rPr>
                <w:rFonts w:ascii="Times New Roman" w:hAnsi="Times New Roman"/>
              </w:rPr>
              <w:t>2#</w:t>
            </w:r>
          </w:p>
        </w:tc>
        <w:tc>
          <w:tcPr>
            <w:tcW w:w="1738" w:type="dxa"/>
            <w:vAlign w:val="center"/>
          </w:tcPr>
          <w:p>
            <w:pPr>
              <w:pStyle w:val="39"/>
              <w:rPr>
                <w:rFonts w:ascii="Times New Roman" w:hAnsi="Times New Roman"/>
              </w:rPr>
            </w:pPr>
            <w:r>
              <w:rPr>
                <w:rFonts w:ascii="Times New Roman" w:hAnsi="Times New Roman"/>
              </w:rPr>
              <w:t>管道监测点位2</w:t>
            </w:r>
          </w:p>
        </w:tc>
        <w:tc>
          <w:tcPr>
            <w:tcW w:w="2559" w:type="dxa"/>
            <w:vAlign w:val="center"/>
          </w:tcPr>
          <w:p>
            <w:pPr>
              <w:pStyle w:val="39"/>
              <w:rPr>
                <w:rFonts w:ascii="Times New Roman" w:hAnsi="Times New Roman"/>
              </w:rPr>
            </w:pPr>
            <w:r>
              <w:rPr>
                <w:rFonts w:ascii="Times New Roman" w:hAnsi="Times New Roman"/>
              </w:rPr>
              <w:t>E107.80937433°</w:t>
            </w:r>
          </w:p>
        </w:tc>
        <w:tc>
          <w:tcPr>
            <w:tcW w:w="2481" w:type="dxa"/>
            <w:vAlign w:val="center"/>
          </w:tcPr>
          <w:p>
            <w:pPr>
              <w:pStyle w:val="39"/>
              <w:rPr>
                <w:rFonts w:ascii="Times New Roman" w:hAnsi="Times New Roman"/>
              </w:rPr>
            </w:pPr>
            <w:r>
              <w:rPr>
                <w:rFonts w:ascii="Times New Roman" w:hAnsi="Times New Roman"/>
              </w:rPr>
              <w:t>N31.49964092°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Merge w:val="continue"/>
            <w:vAlign w:val="center"/>
          </w:tcPr>
          <w:p>
            <w:pPr>
              <w:pStyle w:val="39"/>
              <w:rPr>
                <w:rFonts w:ascii="Times New Roman" w:hAnsi="Times New Roman"/>
              </w:rPr>
            </w:pPr>
          </w:p>
        </w:tc>
        <w:tc>
          <w:tcPr>
            <w:tcW w:w="1120" w:type="dxa"/>
            <w:vAlign w:val="center"/>
          </w:tcPr>
          <w:p>
            <w:pPr>
              <w:pStyle w:val="39"/>
              <w:rPr>
                <w:rFonts w:ascii="Times New Roman" w:hAnsi="Times New Roman"/>
              </w:rPr>
            </w:pPr>
            <w:r>
              <w:rPr>
                <w:rFonts w:ascii="Times New Roman" w:hAnsi="Times New Roman"/>
              </w:rPr>
              <w:t>3#</w:t>
            </w:r>
          </w:p>
        </w:tc>
        <w:tc>
          <w:tcPr>
            <w:tcW w:w="1738" w:type="dxa"/>
            <w:vAlign w:val="center"/>
          </w:tcPr>
          <w:p>
            <w:pPr>
              <w:pStyle w:val="39"/>
              <w:rPr>
                <w:rFonts w:ascii="Times New Roman" w:hAnsi="Times New Roman"/>
              </w:rPr>
            </w:pPr>
            <w:r>
              <w:rPr>
                <w:rFonts w:ascii="Times New Roman" w:hAnsi="Times New Roman"/>
              </w:rPr>
              <w:t>管道监测点位3</w:t>
            </w:r>
          </w:p>
        </w:tc>
        <w:tc>
          <w:tcPr>
            <w:tcW w:w="2559" w:type="dxa"/>
            <w:vAlign w:val="center"/>
          </w:tcPr>
          <w:p>
            <w:pPr>
              <w:pStyle w:val="39"/>
              <w:rPr>
                <w:rFonts w:ascii="Times New Roman" w:hAnsi="Times New Roman"/>
              </w:rPr>
            </w:pPr>
            <w:r>
              <w:rPr>
                <w:rFonts w:ascii="Times New Roman" w:hAnsi="Times New Roman"/>
              </w:rPr>
              <w:t>E107.80763626°</w:t>
            </w:r>
          </w:p>
        </w:tc>
        <w:tc>
          <w:tcPr>
            <w:tcW w:w="2481" w:type="dxa"/>
            <w:vAlign w:val="center"/>
          </w:tcPr>
          <w:p>
            <w:pPr>
              <w:pStyle w:val="39"/>
              <w:rPr>
                <w:rFonts w:ascii="Times New Roman" w:hAnsi="Times New Roman"/>
              </w:rPr>
            </w:pPr>
            <w:r>
              <w:rPr>
                <w:rFonts w:ascii="Times New Roman" w:hAnsi="Times New Roman"/>
              </w:rPr>
              <w:t>N31.50503801°</w:t>
            </w:r>
          </w:p>
        </w:tc>
      </w:tr>
    </w:tbl>
    <w:p>
      <w:pPr>
        <w:pStyle w:val="4"/>
        <w:rPr>
          <w:rFonts w:ascii="Times New Roman" w:hAnsi="Times New Roman" w:cs="Times New Roman"/>
        </w:rPr>
      </w:pPr>
      <w:r>
        <w:rPr>
          <w:rFonts w:ascii="Times New Roman" w:hAnsi="Times New Roman" w:cs="Times New Roman"/>
        </w:rPr>
        <w:t>监测因子</w:t>
      </w:r>
    </w:p>
    <w:p>
      <w:pPr>
        <w:ind w:firstLine="480"/>
        <w:rPr>
          <w:rFonts w:ascii="Times New Roman" w:hAnsi="Times New Roman"/>
        </w:rPr>
      </w:pPr>
      <w:r>
        <w:rPr>
          <w:rFonts w:ascii="Times New Roman" w:hAnsi="Times New Roman"/>
        </w:rPr>
        <w:t>等效连续A声级，Leq〔dB(A)〕。</w:t>
      </w:r>
    </w:p>
    <w:p>
      <w:pPr>
        <w:pStyle w:val="4"/>
        <w:rPr>
          <w:rFonts w:ascii="Times New Roman" w:hAnsi="Times New Roman" w:cs="Times New Roman"/>
        </w:rPr>
      </w:pPr>
      <w:r>
        <w:rPr>
          <w:rFonts w:ascii="Times New Roman" w:hAnsi="Times New Roman" w:cs="Times New Roman"/>
        </w:rPr>
        <w:t>监测时间及频次</w:t>
      </w:r>
    </w:p>
    <w:p>
      <w:pPr>
        <w:ind w:firstLine="480"/>
        <w:rPr>
          <w:rFonts w:ascii="Times New Roman" w:hAnsi="Times New Roman"/>
        </w:rPr>
      </w:pPr>
      <w:r>
        <w:rPr>
          <w:rFonts w:ascii="Times New Roman" w:hAnsi="Times New Roman"/>
        </w:rPr>
        <w:t>宣探1井站和宣兴1井站于2023年12月19日～20日，连续监测两天，分昼间和夜间两个时段，昼间2次，夜间1次。</w:t>
      </w:r>
    </w:p>
    <w:p>
      <w:pPr>
        <w:pStyle w:val="4"/>
        <w:rPr>
          <w:rFonts w:ascii="Times New Roman" w:hAnsi="Times New Roman" w:cs="Times New Roman"/>
        </w:rPr>
      </w:pPr>
      <w:r>
        <w:rPr>
          <w:rFonts w:ascii="Times New Roman" w:hAnsi="Times New Roman" w:cs="Times New Roman"/>
        </w:rPr>
        <w:t>监测方法</w:t>
      </w:r>
    </w:p>
    <w:p>
      <w:pPr>
        <w:ind w:firstLine="480"/>
        <w:rPr>
          <w:rFonts w:ascii="Times New Roman" w:hAnsi="Times New Roman"/>
        </w:rPr>
      </w:pPr>
      <w:r>
        <w:rPr>
          <w:rFonts w:ascii="Times New Roman" w:hAnsi="Times New Roman"/>
        </w:rPr>
        <w:t>按照《声环境质量标准》（GB3096-2008）的要求进行测量，噪声测量值为A声级，采用等效连续A声级Leq作为评价量。</w:t>
      </w:r>
    </w:p>
    <w:p>
      <w:pPr>
        <w:pStyle w:val="4"/>
        <w:rPr>
          <w:rFonts w:ascii="Times New Roman" w:hAnsi="Times New Roman" w:cs="Times New Roman"/>
        </w:rPr>
      </w:pPr>
      <w:r>
        <w:rPr>
          <w:rFonts w:ascii="Times New Roman" w:hAnsi="Times New Roman" w:cs="Times New Roman"/>
        </w:rPr>
        <w:t>监测结果及评价</w:t>
      </w:r>
    </w:p>
    <w:p>
      <w:pPr>
        <w:ind w:firstLine="480"/>
        <w:rPr>
          <w:rFonts w:ascii="Times New Roman" w:hAnsi="Times New Roman"/>
        </w:rPr>
      </w:pPr>
      <w:r>
        <w:rPr>
          <w:rFonts w:ascii="Times New Roman" w:hAnsi="Times New Roman"/>
        </w:rPr>
        <w:t>声环境质量现状监测结果及评价见</w:t>
      </w:r>
      <w:r>
        <w:rPr>
          <w:rFonts w:ascii="Times New Roman" w:hAnsi="Times New Roman"/>
        </w:rPr>
        <w:fldChar w:fldCharType="begin"/>
      </w:r>
      <w:r>
        <w:rPr>
          <w:rFonts w:ascii="Times New Roman" w:hAnsi="Times New Roman"/>
        </w:rPr>
        <w:instrText xml:space="preserve"> REF _Ref155193980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12</w:t>
      </w:r>
      <w:r>
        <w:rPr>
          <w:rFonts w:ascii="Times New Roman" w:hAnsi="Times New Roman"/>
        </w:rPr>
        <w:fldChar w:fldCharType="end"/>
      </w:r>
      <w:r>
        <w:rPr>
          <w:rFonts w:ascii="Times New Roman" w:hAnsi="Times New Roman"/>
        </w:rPr>
        <w:t>，由该表可知，各监测点位环境噪声均满足《声环境质量标准》（GB3096-2008）2类标准限值，项目所在区域声环境质量现状较好。</w:t>
      </w:r>
    </w:p>
    <w:p>
      <w:pPr>
        <w:pStyle w:val="37"/>
        <w:rPr>
          <w:rFonts w:ascii="Times New Roman" w:hAnsi="Times New Roman" w:cs="Times New Roman"/>
        </w:rPr>
      </w:pPr>
      <w:bookmarkStart w:id="150" w:name="_Ref155193980"/>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bookmarkEnd w:id="150"/>
      <w:r>
        <w:rPr>
          <w:rFonts w:ascii="Times New Roman" w:hAnsi="Times New Roman" w:cs="Times New Roman"/>
        </w:rPr>
        <w:t xml:space="preserve">  声环境质量现状监测结果及评价结果一览表</w:t>
      </w:r>
    </w:p>
    <w:tbl>
      <w:tblPr>
        <w:tblStyle w:val="28"/>
        <w:tblW w:w="9057" w:type="dxa"/>
        <w:tblInd w:w="-2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4"/>
        <w:gridCol w:w="2167"/>
        <w:gridCol w:w="1560"/>
        <w:gridCol w:w="850"/>
        <w:gridCol w:w="1134"/>
        <w:gridCol w:w="1134"/>
        <w:gridCol w:w="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Align w:val="center"/>
          </w:tcPr>
          <w:p>
            <w:pPr>
              <w:pStyle w:val="39"/>
              <w:rPr>
                <w:rFonts w:ascii="Times New Roman" w:hAnsi="Times New Roman"/>
              </w:rPr>
            </w:pPr>
            <w:r>
              <w:rPr>
                <w:rFonts w:ascii="Times New Roman" w:hAnsi="Times New Roman"/>
              </w:rPr>
              <w:t>站场/管线</w:t>
            </w:r>
          </w:p>
        </w:tc>
        <w:tc>
          <w:tcPr>
            <w:tcW w:w="2167" w:type="dxa"/>
            <w:vAlign w:val="center"/>
          </w:tcPr>
          <w:p>
            <w:pPr>
              <w:pStyle w:val="39"/>
              <w:rPr>
                <w:rFonts w:ascii="Times New Roman" w:hAnsi="Times New Roman"/>
              </w:rPr>
            </w:pPr>
            <w:r>
              <w:rPr>
                <w:rFonts w:ascii="Times New Roman" w:hAnsi="Times New Roman"/>
              </w:rPr>
              <w:t>点位</w:t>
            </w:r>
          </w:p>
        </w:tc>
        <w:tc>
          <w:tcPr>
            <w:tcW w:w="2410" w:type="dxa"/>
            <w:gridSpan w:val="2"/>
            <w:vAlign w:val="center"/>
          </w:tcPr>
          <w:p>
            <w:pPr>
              <w:pStyle w:val="39"/>
              <w:rPr>
                <w:rFonts w:ascii="Times New Roman" w:hAnsi="Times New Roman"/>
              </w:rPr>
            </w:pPr>
            <w:r>
              <w:rPr>
                <w:rFonts w:ascii="Times New Roman" w:hAnsi="Times New Roman"/>
              </w:rPr>
              <w:t>监测时间</w:t>
            </w:r>
          </w:p>
        </w:tc>
        <w:tc>
          <w:tcPr>
            <w:tcW w:w="1134" w:type="dxa"/>
            <w:vAlign w:val="center"/>
          </w:tcPr>
          <w:p>
            <w:pPr>
              <w:pStyle w:val="39"/>
              <w:rPr>
                <w:rFonts w:ascii="Times New Roman" w:hAnsi="Times New Roman"/>
              </w:rPr>
            </w:pPr>
            <w:r>
              <w:rPr>
                <w:rFonts w:ascii="Times New Roman" w:hAnsi="Times New Roman"/>
              </w:rPr>
              <w:t>监测结果</w:t>
            </w:r>
          </w:p>
          <w:p>
            <w:pPr>
              <w:pStyle w:val="39"/>
              <w:rPr>
                <w:rFonts w:ascii="Times New Roman" w:hAnsi="Times New Roman"/>
              </w:rPr>
            </w:pPr>
            <w:r>
              <w:rPr>
                <w:rFonts w:ascii="Times New Roman" w:hAnsi="Times New Roman"/>
              </w:rPr>
              <w:t>dB（A）</w:t>
            </w:r>
          </w:p>
        </w:tc>
        <w:tc>
          <w:tcPr>
            <w:tcW w:w="1134" w:type="dxa"/>
            <w:vAlign w:val="center"/>
          </w:tcPr>
          <w:p>
            <w:pPr>
              <w:pStyle w:val="39"/>
              <w:rPr>
                <w:rFonts w:ascii="Times New Roman" w:hAnsi="Times New Roman"/>
              </w:rPr>
            </w:pPr>
            <w:r>
              <w:rPr>
                <w:rFonts w:ascii="Times New Roman" w:hAnsi="Times New Roman"/>
              </w:rPr>
              <w:t>标准限值</w:t>
            </w:r>
          </w:p>
          <w:p>
            <w:pPr>
              <w:pStyle w:val="39"/>
              <w:rPr>
                <w:rFonts w:ascii="Times New Roman" w:hAnsi="Times New Roman"/>
              </w:rPr>
            </w:pPr>
            <w:r>
              <w:rPr>
                <w:rFonts w:ascii="Times New Roman" w:hAnsi="Times New Roman"/>
              </w:rPr>
              <w:t>dB（A）</w:t>
            </w:r>
          </w:p>
        </w:tc>
        <w:tc>
          <w:tcPr>
            <w:tcW w:w="788" w:type="dxa"/>
            <w:vAlign w:val="center"/>
          </w:tcPr>
          <w:p>
            <w:pPr>
              <w:pStyle w:val="39"/>
              <w:rPr>
                <w:rFonts w:ascii="Times New Roman" w:hAnsi="Times New Roman"/>
              </w:rPr>
            </w:pPr>
            <w:r>
              <w:rPr>
                <w:rFonts w:ascii="Times New Roman" w:hAnsi="Times New Roma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restart"/>
            <w:vAlign w:val="center"/>
          </w:tcPr>
          <w:p>
            <w:pPr>
              <w:pStyle w:val="39"/>
              <w:rPr>
                <w:rFonts w:ascii="Times New Roman" w:hAnsi="Times New Roman"/>
              </w:rPr>
            </w:pPr>
            <w:r>
              <w:rPr>
                <w:rFonts w:ascii="Times New Roman" w:hAnsi="Times New Roman"/>
              </w:rPr>
              <w:t>宣探1井站</w:t>
            </w:r>
          </w:p>
        </w:tc>
        <w:tc>
          <w:tcPr>
            <w:tcW w:w="2167" w:type="dxa"/>
            <w:vAlign w:val="center"/>
          </w:tcPr>
          <w:p>
            <w:pPr>
              <w:pStyle w:val="39"/>
              <w:rPr>
                <w:rFonts w:ascii="Times New Roman" w:hAnsi="Times New Roman"/>
              </w:rPr>
            </w:pPr>
            <w:r>
              <w:rPr>
                <w:rFonts w:ascii="Times New Roman" w:hAnsi="Times New Roman"/>
              </w:rPr>
              <w:t>北厂界</w:t>
            </w:r>
          </w:p>
        </w:tc>
        <w:tc>
          <w:tcPr>
            <w:tcW w:w="1560" w:type="dxa"/>
            <w:vMerge w:val="restart"/>
            <w:vAlign w:val="center"/>
          </w:tcPr>
          <w:p>
            <w:pPr>
              <w:pStyle w:val="39"/>
              <w:rPr>
                <w:rFonts w:ascii="Times New Roman" w:hAnsi="Times New Roman"/>
              </w:rPr>
            </w:pPr>
            <w:r>
              <w:rPr>
                <w:rFonts w:ascii="Times New Roman" w:hAnsi="Times New Roman"/>
              </w:rPr>
              <w:t>2023.12.19</w:t>
            </w:r>
          </w:p>
        </w:tc>
        <w:tc>
          <w:tcPr>
            <w:tcW w:w="850" w:type="dxa"/>
            <w:vMerge w:val="restart"/>
            <w:vAlign w:val="center"/>
          </w:tcPr>
          <w:p>
            <w:pPr>
              <w:pStyle w:val="39"/>
              <w:rPr>
                <w:rFonts w:ascii="Times New Roman" w:hAnsi="Times New Roman"/>
              </w:rPr>
            </w:pPr>
            <w:r>
              <w:rPr>
                <w:rFonts w:ascii="Times New Roman" w:hAnsi="Times New Roman"/>
              </w:rPr>
              <w:t>昼间</w:t>
            </w:r>
          </w:p>
        </w:tc>
        <w:tc>
          <w:tcPr>
            <w:tcW w:w="1134" w:type="dxa"/>
            <w:vAlign w:val="center"/>
          </w:tcPr>
          <w:p>
            <w:pPr>
              <w:pStyle w:val="39"/>
              <w:rPr>
                <w:rFonts w:ascii="Times New Roman" w:hAnsi="Times New Roman"/>
              </w:rPr>
            </w:pPr>
            <w:r>
              <w:rPr>
                <w:rFonts w:ascii="Times New Roman" w:hAnsi="Times New Roman"/>
              </w:rPr>
              <w:t>55、57</w:t>
            </w:r>
          </w:p>
        </w:tc>
        <w:tc>
          <w:tcPr>
            <w:tcW w:w="1134" w:type="dxa"/>
            <w:vMerge w:val="restart"/>
            <w:vAlign w:val="center"/>
          </w:tcPr>
          <w:p>
            <w:pPr>
              <w:pStyle w:val="39"/>
              <w:rPr>
                <w:rFonts w:ascii="Times New Roman" w:hAnsi="Times New Roman"/>
              </w:rPr>
            </w:pPr>
            <w:r>
              <w:rPr>
                <w:rFonts w:ascii="Times New Roman" w:hAnsi="Times New Roman"/>
              </w:rPr>
              <w:t>60</w:t>
            </w:r>
          </w:p>
        </w:tc>
        <w:tc>
          <w:tcPr>
            <w:tcW w:w="788" w:type="dxa"/>
            <w:vAlign w:val="center"/>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西厂界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55、56</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南厂界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55、58</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东厂界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55</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北厂界</w:t>
            </w:r>
          </w:p>
        </w:tc>
        <w:tc>
          <w:tcPr>
            <w:tcW w:w="1560" w:type="dxa"/>
            <w:vMerge w:val="continue"/>
            <w:vAlign w:val="center"/>
          </w:tcPr>
          <w:p>
            <w:pPr>
              <w:pStyle w:val="39"/>
              <w:rPr>
                <w:rFonts w:ascii="Times New Roman" w:hAnsi="Times New Roman"/>
              </w:rPr>
            </w:pPr>
          </w:p>
        </w:tc>
        <w:tc>
          <w:tcPr>
            <w:tcW w:w="850" w:type="dxa"/>
            <w:vMerge w:val="restart"/>
            <w:vAlign w:val="center"/>
          </w:tcPr>
          <w:p>
            <w:pPr>
              <w:pStyle w:val="39"/>
              <w:rPr>
                <w:rFonts w:ascii="Times New Roman" w:hAnsi="Times New Roman"/>
              </w:rPr>
            </w:pPr>
            <w:r>
              <w:rPr>
                <w:rFonts w:ascii="Times New Roman" w:hAnsi="Times New Roman"/>
              </w:rPr>
              <w:t>夜间</w:t>
            </w:r>
          </w:p>
        </w:tc>
        <w:tc>
          <w:tcPr>
            <w:tcW w:w="1134" w:type="dxa"/>
            <w:vAlign w:val="center"/>
          </w:tcPr>
          <w:p>
            <w:pPr>
              <w:pStyle w:val="39"/>
              <w:rPr>
                <w:rFonts w:ascii="Times New Roman" w:hAnsi="Times New Roman"/>
              </w:rPr>
            </w:pPr>
            <w:r>
              <w:rPr>
                <w:rFonts w:ascii="Times New Roman" w:hAnsi="Times New Roman"/>
              </w:rPr>
              <w:t>45</w:t>
            </w:r>
          </w:p>
        </w:tc>
        <w:tc>
          <w:tcPr>
            <w:tcW w:w="1134" w:type="dxa"/>
            <w:vMerge w:val="restart"/>
            <w:vAlign w:val="center"/>
          </w:tcPr>
          <w:p>
            <w:pPr>
              <w:pStyle w:val="39"/>
              <w:rPr>
                <w:rFonts w:ascii="Times New Roman" w:hAnsi="Times New Roman"/>
              </w:rPr>
            </w:pPr>
            <w:r>
              <w:rPr>
                <w:rFonts w:ascii="Times New Roman" w:hAnsi="Times New Roman"/>
              </w:rPr>
              <w:t>50</w:t>
            </w: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西厂界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46</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南厂界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44</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东厂界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46</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北厂界</w:t>
            </w:r>
          </w:p>
        </w:tc>
        <w:tc>
          <w:tcPr>
            <w:tcW w:w="1560" w:type="dxa"/>
            <w:vMerge w:val="restart"/>
            <w:vAlign w:val="center"/>
          </w:tcPr>
          <w:p>
            <w:pPr>
              <w:pStyle w:val="39"/>
              <w:rPr>
                <w:rFonts w:ascii="Times New Roman" w:hAnsi="Times New Roman"/>
              </w:rPr>
            </w:pPr>
            <w:r>
              <w:rPr>
                <w:rFonts w:ascii="Times New Roman" w:hAnsi="Times New Roman"/>
              </w:rPr>
              <w:t>2023.12.20</w:t>
            </w:r>
          </w:p>
        </w:tc>
        <w:tc>
          <w:tcPr>
            <w:tcW w:w="850" w:type="dxa"/>
            <w:vMerge w:val="restart"/>
            <w:vAlign w:val="center"/>
          </w:tcPr>
          <w:p>
            <w:pPr>
              <w:pStyle w:val="39"/>
              <w:rPr>
                <w:rFonts w:ascii="Times New Roman" w:hAnsi="Times New Roman"/>
              </w:rPr>
            </w:pPr>
            <w:r>
              <w:rPr>
                <w:rFonts w:ascii="Times New Roman" w:hAnsi="Times New Roman"/>
              </w:rPr>
              <w:t>昼间</w:t>
            </w:r>
          </w:p>
        </w:tc>
        <w:tc>
          <w:tcPr>
            <w:tcW w:w="1134" w:type="dxa"/>
            <w:vAlign w:val="center"/>
          </w:tcPr>
          <w:p>
            <w:pPr>
              <w:pStyle w:val="39"/>
              <w:rPr>
                <w:rFonts w:ascii="Times New Roman" w:hAnsi="Times New Roman"/>
              </w:rPr>
            </w:pPr>
            <w:r>
              <w:rPr>
                <w:rFonts w:ascii="Times New Roman" w:hAnsi="Times New Roman"/>
              </w:rPr>
              <w:t>56</w:t>
            </w:r>
          </w:p>
        </w:tc>
        <w:tc>
          <w:tcPr>
            <w:tcW w:w="1134" w:type="dxa"/>
            <w:vMerge w:val="restart"/>
            <w:vAlign w:val="center"/>
          </w:tcPr>
          <w:p>
            <w:pPr>
              <w:pStyle w:val="39"/>
              <w:rPr>
                <w:rFonts w:ascii="Times New Roman" w:hAnsi="Times New Roman"/>
              </w:rPr>
            </w:pPr>
            <w:r>
              <w:rPr>
                <w:rFonts w:ascii="Times New Roman" w:hAnsi="Times New Roman"/>
              </w:rPr>
              <w:t>60</w:t>
            </w: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西厂界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54、57</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南厂界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56</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东厂界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55</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北厂界</w:t>
            </w:r>
          </w:p>
        </w:tc>
        <w:tc>
          <w:tcPr>
            <w:tcW w:w="1560" w:type="dxa"/>
            <w:vMerge w:val="continue"/>
            <w:vAlign w:val="center"/>
          </w:tcPr>
          <w:p>
            <w:pPr>
              <w:pStyle w:val="39"/>
              <w:rPr>
                <w:rFonts w:ascii="Times New Roman" w:hAnsi="Times New Roman"/>
              </w:rPr>
            </w:pPr>
          </w:p>
        </w:tc>
        <w:tc>
          <w:tcPr>
            <w:tcW w:w="850" w:type="dxa"/>
            <w:vMerge w:val="restart"/>
            <w:vAlign w:val="center"/>
          </w:tcPr>
          <w:p>
            <w:pPr>
              <w:pStyle w:val="39"/>
              <w:rPr>
                <w:rFonts w:ascii="Times New Roman" w:hAnsi="Times New Roman"/>
              </w:rPr>
            </w:pPr>
            <w:r>
              <w:rPr>
                <w:rFonts w:ascii="Times New Roman" w:hAnsi="Times New Roman"/>
              </w:rPr>
              <w:t>夜间</w:t>
            </w:r>
          </w:p>
        </w:tc>
        <w:tc>
          <w:tcPr>
            <w:tcW w:w="1134" w:type="dxa"/>
            <w:vAlign w:val="center"/>
          </w:tcPr>
          <w:p>
            <w:pPr>
              <w:pStyle w:val="39"/>
              <w:rPr>
                <w:rFonts w:ascii="Times New Roman" w:hAnsi="Times New Roman"/>
              </w:rPr>
            </w:pPr>
            <w:r>
              <w:rPr>
                <w:rFonts w:ascii="Times New Roman" w:hAnsi="Times New Roman"/>
              </w:rPr>
              <w:t>44</w:t>
            </w:r>
          </w:p>
        </w:tc>
        <w:tc>
          <w:tcPr>
            <w:tcW w:w="1134" w:type="dxa"/>
            <w:vMerge w:val="restart"/>
            <w:vAlign w:val="center"/>
          </w:tcPr>
          <w:p>
            <w:pPr>
              <w:pStyle w:val="39"/>
              <w:rPr>
                <w:rFonts w:ascii="Times New Roman" w:hAnsi="Times New Roman"/>
              </w:rPr>
            </w:pPr>
            <w:r>
              <w:rPr>
                <w:rFonts w:ascii="Times New Roman" w:hAnsi="Times New Roman"/>
              </w:rPr>
              <w:t>50</w:t>
            </w: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西厂界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44</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南厂界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44</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东厂界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45</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restart"/>
            <w:vAlign w:val="center"/>
          </w:tcPr>
          <w:p>
            <w:pPr>
              <w:pStyle w:val="39"/>
              <w:rPr>
                <w:rFonts w:ascii="Times New Roman" w:hAnsi="Times New Roman"/>
              </w:rPr>
            </w:pPr>
            <w:r>
              <w:rPr>
                <w:rFonts w:ascii="Times New Roman" w:hAnsi="Times New Roman"/>
              </w:rPr>
              <w:t>宣兴1井站</w:t>
            </w:r>
          </w:p>
        </w:tc>
        <w:tc>
          <w:tcPr>
            <w:tcW w:w="2167" w:type="dxa"/>
            <w:vAlign w:val="center"/>
          </w:tcPr>
          <w:p>
            <w:pPr>
              <w:pStyle w:val="39"/>
              <w:rPr>
                <w:rFonts w:ascii="Times New Roman" w:hAnsi="Times New Roman"/>
              </w:rPr>
            </w:pPr>
            <w:r>
              <w:rPr>
                <w:rFonts w:ascii="Times New Roman" w:hAnsi="Times New Roman"/>
              </w:rPr>
              <w:t>北厂界</w:t>
            </w:r>
          </w:p>
        </w:tc>
        <w:tc>
          <w:tcPr>
            <w:tcW w:w="1560" w:type="dxa"/>
            <w:vMerge w:val="restart"/>
            <w:vAlign w:val="center"/>
          </w:tcPr>
          <w:p>
            <w:pPr>
              <w:pStyle w:val="39"/>
              <w:rPr>
                <w:rFonts w:ascii="Times New Roman" w:hAnsi="Times New Roman"/>
              </w:rPr>
            </w:pPr>
            <w:r>
              <w:rPr>
                <w:rFonts w:ascii="Times New Roman" w:hAnsi="Times New Roman"/>
              </w:rPr>
              <w:t>2023.12.19</w:t>
            </w:r>
          </w:p>
        </w:tc>
        <w:tc>
          <w:tcPr>
            <w:tcW w:w="850" w:type="dxa"/>
            <w:vMerge w:val="restart"/>
            <w:vAlign w:val="center"/>
          </w:tcPr>
          <w:p>
            <w:pPr>
              <w:pStyle w:val="39"/>
              <w:rPr>
                <w:rFonts w:ascii="Times New Roman" w:hAnsi="Times New Roman"/>
              </w:rPr>
            </w:pPr>
            <w:r>
              <w:rPr>
                <w:rFonts w:ascii="Times New Roman" w:hAnsi="Times New Roman"/>
              </w:rPr>
              <w:t>昼间</w:t>
            </w:r>
          </w:p>
        </w:tc>
        <w:tc>
          <w:tcPr>
            <w:tcW w:w="1134" w:type="dxa"/>
            <w:vAlign w:val="center"/>
          </w:tcPr>
          <w:p>
            <w:pPr>
              <w:pStyle w:val="39"/>
              <w:rPr>
                <w:rFonts w:ascii="Times New Roman" w:hAnsi="Times New Roman"/>
              </w:rPr>
            </w:pPr>
            <w:r>
              <w:rPr>
                <w:rFonts w:ascii="Times New Roman" w:hAnsi="Times New Roman"/>
              </w:rPr>
              <w:t>58</w:t>
            </w:r>
          </w:p>
        </w:tc>
        <w:tc>
          <w:tcPr>
            <w:tcW w:w="1134" w:type="dxa"/>
            <w:vMerge w:val="restart"/>
            <w:vAlign w:val="center"/>
          </w:tcPr>
          <w:p>
            <w:pPr>
              <w:pStyle w:val="39"/>
              <w:rPr>
                <w:rFonts w:ascii="Times New Roman" w:hAnsi="Times New Roman"/>
              </w:rPr>
            </w:pPr>
            <w:r>
              <w:rPr>
                <w:rFonts w:ascii="Times New Roman" w:hAnsi="Times New Roman"/>
              </w:rPr>
              <w:t>60</w:t>
            </w: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西厂界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57</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南厂界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56、58</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东厂界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57、59</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北厂界</w:t>
            </w:r>
          </w:p>
        </w:tc>
        <w:tc>
          <w:tcPr>
            <w:tcW w:w="1560" w:type="dxa"/>
            <w:vMerge w:val="continue"/>
            <w:vAlign w:val="center"/>
          </w:tcPr>
          <w:p>
            <w:pPr>
              <w:pStyle w:val="39"/>
              <w:rPr>
                <w:rFonts w:ascii="Times New Roman" w:hAnsi="Times New Roman"/>
              </w:rPr>
            </w:pPr>
          </w:p>
        </w:tc>
        <w:tc>
          <w:tcPr>
            <w:tcW w:w="850" w:type="dxa"/>
            <w:vMerge w:val="restart"/>
            <w:vAlign w:val="center"/>
          </w:tcPr>
          <w:p>
            <w:pPr>
              <w:pStyle w:val="39"/>
              <w:rPr>
                <w:rFonts w:ascii="Times New Roman" w:hAnsi="Times New Roman"/>
              </w:rPr>
            </w:pPr>
            <w:r>
              <w:rPr>
                <w:rFonts w:ascii="Times New Roman" w:hAnsi="Times New Roman"/>
              </w:rPr>
              <w:t>夜间</w:t>
            </w:r>
          </w:p>
        </w:tc>
        <w:tc>
          <w:tcPr>
            <w:tcW w:w="1134" w:type="dxa"/>
            <w:vAlign w:val="center"/>
          </w:tcPr>
          <w:p>
            <w:pPr>
              <w:pStyle w:val="39"/>
              <w:rPr>
                <w:rFonts w:ascii="Times New Roman" w:hAnsi="Times New Roman"/>
              </w:rPr>
            </w:pPr>
            <w:r>
              <w:rPr>
                <w:rFonts w:ascii="Times New Roman" w:hAnsi="Times New Roman"/>
              </w:rPr>
              <w:t>47</w:t>
            </w:r>
          </w:p>
        </w:tc>
        <w:tc>
          <w:tcPr>
            <w:tcW w:w="1134" w:type="dxa"/>
            <w:vMerge w:val="restart"/>
            <w:vAlign w:val="center"/>
          </w:tcPr>
          <w:p>
            <w:pPr>
              <w:pStyle w:val="39"/>
              <w:rPr>
                <w:rFonts w:ascii="Times New Roman" w:hAnsi="Times New Roman"/>
              </w:rPr>
            </w:pPr>
            <w:r>
              <w:rPr>
                <w:rFonts w:ascii="Times New Roman" w:hAnsi="Times New Roman"/>
              </w:rPr>
              <w:t>50</w:t>
            </w: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西厂界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47</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南厂界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48</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东厂界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46</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北厂界</w:t>
            </w:r>
          </w:p>
        </w:tc>
        <w:tc>
          <w:tcPr>
            <w:tcW w:w="1560" w:type="dxa"/>
            <w:vMerge w:val="restart"/>
            <w:vAlign w:val="center"/>
          </w:tcPr>
          <w:p>
            <w:pPr>
              <w:pStyle w:val="39"/>
              <w:rPr>
                <w:rFonts w:ascii="Times New Roman" w:hAnsi="Times New Roman"/>
              </w:rPr>
            </w:pPr>
            <w:r>
              <w:rPr>
                <w:rFonts w:ascii="Times New Roman" w:hAnsi="Times New Roman"/>
              </w:rPr>
              <w:t>2023.12.20</w:t>
            </w:r>
          </w:p>
        </w:tc>
        <w:tc>
          <w:tcPr>
            <w:tcW w:w="850" w:type="dxa"/>
            <w:vMerge w:val="restart"/>
            <w:vAlign w:val="center"/>
          </w:tcPr>
          <w:p>
            <w:pPr>
              <w:pStyle w:val="39"/>
              <w:rPr>
                <w:rFonts w:ascii="Times New Roman" w:hAnsi="Times New Roman"/>
              </w:rPr>
            </w:pPr>
            <w:r>
              <w:rPr>
                <w:rFonts w:ascii="Times New Roman" w:hAnsi="Times New Roman"/>
              </w:rPr>
              <w:t>昼间</w:t>
            </w:r>
          </w:p>
        </w:tc>
        <w:tc>
          <w:tcPr>
            <w:tcW w:w="1134" w:type="dxa"/>
            <w:vAlign w:val="center"/>
          </w:tcPr>
          <w:p>
            <w:pPr>
              <w:pStyle w:val="39"/>
              <w:rPr>
                <w:rFonts w:ascii="Times New Roman" w:hAnsi="Times New Roman"/>
              </w:rPr>
            </w:pPr>
            <w:r>
              <w:rPr>
                <w:rFonts w:ascii="Times New Roman" w:hAnsi="Times New Roman"/>
              </w:rPr>
              <w:t>56、58</w:t>
            </w:r>
          </w:p>
        </w:tc>
        <w:tc>
          <w:tcPr>
            <w:tcW w:w="1134" w:type="dxa"/>
            <w:vMerge w:val="restart"/>
            <w:vAlign w:val="center"/>
          </w:tcPr>
          <w:p>
            <w:pPr>
              <w:pStyle w:val="39"/>
              <w:rPr>
                <w:rFonts w:ascii="Times New Roman" w:hAnsi="Times New Roman"/>
              </w:rPr>
            </w:pPr>
            <w:r>
              <w:rPr>
                <w:rFonts w:ascii="Times New Roman" w:hAnsi="Times New Roman"/>
              </w:rPr>
              <w:t>60</w:t>
            </w: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西厂界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57、58</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南厂界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56、57</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东厂界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56、57</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北厂界</w:t>
            </w:r>
          </w:p>
        </w:tc>
        <w:tc>
          <w:tcPr>
            <w:tcW w:w="1560" w:type="dxa"/>
            <w:vMerge w:val="continue"/>
            <w:vAlign w:val="center"/>
          </w:tcPr>
          <w:p>
            <w:pPr>
              <w:pStyle w:val="39"/>
              <w:rPr>
                <w:rFonts w:ascii="Times New Roman" w:hAnsi="Times New Roman"/>
              </w:rPr>
            </w:pPr>
          </w:p>
        </w:tc>
        <w:tc>
          <w:tcPr>
            <w:tcW w:w="850" w:type="dxa"/>
            <w:vMerge w:val="restart"/>
            <w:vAlign w:val="center"/>
          </w:tcPr>
          <w:p>
            <w:pPr>
              <w:pStyle w:val="39"/>
              <w:rPr>
                <w:rFonts w:ascii="Times New Roman" w:hAnsi="Times New Roman"/>
              </w:rPr>
            </w:pPr>
            <w:r>
              <w:rPr>
                <w:rFonts w:ascii="Times New Roman" w:hAnsi="Times New Roman"/>
              </w:rPr>
              <w:t>夜间</w:t>
            </w:r>
          </w:p>
        </w:tc>
        <w:tc>
          <w:tcPr>
            <w:tcW w:w="1134" w:type="dxa"/>
            <w:vAlign w:val="center"/>
          </w:tcPr>
          <w:p>
            <w:pPr>
              <w:pStyle w:val="39"/>
              <w:rPr>
                <w:rFonts w:ascii="Times New Roman" w:hAnsi="Times New Roman"/>
              </w:rPr>
            </w:pPr>
            <w:r>
              <w:rPr>
                <w:rFonts w:ascii="Times New Roman" w:hAnsi="Times New Roman"/>
              </w:rPr>
              <w:t>46</w:t>
            </w:r>
          </w:p>
        </w:tc>
        <w:tc>
          <w:tcPr>
            <w:tcW w:w="1134" w:type="dxa"/>
            <w:vMerge w:val="restart"/>
            <w:vAlign w:val="center"/>
          </w:tcPr>
          <w:p>
            <w:pPr>
              <w:pStyle w:val="39"/>
              <w:rPr>
                <w:rFonts w:ascii="Times New Roman" w:hAnsi="Times New Roman"/>
              </w:rPr>
            </w:pPr>
            <w:r>
              <w:rPr>
                <w:rFonts w:ascii="Times New Roman" w:hAnsi="Times New Roman"/>
              </w:rPr>
              <w:t>50</w:t>
            </w: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西厂界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45</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南厂界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45</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东厂界</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46</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restart"/>
            <w:vAlign w:val="center"/>
          </w:tcPr>
          <w:p>
            <w:pPr>
              <w:pStyle w:val="39"/>
              <w:rPr>
                <w:rFonts w:ascii="Times New Roman" w:hAnsi="Times New Roman"/>
              </w:rPr>
            </w:pPr>
            <w:r>
              <w:rPr>
                <w:rFonts w:ascii="Times New Roman" w:hAnsi="Times New Roman"/>
              </w:rPr>
              <w:t>管道沿线</w:t>
            </w:r>
          </w:p>
        </w:tc>
        <w:tc>
          <w:tcPr>
            <w:tcW w:w="2167" w:type="dxa"/>
            <w:vAlign w:val="center"/>
          </w:tcPr>
          <w:p>
            <w:pPr>
              <w:pStyle w:val="39"/>
              <w:rPr>
                <w:rFonts w:ascii="Times New Roman" w:hAnsi="Times New Roman"/>
              </w:rPr>
            </w:pPr>
            <w:r>
              <w:rPr>
                <w:rFonts w:ascii="Times New Roman" w:hAnsi="Times New Roman"/>
              </w:rPr>
              <w:t>管道沿线监测点位1</w:t>
            </w:r>
          </w:p>
        </w:tc>
        <w:tc>
          <w:tcPr>
            <w:tcW w:w="1560" w:type="dxa"/>
            <w:vMerge w:val="restart"/>
            <w:vAlign w:val="center"/>
          </w:tcPr>
          <w:p>
            <w:pPr>
              <w:pStyle w:val="39"/>
              <w:rPr>
                <w:rFonts w:ascii="Times New Roman" w:hAnsi="Times New Roman"/>
              </w:rPr>
            </w:pPr>
            <w:r>
              <w:rPr>
                <w:rFonts w:ascii="Times New Roman" w:hAnsi="Times New Roman"/>
              </w:rPr>
              <w:t>2023.12.19</w:t>
            </w:r>
          </w:p>
        </w:tc>
        <w:tc>
          <w:tcPr>
            <w:tcW w:w="850" w:type="dxa"/>
            <w:vMerge w:val="restart"/>
            <w:vAlign w:val="center"/>
          </w:tcPr>
          <w:p>
            <w:pPr>
              <w:pStyle w:val="39"/>
              <w:rPr>
                <w:rFonts w:ascii="Times New Roman" w:hAnsi="Times New Roman"/>
              </w:rPr>
            </w:pPr>
            <w:r>
              <w:rPr>
                <w:rFonts w:ascii="Times New Roman" w:hAnsi="Times New Roman"/>
              </w:rPr>
              <w:t>昼间</w:t>
            </w:r>
          </w:p>
        </w:tc>
        <w:tc>
          <w:tcPr>
            <w:tcW w:w="1134" w:type="dxa"/>
            <w:vAlign w:val="center"/>
          </w:tcPr>
          <w:p>
            <w:pPr>
              <w:pStyle w:val="39"/>
              <w:rPr>
                <w:rFonts w:ascii="Times New Roman" w:hAnsi="Times New Roman"/>
              </w:rPr>
            </w:pPr>
            <w:r>
              <w:rPr>
                <w:rFonts w:ascii="Times New Roman" w:hAnsi="Times New Roman"/>
              </w:rPr>
              <w:t>53、54</w:t>
            </w:r>
          </w:p>
        </w:tc>
        <w:tc>
          <w:tcPr>
            <w:tcW w:w="1134" w:type="dxa"/>
            <w:vMerge w:val="restart"/>
            <w:vAlign w:val="center"/>
          </w:tcPr>
          <w:p>
            <w:pPr>
              <w:pStyle w:val="39"/>
              <w:rPr>
                <w:rFonts w:ascii="Times New Roman" w:hAnsi="Times New Roman"/>
              </w:rPr>
            </w:pPr>
            <w:r>
              <w:rPr>
                <w:rFonts w:ascii="Times New Roman" w:hAnsi="Times New Roman"/>
              </w:rPr>
              <w:t>60</w:t>
            </w: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管道沿线监测点位2</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54、55</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管道沿线监测点位3</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55、56</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管道沿线监测点位1</w:t>
            </w:r>
          </w:p>
        </w:tc>
        <w:tc>
          <w:tcPr>
            <w:tcW w:w="1560" w:type="dxa"/>
            <w:vMerge w:val="continue"/>
            <w:vAlign w:val="center"/>
          </w:tcPr>
          <w:p>
            <w:pPr>
              <w:pStyle w:val="39"/>
              <w:rPr>
                <w:rFonts w:ascii="Times New Roman" w:hAnsi="Times New Roman"/>
              </w:rPr>
            </w:pPr>
          </w:p>
        </w:tc>
        <w:tc>
          <w:tcPr>
            <w:tcW w:w="850" w:type="dxa"/>
            <w:vMerge w:val="restart"/>
            <w:vAlign w:val="center"/>
          </w:tcPr>
          <w:p>
            <w:pPr>
              <w:pStyle w:val="39"/>
              <w:rPr>
                <w:rFonts w:ascii="Times New Roman" w:hAnsi="Times New Roman"/>
              </w:rPr>
            </w:pPr>
            <w:r>
              <w:rPr>
                <w:rFonts w:ascii="Times New Roman" w:hAnsi="Times New Roman"/>
              </w:rPr>
              <w:t>夜间</w:t>
            </w:r>
          </w:p>
        </w:tc>
        <w:tc>
          <w:tcPr>
            <w:tcW w:w="1134" w:type="dxa"/>
            <w:vAlign w:val="center"/>
          </w:tcPr>
          <w:p>
            <w:pPr>
              <w:pStyle w:val="39"/>
              <w:rPr>
                <w:rFonts w:ascii="Times New Roman" w:hAnsi="Times New Roman"/>
              </w:rPr>
            </w:pPr>
            <w:r>
              <w:rPr>
                <w:rFonts w:ascii="Times New Roman" w:hAnsi="Times New Roman"/>
              </w:rPr>
              <w:t>45</w:t>
            </w:r>
          </w:p>
        </w:tc>
        <w:tc>
          <w:tcPr>
            <w:tcW w:w="1134" w:type="dxa"/>
            <w:vMerge w:val="restart"/>
            <w:vAlign w:val="center"/>
          </w:tcPr>
          <w:p>
            <w:pPr>
              <w:pStyle w:val="39"/>
              <w:rPr>
                <w:rFonts w:ascii="Times New Roman" w:hAnsi="Times New Roman"/>
              </w:rPr>
            </w:pPr>
            <w:r>
              <w:rPr>
                <w:rFonts w:ascii="Times New Roman" w:hAnsi="Times New Roman"/>
              </w:rPr>
              <w:t>50</w:t>
            </w: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管道沿线监测点位2</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46</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管道沿线监测点位3</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46</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管道沿线监测点位1</w:t>
            </w:r>
          </w:p>
        </w:tc>
        <w:tc>
          <w:tcPr>
            <w:tcW w:w="1560" w:type="dxa"/>
            <w:vMerge w:val="restart"/>
            <w:vAlign w:val="center"/>
          </w:tcPr>
          <w:p>
            <w:pPr>
              <w:pStyle w:val="39"/>
              <w:rPr>
                <w:rFonts w:ascii="Times New Roman" w:hAnsi="Times New Roman"/>
              </w:rPr>
            </w:pPr>
            <w:r>
              <w:rPr>
                <w:rFonts w:ascii="Times New Roman" w:hAnsi="Times New Roman"/>
              </w:rPr>
              <w:t>2023.12.20</w:t>
            </w:r>
          </w:p>
        </w:tc>
        <w:tc>
          <w:tcPr>
            <w:tcW w:w="850" w:type="dxa"/>
            <w:vMerge w:val="restart"/>
            <w:vAlign w:val="center"/>
          </w:tcPr>
          <w:p>
            <w:pPr>
              <w:pStyle w:val="39"/>
              <w:rPr>
                <w:rFonts w:ascii="Times New Roman" w:hAnsi="Times New Roman"/>
              </w:rPr>
            </w:pPr>
            <w:r>
              <w:rPr>
                <w:rFonts w:ascii="Times New Roman" w:hAnsi="Times New Roman"/>
              </w:rPr>
              <w:t>昼间</w:t>
            </w:r>
          </w:p>
        </w:tc>
        <w:tc>
          <w:tcPr>
            <w:tcW w:w="1134" w:type="dxa"/>
            <w:vAlign w:val="center"/>
          </w:tcPr>
          <w:p>
            <w:pPr>
              <w:pStyle w:val="39"/>
              <w:rPr>
                <w:rFonts w:ascii="Times New Roman" w:hAnsi="Times New Roman"/>
              </w:rPr>
            </w:pPr>
            <w:r>
              <w:rPr>
                <w:rFonts w:ascii="Times New Roman" w:hAnsi="Times New Roman"/>
              </w:rPr>
              <w:t>54、55</w:t>
            </w:r>
          </w:p>
        </w:tc>
        <w:tc>
          <w:tcPr>
            <w:tcW w:w="1134" w:type="dxa"/>
            <w:vMerge w:val="restart"/>
            <w:vAlign w:val="center"/>
          </w:tcPr>
          <w:p>
            <w:pPr>
              <w:pStyle w:val="39"/>
              <w:rPr>
                <w:rFonts w:ascii="Times New Roman" w:hAnsi="Times New Roman"/>
              </w:rPr>
            </w:pPr>
            <w:r>
              <w:rPr>
                <w:rFonts w:ascii="Times New Roman" w:hAnsi="Times New Roman"/>
              </w:rPr>
              <w:t>60</w:t>
            </w: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管道沿线监测点位2</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54、55</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管道沿线监测点位3</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54</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管道沿线监测点位1</w:t>
            </w:r>
          </w:p>
        </w:tc>
        <w:tc>
          <w:tcPr>
            <w:tcW w:w="1560" w:type="dxa"/>
            <w:vMerge w:val="continue"/>
            <w:vAlign w:val="center"/>
          </w:tcPr>
          <w:p>
            <w:pPr>
              <w:pStyle w:val="39"/>
              <w:rPr>
                <w:rFonts w:ascii="Times New Roman" w:hAnsi="Times New Roman"/>
              </w:rPr>
            </w:pPr>
          </w:p>
        </w:tc>
        <w:tc>
          <w:tcPr>
            <w:tcW w:w="850" w:type="dxa"/>
            <w:vMerge w:val="restart"/>
            <w:vAlign w:val="center"/>
          </w:tcPr>
          <w:p>
            <w:pPr>
              <w:pStyle w:val="39"/>
              <w:rPr>
                <w:rFonts w:ascii="Times New Roman" w:hAnsi="Times New Roman"/>
              </w:rPr>
            </w:pPr>
            <w:r>
              <w:rPr>
                <w:rFonts w:ascii="Times New Roman" w:hAnsi="Times New Roman"/>
              </w:rPr>
              <w:t>夜间</w:t>
            </w:r>
          </w:p>
        </w:tc>
        <w:tc>
          <w:tcPr>
            <w:tcW w:w="1134" w:type="dxa"/>
            <w:vAlign w:val="center"/>
          </w:tcPr>
          <w:p>
            <w:pPr>
              <w:pStyle w:val="39"/>
              <w:rPr>
                <w:rFonts w:ascii="Times New Roman" w:hAnsi="Times New Roman"/>
              </w:rPr>
            </w:pPr>
            <w:r>
              <w:rPr>
                <w:rFonts w:ascii="Times New Roman" w:hAnsi="Times New Roman"/>
              </w:rPr>
              <w:t>45</w:t>
            </w:r>
          </w:p>
        </w:tc>
        <w:tc>
          <w:tcPr>
            <w:tcW w:w="1134" w:type="dxa"/>
            <w:vMerge w:val="restart"/>
            <w:vAlign w:val="center"/>
          </w:tcPr>
          <w:p>
            <w:pPr>
              <w:pStyle w:val="39"/>
              <w:rPr>
                <w:rFonts w:ascii="Times New Roman" w:hAnsi="Times New Roman"/>
              </w:rPr>
            </w:pPr>
            <w:r>
              <w:rPr>
                <w:rFonts w:ascii="Times New Roman" w:hAnsi="Times New Roman"/>
              </w:rPr>
              <w:t>50</w:t>
            </w: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管道沿线监测点位2</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44</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4" w:type="dxa"/>
            <w:vMerge w:val="continue"/>
            <w:vAlign w:val="center"/>
          </w:tcPr>
          <w:p>
            <w:pPr>
              <w:pStyle w:val="39"/>
              <w:rPr>
                <w:rFonts w:ascii="Times New Roman" w:hAnsi="Times New Roman"/>
              </w:rPr>
            </w:pPr>
          </w:p>
        </w:tc>
        <w:tc>
          <w:tcPr>
            <w:tcW w:w="2167" w:type="dxa"/>
            <w:vAlign w:val="center"/>
          </w:tcPr>
          <w:p>
            <w:pPr>
              <w:pStyle w:val="39"/>
              <w:rPr>
                <w:rFonts w:ascii="Times New Roman" w:hAnsi="Times New Roman"/>
              </w:rPr>
            </w:pPr>
            <w:r>
              <w:rPr>
                <w:rFonts w:ascii="Times New Roman" w:hAnsi="Times New Roman"/>
              </w:rPr>
              <w:t>管道沿线监测点位3</w:t>
            </w:r>
          </w:p>
        </w:tc>
        <w:tc>
          <w:tcPr>
            <w:tcW w:w="1560"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47</w:t>
            </w:r>
          </w:p>
        </w:tc>
        <w:tc>
          <w:tcPr>
            <w:tcW w:w="1134" w:type="dxa"/>
            <w:vMerge w:val="continue"/>
            <w:vAlign w:val="center"/>
          </w:tcPr>
          <w:p>
            <w:pPr>
              <w:pStyle w:val="39"/>
              <w:rPr>
                <w:rFonts w:ascii="Times New Roman" w:hAnsi="Times New Roman"/>
              </w:rPr>
            </w:pPr>
          </w:p>
        </w:tc>
        <w:tc>
          <w:tcPr>
            <w:tcW w:w="788" w:type="dxa"/>
          </w:tcPr>
          <w:p>
            <w:pPr>
              <w:pStyle w:val="39"/>
              <w:rPr>
                <w:rFonts w:ascii="Times New Roman" w:hAnsi="Times New Roman"/>
              </w:rPr>
            </w:pPr>
            <w:r>
              <w:rPr>
                <w:rFonts w:ascii="Times New Roman" w:hAnsi="Times New Roman"/>
              </w:rPr>
              <w:t>达标</w:t>
            </w:r>
          </w:p>
        </w:tc>
      </w:tr>
    </w:tbl>
    <w:p>
      <w:pPr>
        <w:pStyle w:val="3"/>
        <w:rPr>
          <w:rFonts w:ascii="Times New Roman" w:hAnsi="Times New Roman" w:cs="Times New Roman"/>
        </w:rPr>
      </w:pPr>
      <w:bookmarkStart w:id="151" w:name="_Toc162339420"/>
      <w:r>
        <w:rPr>
          <w:rFonts w:ascii="Times New Roman" w:hAnsi="Times New Roman" w:cs="Times New Roman"/>
        </w:rPr>
        <w:t>土壤环境</w:t>
      </w:r>
      <w:bookmarkEnd w:id="151"/>
    </w:p>
    <w:p>
      <w:pPr>
        <w:pStyle w:val="4"/>
        <w:rPr>
          <w:rFonts w:ascii="Times New Roman" w:hAnsi="Times New Roman" w:cs="Times New Roman"/>
        </w:rPr>
      </w:pPr>
      <w:r>
        <w:rPr>
          <w:rFonts w:ascii="Times New Roman" w:hAnsi="Times New Roman" w:cs="Times New Roman"/>
        </w:rPr>
        <w:t>土壤类型特征</w:t>
      </w:r>
    </w:p>
    <w:p>
      <w:pPr>
        <w:pStyle w:val="5"/>
        <w:rPr>
          <w:rFonts w:ascii="Times New Roman" w:hAnsi="Times New Roman"/>
        </w:rPr>
      </w:pPr>
      <w:r>
        <w:rPr>
          <w:rFonts w:ascii="Times New Roman" w:hAnsi="Times New Roman"/>
        </w:rPr>
        <w:t>区域土壤类型</w:t>
      </w:r>
    </w:p>
    <w:p>
      <w:pPr>
        <w:ind w:firstLine="480"/>
        <w:jc w:val="both"/>
        <w:rPr>
          <w:rFonts w:ascii="Times New Roman" w:hAnsi="Times New Roman"/>
        </w:rPr>
      </w:pPr>
      <w:r>
        <w:rPr>
          <w:rFonts w:ascii="Times New Roman" w:hAnsi="Times New Roman"/>
        </w:rPr>
        <w:t>宣汉县主要土类有紫色土、黄壤、水稻土三大类，其中以紫色土分布最广，占80%以上。根据四川省达州市土壤类型分布图，本项目区域主要土壤类型为人为土和初育土，见</w:t>
      </w:r>
      <w:r>
        <w:rPr>
          <w:rFonts w:ascii="Times New Roman" w:hAnsi="Times New Roman"/>
        </w:rPr>
        <w:fldChar w:fldCharType="begin"/>
      </w:r>
      <w:r>
        <w:rPr>
          <w:rFonts w:ascii="Times New Roman" w:hAnsi="Times New Roman"/>
        </w:rPr>
        <w:instrText xml:space="preserve"> REF _Ref156919274 \h  \* MERGEFORMAT </w:instrText>
      </w:r>
      <w:r>
        <w:rPr>
          <w:rFonts w:ascii="Times New Roman" w:hAnsi="Times New Roman"/>
        </w:rPr>
        <w:fldChar w:fldCharType="separate"/>
      </w:r>
      <w:r>
        <w:rPr>
          <w:rFonts w:ascii="Times New Roman" w:hAnsi="Times New Roman"/>
        </w:rPr>
        <w:t>图 5</w:t>
      </w:r>
      <w:r>
        <w:rPr>
          <w:rFonts w:ascii="Times New Roman" w:hAnsi="Times New Roman"/>
        </w:rPr>
        <w:noBreakHyphen/>
      </w:r>
      <w:r>
        <w:rPr>
          <w:rFonts w:ascii="Times New Roman" w:hAnsi="Times New Roman"/>
        </w:rPr>
        <w:t>4</w:t>
      </w:r>
      <w:r>
        <w:rPr>
          <w:rFonts w:ascii="Times New Roman" w:hAnsi="Times New Roman"/>
        </w:rPr>
        <w:fldChar w:fldCharType="end"/>
      </w:r>
      <w:r>
        <w:rPr>
          <w:rFonts w:ascii="Times New Roman" w:hAnsi="Times New Roman"/>
        </w:rPr>
        <w:t>。</w:t>
      </w:r>
    </w:p>
    <w:p>
      <w:pPr>
        <w:ind w:firstLine="0" w:firstLineChars="0"/>
        <w:rPr>
          <w:rFonts w:ascii="Times New Roman" w:hAnsi="Times New Roman"/>
        </w:rPr>
      </w:pPr>
      <w:r>
        <w:rPr>
          <w:rFonts w:ascii="Times New Roman" w:hAnsi="Times New Roman"/>
        </w:rPr>
        <w:drawing>
          <wp:inline distT="0" distB="0" distL="0" distR="0">
            <wp:extent cx="5274310" cy="3723005"/>
            <wp:effectExtent l="0" t="0" r="2540" b="0"/>
            <wp:docPr id="1006066702" name="图片 1006066702" descr="D:\0、2023年\23、四川达州\4、Photographs\0、报告用图\本项目土壤类型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66702" name="图片 1006066702" descr="D:\0、2023年\23、四川达州\4、Photographs\0、报告用图\本项目土壤类型图.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274310" cy="3723042"/>
                    </a:xfrm>
                    <a:prstGeom prst="rect">
                      <a:avLst/>
                    </a:prstGeom>
                    <a:noFill/>
                    <a:ln>
                      <a:noFill/>
                    </a:ln>
                  </pic:spPr>
                </pic:pic>
              </a:graphicData>
            </a:graphic>
          </wp:inline>
        </w:drawing>
      </w:r>
    </w:p>
    <w:p>
      <w:pPr>
        <w:ind w:firstLine="0" w:firstLineChars="0"/>
        <w:jc w:val="center"/>
        <w:rPr>
          <w:rFonts w:ascii="Times New Roman" w:hAnsi="Times New Roman"/>
        </w:rPr>
      </w:pPr>
      <w:bookmarkStart w:id="152" w:name="_Ref156919274"/>
      <w:r>
        <w:rPr>
          <w:rFonts w:ascii="Times New Roman" w:hAnsi="Times New Roman"/>
        </w:rPr>
        <w:t xml:space="preserve">图 </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5</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 \* ARABIC \s 1 </w:instrText>
      </w:r>
      <w:r>
        <w:rPr>
          <w:rFonts w:ascii="Times New Roman" w:hAnsi="Times New Roman"/>
        </w:rPr>
        <w:fldChar w:fldCharType="separate"/>
      </w:r>
      <w:r>
        <w:rPr>
          <w:rFonts w:ascii="Times New Roman" w:hAnsi="Times New Roman"/>
        </w:rPr>
        <w:t>4</w:t>
      </w:r>
      <w:r>
        <w:rPr>
          <w:rFonts w:ascii="Times New Roman" w:hAnsi="Times New Roman"/>
        </w:rPr>
        <w:fldChar w:fldCharType="end"/>
      </w:r>
      <w:bookmarkEnd w:id="152"/>
      <w:r>
        <w:rPr>
          <w:rFonts w:ascii="Times New Roman" w:hAnsi="Times New Roman"/>
        </w:rPr>
        <w:t>本项目所在区域土壤类型分布图</w:t>
      </w:r>
    </w:p>
    <w:p>
      <w:pPr>
        <w:pStyle w:val="5"/>
        <w:rPr>
          <w:rFonts w:ascii="Times New Roman" w:hAnsi="Times New Roman"/>
        </w:rPr>
      </w:pPr>
      <w:r>
        <w:rPr>
          <w:rFonts w:ascii="Times New Roman" w:hAnsi="Times New Roman"/>
        </w:rPr>
        <w:t>调查区土壤理化性质</w:t>
      </w:r>
    </w:p>
    <w:p>
      <w:pPr>
        <w:ind w:firstLine="480"/>
        <w:rPr>
          <w:rFonts w:ascii="Times New Roman" w:hAnsi="Times New Roman" w:eastAsiaTheme="minorEastAsia"/>
          <w:kern w:val="0"/>
          <w:lang w:val="zh-CN"/>
        </w:rPr>
      </w:pPr>
      <w:r>
        <w:rPr>
          <w:rFonts w:ascii="Times New Roman" w:hAnsi="Times New Roman" w:eastAsiaTheme="minorEastAsia"/>
          <w:kern w:val="0"/>
          <w:lang w:val="zh-CN"/>
        </w:rPr>
        <w:t>为了解项目区域土壤土理化特性，在本项目占地范围内测定土壤理化特性，土壤理化特性调查见</w:t>
      </w:r>
      <w:r>
        <w:rPr>
          <w:rFonts w:ascii="Times New Roman" w:hAnsi="Times New Roman" w:eastAsiaTheme="minorEastAsia"/>
          <w:kern w:val="0"/>
          <w:lang w:val="zh-CN"/>
        </w:rPr>
        <w:fldChar w:fldCharType="begin"/>
      </w:r>
      <w:r>
        <w:rPr>
          <w:rFonts w:ascii="Times New Roman" w:hAnsi="Times New Roman" w:eastAsiaTheme="minorEastAsia"/>
          <w:kern w:val="0"/>
          <w:lang w:val="zh-CN"/>
        </w:rPr>
        <w:instrText xml:space="preserve"> REF _Ref55467260 \h  \* MERGEFORMAT </w:instrText>
      </w:r>
      <w:r>
        <w:rPr>
          <w:rFonts w:ascii="Times New Roman" w:hAnsi="Times New Roman" w:eastAsiaTheme="minorEastAsia"/>
          <w:kern w:val="0"/>
          <w:lang w:val="zh-CN"/>
        </w:rPr>
        <w:fldChar w:fldCharType="separate"/>
      </w:r>
      <w:r>
        <w:rPr>
          <w:rFonts w:ascii="Times New Roman" w:hAnsi="Times New Roman" w:eastAsiaTheme="minorEastAsia"/>
        </w:rPr>
        <w:t>表5</w:t>
      </w:r>
      <w:r>
        <w:rPr>
          <w:rFonts w:ascii="Times New Roman" w:hAnsi="Times New Roman" w:eastAsiaTheme="minorEastAsia"/>
        </w:rPr>
        <w:noBreakHyphen/>
      </w:r>
      <w:r>
        <w:rPr>
          <w:rFonts w:ascii="Times New Roman" w:hAnsi="Times New Roman" w:eastAsiaTheme="minorEastAsia"/>
        </w:rPr>
        <w:t>13</w:t>
      </w:r>
      <w:r>
        <w:rPr>
          <w:rFonts w:ascii="Times New Roman" w:hAnsi="Times New Roman" w:eastAsiaTheme="minorEastAsia"/>
          <w:kern w:val="0"/>
          <w:lang w:val="zh-CN"/>
        </w:rPr>
        <w:fldChar w:fldCharType="end"/>
      </w:r>
      <w:r>
        <w:rPr>
          <w:rFonts w:ascii="Times New Roman" w:hAnsi="Times New Roman" w:eastAsiaTheme="minorEastAsia"/>
          <w:kern w:val="0"/>
          <w:lang w:val="zh-CN"/>
        </w:rPr>
        <w:t>。</w:t>
      </w:r>
    </w:p>
    <w:p>
      <w:pPr>
        <w:pStyle w:val="37"/>
        <w:rPr>
          <w:rFonts w:ascii="Times New Roman" w:hAnsi="Times New Roman" w:cs="Times New Roman" w:eastAsiaTheme="minorEastAsia"/>
        </w:rPr>
      </w:pPr>
      <w:bookmarkStart w:id="153" w:name="_Ref55467260"/>
      <w:r>
        <w:rPr>
          <w:rFonts w:ascii="Times New Roman" w:hAnsi="Times New Roman" w:cs="Times New Roman" w:eastAsiaTheme="minorEastAsia"/>
        </w:rPr>
        <w:t>表</w:t>
      </w:r>
      <w:r>
        <w:rPr>
          <w:rFonts w:ascii="Times New Roman" w:hAnsi="Times New Roman" w:cs="Times New Roman" w:eastAsiaTheme="minorEastAsia"/>
        </w:rPr>
        <w:fldChar w:fldCharType="begin"/>
      </w:r>
      <w:r>
        <w:rPr>
          <w:rFonts w:ascii="Times New Roman" w:hAnsi="Times New Roman" w:cs="Times New Roman" w:eastAsiaTheme="minorEastAsia"/>
        </w:rPr>
        <w:instrText xml:space="preserve"> STYLEREF 1 \s </w:instrText>
      </w:r>
      <w:r>
        <w:rPr>
          <w:rFonts w:ascii="Times New Roman" w:hAnsi="Times New Roman" w:cs="Times New Roman" w:eastAsiaTheme="minorEastAsia"/>
        </w:rPr>
        <w:fldChar w:fldCharType="separate"/>
      </w:r>
      <w:r>
        <w:rPr>
          <w:rFonts w:ascii="Times New Roman" w:hAnsi="Times New Roman" w:cs="Times New Roman" w:eastAsiaTheme="minorEastAsia"/>
        </w:rPr>
        <w:t>5</w:t>
      </w:r>
      <w:r>
        <w:rPr>
          <w:rFonts w:ascii="Times New Roman" w:hAnsi="Times New Roman" w:cs="Times New Roman" w:eastAsiaTheme="minorEastAsia"/>
        </w:rPr>
        <w:fldChar w:fldCharType="end"/>
      </w:r>
      <w:r>
        <w:rPr>
          <w:rFonts w:ascii="Times New Roman" w:hAnsi="Times New Roman" w:cs="Times New Roman" w:eastAsiaTheme="minorEastAsia"/>
        </w:rPr>
        <w:noBreakHyphen/>
      </w:r>
      <w:r>
        <w:rPr>
          <w:rFonts w:ascii="Times New Roman" w:hAnsi="Times New Roman" w:cs="Times New Roman" w:eastAsiaTheme="minorEastAsia"/>
        </w:rPr>
        <w:fldChar w:fldCharType="begin"/>
      </w:r>
      <w:r>
        <w:rPr>
          <w:rFonts w:ascii="Times New Roman" w:hAnsi="Times New Roman" w:cs="Times New Roman" w:eastAsiaTheme="minorEastAsia"/>
        </w:rPr>
        <w:instrText xml:space="preserve"> SEQ 表 \* ARABIC \s 1 </w:instrText>
      </w:r>
      <w:r>
        <w:rPr>
          <w:rFonts w:ascii="Times New Roman" w:hAnsi="Times New Roman" w:cs="Times New Roman" w:eastAsiaTheme="minorEastAsia"/>
        </w:rPr>
        <w:fldChar w:fldCharType="separate"/>
      </w:r>
      <w:r>
        <w:rPr>
          <w:rFonts w:ascii="Times New Roman" w:hAnsi="Times New Roman" w:cs="Times New Roman" w:eastAsiaTheme="minorEastAsia"/>
        </w:rPr>
        <w:t>13</w:t>
      </w:r>
      <w:r>
        <w:rPr>
          <w:rFonts w:ascii="Times New Roman" w:hAnsi="Times New Roman" w:cs="Times New Roman" w:eastAsiaTheme="minorEastAsia"/>
        </w:rPr>
        <w:fldChar w:fldCharType="end"/>
      </w:r>
      <w:bookmarkEnd w:id="153"/>
      <w:r>
        <w:rPr>
          <w:rFonts w:ascii="Times New Roman" w:hAnsi="Times New Roman" w:cs="Times New Roman" w:eastAsiaTheme="minorEastAsia"/>
        </w:rPr>
        <w:t>土壤理化特性调查表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
        <w:gridCol w:w="1594"/>
        <w:gridCol w:w="1158"/>
        <w:gridCol w:w="940"/>
        <w:gridCol w:w="786"/>
        <w:gridCol w:w="1094"/>
        <w:gridCol w:w="1151"/>
        <w:gridCol w:w="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点号</w:t>
            </w:r>
          </w:p>
        </w:tc>
        <w:tc>
          <w:tcPr>
            <w:tcW w:w="1621" w:type="dxa"/>
            <w:shd w:val="clear" w:color="auto" w:fill="auto"/>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T2、T9</w:t>
            </w:r>
          </w:p>
        </w:tc>
        <w:tc>
          <w:tcPr>
            <w:tcW w:w="3051" w:type="dxa"/>
            <w:gridSpan w:val="3"/>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时间</w:t>
            </w:r>
          </w:p>
        </w:tc>
        <w:tc>
          <w:tcPr>
            <w:tcW w:w="3350" w:type="dxa"/>
            <w:gridSpan w:val="3"/>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20</w:t>
            </w:r>
            <w:r>
              <w:rPr>
                <w:rFonts w:ascii="Times New Roman" w:hAnsi="Times New Roman"/>
                <w:sz w:val="21"/>
                <w:szCs w:val="21"/>
                <w:lang w:val="zh-CN"/>
              </w:rPr>
              <w:t>23年12月18-19日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gridSpan w:val="2"/>
            <w:shd w:val="clear" w:color="auto" w:fill="auto"/>
            <w:vAlign w:val="center"/>
          </w:tcPr>
          <w:p>
            <w:pPr>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点位编号</w:t>
            </w:r>
          </w:p>
        </w:tc>
        <w:tc>
          <w:tcPr>
            <w:tcW w:w="3051" w:type="dxa"/>
            <w:gridSpan w:val="3"/>
            <w:shd w:val="clear" w:color="auto" w:fill="auto"/>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T2</w:t>
            </w:r>
          </w:p>
        </w:tc>
        <w:tc>
          <w:tcPr>
            <w:tcW w:w="3350" w:type="dxa"/>
            <w:gridSpan w:val="3"/>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gridSpan w:val="2"/>
            <w:shd w:val="clear" w:color="auto" w:fill="auto"/>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lang w:val="zh-CN"/>
              </w:rPr>
              <w:t>经、</w:t>
            </w:r>
            <w:r>
              <w:rPr>
                <w:rFonts w:ascii="Times New Roman" w:hAnsi="Times New Roman"/>
                <w:sz w:val="21"/>
                <w:szCs w:val="21"/>
                <w:lang w:val="zh-CN" w:eastAsia="zh-CN"/>
              </w:rPr>
              <w:t>纬度</w:t>
            </w:r>
          </w:p>
        </w:tc>
        <w:tc>
          <w:tcPr>
            <w:tcW w:w="3051" w:type="dxa"/>
            <w:gridSpan w:val="3"/>
            <w:shd w:val="clear" w:color="auto" w:fill="auto"/>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E:107.8498°</w:t>
            </w:r>
          </w:p>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N:31.4330°</w:t>
            </w:r>
          </w:p>
        </w:tc>
        <w:tc>
          <w:tcPr>
            <w:tcW w:w="3350" w:type="dxa"/>
            <w:gridSpan w:val="3"/>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E:107.8524°</w:t>
            </w:r>
          </w:p>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N:31.4530°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restart"/>
            <w:shd w:val="clear" w:color="auto" w:fill="auto"/>
            <w:vAlign w:val="center"/>
          </w:tcPr>
          <w:p>
            <w:pPr>
              <w:snapToGrid w:val="0"/>
              <w:spacing w:line="160" w:lineRule="atLeast"/>
              <w:ind w:firstLine="420"/>
              <w:jc w:val="center"/>
              <w:rPr>
                <w:rFonts w:ascii="Times New Roman" w:hAnsi="Times New Roman"/>
                <w:sz w:val="21"/>
                <w:szCs w:val="21"/>
                <w:lang w:val="zh-CN" w:eastAsia="zh-CN"/>
              </w:rPr>
            </w:pPr>
            <w:r>
              <w:rPr>
                <w:rFonts w:ascii="Times New Roman" w:hAnsi="Times New Roman"/>
                <w:sz w:val="21"/>
                <w:szCs w:val="21"/>
                <w:lang w:val="zh-CN" w:eastAsia="zh-CN"/>
              </w:rPr>
              <w:t>现场记录</w:t>
            </w:r>
          </w:p>
        </w:tc>
        <w:tc>
          <w:tcPr>
            <w:tcW w:w="1621" w:type="dxa"/>
            <w:shd w:val="clear" w:color="auto" w:fill="auto"/>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深度</w:t>
            </w:r>
          </w:p>
        </w:tc>
        <w:tc>
          <w:tcPr>
            <w:tcW w:w="1248" w:type="dxa"/>
            <w:shd w:val="clear" w:color="auto" w:fill="auto"/>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0.3m</w:t>
            </w:r>
          </w:p>
        </w:tc>
        <w:tc>
          <w:tcPr>
            <w:tcW w:w="992"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1.2m</w:t>
            </w:r>
          </w:p>
        </w:tc>
        <w:tc>
          <w:tcPr>
            <w:tcW w:w="811"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2.2m</w:t>
            </w:r>
          </w:p>
        </w:tc>
        <w:tc>
          <w:tcPr>
            <w:tcW w:w="1173" w:type="dxa"/>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rPr>
              <w:t>0.3m</w:t>
            </w:r>
          </w:p>
        </w:tc>
        <w:tc>
          <w:tcPr>
            <w:tcW w:w="1240" w:type="dxa"/>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rPr>
              <w:t>1.2m</w:t>
            </w:r>
          </w:p>
        </w:tc>
        <w:tc>
          <w:tcPr>
            <w:tcW w:w="937" w:type="dxa"/>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rPr>
              <w:t>2.2m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p>
        </w:tc>
        <w:tc>
          <w:tcPr>
            <w:tcW w:w="1621"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颜色</w:t>
            </w:r>
          </w:p>
        </w:tc>
        <w:tc>
          <w:tcPr>
            <w:tcW w:w="1248"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暗棕色</w:t>
            </w:r>
          </w:p>
        </w:tc>
        <w:tc>
          <w:tcPr>
            <w:tcW w:w="992" w:type="dxa"/>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红棕</w:t>
            </w:r>
          </w:p>
        </w:tc>
        <w:tc>
          <w:tcPr>
            <w:tcW w:w="811" w:type="dxa"/>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红棕</w:t>
            </w:r>
          </w:p>
        </w:tc>
        <w:tc>
          <w:tcPr>
            <w:tcW w:w="1173" w:type="dxa"/>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棕</w:t>
            </w:r>
          </w:p>
        </w:tc>
        <w:tc>
          <w:tcPr>
            <w:tcW w:w="1240" w:type="dxa"/>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棕</w:t>
            </w:r>
          </w:p>
        </w:tc>
        <w:tc>
          <w:tcPr>
            <w:tcW w:w="937" w:type="dxa"/>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黄棕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p>
        </w:tc>
        <w:tc>
          <w:tcPr>
            <w:tcW w:w="1621"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结构</w:t>
            </w:r>
          </w:p>
        </w:tc>
        <w:tc>
          <w:tcPr>
            <w:tcW w:w="1248"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粒状</w:t>
            </w:r>
          </w:p>
        </w:tc>
        <w:tc>
          <w:tcPr>
            <w:tcW w:w="992" w:type="dxa"/>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块状</w:t>
            </w:r>
          </w:p>
        </w:tc>
        <w:tc>
          <w:tcPr>
            <w:tcW w:w="811" w:type="dxa"/>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块状</w:t>
            </w:r>
          </w:p>
        </w:tc>
        <w:tc>
          <w:tcPr>
            <w:tcW w:w="1173" w:type="dxa"/>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粒状</w:t>
            </w:r>
          </w:p>
        </w:tc>
        <w:tc>
          <w:tcPr>
            <w:tcW w:w="1240" w:type="dxa"/>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块状</w:t>
            </w:r>
          </w:p>
        </w:tc>
        <w:tc>
          <w:tcPr>
            <w:tcW w:w="937" w:type="dxa"/>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块状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p>
        </w:tc>
        <w:tc>
          <w:tcPr>
            <w:tcW w:w="1621"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质地</w:t>
            </w:r>
          </w:p>
        </w:tc>
        <w:tc>
          <w:tcPr>
            <w:tcW w:w="1248"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rPr>
              <w:t>砂</w:t>
            </w:r>
            <w:r>
              <w:rPr>
                <w:rFonts w:ascii="Times New Roman" w:hAnsi="Times New Roman"/>
                <w:sz w:val="21"/>
                <w:szCs w:val="21"/>
                <w:lang w:val="zh-CN" w:eastAsia="zh-CN"/>
              </w:rPr>
              <w:t>壤土</w:t>
            </w:r>
          </w:p>
        </w:tc>
        <w:tc>
          <w:tcPr>
            <w:tcW w:w="992"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中壤土</w:t>
            </w:r>
          </w:p>
        </w:tc>
        <w:tc>
          <w:tcPr>
            <w:tcW w:w="811"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重壤土</w:t>
            </w:r>
          </w:p>
        </w:tc>
        <w:tc>
          <w:tcPr>
            <w:tcW w:w="1173"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轻壤土</w:t>
            </w:r>
          </w:p>
        </w:tc>
        <w:tc>
          <w:tcPr>
            <w:tcW w:w="1240"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轻壤土</w:t>
            </w:r>
          </w:p>
        </w:tc>
        <w:tc>
          <w:tcPr>
            <w:tcW w:w="937"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中壤土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p>
        </w:tc>
        <w:tc>
          <w:tcPr>
            <w:tcW w:w="1621"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砂砾含量</w:t>
            </w:r>
          </w:p>
        </w:tc>
        <w:tc>
          <w:tcPr>
            <w:tcW w:w="1248" w:type="dxa"/>
            <w:shd w:val="clear" w:color="auto" w:fill="auto"/>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58%</w:t>
            </w:r>
          </w:p>
        </w:tc>
        <w:tc>
          <w:tcPr>
            <w:tcW w:w="992"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31%</w:t>
            </w:r>
          </w:p>
        </w:tc>
        <w:tc>
          <w:tcPr>
            <w:tcW w:w="811"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6%</w:t>
            </w:r>
          </w:p>
        </w:tc>
        <w:tc>
          <w:tcPr>
            <w:tcW w:w="1173"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33%</w:t>
            </w:r>
          </w:p>
        </w:tc>
        <w:tc>
          <w:tcPr>
            <w:tcW w:w="1240"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25%</w:t>
            </w:r>
          </w:p>
        </w:tc>
        <w:tc>
          <w:tcPr>
            <w:tcW w:w="937"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p>
        </w:tc>
        <w:tc>
          <w:tcPr>
            <w:tcW w:w="1621"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其他异物</w:t>
            </w:r>
          </w:p>
        </w:tc>
        <w:tc>
          <w:tcPr>
            <w:tcW w:w="1248"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rPr>
              <w:t>无</w:t>
            </w:r>
          </w:p>
        </w:tc>
        <w:tc>
          <w:tcPr>
            <w:tcW w:w="992" w:type="dxa"/>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无</w:t>
            </w:r>
          </w:p>
        </w:tc>
        <w:tc>
          <w:tcPr>
            <w:tcW w:w="811" w:type="dxa"/>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无</w:t>
            </w:r>
          </w:p>
        </w:tc>
        <w:tc>
          <w:tcPr>
            <w:tcW w:w="1173" w:type="dxa"/>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rPr>
              <w:t>无</w:t>
            </w:r>
          </w:p>
        </w:tc>
        <w:tc>
          <w:tcPr>
            <w:tcW w:w="1240" w:type="dxa"/>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无</w:t>
            </w:r>
          </w:p>
        </w:tc>
        <w:tc>
          <w:tcPr>
            <w:tcW w:w="937" w:type="dxa"/>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restart"/>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实验室测定</w:t>
            </w:r>
          </w:p>
        </w:tc>
        <w:tc>
          <w:tcPr>
            <w:tcW w:w="1621"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pH值</w:t>
            </w:r>
          </w:p>
        </w:tc>
        <w:tc>
          <w:tcPr>
            <w:tcW w:w="1248" w:type="dxa"/>
            <w:shd w:val="clear" w:color="auto" w:fill="auto"/>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7.11</w:t>
            </w:r>
          </w:p>
        </w:tc>
        <w:tc>
          <w:tcPr>
            <w:tcW w:w="992"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7.35</w:t>
            </w:r>
          </w:p>
        </w:tc>
        <w:tc>
          <w:tcPr>
            <w:tcW w:w="811"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7.68</w:t>
            </w:r>
          </w:p>
        </w:tc>
        <w:tc>
          <w:tcPr>
            <w:tcW w:w="1173"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8.37</w:t>
            </w:r>
          </w:p>
        </w:tc>
        <w:tc>
          <w:tcPr>
            <w:tcW w:w="1240"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8.04</w:t>
            </w:r>
          </w:p>
        </w:tc>
        <w:tc>
          <w:tcPr>
            <w:tcW w:w="937"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p>
        </w:tc>
        <w:tc>
          <w:tcPr>
            <w:tcW w:w="1621"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阳离子交换量</w:t>
            </w:r>
            <w:r>
              <w:rPr>
                <w:rFonts w:ascii="Times New Roman" w:hAnsi="Times New Roman"/>
                <w:sz w:val="21"/>
                <w:szCs w:val="21"/>
                <w:lang w:val="zh-CN"/>
              </w:rPr>
              <w:t>（coml+/kg）</w:t>
            </w:r>
          </w:p>
        </w:tc>
        <w:tc>
          <w:tcPr>
            <w:tcW w:w="1248" w:type="dxa"/>
            <w:shd w:val="clear" w:color="auto" w:fill="auto"/>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3.7</w:t>
            </w:r>
          </w:p>
        </w:tc>
        <w:tc>
          <w:tcPr>
            <w:tcW w:w="992"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4.1</w:t>
            </w:r>
          </w:p>
        </w:tc>
        <w:tc>
          <w:tcPr>
            <w:tcW w:w="811"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3.4</w:t>
            </w:r>
          </w:p>
        </w:tc>
        <w:tc>
          <w:tcPr>
            <w:tcW w:w="1173"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3.2</w:t>
            </w:r>
          </w:p>
        </w:tc>
        <w:tc>
          <w:tcPr>
            <w:tcW w:w="1240"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2.2</w:t>
            </w:r>
          </w:p>
        </w:tc>
        <w:tc>
          <w:tcPr>
            <w:tcW w:w="937"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p>
        </w:tc>
        <w:tc>
          <w:tcPr>
            <w:tcW w:w="1621"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氧化还原电位</w:t>
            </w:r>
            <w:r>
              <w:rPr>
                <w:rFonts w:ascii="Times New Roman" w:hAnsi="Times New Roman"/>
                <w:sz w:val="21"/>
                <w:szCs w:val="21"/>
                <w:lang w:val="zh-CN"/>
              </w:rPr>
              <w:t>（mV）</w:t>
            </w:r>
          </w:p>
        </w:tc>
        <w:tc>
          <w:tcPr>
            <w:tcW w:w="1248" w:type="dxa"/>
            <w:shd w:val="clear" w:color="auto" w:fill="auto"/>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520</w:t>
            </w:r>
          </w:p>
        </w:tc>
        <w:tc>
          <w:tcPr>
            <w:tcW w:w="992"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460</w:t>
            </w:r>
          </w:p>
        </w:tc>
        <w:tc>
          <w:tcPr>
            <w:tcW w:w="811"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431</w:t>
            </w:r>
          </w:p>
        </w:tc>
        <w:tc>
          <w:tcPr>
            <w:tcW w:w="1173"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529</w:t>
            </w:r>
          </w:p>
        </w:tc>
        <w:tc>
          <w:tcPr>
            <w:tcW w:w="1240"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470</w:t>
            </w:r>
          </w:p>
        </w:tc>
        <w:tc>
          <w:tcPr>
            <w:tcW w:w="937"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436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p>
        </w:tc>
        <w:tc>
          <w:tcPr>
            <w:tcW w:w="1621" w:type="dxa"/>
            <w:shd w:val="clear" w:color="auto" w:fill="auto"/>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eastAsia="zh-CN"/>
              </w:rPr>
              <w:t>饱和导水率</w:t>
            </w:r>
            <w:r>
              <w:rPr>
                <w:rFonts w:ascii="Times New Roman" w:hAnsi="Times New Roman"/>
                <w:sz w:val="21"/>
                <w:szCs w:val="21"/>
                <w:lang w:val="zh-CN"/>
              </w:rPr>
              <w:t>（mm/min）</w:t>
            </w:r>
          </w:p>
        </w:tc>
        <w:tc>
          <w:tcPr>
            <w:tcW w:w="1248" w:type="dxa"/>
            <w:shd w:val="clear" w:color="auto" w:fill="auto"/>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0.58</w:t>
            </w:r>
          </w:p>
        </w:tc>
        <w:tc>
          <w:tcPr>
            <w:tcW w:w="992"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0.69</w:t>
            </w:r>
          </w:p>
        </w:tc>
        <w:tc>
          <w:tcPr>
            <w:tcW w:w="811"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0.65</w:t>
            </w:r>
          </w:p>
        </w:tc>
        <w:tc>
          <w:tcPr>
            <w:tcW w:w="1173"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0.66</w:t>
            </w:r>
          </w:p>
        </w:tc>
        <w:tc>
          <w:tcPr>
            <w:tcW w:w="1240"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0.76</w:t>
            </w:r>
          </w:p>
        </w:tc>
        <w:tc>
          <w:tcPr>
            <w:tcW w:w="937"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0.73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p>
        </w:tc>
        <w:tc>
          <w:tcPr>
            <w:tcW w:w="1621"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土壤容重</w:t>
            </w:r>
            <w:r>
              <w:rPr>
                <w:rFonts w:ascii="Times New Roman" w:hAnsi="Times New Roman"/>
                <w:sz w:val="21"/>
                <w:szCs w:val="21"/>
                <w:lang w:val="zh-CN"/>
              </w:rPr>
              <w:t>（g/cm</w:t>
            </w:r>
            <w:r>
              <w:rPr>
                <w:rFonts w:ascii="Times New Roman" w:hAnsi="Times New Roman"/>
                <w:sz w:val="21"/>
                <w:szCs w:val="21"/>
                <w:vertAlign w:val="superscript"/>
                <w:lang w:val="zh-CN"/>
              </w:rPr>
              <w:t>3</w:t>
            </w:r>
            <w:r>
              <w:rPr>
                <w:rFonts w:ascii="Times New Roman" w:hAnsi="Times New Roman"/>
                <w:sz w:val="21"/>
                <w:szCs w:val="21"/>
                <w:lang w:val="zh-CN"/>
              </w:rPr>
              <w:t>）</w:t>
            </w:r>
          </w:p>
        </w:tc>
        <w:tc>
          <w:tcPr>
            <w:tcW w:w="1248"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1.21</w:t>
            </w:r>
          </w:p>
        </w:tc>
        <w:tc>
          <w:tcPr>
            <w:tcW w:w="992" w:type="dxa"/>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1.26</w:t>
            </w:r>
          </w:p>
        </w:tc>
        <w:tc>
          <w:tcPr>
            <w:tcW w:w="811" w:type="dxa"/>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1.37</w:t>
            </w:r>
          </w:p>
        </w:tc>
        <w:tc>
          <w:tcPr>
            <w:tcW w:w="1173"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1.31</w:t>
            </w:r>
          </w:p>
        </w:tc>
        <w:tc>
          <w:tcPr>
            <w:tcW w:w="1240"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1.29</w:t>
            </w:r>
          </w:p>
        </w:tc>
        <w:tc>
          <w:tcPr>
            <w:tcW w:w="937"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p>
        </w:tc>
        <w:tc>
          <w:tcPr>
            <w:tcW w:w="1621"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孔隙度</w:t>
            </w:r>
            <w:r>
              <w:rPr>
                <w:rFonts w:ascii="Times New Roman" w:hAnsi="Times New Roman"/>
                <w:sz w:val="21"/>
                <w:szCs w:val="21"/>
                <w:lang w:val="zh-CN"/>
              </w:rPr>
              <w:t>（%）</w:t>
            </w:r>
          </w:p>
        </w:tc>
        <w:tc>
          <w:tcPr>
            <w:tcW w:w="1248" w:type="dxa"/>
            <w:shd w:val="clear" w:color="auto" w:fill="auto"/>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40</w:t>
            </w:r>
          </w:p>
        </w:tc>
        <w:tc>
          <w:tcPr>
            <w:tcW w:w="992" w:type="dxa"/>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34</w:t>
            </w:r>
          </w:p>
        </w:tc>
        <w:tc>
          <w:tcPr>
            <w:tcW w:w="811"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32</w:t>
            </w:r>
          </w:p>
        </w:tc>
        <w:tc>
          <w:tcPr>
            <w:tcW w:w="1173"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36</w:t>
            </w:r>
          </w:p>
        </w:tc>
        <w:tc>
          <w:tcPr>
            <w:tcW w:w="1240"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32</w:t>
            </w:r>
          </w:p>
        </w:tc>
        <w:tc>
          <w:tcPr>
            <w:tcW w:w="937"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p>
        </w:tc>
        <w:tc>
          <w:tcPr>
            <w:tcW w:w="1621" w:type="dxa"/>
            <w:shd w:val="clear" w:color="auto" w:fill="auto"/>
            <w:vAlign w:val="center"/>
          </w:tcPr>
          <w:p>
            <w:pPr>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含水率（</w:t>
            </w:r>
            <w:r>
              <w:rPr>
                <w:rFonts w:ascii="Times New Roman" w:hAnsi="Times New Roman"/>
                <w:sz w:val="21"/>
                <w:szCs w:val="21"/>
                <w:lang w:val="zh-CN"/>
              </w:rPr>
              <w:t>%</w:t>
            </w:r>
            <w:r>
              <w:rPr>
                <w:rFonts w:ascii="Times New Roman" w:hAnsi="Times New Roman"/>
                <w:sz w:val="21"/>
                <w:szCs w:val="21"/>
                <w:lang w:val="zh-CN" w:eastAsia="zh-CN"/>
              </w:rPr>
              <w:t>）</w:t>
            </w:r>
          </w:p>
        </w:tc>
        <w:tc>
          <w:tcPr>
            <w:tcW w:w="1248" w:type="dxa"/>
            <w:shd w:val="clear" w:color="auto" w:fill="auto"/>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22.9</w:t>
            </w:r>
          </w:p>
        </w:tc>
        <w:tc>
          <w:tcPr>
            <w:tcW w:w="992" w:type="dxa"/>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27</w:t>
            </w:r>
          </w:p>
        </w:tc>
        <w:tc>
          <w:tcPr>
            <w:tcW w:w="811"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29.2</w:t>
            </w:r>
          </w:p>
        </w:tc>
        <w:tc>
          <w:tcPr>
            <w:tcW w:w="1173"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19.2</w:t>
            </w:r>
          </w:p>
        </w:tc>
        <w:tc>
          <w:tcPr>
            <w:tcW w:w="1240"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19.9</w:t>
            </w:r>
          </w:p>
        </w:tc>
        <w:tc>
          <w:tcPr>
            <w:tcW w:w="937" w:type="dxa"/>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22.3</w:t>
            </w:r>
          </w:p>
        </w:tc>
      </w:tr>
    </w:tbl>
    <w:p>
      <w:pPr>
        <w:pStyle w:val="4"/>
        <w:rPr>
          <w:rFonts w:ascii="Times New Roman" w:hAnsi="Times New Roman" w:cs="Times New Roman"/>
        </w:rPr>
      </w:pPr>
      <w:r>
        <w:rPr>
          <w:rFonts w:ascii="Times New Roman" w:hAnsi="Times New Roman" w:cs="Times New Roman"/>
        </w:rPr>
        <w:t>土壤评价范围土地利用现状调查</w:t>
      </w:r>
    </w:p>
    <w:p>
      <w:pPr>
        <w:ind w:firstLine="480"/>
        <w:rPr>
          <w:rFonts w:ascii="Times New Roman" w:hAnsi="Times New Roman"/>
        </w:rPr>
      </w:pPr>
      <w:r>
        <w:rPr>
          <w:rFonts w:ascii="Times New Roman" w:hAnsi="Times New Roman"/>
        </w:rPr>
        <w:t>根据遥感解译，结合实地调查情况及土地利用现状图，土壤评价范围内土地现状类型为耕地、林地、草地、工矿仓储用地、住宅用地、交通运输用地、水域及水利设施用地等。评价范围内土地利用类型面积统计结果见</w:t>
      </w:r>
      <w:r>
        <w:rPr>
          <w:rFonts w:ascii="Times New Roman" w:hAnsi="Times New Roman"/>
        </w:rPr>
        <w:fldChar w:fldCharType="begin"/>
      </w:r>
      <w:r>
        <w:rPr>
          <w:rFonts w:ascii="Times New Roman" w:hAnsi="Times New Roman"/>
        </w:rPr>
        <w:instrText xml:space="preserve"> REF _Ref152342786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22</w:t>
      </w:r>
      <w:r>
        <w:rPr>
          <w:rFonts w:ascii="Times New Roman" w:hAnsi="Times New Roman"/>
        </w:rPr>
        <w:fldChar w:fldCharType="end"/>
      </w:r>
      <w:r>
        <w:rPr>
          <w:rFonts w:ascii="Times New Roman" w:hAnsi="Times New Roman"/>
        </w:rPr>
        <w:t>，现状土地利用类型分布见附图33。</w:t>
      </w:r>
    </w:p>
    <w:p>
      <w:pPr>
        <w:ind w:firstLine="480"/>
        <w:rPr>
          <w:rFonts w:ascii="Times New Roman" w:hAnsi="Times New Roman"/>
        </w:rPr>
      </w:pPr>
      <w:r>
        <w:rPr>
          <w:rFonts w:ascii="Times New Roman" w:hAnsi="Times New Roman"/>
        </w:rPr>
        <w:t>由</w:t>
      </w:r>
      <w:r>
        <w:rPr>
          <w:rFonts w:ascii="Times New Roman" w:hAnsi="Times New Roman"/>
        </w:rPr>
        <w:fldChar w:fldCharType="begin"/>
      </w:r>
      <w:r>
        <w:rPr>
          <w:rFonts w:ascii="Times New Roman" w:hAnsi="Times New Roman"/>
        </w:rPr>
        <w:instrText xml:space="preserve"> REF _Ref152342786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22</w:t>
      </w:r>
      <w:r>
        <w:rPr>
          <w:rFonts w:ascii="Times New Roman" w:hAnsi="Times New Roman"/>
        </w:rPr>
        <w:fldChar w:fldCharType="end"/>
      </w:r>
      <w:r>
        <w:rPr>
          <w:rFonts w:ascii="Times New Roman" w:hAnsi="Times New Roman"/>
        </w:rPr>
        <w:t>可以看出：评价范围内主要土地利用类型为乔木林地，约占评价范围的68.32%，其次为耕地和灌木林地，约占评价范围的19.96%和6.51%；再次为天然牧草地、农村宅基地和公路用地，约占评价范围的1.54%、1.50%和0.87%。</w:t>
      </w:r>
    </w:p>
    <w:p>
      <w:pPr>
        <w:spacing w:line="240" w:lineRule="auto"/>
        <w:ind w:firstLine="0" w:firstLineChars="0"/>
        <w:jc w:val="center"/>
        <w:rPr>
          <w:rFonts w:ascii="Times New Roman" w:hAnsi="Times New Roman" w:eastAsia="黑体"/>
        </w:rPr>
      </w:pPr>
      <w:r>
        <w:rPr>
          <w:rFonts w:ascii="Times New Roman" w:hAnsi="Times New Roman"/>
        </w:rPr>
        <w:t xml:space="preserve">表 </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5</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表 \* ARABIC \s 1 </w:instrText>
      </w:r>
      <w:r>
        <w:rPr>
          <w:rFonts w:ascii="Times New Roman" w:hAnsi="Times New Roman"/>
        </w:rPr>
        <w:fldChar w:fldCharType="separate"/>
      </w:r>
      <w:r>
        <w:rPr>
          <w:rFonts w:ascii="Times New Roman" w:hAnsi="Times New Roman"/>
        </w:rPr>
        <w:t>14</w:t>
      </w:r>
      <w:r>
        <w:rPr>
          <w:rFonts w:ascii="Times New Roman" w:hAnsi="Times New Roman"/>
        </w:rPr>
        <w:fldChar w:fldCharType="end"/>
      </w:r>
      <w:r>
        <w:rPr>
          <w:rFonts w:ascii="Times New Roman" w:hAnsi="Times New Roman" w:eastAsia="黑体"/>
        </w:rPr>
        <w:t>评价范围土地利用类型统计表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4"/>
        <w:gridCol w:w="2023"/>
        <w:gridCol w:w="2023"/>
        <w:gridCol w:w="1907"/>
        <w:gridCol w:w="1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Merge w:val="restar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序号</w:t>
            </w:r>
          </w:p>
        </w:tc>
        <w:tc>
          <w:tcPr>
            <w:tcW w:w="2373" w:type="pct"/>
            <w:gridSpan w:val="2"/>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土地利用类型</w:t>
            </w:r>
          </w:p>
        </w:tc>
        <w:tc>
          <w:tcPr>
            <w:tcW w:w="2178" w:type="pct"/>
            <w:gridSpan w:val="2"/>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Merge w:val="continue"/>
            <w:vAlign w:val="center"/>
          </w:tcPr>
          <w:p>
            <w:pPr>
              <w:snapToGrid w:val="0"/>
              <w:spacing w:line="160" w:lineRule="atLeast"/>
              <w:ind w:firstLine="0" w:firstLineChars="0"/>
              <w:jc w:val="center"/>
              <w:rPr>
                <w:rFonts w:ascii="Times New Roman" w:hAnsi="Times New Roman"/>
                <w:sz w:val="21"/>
                <w:szCs w:val="21"/>
                <w:lang w:val="zh-CN"/>
              </w:rPr>
            </w:pPr>
          </w:p>
        </w:tc>
        <w:tc>
          <w:tcPr>
            <w:tcW w:w="118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一级类</w:t>
            </w:r>
          </w:p>
        </w:tc>
        <w:tc>
          <w:tcPr>
            <w:tcW w:w="118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二级类</w:t>
            </w:r>
          </w:p>
        </w:tc>
        <w:tc>
          <w:tcPr>
            <w:tcW w:w="111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面积（hm</w:t>
            </w:r>
            <w:r>
              <w:rPr>
                <w:rFonts w:ascii="Times New Roman" w:hAnsi="Times New Roman"/>
                <w:sz w:val="21"/>
                <w:szCs w:val="21"/>
                <w:vertAlign w:val="superscript"/>
                <w:lang w:val="zh-CN"/>
              </w:rPr>
              <w:t>2</w:t>
            </w:r>
            <w:r>
              <w:rPr>
                <w:rFonts w:ascii="Times New Roman" w:hAnsi="Times New Roman"/>
                <w:sz w:val="21"/>
                <w:szCs w:val="21"/>
                <w:lang w:val="zh-CN"/>
              </w:rPr>
              <w:t>）</w:t>
            </w:r>
          </w:p>
        </w:tc>
        <w:tc>
          <w:tcPr>
            <w:tcW w:w="105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所占比例（%）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w:t>
            </w:r>
          </w:p>
        </w:tc>
        <w:tc>
          <w:tcPr>
            <w:tcW w:w="1187" w:type="pct"/>
            <w:vMerge w:val="restar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耕地</w:t>
            </w:r>
          </w:p>
        </w:tc>
        <w:tc>
          <w:tcPr>
            <w:tcW w:w="118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水田</w:t>
            </w:r>
          </w:p>
        </w:tc>
        <w:tc>
          <w:tcPr>
            <w:tcW w:w="111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24.31</w:t>
            </w:r>
          </w:p>
        </w:tc>
        <w:tc>
          <w:tcPr>
            <w:tcW w:w="105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w:t>
            </w:r>
          </w:p>
        </w:tc>
        <w:tc>
          <w:tcPr>
            <w:tcW w:w="1187" w:type="pct"/>
            <w:vMerge w:val="continue"/>
            <w:vAlign w:val="center"/>
          </w:tcPr>
          <w:p>
            <w:pPr>
              <w:snapToGrid w:val="0"/>
              <w:spacing w:line="160" w:lineRule="atLeast"/>
              <w:ind w:firstLine="0" w:firstLineChars="0"/>
              <w:jc w:val="center"/>
              <w:rPr>
                <w:rFonts w:ascii="Times New Roman" w:hAnsi="Times New Roman"/>
                <w:sz w:val="21"/>
                <w:szCs w:val="21"/>
              </w:rPr>
            </w:pPr>
          </w:p>
        </w:tc>
        <w:tc>
          <w:tcPr>
            <w:tcW w:w="1187" w:type="pct"/>
            <w:vAlign w:val="center"/>
          </w:tcPr>
          <w:p>
            <w:pPr>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旱地</w:t>
            </w:r>
          </w:p>
        </w:tc>
        <w:tc>
          <w:tcPr>
            <w:tcW w:w="1119" w:type="pct"/>
            <w:vAlign w:val="center"/>
          </w:tcPr>
          <w:p>
            <w:pPr>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96.98</w:t>
            </w:r>
          </w:p>
        </w:tc>
        <w:tc>
          <w:tcPr>
            <w:tcW w:w="1059" w:type="pct"/>
            <w:vAlign w:val="center"/>
          </w:tcPr>
          <w:p>
            <w:pPr>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15.96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w:t>
            </w:r>
          </w:p>
        </w:tc>
        <w:tc>
          <w:tcPr>
            <w:tcW w:w="1187" w:type="pct"/>
            <w:vMerge w:val="restar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林地</w:t>
            </w:r>
          </w:p>
        </w:tc>
        <w:tc>
          <w:tcPr>
            <w:tcW w:w="118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乔木林地</w:t>
            </w:r>
          </w:p>
        </w:tc>
        <w:tc>
          <w:tcPr>
            <w:tcW w:w="111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415.21</w:t>
            </w:r>
          </w:p>
        </w:tc>
        <w:tc>
          <w:tcPr>
            <w:tcW w:w="105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68.32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4</w:t>
            </w:r>
          </w:p>
        </w:tc>
        <w:tc>
          <w:tcPr>
            <w:tcW w:w="1187" w:type="pct"/>
            <w:vMerge w:val="continue"/>
            <w:vAlign w:val="center"/>
          </w:tcPr>
          <w:p>
            <w:pPr>
              <w:snapToGrid w:val="0"/>
              <w:spacing w:line="160" w:lineRule="atLeast"/>
              <w:ind w:firstLine="0" w:firstLineChars="0"/>
              <w:jc w:val="center"/>
              <w:rPr>
                <w:rFonts w:ascii="Times New Roman" w:hAnsi="Times New Roman"/>
                <w:sz w:val="21"/>
                <w:szCs w:val="21"/>
              </w:rPr>
            </w:pPr>
          </w:p>
        </w:tc>
        <w:tc>
          <w:tcPr>
            <w:tcW w:w="118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灌木林地</w:t>
            </w:r>
          </w:p>
        </w:tc>
        <w:tc>
          <w:tcPr>
            <w:tcW w:w="111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39.56</w:t>
            </w:r>
          </w:p>
        </w:tc>
        <w:tc>
          <w:tcPr>
            <w:tcW w:w="105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6.51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5</w:t>
            </w:r>
          </w:p>
        </w:tc>
        <w:tc>
          <w:tcPr>
            <w:tcW w:w="1187" w:type="pc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草地</w:t>
            </w:r>
          </w:p>
        </w:tc>
        <w:tc>
          <w:tcPr>
            <w:tcW w:w="118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天然牧草地</w:t>
            </w:r>
          </w:p>
        </w:tc>
        <w:tc>
          <w:tcPr>
            <w:tcW w:w="111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9.34</w:t>
            </w:r>
          </w:p>
        </w:tc>
        <w:tc>
          <w:tcPr>
            <w:tcW w:w="105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6</w:t>
            </w:r>
          </w:p>
        </w:tc>
        <w:tc>
          <w:tcPr>
            <w:tcW w:w="1187" w:type="pct"/>
            <w:vMerge w:val="restar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工矿仓储用地</w:t>
            </w:r>
          </w:p>
        </w:tc>
        <w:tc>
          <w:tcPr>
            <w:tcW w:w="118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工业用地</w:t>
            </w:r>
          </w:p>
        </w:tc>
        <w:tc>
          <w:tcPr>
            <w:tcW w:w="111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1.14</w:t>
            </w:r>
          </w:p>
        </w:tc>
        <w:tc>
          <w:tcPr>
            <w:tcW w:w="105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7</w:t>
            </w:r>
          </w:p>
        </w:tc>
        <w:tc>
          <w:tcPr>
            <w:tcW w:w="1187" w:type="pct"/>
            <w:vMerge w:val="continue"/>
            <w:vAlign w:val="center"/>
          </w:tcPr>
          <w:p>
            <w:pPr>
              <w:snapToGrid w:val="0"/>
              <w:spacing w:line="160" w:lineRule="atLeast"/>
              <w:ind w:firstLine="0" w:firstLineChars="0"/>
              <w:jc w:val="center"/>
              <w:rPr>
                <w:rFonts w:ascii="Times New Roman" w:hAnsi="Times New Roman"/>
                <w:sz w:val="21"/>
                <w:szCs w:val="21"/>
              </w:rPr>
            </w:pPr>
          </w:p>
        </w:tc>
        <w:tc>
          <w:tcPr>
            <w:tcW w:w="118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采矿用地</w:t>
            </w:r>
          </w:p>
        </w:tc>
        <w:tc>
          <w:tcPr>
            <w:tcW w:w="111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2.21</w:t>
            </w:r>
          </w:p>
        </w:tc>
        <w:tc>
          <w:tcPr>
            <w:tcW w:w="105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8</w:t>
            </w:r>
          </w:p>
        </w:tc>
        <w:tc>
          <w:tcPr>
            <w:tcW w:w="1187" w:type="pc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住宅用地</w:t>
            </w:r>
          </w:p>
        </w:tc>
        <w:tc>
          <w:tcPr>
            <w:tcW w:w="118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农村宅基地</w:t>
            </w:r>
          </w:p>
        </w:tc>
        <w:tc>
          <w:tcPr>
            <w:tcW w:w="111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9.10</w:t>
            </w:r>
          </w:p>
        </w:tc>
        <w:tc>
          <w:tcPr>
            <w:tcW w:w="105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9</w:t>
            </w:r>
          </w:p>
        </w:tc>
        <w:tc>
          <w:tcPr>
            <w:tcW w:w="1187" w:type="pct"/>
            <w:vMerge w:val="restar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交通运输用地</w:t>
            </w:r>
          </w:p>
        </w:tc>
        <w:tc>
          <w:tcPr>
            <w:tcW w:w="118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公路用地</w:t>
            </w:r>
          </w:p>
        </w:tc>
        <w:tc>
          <w:tcPr>
            <w:tcW w:w="111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5.31</w:t>
            </w:r>
          </w:p>
        </w:tc>
        <w:tc>
          <w:tcPr>
            <w:tcW w:w="105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10</w:t>
            </w:r>
          </w:p>
        </w:tc>
        <w:tc>
          <w:tcPr>
            <w:tcW w:w="1187" w:type="pct"/>
            <w:vMerge w:val="continue"/>
            <w:vAlign w:val="center"/>
          </w:tcPr>
          <w:p>
            <w:pPr>
              <w:snapToGrid w:val="0"/>
              <w:spacing w:line="160" w:lineRule="atLeast"/>
              <w:ind w:firstLine="0" w:firstLineChars="0"/>
              <w:jc w:val="center"/>
              <w:rPr>
                <w:rFonts w:ascii="Times New Roman" w:hAnsi="Times New Roman"/>
                <w:sz w:val="21"/>
                <w:szCs w:val="21"/>
              </w:rPr>
            </w:pPr>
          </w:p>
        </w:tc>
        <w:tc>
          <w:tcPr>
            <w:tcW w:w="118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管道运输用地</w:t>
            </w:r>
          </w:p>
        </w:tc>
        <w:tc>
          <w:tcPr>
            <w:tcW w:w="111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1.28</w:t>
            </w:r>
          </w:p>
        </w:tc>
        <w:tc>
          <w:tcPr>
            <w:tcW w:w="105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11</w:t>
            </w:r>
          </w:p>
        </w:tc>
        <w:tc>
          <w:tcPr>
            <w:tcW w:w="1187" w:type="pct"/>
            <w:vMerge w:val="restart"/>
            <w:vAlign w:val="center"/>
          </w:tcPr>
          <w:p>
            <w:pPr>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水域及水利设施用地</w:t>
            </w:r>
          </w:p>
        </w:tc>
        <w:tc>
          <w:tcPr>
            <w:tcW w:w="118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河流水面</w:t>
            </w:r>
          </w:p>
        </w:tc>
        <w:tc>
          <w:tcPr>
            <w:tcW w:w="111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1.16</w:t>
            </w:r>
          </w:p>
        </w:tc>
        <w:tc>
          <w:tcPr>
            <w:tcW w:w="105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12</w:t>
            </w:r>
          </w:p>
        </w:tc>
        <w:tc>
          <w:tcPr>
            <w:tcW w:w="1187" w:type="pct"/>
            <w:vMerge w:val="continue"/>
            <w:vAlign w:val="center"/>
          </w:tcPr>
          <w:p>
            <w:pPr>
              <w:snapToGrid w:val="0"/>
              <w:spacing w:line="160" w:lineRule="atLeast"/>
              <w:ind w:firstLine="0" w:firstLineChars="0"/>
              <w:jc w:val="center"/>
              <w:rPr>
                <w:rFonts w:ascii="Times New Roman" w:hAnsi="Times New Roman"/>
                <w:sz w:val="22"/>
                <w:szCs w:val="22"/>
              </w:rPr>
            </w:pPr>
          </w:p>
        </w:tc>
        <w:tc>
          <w:tcPr>
            <w:tcW w:w="118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坑塘水面</w:t>
            </w:r>
          </w:p>
        </w:tc>
        <w:tc>
          <w:tcPr>
            <w:tcW w:w="111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2.14</w:t>
            </w:r>
          </w:p>
        </w:tc>
        <w:tc>
          <w:tcPr>
            <w:tcW w:w="105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13</w:t>
            </w:r>
          </w:p>
        </w:tc>
        <w:tc>
          <w:tcPr>
            <w:tcW w:w="1187" w:type="pct"/>
            <w:vAlign w:val="center"/>
          </w:tcPr>
          <w:p>
            <w:pPr>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w:t>
            </w:r>
          </w:p>
        </w:tc>
        <w:tc>
          <w:tcPr>
            <w:tcW w:w="118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合计</w:t>
            </w:r>
          </w:p>
        </w:tc>
        <w:tc>
          <w:tcPr>
            <w:tcW w:w="111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607.77</w:t>
            </w:r>
          </w:p>
        </w:tc>
        <w:tc>
          <w:tcPr>
            <w:tcW w:w="1059"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100.00</w:t>
            </w:r>
          </w:p>
        </w:tc>
      </w:tr>
    </w:tbl>
    <w:p>
      <w:pPr>
        <w:ind w:firstLine="480"/>
        <w:rPr>
          <w:rFonts w:ascii="Times New Roman" w:hAnsi="Times New Roman"/>
        </w:rPr>
      </w:pPr>
    </w:p>
    <w:p>
      <w:pPr>
        <w:ind w:firstLine="0" w:firstLineChars="0"/>
        <w:jc w:val="center"/>
        <w:rPr>
          <w:rFonts w:ascii="Times New Roman" w:hAnsi="Times New Roman"/>
        </w:rPr>
      </w:pPr>
      <w:r>
        <w:rPr>
          <w:rFonts w:ascii="Times New Roman" w:hAnsi="Times New Roman"/>
        </w:rPr>
        <w:drawing>
          <wp:inline distT="0" distB="0" distL="0" distR="0">
            <wp:extent cx="4960620" cy="2941320"/>
            <wp:effectExtent l="0" t="0" r="11430" b="11430"/>
            <wp:docPr id="36" name="图表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pPr>
        <w:pStyle w:val="37"/>
        <w:ind w:firstLine="480"/>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t xml:space="preserve">  土壤评价范围土地利用类型分布</w:t>
      </w:r>
    </w:p>
    <w:p>
      <w:pPr>
        <w:pStyle w:val="4"/>
        <w:rPr>
          <w:rFonts w:ascii="Times New Roman" w:hAnsi="Times New Roman" w:cs="Times New Roman"/>
        </w:rPr>
      </w:pPr>
      <w:r>
        <w:rPr>
          <w:rFonts w:ascii="Times New Roman" w:hAnsi="Times New Roman" w:cs="Times New Roman"/>
        </w:rPr>
        <w:t>土壤环境现状监测与评价</w:t>
      </w:r>
    </w:p>
    <w:p>
      <w:pPr>
        <w:ind w:firstLine="480"/>
        <w:rPr>
          <w:rFonts w:ascii="Times New Roman" w:hAnsi="Times New Roman"/>
        </w:rPr>
      </w:pPr>
      <w:r>
        <w:rPr>
          <w:rFonts w:ascii="Times New Roman" w:hAnsi="Times New Roman"/>
        </w:rPr>
        <w:t>为了解井站、集气管线及其周围的土壤环境现状，获取井站、集气管线及周围土壤环境质量本底值，从而更好的对比分析项目建成后对土壤环境的影响，本次评价于2023年12月18日～21日，委托四川地风升检测服务有限公司进行了土壤环境现状采样监测工作。</w:t>
      </w:r>
    </w:p>
    <w:p>
      <w:pPr>
        <w:pStyle w:val="5"/>
        <w:rPr>
          <w:rFonts w:ascii="Times New Roman" w:hAnsi="Times New Roman"/>
        </w:rPr>
      </w:pPr>
      <w:r>
        <w:rPr>
          <w:rFonts w:ascii="Times New Roman" w:hAnsi="Times New Roman"/>
        </w:rPr>
        <w:t>监测点位</w:t>
      </w:r>
    </w:p>
    <w:p>
      <w:pPr>
        <w:adjustRightInd w:val="0"/>
        <w:snapToGrid w:val="0"/>
        <w:ind w:firstLine="480"/>
        <w:jc w:val="both"/>
        <w:rPr>
          <w:rFonts w:ascii="Times New Roman" w:hAnsi="Times New Roman"/>
        </w:rPr>
      </w:pPr>
      <w:r>
        <w:rPr>
          <w:rFonts w:ascii="Times New Roman" w:hAnsi="Times New Roman"/>
        </w:rPr>
        <w:t>根据建设项目土壤环境影响类型、土地利用类型、评价工作等级，采用代表性原则，使监测点充分反映建设项目调查评价范围内的土壤环境现状。依据对土壤环境现状监测布点要求，结合项目场地及周边实际情况，本次调查在占地范围内设置6个柱状样，4个表层样，占地范围外6个表层样，共计16个采样点。具体监测点位置见</w:t>
      </w:r>
      <w:r>
        <w:rPr>
          <w:rFonts w:ascii="Times New Roman" w:hAnsi="Times New Roman"/>
        </w:rPr>
        <w:fldChar w:fldCharType="begin"/>
      </w:r>
      <w:r>
        <w:rPr>
          <w:rFonts w:ascii="Times New Roman" w:hAnsi="Times New Roman"/>
        </w:rPr>
        <w:instrText xml:space="preserve"> REF _Ref155276735 \h  \* MERGEFORMAT </w:instrText>
      </w:r>
      <w:r>
        <w:rPr>
          <w:rFonts w:ascii="Times New Roman" w:hAnsi="Times New Roman"/>
        </w:rPr>
        <w:fldChar w:fldCharType="separate"/>
      </w:r>
      <w:r>
        <w:rPr>
          <w:rFonts w:ascii="Times New Roman" w:hAnsi="Times New Roman"/>
        </w:rPr>
        <w:t>图 5</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（附图21）。</w:t>
      </w:r>
    </w:p>
    <w:p>
      <w:pPr>
        <w:pStyle w:val="5"/>
        <w:rPr>
          <w:rFonts w:ascii="Times New Roman" w:hAnsi="Times New Roman"/>
        </w:rPr>
      </w:pPr>
      <w:r>
        <w:rPr>
          <w:rFonts w:ascii="Times New Roman" w:hAnsi="Times New Roman"/>
        </w:rPr>
        <w:t>监测因子</w:t>
      </w:r>
    </w:p>
    <w:p>
      <w:pPr>
        <w:adjustRightInd w:val="0"/>
        <w:snapToGrid w:val="0"/>
        <w:ind w:firstLine="480"/>
        <w:rPr>
          <w:rFonts w:ascii="Times New Roman" w:hAnsi="Times New Roman" w:eastAsiaTheme="minorEastAsia"/>
          <w:bCs/>
          <w:szCs w:val="20"/>
        </w:rPr>
      </w:pPr>
      <w:r>
        <w:rPr>
          <w:rFonts w:ascii="Times New Roman" w:hAnsi="Times New Roman" w:eastAsiaTheme="minorEastAsia"/>
          <w:bCs/>
          <w:szCs w:val="20"/>
        </w:rPr>
        <w:t>（1）GB 15618基本项目镉、汞、砷、铅、铬、铜、镍、锌等8项；</w:t>
      </w:r>
    </w:p>
    <w:p>
      <w:pPr>
        <w:adjustRightInd w:val="0"/>
        <w:snapToGrid w:val="0"/>
        <w:ind w:firstLine="480"/>
        <w:rPr>
          <w:rFonts w:ascii="Times New Roman" w:hAnsi="Times New Roman" w:eastAsiaTheme="minorEastAsia"/>
          <w:bCs/>
          <w:szCs w:val="20"/>
        </w:rPr>
      </w:pPr>
      <w:r>
        <w:rPr>
          <w:rFonts w:ascii="Times New Roman" w:hAnsi="Times New Roman" w:eastAsiaTheme="minorEastAsia"/>
          <w:bCs/>
          <w:szCs w:val="20"/>
        </w:rPr>
        <w:t>（2）GB36600基本项目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等45项。</w:t>
      </w:r>
    </w:p>
    <w:p>
      <w:pPr>
        <w:adjustRightInd w:val="0"/>
        <w:snapToGrid w:val="0"/>
        <w:ind w:firstLine="480"/>
        <w:rPr>
          <w:rFonts w:ascii="Times New Roman" w:hAnsi="Times New Roman" w:eastAsiaTheme="minorEastAsia"/>
          <w:szCs w:val="20"/>
        </w:rPr>
      </w:pPr>
      <w:r>
        <w:rPr>
          <w:rFonts w:ascii="Times New Roman" w:hAnsi="Times New Roman" w:eastAsiaTheme="minorEastAsia"/>
          <w:bCs/>
          <w:szCs w:val="20"/>
        </w:rPr>
        <w:t>（3）特征因子：石油烃（C</w:t>
      </w:r>
      <w:r>
        <w:rPr>
          <w:rFonts w:ascii="Times New Roman" w:hAnsi="Times New Roman" w:eastAsiaTheme="minorEastAsia"/>
          <w:bCs/>
          <w:szCs w:val="20"/>
          <w:vertAlign w:val="subscript"/>
        </w:rPr>
        <w:t>10-</w:t>
      </w:r>
      <w:r>
        <w:rPr>
          <w:rFonts w:ascii="Times New Roman" w:hAnsi="Times New Roman" w:eastAsiaTheme="minorEastAsia"/>
          <w:bCs/>
          <w:szCs w:val="20"/>
        </w:rPr>
        <w:t>C</w:t>
      </w:r>
      <w:r>
        <w:rPr>
          <w:rFonts w:ascii="Times New Roman" w:hAnsi="Times New Roman" w:eastAsiaTheme="minorEastAsia"/>
          <w:bCs/>
          <w:szCs w:val="20"/>
          <w:vertAlign w:val="subscript"/>
        </w:rPr>
        <w:t>40</w:t>
      </w:r>
      <w:r>
        <w:rPr>
          <w:rFonts w:ascii="Times New Roman" w:hAnsi="Times New Roman" w:eastAsiaTheme="minorEastAsia"/>
          <w:bCs/>
          <w:szCs w:val="20"/>
        </w:rPr>
        <w:t>）。</w:t>
      </w:r>
    </w:p>
    <w:p>
      <w:pPr>
        <w:adjustRightInd w:val="0"/>
        <w:snapToGrid w:val="0"/>
        <w:ind w:firstLine="480"/>
        <w:jc w:val="both"/>
        <w:rPr>
          <w:rFonts w:ascii="Times New Roman" w:hAnsi="Times New Roman"/>
        </w:rPr>
      </w:pPr>
      <w:r>
        <w:rPr>
          <w:rFonts w:ascii="Times New Roman" w:hAnsi="Times New Roman"/>
        </w:rPr>
        <w:t>土壤监测点位统计见</w:t>
      </w:r>
      <w:r>
        <w:rPr>
          <w:rFonts w:ascii="Times New Roman" w:hAnsi="Times New Roman"/>
        </w:rPr>
        <w:fldChar w:fldCharType="begin"/>
      </w:r>
      <w:r>
        <w:rPr>
          <w:rFonts w:ascii="Times New Roman" w:hAnsi="Times New Roman"/>
        </w:rPr>
        <w:instrText xml:space="preserve"> REF _Ref155625972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15</w:t>
      </w:r>
      <w:r>
        <w:rPr>
          <w:rFonts w:ascii="Times New Roman" w:hAnsi="Times New Roman"/>
        </w:rPr>
        <w:fldChar w:fldCharType="end"/>
      </w:r>
      <w:r>
        <w:rPr>
          <w:rFonts w:ascii="Times New Roman" w:hAnsi="Times New Roman"/>
        </w:rPr>
        <w:t>。</w:t>
      </w:r>
    </w:p>
    <w:p>
      <w:pPr>
        <w:spacing w:line="240" w:lineRule="auto"/>
        <w:ind w:firstLine="0" w:firstLineChars="0"/>
        <w:jc w:val="center"/>
        <w:rPr>
          <w:rFonts w:ascii="Times New Roman" w:hAnsi="Times New Roman" w:eastAsia="黑体"/>
        </w:rPr>
      </w:pPr>
      <w:bookmarkStart w:id="154" w:name="_Ref155625972"/>
      <w:r>
        <w:rPr>
          <w:rFonts w:ascii="Times New Roman" w:hAnsi="Times New Roman"/>
        </w:rPr>
        <w:t xml:space="preserve">表 </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5</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表 \* ARABIC \s 1 </w:instrText>
      </w:r>
      <w:r>
        <w:rPr>
          <w:rFonts w:ascii="Times New Roman" w:hAnsi="Times New Roman"/>
        </w:rPr>
        <w:fldChar w:fldCharType="separate"/>
      </w:r>
      <w:r>
        <w:rPr>
          <w:rFonts w:ascii="Times New Roman" w:hAnsi="Times New Roman"/>
        </w:rPr>
        <w:t>15</w:t>
      </w:r>
      <w:r>
        <w:rPr>
          <w:rFonts w:ascii="Times New Roman" w:hAnsi="Times New Roman"/>
        </w:rPr>
        <w:fldChar w:fldCharType="end"/>
      </w:r>
      <w:bookmarkEnd w:id="154"/>
      <w:r>
        <w:rPr>
          <w:rFonts w:ascii="Times New Roman" w:hAnsi="Times New Roman" w:eastAsia="黑体"/>
        </w:rPr>
        <w:t>土壤监测点位及监测因子统计表</w:t>
      </w:r>
    </w:p>
    <w:tbl>
      <w:tblPr>
        <w:tblStyle w:val="28"/>
        <w:tblW w:w="5474"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28" w:type="dxa"/>
          <w:bottom w:w="0" w:type="dxa"/>
          <w:right w:w="28" w:type="dxa"/>
        </w:tblCellMar>
      </w:tblPr>
      <w:tblGrid>
        <w:gridCol w:w="578"/>
        <w:gridCol w:w="921"/>
        <w:gridCol w:w="1633"/>
        <w:gridCol w:w="1912"/>
        <w:gridCol w:w="848"/>
        <w:gridCol w:w="1135"/>
        <w:gridCol w:w="212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33"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编号</w:t>
            </w:r>
          </w:p>
        </w:tc>
        <w:tc>
          <w:tcPr>
            <w:tcW w:w="2439" w:type="pct"/>
            <w:gridSpan w:val="3"/>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位置</w:t>
            </w:r>
          </w:p>
        </w:tc>
        <w:tc>
          <w:tcPr>
            <w:tcW w:w="463"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类型</w:t>
            </w: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采样深度</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监测因子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08"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T1</w:t>
            </w:r>
          </w:p>
        </w:tc>
        <w:tc>
          <w:tcPr>
            <w:tcW w:w="503" w:type="pct"/>
            <w:vMerge w:val="restar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宣探1井</w:t>
            </w:r>
          </w:p>
        </w:tc>
        <w:tc>
          <w:tcPr>
            <w:tcW w:w="89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工艺装置区</w:t>
            </w:r>
          </w:p>
        </w:tc>
        <w:tc>
          <w:tcPr>
            <w:tcW w:w="1044"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E：107°50′44.22″</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N：31°26′8.18″</w:t>
            </w:r>
          </w:p>
        </w:tc>
        <w:tc>
          <w:tcPr>
            <w:tcW w:w="463" w:type="pct"/>
            <w:vMerge w:val="restar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柱状样</w:t>
            </w: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0.3-0.5m</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1.2-1.5m</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2.5-3m</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r>
              <w:rPr>
                <w:rFonts w:ascii="Times New Roman" w:hAnsi="Times New Roman"/>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185"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T2</w:t>
            </w:r>
          </w:p>
        </w:tc>
        <w:tc>
          <w:tcPr>
            <w:tcW w:w="50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89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工艺装置区</w:t>
            </w:r>
          </w:p>
        </w:tc>
        <w:tc>
          <w:tcPr>
            <w:tcW w:w="1044"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E：107°50′43.45″</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N：31°26′7.27″</w:t>
            </w:r>
          </w:p>
        </w:tc>
        <w:tc>
          <w:tcPr>
            <w:tcW w:w="46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0.3-0.5m</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1.2-1.5m</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2.5-3m</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r>
              <w:rPr>
                <w:rFonts w:ascii="Times New Roman" w:hAnsi="Times New Roman"/>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08"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T3</w:t>
            </w:r>
          </w:p>
        </w:tc>
        <w:tc>
          <w:tcPr>
            <w:tcW w:w="50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892" w:type="pct"/>
            <w:vAlign w:val="center"/>
          </w:tcPr>
          <w:p>
            <w:pPr>
              <w:widowControl/>
              <w:adjustRightInd w:val="0"/>
              <w:snapToGrid w:val="0"/>
              <w:spacing w:line="240" w:lineRule="auto"/>
              <w:ind w:firstLine="0" w:firstLineChars="0"/>
              <w:jc w:val="both"/>
              <w:textAlignment w:val="center"/>
              <w:rPr>
                <w:rFonts w:ascii="Times New Roman" w:hAnsi="Times New Roman"/>
                <w:sz w:val="21"/>
                <w:szCs w:val="21"/>
              </w:rPr>
            </w:pPr>
            <w:r>
              <w:rPr>
                <w:rFonts w:ascii="Times New Roman" w:hAnsi="Times New Roman"/>
                <w:sz w:val="21"/>
                <w:szCs w:val="21"/>
              </w:rPr>
              <w:t>修井作业场地内</w:t>
            </w:r>
          </w:p>
        </w:tc>
        <w:tc>
          <w:tcPr>
            <w:tcW w:w="1044"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E：107°50′41.63″</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N：31°26′7.63″</w:t>
            </w:r>
          </w:p>
        </w:tc>
        <w:tc>
          <w:tcPr>
            <w:tcW w:w="46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0.3-0.5m</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1.2-1.5m</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2.5-3m</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r>
              <w:rPr>
                <w:rFonts w:ascii="Times New Roman" w:hAnsi="Times New Roman"/>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08"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T4</w:t>
            </w:r>
          </w:p>
        </w:tc>
        <w:tc>
          <w:tcPr>
            <w:tcW w:w="50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89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仪表风撬区</w:t>
            </w:r>
          </w:p>
        </w:tc>
        <w:tc>
          <w:tcPr>
            <w:tcW w:w="1044"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E：107°50′40.49″</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N：31°26′6.83639″</w:t>
            </w:r>
          </w:p>
        </w:tc>
        <w:tc>
          <w:tcPr>
            <w:tcW w:w="463" w:type="pct"/>
            <w:vMerge w:val="restar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表层样</w:t>
            </w: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0-0.2m</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GB 36600基本因子+石油烃（C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r>
              <w:rPr>
                <w:rFonts w:ascii="Times New Roman" w:hAnsi="Times New Roman"/>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08"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T5</w:t>
            </w:r>
          </w:p>
        </w:tc>
        <w:tc>
          <w:tcPr>
            <w:tcW w:w="50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89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占地范围外下游</w:t>
            </w:r>
          </w:p>
        </w:tc>
        <w:tc>
          <w:tcPr>
            <w:tcW w:w="1044"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E：107°50′43.22″</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N：31°26′9.20″</w:t>
            </w:r>
          </w:p>
        </w:tc>
        <w:tc>
          <w:tcPr>
            <w:tcW w:w="46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0-0.2m</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r>
              <w:rPr>
                <w:rFonts w:ascii="Times New Roman" w:hAnsi="Times New Roman"/>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08"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T6</w:t>
            </w:r>
          </w:p>
        </w:tc>
        <w:tc>
          <w:tcPr>
            <w:tcW w:w="50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89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占地范围外上游</w:t>
            </w:r>
          </w:p>
        </w:tc>
        <w:tc>
          <w:tcPr>
            <w:tcW w:w="1044"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E：107°50′42.70″</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N：31°26′6.31″</w:t>
            </w:r>
          </w:p>
        </w:tc>
        <w:tc>
          <w:tcPr>
            <w:tcW w:w="46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0-0.2m</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r>
              <w:rPr>
                <w:rFonts w:ascii="Times New Roman" w:hAnsi="Times New Roman"/>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08"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T7</w:t>
            </w:r>
          </w:p>
        </w:tc>
        <w:tc>
          <w:tcPr>
            <w:tcW w:w="503" w:type="pct"/>
            <w:vMerge w:val="restar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宣兴1井</w:t>
            </w:r>
          </w:p>
        </w:tc>
        <w:tc>
          <w:tcPr>
            <w:tcW w:w="89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工艺装置区</w:t>
            </w:r>
          </w:p>
        </w:tc>
        <w:tc>
          <w:tcPr>
            <w:tcW w:w="1044"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E：107°50′55.02″</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N：31°27′17.96″</w:t>
            </w:r>
          </w:p>
        </w:tc>
        <w:tc>
          <w:tcPr>
            <w:tcW w:w="463" w:type="pct"/>
            <w:vMerge w:val="restar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柱状样</w:t>
            </w: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0.3-0.5m</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1.2-1.5m</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2.5-3m</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r>
              <w:rPr>
                <w:rFonts w:ascii="Times New Roman" w:hAnsi="Times New Roman"/>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08"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T8</w:t>
            </w:r>
          </w:p>
        </w:tc>
        <w:tc>
          <w:tcPr>
            <w:tcW w:w="50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89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工艺装置区</w:t>
            </w:r>
          </w:p>
        </w:tc>
        <w:tc>
          <w:tcPr>
            <w:tcW w:w="1044"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E：107°50′53.06″</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N：31°27′18.71″</w:t>
            </w:r>
          </w:p>
        </w:tc>
        <w:tc>
          <w:tcPr>
            <w:tcW w:w="46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0.3-0.5m</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1.2-1.5m</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2.5-3m</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r>
              <w:rPr>
                <w:rFonts w:ascii="Times New Roman" w:hAnsi="Times New Roman"/>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08"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T9</w:t>
            </w:r>
          </w:p>
        </w:tc>
        <w:tc>
          <w:tcPr>
            <w:tcW w:w="50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89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修井作业场地内</w:t>
            </w:r>
          </w:p>
        </w:tc>
        <w:tc>
          <w:tcPr>
            <w:tcW w:w="1044"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E：107°50′51.55″</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N：31°27′18.67″</w:t>
            </w:r>
          </w:p>
        </w:tc>
        <w:tc>
          <w:tcPr>
            <w:tcW w:w="46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0.3-0.5m</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1.2-1.5m</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2.5-3m</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r>
              <w:rPr>
                <w:rFonts w:ascii="Times New Roman" w:hAnsi="Times New Roman"/>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08"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T10</w:t>
            </w:r>
          </w:p>
        </w:tc>
        <w:tc>
          <w:tcPr>
            <w:tcW w:w="50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89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仪控房</w:t>
            </w:r>
          </w:p>
        </w:tc>
        <w:tc>
          <w:tcPr>
            <w:tcW w:w="1044"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E：107°50′51.37″</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N：31°27′19.77″</w:t>
            </w:r>
          </w:p>
        </w:tc>
        <w:tc>
          <w:tcPr>
            <w:tcW w:w="463" w:type="pct"/>
            <w:vMerge w:val="restar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表层样</w:t>
            </w: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0-0.2m</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GB 36600基本因子+石油烃（C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r>
              <w:rPr>
                <w:rFonts w:ascii="Times New Roman" w:hAnsi="Times New Roman"/>
                <w:sz w:val="21"/>
                <w:szCs w:val="21"/>
              </w:rPr>
              <w:t>）+pH值</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08"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T11</w:t>
            </w:r>
          </w:p>
        </w:tc>
        <w:tc>
          <w:tcPr>
            <w:tcW w:w="50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89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占地范围外下游</w:t>
            </w:r>
          </w:p>
        </w:tc>
        <w:tc>
          <w:tcPr>
            <w:tcW w:w="1044"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E：107°50′54.28″</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N：31°27′19.68″</w:t>
            </w:r>
          </w:p>
        </w:tc>
        <w:tc>
          <w:tcPr>
            <w:tcW w:w="46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0-0.2m</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r>
              <w:rPr>
                <w:rFonts w:ascii="Times New Roman" w:hAnsi="Times New Roman"/>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08"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T12</w:t>
            </w:r>
          </w:p>
        </w:tc>
        <w:tc>
          <w:tcPr>
            <w:tcW w:w="50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89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占地范围外上游</w:t>
            </w:r>
          </w:p>
        </w:tc>
        <w:tc>
          <w:tcPr>
            <w:tcW w:w="1044"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E：107°50′50.64″</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N：31°27′17.59″</w:t>
            </w:r>
          </w:p>
        </w:tc>
        <w:tc>
          <w:tcPr>
            <w:tcW w:w="46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0-0.2m</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r>
              <w:rPr>
                <w:rFonts w:ascii="Times New Roman" w:hAnsi="Times New Roman"/>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08"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T13</w:t>
            </w:r>
          </w:p>
        </w:tc>
        <w:tc>
          <w:tcPr>
            <w:tcW w:w="503" w:type="pct"/>
            <w:vMerge w:val="restar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管线</w:t>
            </w:r>
          </w:p>
        </w:tc>
        <w:tc>
          <w:tcPr>
            <w:tcW w:w="89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宣探阀室内</w:t>
            </w:r>
          </w:p>
        </w:tc>
        <w:tc>
          <w:tcPr>
            <w:tcW w:w="1044"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E：107°49′17.79″</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N：31°27′24.57″</w:t>
            </w:r>
          </w:p>
        </w:tc>
        <w:tc>
          <w:tcPr>
            <w:tcW w:w="463" w:type="pct"/>
            <w:vMerge w:val="restar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表层样</w:t>
            </w: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0-0.2m</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GB 15618基本因子</w:t>
            </w:r>
            <w:r>
              <w:rPr>
                <w:rFonts w:ascii="Times New Roman" w:hAnsi="Times New Roman"/>
                <w:bCs/>
                <w:szCs w:val="20"/>
              </w:rPr>
              <w:t>+pH值+</w:t>
            </w:r>
            <w:r>
              <w:rPr>
                <w:rFonts w:ascii="Times New Roman" w:hAnsi="Times New Roman"/>
                <w:sz w:val="21"/>
                <w:szCs w:val="21"/>
              </w:rPr>
              <w:t>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r>
              <w:rPr>
                <w:rFonts w:ascii="Times New Roman" w:hAnsi="Times New Roman"/>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08"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T14</w:t>
            </w:r>
          </w:p>
        </w:tc>
        <w:tc>
          <w:tcPr>
            <w:tcW w:w="50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89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基本农田</w:t>
            </w:r>
          </w:p>
        </w:tc>
        <w:tc>
          <w:tcPr>
            <w:tcW w:w="1044"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E：107°48′28.47″</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N：31°29′14.49″</w:t>
            </w:r>
          </w:p>
        </w:tc>
        <w:tc>
          <w:tcPr>
            <w:tcW w:w="46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0-0.2m</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r>
              <w:rPr>
                <w:rFonts w:ascii="Times New Roman" w:hAnsi="Times New Roman"/>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08"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T15</w:t>
            </w:r>
          </w:p>
        </w:tc>
        <w:tc>
          <w:tcPr>
            <w:tcW w:w="50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89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宣探清罐站内</w:t>
            </w:r>
          </w:p>
        </w:tc>
        <w:tc>
          <w:tcPr>
            <w:tcW w:w="1044"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E：107°47′36.29″</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N：31°30′16.72″</w:t>
            </w:r>
          </w:p>
        </w:tc>
        <w:tc>
          <w:tcPr>
            <w:tcW w:w="46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0-0.2m</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r>
              <w:rPr>
                <w:rFonts w:ascii="Times New Roman" w:hAnsi="Times New Roman"/>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08" w:hRule="atLeast"/>
          <w:jc w:val="center"/>
        </w:trPr>
        <w:tc>
          <w:tcPr>
            <w:tcW w:w="316"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T16</w:t>
            </w:r>
          </w:p>
        </w:tc>
        <w:tc>
          <w:tcPr>
            <w:tcW w:w="50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89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居住区</w:t>
            </w:r>
          </w:p>
        </w:tc>
        <w:tc>
          <w:tcPr>
            <w:tcW w:w="1044"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E：107°50′40.326″</w:t>
            </w:r>
          </w:p>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N：31°27′12.37″</w:t>
            </w:r>
          </w:p>
        </w:tc>
        <w:tc>
          <w:tcPr>
            <w:tcW w:w="463"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620"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0-0.2m</w:t>
            </w:r>
          </w:p>
        </w:tc>
        <w:tc>
          <w:tcPr>
            <w:tcW w:w="1162"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r>
              <w:rPr>
                <w:rFonts w:ascii="Times New Roman" w:hAnsi="Times New Roman"/>
                <w:sz w:val="21"/>
                <w:szCs w:val="21"/>
              </w:rPr>
              <w:t>）</w:t>
            </w:r>
          </w:p>
        </w:tc>
      </w:tr>
    </w:tbl>
    <w:p>
      <w:pPr>
        <w:adjustRightInd w:val="0"/>
        <w:snapToGrid w:val="0"/>
        <w:ind w:firstLine="480"/>
        <w:jc w:val="both"/>
        <w:rPr>
          <w:rFonts w:ascii="Times New Roman" w:hAnsi="Times New Roman"/>
        </w:rPr>
      </w:pPr>
    </w:p>
    <w:p>
      <w:pPr>
        <w:pStyle w:val="5"/>
        <w:rPr>
          <w:rFonts w:ascii="Times New Roman" w:hAnsi="Times New Roman"/>
        </w:rPr>
      </w:pPr>
      <w:r>
        <w:rPr>
          <w:rFonts w:ascii="Times New Roman" w:hAnsi="Times New Roman"/>
        </w:rPr>
        <w:t>监测时间及频次</w:t>
      </w:r>
    </w:p>
    <w:p>
      <w:pPr>
        <w:adjustRightInd w:val="0"/>
        <w:snapToGrid w:val="0"/>
        <w:ind w:firstLine="480"/>
        <w:jc w:val="both"/>
        <w:rPr>
          <w:rFonts w:ascii="Times New Roman" w:hAnsi="Times New Roman"/>
        </w:rPr>
      </w:pPr>
      <w:r>
        <w:rPr>
          <w:rFonts w:ascii="Times New Roman" w:hAnsi="Times New Roman"/>
        </w:rPr>
        <w:t>2023年12月18日～21日，各监测点位采样1次。</w:t>
      </w:r>
    </w:p>
    <w:p>
      <w:pPr>
        <w:pStyle w:val="5"/>
        <w:rPr>
          <w:rFonts w:ascii="Times New Roman" w:hAnsi="Times New Roman"/>
        </w:rPr>
      </w:pPr>
      <w:r>
        <w:rPr>
          <w:rFonts w:ascii="Times New Roman" w:hAnsi="Times New Roman"/>
        </w:rPr>
        <w:t>监测分析方法</w:t>
      </w:r>
    </w:p>
    <w:p>
      <w:pPr>
        <w:adjustRightInd w:val="0"/>
        <w:snapToGrid w:val="0"/>
        <w:ind w:firstLine="480"/>
        <w:jc w:val="both"/>
        <w:rPr>
          <w:rFonts w:ascii="Times New Roman" w:hAnsi="Times New Roman"/>
        </w:rPr>
      </w:pPr>
      <w:r>
        <w:rPr>
          <w:rFonts w:ascii="Times New Roman" w:hAnsi="Times New Roman"/>
        </w:rPr>
        <w:t>土壤样品的采集、保存、分析与质量控制均按《环境监测技术规范》进行。各监测项目监测分析方法详见</w:t>
      </w:r>
      <w:r>
        <w:rPr>
          <w:rFonts w:ascii="Times New Roman" w:hAnsi="Times New Roman"/>
        </w:rPr>
        <w:fldChar w:fldCharType="begin"/>
      </w:r>
      <w:r>
        <w:rPr>
          <w:rFonts w:ascii="Times New Roman" w:hAnsi="Times New Roman"/>
        </w:rPr>
        <w:instrText xml:space="preserve"> REF _Ref155688468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16</w:t>
      </w:r>
      <w:r>
        <w:rPr>
          <w:rFonts w:ascii="Times New Roman" w:hAnsi="Times New Roman"/>
        </w:rPr>
        <w:fldChar w:fldCharType="end"/>
      </w:r>
      <w:r>
        <w:rPr>
          <w:rFonts w:ascii="Times New Roman" w:hAnsi="Times New Roman"/>
        </w:rPr>
        <w:t>。</w:t>
      </w:r>
    </w:p>
    <w:p>
      <w:pPr>
        <w:spacing w:line="240" w:lineRule="auto"/>
        <w:ind w:firstLine="0" w:firstLineChars="0"/>
        <w:jc w:val="center"/>
        <w:rPr>
          <w:rFonts w:ascii="Times New Roman" w:hAnsi="Times New Roman" w:eastAsia="黑体"/>
        </w:rPr>
      </w:pPr>
      <w:bookmarkStart w:id="155" w:name="_Ref155688468"/>
      <w:r>
        <w:rPr>
          <w:rFonts w:ascii="Times New Roman" w:hAnsi="Times New Roman"/>
        </w:rPr>
        <w:t xml:space="preserve">表 </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5</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表 \* ARABIC \s 1 </w:instrText>
      </w:r>
      <w:r>
        <w:rPr>
          <w:rFonts w:ascii="Times New Roman" w:hAnsi="Times New Roman"/>
        </w:rPr>
        <w:fldChar w:fldCharType="separate"/>
      </w:r>
      <w:r>
        <w:rPr>
          <w:rFonts w:ascii="Times New Roman" w:hAnsi="Times New Roman"/>
        </w:rPr>
        <w:t>16</w:t>
      </w:r>
      <w:r>
        <w:rPr>
          <w:rFonts w:ascii="Times New Roman" w:hAnsi="Times New Roman"/>
        </w:rPr>
        <w:fldChar w:fldCharType="end"/>
      </w:r>
      <w:bookmarkEnd w:id="155"/>
      <w:r>
        <w:rPr>
          <w:rFonts w:ascii="Times New Roman" w:hAnsi="Times New Roman" w:eastAsia="黑体"/>
        </w:rPr>
        <w:t>土壤监测方法、检出限一览表</w:t>
      </w:r>
    </w:p>
    <w:tbl>
      <w:tblPr>
        <w:tblStyle w:val="28"/>
        <w:tblW w:w="505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7"/>
        <w:gridCol w:w="1032"/>
        <w:gridCol w:w="2125"/>
        <w:gridCol w:w="1418"/>
        <w:gridCol w:w="2411"/>
        <w:gridCol w:w="9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trPr>
        <w:tc>
          <w:tcPr>
            <w:tcW w:w="370" w:type="pct"/>
            <w:shd w:val="clear" w:color="auto" w:fill="auto"/>
            <w:noWrap/>
            <w:vAlign w:val="center"/>
          </w:tcPr>
          <w:p>
            <w:pPr>
              <w:widowControl/>
              <w:spacing w:line="240" w:lineRule="auto"/>
              <w:ind w:firstLine="0" w:firstLineChars="0"/>
              <w:rPr>
                <w:rFonts w:ascii="Times New Roman" w:hAnsi="Times New Roman"/>
                <w:kern w:val="0"/>
                <w:sz w:val="21"/>
                <w:szCs w:val="21"/>
              </w:rPr>
            </w:pPr>
            <w:r>
              <w:rPr>
                <w:rFonts w:ascii="Times New Roman" w:hAnsi="Times New Roman"/>
                <w:kern w:val="0"/>
                <w:sz w:val="21"/>
                <w:szCs w:val="21"/>
              </w:rPr>
              <w:t>序号</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检测项目</w:t>
            </w:r>
          </w:p>
        </w:tc>
        <w:tc>
          <w:tcPr>
            <w:tcW w:w="123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检测方法</w:t>
            </w:r>
          </w:p>
        </w:tc>
        <w:tc>
          <w:tcPr>
            <w:tcW w:w="823"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方法来源</w:t>
            </w:r>
          </w:p>
        </w:tc>
        <w:tc>
          <w:tcPr>
            <w:tcW w:w="1400"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检测仪器及编号</w:t>
            </w: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砷</w:t>
            </w:r>
          </w:p>
        </w:tc>
        <w:tc>
          <w:tcPr>
            <w:tcW w:w="123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土壤和沉积物汞、砷、硒、铋、锑的测定 微波消解/原子荧光法</w:t>
            </w:r>
          </w:p>
        </w:tc>
        <w:tc>
          <w:tcPr>
            <w:tcW w:w="823"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HJ680-2013</w:t>
            </w:r>
          </w:p>
        </w:tc>
        <w:tc>
          <w:tcPr>
            <w:tcW w:w="1400"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PF-32原子荧光光度计DFSJC-002</w:t>
            </w: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1"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镉</w:t>
            </w:r>
          </w:p>
        </w:tc>
        <w:tc>
          <w:tcPr>
            <w:tcW w:w="123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土壤质量 铅、镉的测定石墨炉原子吸收分光光度法</w:t>
            </w:r>
          </w:p>
        </w:tc>
        <w:tc>
          <w:tcPr>
            <w:tcW w:w="823"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GB/T17141-1997</w:t>
            </w:r>
          </w:p>
        </w:tc>
        <w:tc>
          <w:tcPr>
            <w:tcW w:w="1400"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TAS-990AFG原子吸收分光光度计DFSJC-001</w:t>
            </w: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1"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六价铬</w:t>
            </w:r>
          </w:p>
        </w:tc>
        <w:tc>
          <w:tcPr>
            <w:tcW w:w="123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土壤和沉积物 六价铬的测定 碱溶液提取-火焰原子吸收分光光度法</w:t>
            </w:r>
          </w:p>
        </w:tc>
        <w:tc>
          <w:tcPr>
            <w:tcW w:w="823"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HJ1082-2019</w:t>
            </w:r>
          </w:p>
        </w:tc>
        <w:tc>
          <w:tcPr>
            <w:tcW w:w="1400"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TAS-990AFG原子吸收分光光度计DFSJC-001</w:t>
            </w: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0.5mg/kg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1"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4</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铜</w:t>
            </w:r>
          </w:p>
        </w:tc>
        <w:tc>
          <w:tcPr>
            <w:tcW w:w="123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土壤和沉积物 铜、锌、铅、镍、铬的测定 火焰原子吸收分光光度法</w:t>
            </w:r>
          </w:p>
        </w:tc>
        <w:tc>
          <w:tcPr>
            <w:tcW w:w="823"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HJ 491-2019</w:t>
            </w:r>
          </w:p>
        </w:tc>
        <w:tc>
          <w:tcPr>
            <w:tcW w:w="1400"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TAS-990AFG原子吸收分光光度计DFSJC-001</w:t>
            </w: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1"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5</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铅</w:t>
            </w:r>
          </w:p>
        </w:tc>
        <w:tc>
          <w:tcPr>
            <w:tcW w:w="123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土壤和沉积物 铜、锌、铅、镍、铬的测定 火焰原子吸收分光光度法</w:t>
            </w:r>
          </w:p>
        </w:tc>
        <w:tc>
          <w:tcPr>
            <w:tcW w:w="823"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HJ 491-2019</w:t>
            </w:r>
          </w:p>
        </w:tc>
        <w:tc>
          <w:tcPr>
            <w:tcW w:w="1400"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TAS-990AFG原子吸收分光光度计DFSJC-001</w:t>
            </w: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6</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汞</w:t>
            </w:r>
          </w:p>
        </w:tc>
        <w:tc>
          <w:tcPr>
            <w:tcW w:w="123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土壤和沉积物 汞、砷、硒、铋、锑的测定 微波消解/原子荧光法</w:t>
            </w:r>
          </w:p>
        </w:tc>
        <w:tc>
          <w:tcPr>
            <w:tcW w:w="823"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HJ 680-2013</w:t>
            </w:r>
          </w:p>
        </w:tc>
        <w:tc>
          <w:tcPr>
            <w:tcW w:w="1400"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PF-32原子荧光光度计DFSJC-002</w:t>
            </w: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0.002mg/kg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1"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7</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镍</w:t>
            </w:r>
          </w:p>
        </w:tc>
        <w:tc>
          <w:tcPr>
            <w:tcW w:w="123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土壤和沉积物 铜、锌、铅、镍、铬的测定 火焰原子吸收分光光度法</w:t>
            </w:r>
          </w:p>
        </w:tc>
        <w:tc>
          <w:tcPr>
            <w:tcW w:w="823"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HJ 491-2019</w:t>
            </w:r>
          </w:p>
        </w:tc>
        <w:tc>
          <w:tcPr>
            <w:tcW w:w="1400"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TAS-990AFG原子吸收分光光度计DFSJC-001</w:t>
            </w: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8</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锌</w:t>
            </w:r>
          </w:p>
        </w:tc>
        <w:tc>
          <w:tcPr>
            <w:tcW w:w="123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土壤和沉积物 铜、锌、铅、镍、铬的测定 火焰原子吸收分光光度法</w:t>
            </w:r>
          </w:p>
        </w:tc>
        <w:tc>
          <w:tcPr>
            <w:tcW w:w="823"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HJ491-2019</w:t>
            </w:r>
          </w:p>
        </w:tc>
        <w:tc>
          <w:tcPr>
            <w:tcW w:w="1400"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TAS-990AFG原子吸收分光光度计DFSJC-001</w:t>
            </w: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9</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铬</w:t>
            </w:r>
          </w:p>
        </w:tc>
        <w:tc>
          <w:tcPr>
            <w:tcW w:w="123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土壤和沉积物 铜、锌、铅、镍、铬的测定 火焰原子吸收分光光度法</w:t>
            </w:r>
          </w:p>
        </w:tc>
        <w:tc>
          <w:tcPr>
            <w:tcW w:w="823"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HJ491-2019</w:t>
            </w:r>
          </w:p>
        </w:tc>
        <w:tc>
          <w:tcPr>
            <w:tcW w:w="1400"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TAS-990AFG原子吸收分光光度计DFSJC-001</w:t>
            </w: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4mg/kg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pH</w:t>
            </w:r>
          </w:p>
        </w:tc>
        <w:tc>
          <w:tcPr>
            <w:tcW w:w="123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土壤 pH值的测定 电位法</w:t>
            </w:r>
          </w:p>
        </w:tc>
        <w:tc>
          <w:tcPr>
            <w:tcW w:w="823"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HJ962-2018</w:t>
            </w:r>
          </w:p>
        </w:tc>
        <w:tc>
          <w:tcPr>
            <w:tcW w:w="1400" w:type="pct"/>
            <w:shd w:val="clear" w:color="auto" w:fill="auto"/>
            <w:vAlign w:val="bottom"/>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PHS-3EpH 计DFSJC-037</w:t>
            </w: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四氯化碳</w:t>
            </w:r>
          </w:p>
        </w:tc>
        <w:tc>
          <w:tcPr>
            <w:tcW w:w="1234" w:type="pct"/>
            <w:vMerge w:val="restar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土壤和沉积物挥发性有机物的测定 吹扫捕集/气相色谱-质谱法</w:t>
            </w:r>
          </w:p>
        </w:tc>
        <w:tc>
          <w:tcPr>
            <w:tcW w:w="823" w:type="pct"/>
            <w:vMerge w:val="restar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HJ 605-2011</w:t>
            </w:r>
          </w:p>
        </w:tc>
        <w:tc>
          <w:tcPr>
            <w:tcW w:w="1400" w:type="pct"/>
            <w:vMerge w:val="restar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气相色谱/质谱联用仪-AgilentGC8860-5977B</w:t>
            </w: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氯仿</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13</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氯甲烷</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14</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1,1-二氯乙烷</w:t>
            </w:r>
          </w:p>
        </w:tc>
        <w:tc>
          <w:tcPr>
            <w:tcW w:w="1234" w:type="pct"/>
            <w:vMerge w:val="restar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土壤和沉积物挥发性有机物的测定吹扫捕集/气相色谱-质谱法</w:t>
            </w:r>
          </w:p>
        </w:tc>
        <w:tc>
          <w:tcPr>
            <w:tcW w:w="823" w:type="pct"/>
            <w:vMerge w:val="restar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HJ 605-2011</w:t>
            </w:r>
          </w:p>
        </w:tc>
        <w:tc>
          <w:tcPr>
            <w:tcW w:w="1400" w:type="pct"/>
            <w:vMerge w:val="restar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气相色谱/质谱联用仪-AgilentGC8860-5977B</w:t>
            </w: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15</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1,2-二氯乙烷</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16</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1,1-二氯乙烯</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17</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顺-1,2-二氯乙烯</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18</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反-1,2-二氯乙烯</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1.4μg/kg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19</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二氯甲烷</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20</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1,2-二氯丙烷</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21</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1,1,1,2-四氯乙烷</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22</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1,1,2,2-四氯乙烷</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23</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四氯乙烯</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1.4μg/kg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24</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1,1,1-三氯乙烷</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25</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1,1,2-三氯乙烷</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26</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三氯乙烯</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27</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1,2,3-三氯丙烷</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28</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氯乙烯</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29</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苯</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1.9μg/kg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30</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氯苯</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31</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1,2-二氯苯</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32</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1,4-二氯苯</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33</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乙苯</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34</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苯乙烯</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35</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甲苯</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36</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间，对-二甲苯</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37</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邻-二甲苯</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38</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硝基苯</w:t>
            </w:r>
          </w:p>
        </w:tc>
        <w:tc>
          <w:tcPr>
            <w:tcW w:w="1234" w:type="pct"/>
            <w:vMerge w:val="restar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土壤和沉积物半挥发性有机物的测定气相色谱-质谱法</w:t>
            </w:r>
          </w:p>
        </w:tc>
        <w:tc>
          <w:tcPr>
            <w:tcW w:w="823" w:type="pct"/>
            <w:vMerge w:val="restar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HJ 834-2017</w:t>
            </w:r>
          </w:p>
        </w:tc>
        <w:tc>
          <w:tcPr>
            <w:tcW w:w="1400" w:type="pct"/>
            <w:vMerge w:val="restar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气相色谱/质谱联用仪-AgilentGC6890N-5973MS</w:t>
            </w: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0.09mg/kg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39</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苯胺</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0.2mg/kg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40</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2-氯苯酚</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0.06mg/kg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41</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苯并[a]蒽</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42</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苯并[a]芘</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43</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苯并[b]荧蒽</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0.2mg/kg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44</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苯并[k]荧蒽</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45</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肅</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46</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二苯并[a,h]蒽</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47</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茚并[1,2,3-cd]芘</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48</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蔡</w:t>
            </w:r>
          </w:p>
        </w:tc>
        <w:tc>
          <w:tcPr>
            <w:tcW w:w="1234" w:type="pct"/>
            <w:vMerge w:val="continue"/>
            <w:vAlign w:val="center"/>
          </w:tcPr>
          <w:p>
            <w:pPr>
              <w:widowControl/>
              <w:spacing w:line="240" w:lineRule="auto"/>
              <w:ind w:firstLine="0" w:firstLineChars="0"/>
              <w:rPr>
                <w:rFonts w:ascii="Times New Roman" w:hAnsi="Times New Roman"/>
                <w:kern w:val="0"/>
                <w:sz w:val="21"/>
                <w:szCs w:val="21"/>
              </w:rPr>
            </w:pPr>
          </w:p>
        </w:tc>
        <w:tc>
          <w:tcPr>
            <w:tcW w:w="823" w:type="pct"/>
            <w:vMerge w:val="continue"/>
            <w:vAlign w:val="center"/>
          </w:tcPr>
          <w:p>
            <w:pPr>
              <w:widowControl/>
              <w:spacing w:line="240" w:lineRule="auto"/>
              <w:ind w:firstLine="0" w:firstLineChars="0"/>
              <w:rPr>
                <w:rFonts w:ascii="Times New Roman" w:hAnsi="Times New Roman"/>
                <w:kern w:val="0"/>
                <w:sz w:val="21"/>
                <w:szCs w:val="21"/>
              </w:rPr>
            </w:pPr>
          </w:p>
        </w:tc>
        <w:tc>
          <w:tcPr>
            <w:tcW w:w="1400" w:type="pct"/>
            <w:vMerge w:val="continue"/>
            <w:vAlign w:val="center"/>
          </w:tcPr>
          <w:p>
            <w:pPr>
              <w:widowControl/>
              <w:spacing w:line="240" w:lineRule="auto"/>
              <w:ind w:firstLine="0" w:firstLineChars="0"/>
              <w:rPr>
                <w:rFonts w:ascii="Times New Roman" w:hAnsi="Times New Roman"/>
                <w:kern w:val="0"/>
                <w:sz w:val="21"/>
                <w:szCs w:val="21"/>
              </w:rPr>
            </w:pP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0.09mg/kg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370" w:type="pct"/>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49</w:t>
            </w:r>
          </w:p>
        </w:tc>
        <w:tc>
          <w:tcPr>
            <w:tcW w:w="599"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石油烃(C₁₀-C₄₀)</w:t>
            </w:r>
          </w:p>
        </w:tc>
        <w:tc>
          <w:tcPr>
            <w:tcW w:w="123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土壤和沉积物石油烃(C₁₀-C₄₀)的测定气相色谱法</w:t>
            </w:r>
          </w:p>
        </w:tc>
        <w:tc>
          <w:tcPr>
            <w:tcW w:w="823"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HJ 1021-2019</w:t>
            </w:r>
          </w:p>
        </w:tc>
        <w:tc>
          <w:tcPr>
            <w:tcW w:w="1400"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GC9790Plus气相色谱仪DFSJC-268</w:t>
            </w:r>
          </w:p>
        </w:tc>
        <w:tc>
          <w:tcPr>
            <w:tcW w:w="574" w:type="pct"/>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6mg/kg</w:t>
            </w:r>
          </w:p>
        </w:tc>
      </w:tr>
    </w:tbl>
    <w:p>
      <w:pPr>
        <w:pStyle w:val="5"/>
        <w:rPr>
          <w:rFonts w:ascii="Times New Roman" w:hAnsi="Times New Roman"/>
        </w:rPr>
      </w:pPr>
      <w:r>
        <w:rPr>
          <w:rFonts w:ascii="Times New Roman" w:hAnsi="Times New Roman"/>
        </w:rPr>
        <w:t>监测结果</w:t>
      </w:r>
    </w:p>
    <w:p>
      <w:pPr>
        <w:adjustRightInd w:val="0"/>
        <w:snapToGrid w:val="0"/>
        <w:ind w:firstLine="480"/>
        <w:jc w:val="both"/>
        <w:rPr>
          <w:rFonts w:ascii="Times New Roman" w:hAnsi="Times New Roman"/>
        </w:rPr>
      </w:pPr>
      <w:r>
        <w:rPr>
          <w:rFonts w:ascii="Times New Roman" w:hAnsi="Times New Roman"/>
        </w:rPr>
        <w:t>特征因子石油烃（C</w:t>
      </w:r>
      <w:r>
        <w:rPr>
          <w:rFonts w:ascii="Times New Roman" w:hAnsi="Times New Roman"/>
          <w:vertAlign w:val="subscript"/>
        </w:rPr>
        <w:t>10</w:t>
      </w:r>
      <w:r>
        <w:rPr>
          <w:rFonts w:ascii="Times New Roman" w:hAnsi="Times New Roman"/>
        </w:rPr>
        <w:t>-C</w:t>
      </w:r>
      <w:r>
        <w:rPr>
          <w:rFonts w:ascii="Times New Roman" w:hAnsi="Times New Roman"/>
          <w:vertAlign w:val="subscript"/>
        </w:rPr>
        <w:t>40</w:t>
      </w:r>
      <w:r>
        <w:rPr>
          <w:rFonts w:ascii="Times New Roman" w:hAnsi="Times New Roman"/>
        </w:rPr>
        <w:t>）监测结果统计见</w:t>
      </w:r>
      <w:r>
        <w:rPr>
          <w:rFonts w:ascii="Times New Roman" w:hAnsi="Times New Roman"/>
        </w:rPr>
        <w:fldChar w:fldCharType="begin"/>
      </w:r>
      <w:r>
        <w:rPr>
          <w:rFonts w:ascii="Times New Roman" w:hAnsi="Times New Roman"/>
        </w:rPr>
        <w:instrText xml:space="preserve"> REF _Ref155688954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17</w:t>
      </w:r>
      <w:r>
        <w:rPr>
          <w:rFonts w:ascii="Times New Roman" w:hAnsi="Times New Roman"/>
        </w:rPr>
        <w:fldChar w:fldCharType="end"/>
      </w:r>
      <w:r>
        <w:rPr>
          <w:rFonts w:ascii="Times New Roman" w:hAnsi="Times New Roman"/>
        </w:rPr>
        <w:t>，建设用地基本因子监测结果统计见</w:t>
      </w:r>
      <w:r>
        <w:rPr>
          <w:rFonts w:ascii="Times New Roman" w:hAnsi="Times New Roman"/>
        </w:rPr>
        <w:fldChar w:fldCharType="begin"/>
      </w:r>
      <w:r>
        <w:rPr>
          <w:rFonts w:ascii="Times New Roman" w:hAnsi="Times New Roman"/>
        </w:rPr>
        <w:instrText xml:space="preserve"> REF _Ref156982545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18</w:t>
      </w:r>
      <w:r>
        <w:rPr>
          <w:rFonts w:ascii="Times New Roman" w:hAnsi="Times New Roman"/>
        </w:rPr>
        <w:fldChar w:fldCharType="end"/>
      </w:r>
      <w:r>
        <w:rPr>
          <w:rFonts w:ascii="Times New Roman" w:hAnsi="Times New Roman"/>
        </w:rPr>
        <w:t>。</w:t>
      </w:r>
    </w:p>
    <w:p>
      <w:pPr>
        <w:ind w:firstLine="0" w:firstLineChars="0"/>
        <w:jc w:val="center"/>
        <w:rPr>
          <w:rFonts w:ascii="Times New Roman" w:hAnsi="Times New Roman"/>
        </w:rPr>
      </w:pPr>
      <w:bookmarkStart w:id="156" w:name="_Ref155688954"/>
      <w:r>
        <w:rPr>
          <w:rFonts w:ascii="Times New Roman" w:hAnsi="Times New Roman"/>
        </w:rPr>
        <w:t xml:space="preserve">表 </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5</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表 \* ARABIC \s 1 </w:instrText>
      </w:r>
      <w:r>
        <w:rPr>
          <w:rFonts w:ascii="Times New Roman" w:hAnsi="Times New Roman"/>
        </w:rPr>
        <w:fldChar w:fldCharType="separate"/>
      </w:r>
      <w:r>
        <w:rPr>
          <w:rFonts w:ascii="Times New Roman" w:hAnsi="Times New Roman"/>
        </w:rPr>
        <w:t>17</w:t>
      </w:r>
      <w:r>
        <w:rPr>
          <w:rFonts w:ascii="Times New Roman" w:hAnsi="Times New Roman"/>
        </w:rPr>
        <w:fldChar w:fldCharType="end"/>
      </w:r>
      <w:bookmarkEnd w:id="156"/>
      <w:r>
        <w:rPr>
          <w:rFonts w:ascii="Times New Roman" w:hAnsi="Times New Roman"/>
        </w:rPr>
        <w:t xml:space="preserve">  石油烃（C</w:t>
      </w:r>
      <w:r>
        <w:rPr>
          <w:rFonts w:ascii="Times New Roman" w:hAnsi="Times New Roman"/>
          <w:vertAlign w:val="subscript"/>
        </w:rPr>
        <w:t>10</w:t>
      </w:r>
      <w:r>
        <w:rPr>
          <w:rFonts w:ascii="Times New Roman" w:hAnsi="Times New Roman"/>
        </w:rPr>
        <w:t>-C</w:t>
      </w:r>
      <w:r>
        <w:rPr>
          <w:rFonts w:ascii="Times New Roman" w:hAnsi="Times New Roman"/>
          <w:vertAlign w:val="subscript"/>
        </w:rPr>
        <w:t>40</w:t>
      </w:r>
      <w:r>
        <w:rPr>
          <w:rFonts w:ascii="Times New Roman" w:hAnsi="Times New Roman"/>
        </w:rPr>
        <w:t>）监测结果统计</w:t>
      </w:r>
    </w:p>
    <w:tbl>
      <w:tblPr>
        <w:tblStyle w:val="28"/>
        <w:tblW w:w="5000" w:type="pct"/>
        <w:tblInd w:w="0" w:type="dxa"/>
        <w:tblLayout w:type="autofit"/>
        <w:tblCellMar>
          <w:top w:w="0" w:type="dxa"/>
          <w:left w:w="108" w:type="dxa"/>
          <w:bottom w:w="0" w:type="dxa"/>
          <w:right w:w="108" w:type="dxa"/>
        </w:tblCellMar>
      </w:tblPr>
      <w:tblGrid>
        <w:gridCol w:w="1242"/>
        <w:gridCol w:w="2978"/>
        <w:gridCol w:w="2604"/>
        <w:gridCol w:w="1698"/>
      </w:tblGrid>
      <w:tr>
        <w:tblPrEx>
          <w:tblCellMar>
            <w:top w:w="0" w:type="dxa"/>
            <w:left w:w="108" w:type="dxa"/>
            <w:bottom w:w="0" w:type="dxa"/>
            <w:right w:w="108" w:type="dxa"/>
          </w:tblCellMar>
        </w:tblPrEx>
        <w:trPr>
          <w:trHeight w:val="288" w:hRule="atLeast"/>
        </w:trPr>
        <w:tc>
          <w:tcPr>
            <w:tcW w:w="72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点位编号</w:t>
            </w:r>
          </w:p>
        </w:tc>
        <w:tc>
          <w:tcPr>
            <w:tcW w:w="1747"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采样深度(m）</w:t>
            </w:r>
          </w:p>
        </w:tc>
        <w:tc>
          <w:tcPr>
            <w:tcW w:w="152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石油烃（C</w:t>
            </w:r>
            <w:r>
              <w:rPr>
                <w:rFonts w:ascii="Times New Roman" w:hAnsi="Times New Roman"/>
                <w:kern w:val="0"/>
                <w:sz w:val="22"/>
                <w:szCs w:val="22"/>
                <w:vertAlign w:val="subscript"/>
              </w:rPr>
              <w:t>10</w:t>
            </w:r>
            <w:r>
              <w:rPr>
                <w:rFonts w:ascii="Times New Roman" w:hAnsi="Times New Roman"/>
                <w:kern w:val="0"/>
                <w:sz w:val="22"/>
                <w:szCs w:val="22"/>
              </w:rPr>
              <w:t>-C</w:t>
            </w:r>
            <w:r>
              <w:rPr>
                <w:rFonts w:ascii="Times New Roman" w:hAnsi="Times New Roman"/>
                <w:kern w:val="0"/>
                <w:sz w:val="22"/>
                <w:szCs w:val="22"/>
                <w:vertAlign w:val="subscript"/>
              </w:rPr>
              <w:t>40</w:t>
            </w:r>
            <w:r>
              <w:rPr>
                <w:rFonts w:ascii="Times New Roman" w:hAnsi="Times New Roman"/>
                <w:kern w:val="0"/>
                <w:sz w:val="22"/>
                <w:szCs w:val="22"/>
              </w:rPr>
              <w:t>）</w:t>
            </w:r>
          </w:p>
        </w:tc>
        <w:tc>
          <w:tcPr>
            <w:tcW w:w="99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标准值</w:t>
            </w:r>
          </w:p>
        </w:tc>
      </w:tr>
      <w:tr>
        <w:tblPrEx>
          <w:tblCellMar>
            <w:top w:w="0" w:type="dxa"/>
            <w:left w:w="108" w:type="dxa"/>
            <w:bottom w:w="0" w:type="dxa"/>
            <w:right w:w="108" w:type="dxa"/>
          </w:tblCellMar>
        </w:tblPrEx>
        <w:trPr>
          <w:trHeight w:val="288" w:hRule="atLeast"/>
        </w:trPr>
        <w:tc>
          <w:tcPr>
            <w:tcW w:w="729"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T1</w:t>
            </w: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0-0.5</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13</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304" w:hRule="atLeast"/>
        </w:trPr>
        <w:tc>
          <w:tcPr>
            <w:tcW w:w="7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rPr>
                <w:rFonts w:ascii="Times New Roman" w:hAnsi="Times New Roman"/>
                <w:kern w:val="0"/>
                <w:sz w:val="22"/>
                <w:szCs w:val="22"/>
              </w:rPr>
            </w:pP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1.0-1.5</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8</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65" w:hRule="atLeast"/>
        </w:trPr>
        <w:tc>
          <w:tcPr>
            <w:tcW w:w="7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rPr>
                <w:rFonts w:ascii="Times New Roman" w:hAnsi="Times New Roman"/>
                <w:kern w:val="0"/>
                <w:sz w:val="22"/>
                <w:szCs w:val="22"/>
              </w:rPr>
            </w:pP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2.5-3.0</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10</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88" w:hRule="atLeast"/>
        </w:trPr>
        <w:tc>
          <w:tcPr>
            <w:tcW w:w="729"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T2</w:t>
            </w: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0-0.5</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10</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88" w:hRule="atLeast"/>
        </w:trPr>
        <w:tc>
          <w:tcPr>
            <w:tcW w:w="7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rPr>
                <w:rFonts w:ascii="Times New Roman" w:hAnsi="Times New Roman"/>
                <w:kern w:val="0"/>
                <w:sz w:val="22"/>
                <w:szCs w:val="22"/>
              </w:rPr>
            </w:pP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1.0-1.5</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8</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93" w:hRule="atLeast"/>
        </w:trPr>
        <w:tc>
          <w:tcPr>
            <w:tcW w:w="7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rPr>
                <w:rFonts w:ascii="Times New Roman" w:hAnsi="Times New Roman"/>
                <w:kern w:val="0"/>
                <w:sz w:val="22"/>
                <w:szCs w:val="22"/>
              </w:rPr>
            </w:pP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2.5-3.0</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12</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55" w:hRule="atLeast"/>
        </w:trPr>
        <w:tc>
          <w:tcPr>
            <w:tcW w:w="729"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T3</w:t>
            </w: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0-0.5</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11</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88" w:hRule="atLeast"/>
        </w:trPr>
        <w:tc>
          <w:tcPr>
            <w:tcW w:w="7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rPr>
                <w:rFonts w:ascii="Times New Roman" w:hAnsi="Times New Roman"/>
                <w:kern w:val="0"/>
                <w:sz w:val="22"/>
                <w:szCs w:val="22"/>
              </w:rPr>
            </w:pP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1.0-1.5</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12</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88" w:hRule="atLeast"/>
        </w:trPr>
        <w:tc>
          <w:tcPr>
            <w:tcW w:w="7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rPr>
                <w:rFonts w:ascii="Times New Roman" w:hAnsi="Times New Roman"/>
                <w:kern w:val="0"/>
                <w:sz w:val="22"/>
                <w:szCs w:val="22"/>
              </w:rPr>
            </w:pP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2.5-3.0</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11</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341" w:hRule="atLeast"/>
        </w:trPr>
        <w:tc>
          <w:tcPr>
            <w:tcW w:w="72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T4</w:t>
            </w: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0-0.2</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17</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75" w:hRule="atLeast"/>
        </w:trPr>
        <w:tc>
          <w:tcPr>
            <w:tcW w:w="72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T5</w:t>
            </w: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0-0.2</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23</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826</w:t>
            </w:r>
          </w:p>
        </w:tc>
      </w:tr>
      <w:tr>
        <w:tblPrEx>
          <w:tblCellMar>
            <w:top w:w="0" w:type="dxa"/>
            <w:left w:w="108" w:type="dxa"/>
            <w:bottom w:w="0" w:type="dxa"/>
            <w:right w:w="108" w:type="dxa"/>
          </w:tblCellMar>
        </w:tblPrEx>
        <w:trPr>
          <w:trHeight w:val="288" w:hRule="atLeast"/>
        </w:trPr>
        <w:tc>
          <w:tcPr>
            <w:tcW w:w="72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T6</w:t>
            </w: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0-0.2</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15</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826</w:t>
            </w:r>
          </w:p>
        </w:tc>
      </w:tr>
      <w:tr>
        <w:tblPrEx>
          <w:tblCellMar>
            <w:top w:w="0" w:type="dxa"/>
            <w:left w:w="108" w:type="dxa"/>
            <w:bottom w:w="0" w:type="dxa"/>
            <w:right w:w="108" w:type="dxa"/>
          </w:tblCellMar>
        </w:tblPrEx>
        <w:trPr>
          <w:trHeight w:val="288" w:hRule="atLeast"/>
        </w:trPr>
        <w:tc>
          <w:tcPr>
            <w:tcW w:w="729"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T7</w:t>
            </w: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0-0.5</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12</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88" w:hRule="atLeast"/>
        </w:trPr>
        <w:tc>
          <w:tcPr>
            <w:tcW w:w="7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rPr>
                <w:rFonts w:ascii="Times New Roman" w:hAnsi="Times New Roman"/>
                <w:kern w:val="0"/>
                <w:sz w:val="22"/>
                <w:szCs w:val="22"/>
              </w:rPr>
            </w:pP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1.0-1.5</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7</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88" w:hRule="atLeast"/>
        </w:trPr>
        <w:tc>
          <w:tcPr>
            <w:tcW w:w="7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rPr>
                <w:rFonts w:ascii="Times New Roman" w:hAnsi="Times New Roman"/>
                <w:kern w:val="0"/>
                <w:sz w:val="22"/>
                <w:szCs w:val="22"/>
              </w:rPr>
            </w:pP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2.5-3.0</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7</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88" w:hRule="atLeast"/>
        </w:trPr>
        <w:tc>
          <w:tcPr>
            <w:tcW w:w="729"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T8</w:t>
            </w: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0-0.5</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34</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88" w:hRule="atLeast"/>
        </w:trPr>
        <w:tc>
          <w:tcPr>
            <w:tcW w:w="7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rPr>
                <w:rFonts w:ascii="Times New Roman" w:hAnsi="Times New Roman"/>
                <w:kern w:val="0"/>
                <w:sz w:val="22"/>
                <w:szCs w:val="22"/>
              </w:rPr>
            </w:pP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1.0-1.5</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34</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88" w:hRule="atLeast"/>
        </w:trPr>
        <w:tc>
          <w:tcPr>
            <w:tcW w:w="7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rPr>
                <w:rFonts w:ascii="Times New Roman" w:hAnsi="Times New Roman"/>
                <w:kern w:val="0"/>
                <w:sz w:val="22"/>
                <w:szCs w:val="22"/>
              </w:rPr>
            </w:pP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2.5-3.0</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40</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88" w:hRule="atLeast"/>
        </w:trPr>
        <w:tc>
          <w:tcPr>
            <w:tcW w:w="729"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T9</w:t>
            </w: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0-0.5</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11</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88" w:hRule="atLeast"/>
        </w:trPr>
        <w:tc>
          <w:tcPr>
            <w:tcW w:w="7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rPr>
                <w:rFonts w:ascii="Times New Roman" w:hAnsi="Times New Roman"/>
                <w:kern w:val="0"/>
                <w:sz w:val="22"/>
                <w:szCs w:val="22"/>
              </w:rPr>
            </w:pP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1.0-1.5</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11</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88" w:hRule="atLeast"/>
        </w:trPr>
        <w:tc>
          <w:tcPr>
            <w:tcW w:w="7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rPr>
                <w:rFonts w:ascii="Times New Roman" w:hAnsi="Times New Roman"/>
                <w:kern w:val="0"/>
                <w:sz w:val="22"/>
                <w:szCs w:val="22"/>
              </w:rPr>
            </w:pPr>
          </w:p>
        </w:tc>
        <w:tc>
          <w:tcPr>
            <w:tcW w:w="174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2.5-3.0</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11</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88" w:hRule="atLeast"/>
        </w:trPr>
        <w:tc>
          <w:tcPr>
            <w:tcW w:w="72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T10</w:t>
            </w:r>
          </w:p>
        </w:tc>
        <w:tc>
          <w:tcPr>
            <w:tcW w:w="174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0-0.2</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50</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4500</w:t>
            </w:r>
          </w:p>
        </w:tc>
      </w:tr>
      <w:tr>
        <w:tblPrEx>
          <w:tblCellMar>
            <w:top w:w="0" w:type="dxa"/>
            <w:left w:w="108" w:type="dxa"/>
            <w:bottom w:w="0" w:type="dxa"/>
            <w:right w:w="108" w:type="dxa"/>
          </w:tblCellMar>
        </w:tblPrEx>
        <w:trPr>
          <w:trHeight w:val="288" w:hRule="atLeast"/>
        </w:trPr>
        <w:tc>
          <w:tcPr>
            <w:tcW w:w="72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T11</w:t>
            </w:r>
          </w:p>
        </w:tc>
        <w:tc>
          <w:tcPr>
            <w:tcW w:w="174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0-0.2</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8</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826</w:t>
            </w:r>
          </w:p>
        </w:tc>
      </w:tr>
      <w:tr>
        <w:tblPrEx>
          <w:tblCellMar>
            <w:top w:w="0" w:type="dxa"/>
            <w:left w:w="108" w:type="dxa"/>
            <w:bottom w:w="0" w:type="dxa"/>
            <w:right w:w="108" w:type="dxa"/>
          </w:tblCellMar>
        </w:tblPrEx>
        <w:trPr>
          <w:trHeight w:val="288" w:hRule="atLeast"/>
        </w:trPr>
        <w:tc>
          <w:tcPr>
            <w:tcW w:w="72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T12</w:t>
            </w:r>
          </w:p>
        </w:tc>
        <w:tc>
          <w:tcPr>
            <w:tcW w:w="174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0-0.2</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15</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826</w:t>
            </w:r>
          </w:p>
        </w:tc>
      </w:tr>
      <w:tr>
        <w:tblPrEx>
          <w:tblCellMar>
            <w:top w:w="0" w:type="dxa"/>
            <w:left w:w="108" w:type="dxa"/>
            <w:bottom w:w="0" w:type="dxa"/>
            <w:right w:w="108" w:type="dxa"/>
          </w:tblCellMar>
        </w:tblPrEx>
        <w:trPr>
          <w:trHeight w:val="288" w:hRule="atLeast"/>
        </w:trPr>
        <w:tc>
          <w:tcPr>
            <w:tcW w:w="72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T13</w:t>
            </w:r>
          </w:p>
        </w:tc>
        <w:tc>
          <w:tcPr>
            <w:tcW w:w="174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0-0.2</w:t>
            </w:r>
          </w:p>
        </w:tc>
        <w:tc>
          <w:tcPr>
            <w:tcW w:w="152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28</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826</w:t>
            </w:r>
          </w:p>
        </w:tc>
      </w:tr>
      <w:tr>
        <w:tblPrEx>
          <w:tblCellMar>
            <w:top w:w="0" w:type="dxa"/>
            <w:left w:w="108" w:type="dxa"/>
            <w:bottom w:w="0" w:type="dxa"/>
            <w:right w:w="108" w:type="dxa"/>
          </w:tblCellMar>
        </w:tblPrEx>
        <w:trPr>
          <w:trHeight w:val="288" w:hRule="atLeast"/>
        </w:trPr>
        <w:tc>
          <w:tcPr>
            <w:tcW w:w="72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T14</w:t>
            </w:r>
          </w:p>
        </w:tc>
        <w:tc>
          <w:tcPr>
            <w:tcW w:w="174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0-0.2</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8</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826</w:t>
            </w:r>
          </w:p>
        </w:tc>
      </w:tr>
      <w:tr>
        <w:tblPrEx>
          <w:tblCellMar>
            <w:top w:w="0" w:type="dxa"/>
            <w:left w:w="108" w:type="dxa"/>
            <w:bottom w:w="0" w:type="dxa"/>
            <w:right w:w="108" w:type="dxa"/>
          </w:tblCellMar>
        </w:tblPrEx>
        <w:trPr>
          <w:trHeight w:val="288" w:hRule="atLeast"/>
        </w:trPr>
        <w:tc>
          <w:tcPr>
            <w:tcW w:w="72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T15</w:t>
            </w:r>
          </w:p>
        </w:tc>
        <w:tc>
          <w:tcPr>
            <w:tcW w:w="174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0-0.2</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13</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826</w:t>
            </w:r>
          </w:p>
        </w:tc>
      </w:tr>
      <w:tr>
        <w:tblPrEx>
          <w:tblCellMar>
            <w:top w:w="0" w:type="dxa"/>
            <w:left w:w="108" w:type="dxa"/>
            <w:bottom w:w="0" w:type="dxa"/>
            <w:right w:w="108" w:type="dxa"/>
          </w:tblCellMar>
        </w:tblPrEx>
        <w:trPr>
          <w:trHeight w:val="288" w:hRule="atLeast"/>
        </w:trPr>
        <w:tc>
          <w:tcPr>
            <w:tcW w:w="72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T16</w:t>
            </w:r>
          </w:p>
        </w:tc>
        <w:tc>
          <w:tcPr>
            <w:tcW w:w="174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0-0.2</w:t>
            </w:r>
          </w:p>
        </w:tc>
        <w:tc>
          <w:tcPr>
            <w:tcW w:w="152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39</w:t>
            </w:r>
          </w:p>
        </w:tc>
        <w:tc>
          <w:tcPr>
            <w:tcW w:w="99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2"/>
                <w:szCs w:val="22"/>
              </w:rPr>
            </w:pPr>
            <w:r>
              <w:rPr>
                <w:rFonts w:ascii="Times New Roman" w:hAnsi="Times New Roman"/>
                <w:kern w:val="0"/>
                <w:sz w:val="22"/>
                <w:szCs w:val="22"/>
              </w:rPr>
              <w:t>826</w:t>
            </w:r>
          </w:p>
        </w:tc>
      </w:tr>
    </w:tbl>
    <w:p>
      <w:pPr>
        <w:ind w:firstLine="0" w:firstLineChars="0"/>
        <w:jc w:val="center"/>
        <w:rPr>
          <w:rFonts w:ascii="Times New Roman" w:hAnsi="Times New Roman"/>
        </w:rPr>
      </w:pPr>
      <w:bookmarkStart w:id="157" w:name="_Ref155690012"/>
    </w:p>
    <w:p>
      <w:pPr>
        <w:ind w:firstLine="0" w:firstLineChars="0"/>
        <w:jc w:val="center"/>
        <w:rPr>
          <w:rFonts w:ascii="Times New Roman" w:hAnsi="Times New Roman"/>
        </w:rPr>
      </w:pPr>
      <w:bookmarkStart w:id="158" w:name="_Ref156982545"/>
      <w:r>
        <w:rPr>
          <w:rFonts w:ascii="Times New Roman" w:hAnsi="Times New Roman"/>
        </w:rPr>
        <w:t xml:space="preserve">表 </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5</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表 \* ARABIC \s 1 </w:instrText>
      </w:r>
      <w:r>
        <w:rPr>
          <w:rFonts w:ascii="Times New Roman" w:hAnsi="Times New Roman"/>
        </w:rPr>
        <w:fldChar w:fldCharType="separate"/>
      </w:r>
      <w:r>
        <w:rPr>
          <w:rFonts w:ascii="Times New Roman" w:hAnsi="Times New Roman"/>
        </w:rPr>
        <w:t>18</w:t>
      </w:r>
      <w:r>
        <w:rPr>
          <w:rFonts w:ascii="Times New Roman" w:hAnsi="Times New Roman"/>
        </w:rPr>
        <w:fldChar w:fldCharType="end"/>
      </w:r>
      <w:bookmarkEnd w:id="157"/>
      <w:bookmarkEnd w:id="158"/>
      <w:r>
        <w:rPr>
          <w:rFonts w:ascii="Times New Roman" w:hAnsi="Times New Roman"/>
        </w:rPr>
        <w:t xml:space="preserve">  T4、T10基本因子监测结果统计</w:t>
      </w:r>
    </w:p>
    <w:tbl>
      <w:tblPr>
        <w:tblStyle w:val="28"/>
        <w:tblW w:w="8556" w:type="dxa"/>
        <w:tblInd w:w="-34" w:type="dxa"/>
        <w:tblLayout w:type="autofit"/>
        <w:tblCellMar>
          <w:top w:w="0" w:type="dxa"/>
          <w:left w:w="108" w:type="dxa"/>
          <w:bottom w:w="0" w:type="dxa"/>
          <w:right w:w="108" w:type="dxa"/>
        </w:tblCellMar>
      </w:tblPr>
      <w:tblGrid>
        <w:gridCol w:w="993"/>
        <w:gridCol w:w="2410"/>
        <w:gridCol w:w="1631"/>
        <w:gridCol w:w="1962"/>
        <w:gridCol w:w="1560"/>
      </w:tblGrid>
      <w:tr>
        <w:tblPrEx>
          <w:tblCellMar>
            <w:top w:w="0" w:type="dxa"/>
            <w:left w:w="108" w:type="dxa"/>
            <w:bottom w:w="0" w:type="dxa"/>
            <w:right w:w="108" w:type="dxa"/>
          </w:tblCellMar>
        </w:tblPrEx>
        <w:trPr>
          <w:trHeight w:val="307" w:hRule="atLeast"/>
        </w:trPr>
        <w:tc>
          <w:tcPr>
            <w:tcW w:w="993" w:type="dxa"/>
            <w:vMerge w:val="restart"/>
            <w:tcBorders>
              <w:top w:val="single" w:color="auto" w:sz="4" w:space="0"/>
              <w:left w:val="single" w:color="auto" w:sz="4" w:space="0"/>
              <w:right w:val="single" w:color="auto" w:sz="4" w:space="0"/>
            </w:tcBorders>
            <w:vAlign w:val="center"/>
          </w:tcPr>
          <w:p>
            <w:pPr>
              <w:pStyle w:val="39"/>
              <w:rPr>
                <w:rFonts w:ascii="Times New Roman" w:hAnsi="Times New Roman"/>
              </w:rPr>
            </w:pPr>
            <w:r>
              <w:rPr>
                <w:rFonts w:ascii="Times New Roman" w:hAnsi="Times New Roman"/>
              </w:rPr>
              <w:t>序号</w:t>
            </w:r>
          </w:p>
        </w:tc>
        <w:tc>
          <w:tcPr>
            <w:tcW w:w="241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检测项目</w:t>
            </w:r>
          </w:p>
        </w:tc>
        <w:tc>
          <w:tcPr>
            <w:tcW w:w="3593" w:type="dxa"/>
            <w:gridSpan w:val="2"/>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检测结果</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标准mg/kg</w:t>
            </w:r>
          </w:p>
        </w:tc>
      </w:tr>
      <w:tr>
        <w:tblPrEx>
          <w:tblCellMar>
            <w:top w:w="0" w:type="dxa"/>
            <w:left w:w="108" w:type="dxa"/>
            <w:bottom w:w="0" w:type="dxa"/>
            <w:right w:w="108" w:type="dxa"/>
          </w:tblCellMar>
        </w:tblPrEx>
        <w:trPr>
          <w:trHeight w:val="411" w:hRule="atLeast"/>
        </w:trPr>
        <w:tc>
          <w:tcPr>
            <w:tcW w:w="993" w:type="dxa"/>
            <w:vMerge w:val="continue"/>
            <w:tcBorders>
              <w:left w:val="single" w:color="auto" w:sz="4" w:space="0"/>
              <w:bottom w:val="single" w:color="auto" w:sz="4" w:space="0"/>
              <w:right w:val="single" w:color="auto" w:sz="4" w:space="0"/>
            </w:tcBorders>
            <w:vAlign w:val="center"/>
          </w:tcPr>
          <w:p>
            <w:pPr>
              <w:pStyle w:val="39"/>
              <w:rPr>
                <w:rFonts w:ascii="Times New Roman" w:hAnsi="Times New Roman"/>
              </w:rPr>
            </w:pPr>
          </w:p>
        </w:tc>
        <w:tc>
          <w:tcPr>
            <w:tcW w:w="2410" w:type="dxa"/>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T4仪表风撬区</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T10 仪控房</w:t>
            </w:r>
          </w:p>
        </w:tc>
        <w:tc>
          <w:tcPr>
            <w:tcW w:w="1560" w:type="dxa"/>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r>
      <w:tr>
        <w:tblPrEx>
          <w:tblCellMar>
            <w:top w:w="0" w:type="dxa"/>
            <w:left w:w="108" w:type="dxa"/>
            <w:bottom w:w="0" w:type="dxa"/>
            <w:right w:w="108" w:type="dxa"/>
          </w:tblCellMar>
        </w:tblPrEx>
        <w:trPr>
          <w:trHeight w:val="274"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1</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砷</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1.06</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0.86</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60</w:t>
            </w:r>
          </w:p>
        </w:tc>
      </w:tr>
      <w:tr>
        <w:tblPrEx>
          <w:tblCellMar>
            <w:top w:w="0" w:type="dxa"/>
            <w:left w:w="108" w:type="dxa"/>
            <w:bottom w:w="0" w:type="dxa"/>
            <w:right w:w="108" w:type="dxa"/>
          </w:tblCellMar>
        </w:tblPrEx>
        <w:trPr>
          <w:trHeight w:val="237"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2</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镉</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0.35</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0.79</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65</w:t>
            </w:r>
          </w:p>
        </w:tc>
      </w:tr>
      <w:tr>
        <w:tblPrEx>
          <w:tblCellMar>
            <w:top w:w="0" w:type="dxa"/>
            <w:left w:w="108" w:type="dxa"/>
            <w:bottom w:w="0" w:type="dxa"/>
            <w:right w:w="108" w:type="dxa"/>
          </w:tblCellMar>
        </w:tblPrEx>
        <w:trPr>
          <w:trHeight w:val="199"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3</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六价铬</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5.7</w:t>
            </w:r>
          </w:p>
        </w:tc>
      </w:tr>
      <w:tr>
        <w:tblPrEx>
          <w:tblCellMar>
            <w:top w:w="0" w:type="dxa"/>
            <w:left w:w="108" w:type="dxa"/>
            <w:bottom w:w="0" w:type="dxa"/>
            <w:right w:w="108" w:type="dxa"/>
          </w:tblCellMar>
        </w:tblPrEx>
        <w:trPr>
          <w:trHeight w:val="303"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4</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铜</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25</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23</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18000</w:t>
            </w:r>
          </w:p>
        </w:tc>
      </w:tr>
      <w:tr>
        <w:tblPrEx>
          <w:tblCellMar>
            <w:top w:w="0" w:type="dxa"/>
            <w:left w:w="108" w:type="dxa"/>
            <w:bottom w:w="0" w:type="dxa"/>
            <w:right w:w="108" w:type="dxa"/>
          </w:tblCellMar>
        </w:tblPrEx>
        <w:trPr>
          <w:trHeight w:val="251"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5</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铅</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18</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25</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800</w:t>
            </w:r>
          </w:p>
        </w:tc>
      </w:tr>
      <w:tr>
        <w:tblPrEx>
          <w:tblCellMar>
            <w:top w:w="0" w:type="dxa"/>
            <w:left w:w="108" w:type="dxa"/>
            <w:bottom w:w="0" w:type="dxa"/>
            <w:right w:w="108" w:type="dxa"/>
          </w:tblCellMar>
        </w:tblPrEx>
        <w:trPr>
          <w:trHeight w:val="369"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6</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汞</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0.353</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0.114</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38</w:t>
            </w:r>
          </w:p>
        </w:tc>
      </w:tr>
      <w:tr>
        <w:tblPrEx>
          <w:tblCellMar>
            <w:top w:w="0" w:type="dxa"/>
            <w:left w:w="108" w:type="dxa"/>
            <w:bottom w:w="0" w:type="dxa"/>
            <w:right w:w="108" w:type="dxa"/>
          </w:tblCellMar>
        </w:tblPrEx>
        <w:trPr>
          <w:trHeight w:val="205"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7</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镍</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59</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42</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900</w:t>
            </w:r>
          </w:p>
        </w:tc>
      </w:tr>
      <w:tr>
        <w:tblPrEx>
          <w:tblCellMar>
            <w:top w:w="0" w:type="dxa"/>
            <w:left w:w="108" w:type="dxa"/>
            <w:bottom w:w="0" w:type="dxa"/>
            <w:right w:w="108" w:type="dxa"/>
          </w:tblCellMar>
        </w:tblPrEx>
        <w:trPr>
          <w:trHeight w:val="132"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8</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四氯化碳</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2.8</w:t>
            </w:r>
          </w:p>
        </w:tc>
      </w:tr>
      <w:tr>
        <w:tblPrEx>
          <w:tblCellMar>
            <w:top w:w="0" w:type="dxa"/>
            <w:left w:w="108" w:type="dxa"/>
            <w:bottom w:w="0" w:type="dxa"/>
            <w:right w:w="108" w:type="dxa"/>
          </w:tblCellMar>
        </w:tblPrEx>
        <w:trPr>
          <w:trHeight w:val="257"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9</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氯仿</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0.9</w:t>
            </w:r>
          </w:p>
        </w:tc>
      </w:tr>
      <w:tr>
        <w:tblPrEx>
          <w:tblCellMar>
            <w:top w:w="0" w:type="dxa"/>
            <w:left w:w="108" w:type="dxa"/>
            <w:bottom w:w="0" w:type="dxa"/>
            <w:right w:w="108" w:type="dxa"/>
          </w:tblCellMar>
        </w:tblPrEx>
        <w:trPr>
          <w:trHeight w:val="233"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10</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氯甲烷</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37</w:t>
            </w:r>
          </w:p>
        </w:tc>
      </w:tr>
      <w:tr>
        <w:tblPrEx>
          <w:tblCellMar>
            <w:top w:w="0" w:type="dxa"/>
            <w:left w:w="108" w:type="dxa"/>
            <w:bottom w:w="0" w:type="dxa"/>
            <w:right w:w="108" w:type="dxa"/>
          </w:tblCellMar>
        </w:tblPrEx>
        <w:trPr>
          <w:trHeight w:val="323"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11</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1,1-二氯乙烷</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9</w:t>
            </w:r>
          </w:p>
        </w:tc>
      </w:tr>
      <w:tr>
        <w:tblPrEx>
          <w:tblCellMar>
            <w:top w:w="0" w:type="dxa"/>
            <w:left w:w="108" w:type="dxa"/>
            <w:bottom w:w="0" w:type="dxa"/>
            <w:right w:w="108" w:type="dxa"/>
          </w:tblCellMar>
        </w:tblPrEx>
        <w:trPr>
          <w:trHeight w:val="285"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12</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1,2-二氯乙烷</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5</w:t>
            </w:r>
          </w:p>
        </w:tc>
      </w:tr>
      <w:tr>
        <w:tblPrEx>
          <w:tblCellMar>
            <w:top w:w="0" w:type="dxa"/>
            <w:left w:w="108" w:type="dxa"/>
            <w:bottom w:w="0" w:type="dxa"/>
            <w:right w:w="108" w:type="dxa"/>
          </w:tblCellMar>
        </w:tblPrEx>
        <w:trPr>
          <w:trHeight w:val="247"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13</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1,1-二氯乙烯</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66</w:t>
            </w:r>
          </w:p>
        </w:tc>
      </w:tr>
      <w:tr>
        <w:tblPrEx>
          <w:tblCellMar>
            <w:top w:w="0" w:type="dxa"/>
            <w:left w:w="108" w:type="dxa"/>
            <w:bottom w:w="0" w:type="dxa"/>
            <w:right w:w="108" w:type="dxa"/>
          </w:tblCellMar>
        </w:tblPrEx>
        <w:trPr>
          <w:trHeight w:val="349"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14</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顺-1,2-二氯乙烯</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596</w:t>
            </w:r>
          </w:p>
        </w:tc>
      </w:tr>
      <w:tr>
        <w:tblPrEx>
          <w:tblCellMar>
            <w:top w:w="0" w:type="dxa"/>
            <w:left w:w="108" w:type="dxa"/>
            <w:bottom w:w="0" w:type="dxa"/>
            <w:right w:w="108" w:type="dxa"/>
          </w:tblCellMar>
        </w:tblPrEx>
        <w:trPr>
          <w:trHeight w:val="271"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15</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反-1,2-二氯乙烯</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54</w:t>
            </w:r>
          </w:p>
        </w:tc>
      </w:tr>
      <w:tr>
        <w:tblPrEx>
          <w:tblCellMar>
            <w:top w:w="0" w:type="dxa"/>
            <w:left w:w="108" w:type="dxa"/>
            <w:bottom w:w="0" w:type="dxa"/>
            <w:right w:w="108" w:type="dxa"/>
          </w:tblCellMar>
        </w:tblPrEx>
        <w:trPr>
          <w:trHeight w:val="233"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16</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二氯甲烷</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616</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17</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1,2-二氯丙烷</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5</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18</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1,1,1,2-四氯乙烷</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10</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19</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1,1,2,2-四氯乙烷</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6.8</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20</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四氯乙烯</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53</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21</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1,1,1-三氯乙烷</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840</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22</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1,1,2-三氯乙烷</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2.8</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23</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三氯乙烯</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2.8</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24</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1,2,3-三氯丙烷</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0.5</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25</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氯乙烯</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0.43</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26</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苯</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4</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27</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氯苯</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270</w:t>
            </w:r>
          </w:p>
        </w:tc>
      </w:tr>
      <w:tr>
        <w:tblPrEx>
          <w:tblCellMar>
            <w:top w:w="0" w:type="dxa"/>
            <w:left w:w="108" w:type="dxa"/>
            <w:bottom w:w="0" w:type="dxa"/>
            <w:right w:w="108" w:type="dxa"/>
          </w:tblCellMar>
        </w:tblPrEx>
        <w:trPr>
          <w:trHeight w:val="300"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28</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1,2-二氯苯</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560</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29</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1,4-二氯苯</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20</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30</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乙苯</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28</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31</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苯乙烯</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1290</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32</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甲苯</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1200</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33</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间，对-二甲苯</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570</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34</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邻-二甲苯</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640</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35</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硝基苯</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76</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36</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苯胺</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260</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37</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2-氯苯酚</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2256</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38</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苯并(a)蒽</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15</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39</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苯并(a)芘</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1.5</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40</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苯并(b)荧蒽</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15</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41</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苯并(k)荧蒽</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151</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42</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䓛</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1293</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43</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二苯并(a,h)蒽</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1.5</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44</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茚并(1,2,3-cd)芘</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15</w:t>
            </w:r>
          </w:p>
        </w:tc>
      </w:tr>
      <w:tr>
        <w:tblPrEx>
          <w:tblCellMar>
            <w:top w:w="0" w:type="dxa"/>
            <w:left w:w="108" w:type="dxa"/>
            <w:bottom w:w="0" w:type="dxa"/>
            <w:right w:w="108" w:type="dxa"/>
          </w:tblCellMar>
        </w:tblPrEx>
        <w:trPr>
          <w:trHeight w:val="288" w:hRule="atLeast"/>
        </w:trPr>
        <w:tc>
          <w:tcPr>
            <w:tcW w:w="993" w:type="dxa"/>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45</w:t>
            </w:r>
          </w:p>
        </w:tc>
        <w:tc>
          <w:tcPr>
            <w:tcW w:w="2410"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萘</w:t>
            </w:r>
          </w:p>
        </w:tc>
        <w:tc>
          <w:tcPr>
            <w:tcW w:w="1631"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962"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ND</w:t>
            </w:r>
          </w:p>
        </w:tc>
        <w:tc>
          <w:tcPr>
            <w:tcW w:w="15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70</w:t>
            </w:r>
          </w:p>
        </w:tc>
      </w:tr>
    </w:tbl>
    <w:p>
      <w:pPr>
        <w:ind w:firstLine="480"/>
        <w:rPr>
          <w:rFonts w:ascii="Times New Roman" w:hAnsi="Times New Roman"/>
        </w:rPr>
      </w:pPr>
    </w:p>
    <w:p>
      <w:pPr>
        <w:ind w:firstLine="0" w:firstLineChars="0"/>
        <w:jc w:val="center"/>
        <w:rPr>
          <w:rFonts w:ascii="Times New Roman" w:hAnsi="Times New Roman"/>
        </w:rPr>
      </w:pPr>
      <w:r>
        <w:rPr>
          <w:rFonts w:ascii="Times New Roman" w:hAnsi="Times New Roman"/>
        </w:rPr>
        <w:t xml:space="preserve">表 </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5</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表 \* ARABIC \s 1 </w:instrText>
      </w:r>
      <w:r>
        <w:rPr>
          <w:rFonts w:ascii="Times New Roman" w:hAnsi="Times New Roman"/>
        </w:rPr>
        <w:fldChar w:fldCharType="separate"/>
      </w:r>
      <w:r>
        <w:rPr>
          <w:rFonts w:ascii="Times New Roman" w:hAnsi="Times New Roman"/>
        </w:rPr>
        <w:t>19</w:t>
      </w:r>
      <w:r>
        <w:rPr>
          <w:rFonts w:ascii="Times New Roman" w:hAnsi="Times New Roman"/>
        </w:rPr>
        <w:fldChar w:fldCharType="end"/>
      </w:r>
      <w:r>
        <w:rPr>
          <w:rFonts w:ascii="Times New Roman" w:hAnsi="Times New Roman"/>
        </w:rPr>
        <w:t xml:space="preserve">  T13基本因子监测结果统计</w:t>
      </w:r>
    </w:p>
    <w:tbl>
      <w:tblPr>
        <w:tblStyle w:val="28"/>
        <w:tblW w:w="5000" w:type="pct"/>
        <w:tblInd w:w="0" w:type="dxa"/>
        <w:tblLayout w:type="autofit"/>
        <w:tblCellMar>
          <w:top w:w="0" w:type="dxa"/>
          <w:left w:w="108" w:type="dxa"/>
          <w:bottom w:w="0" w:type="dxa"/>
          <w:right w:w="108" w:type="dxa"/>
        </w:tblCellMar>
      </w:tblPr>
      <w:tblGrid>
        <w:gridCol w:w="1094"/>
        <w:gridCol w:w="2507"/>
        <w:gridCol w:w="2916"/>
        <w:gridCol w:w="2005"/>
      </w:tblGrid>
      <w:tr>
        <w:tblPrEx>
          <w:tblCellMar>
            <w:top w:w="0" w:type="dxa"/>
            <w:left w:w="108" w:type="dxa"/>
            <w:bottom w:w="0" w:type="dxa"/>
            <w:right w:w="108" w:type="dxa"/>
          </w:tblCellMar>
        </w:tblPrEx>
        <w:trPr>
          <w:trHeight w:val="243" w:hRule="atLeast"/>
        </w:trPr>
        <w:tc>
          <w:tcPr>
            <w:tcW w:w="642"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序号</w:t>
            </w:r>
          </w:p>
        </w:tc>
        <w:tc>
          <w:tcPr>
            <w:tcW w:w="147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检测项目</w:t>
            </w:r>
          </w:p>
        </w:tc>
        <w:tc>
          <w:tcPr>
            <w:tcW w:w="1711" w:type="pct"/>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检测结果</w:t>
            </w:r>
          </w:p>
        </w:tc>
        <w:tc>
          <w:tcPr>
            <w:tcW w:w="1176"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标准mg/kg</w:t>
            </w:r>
          </w:p>
        </w:tc>
      </w:tr>
      <w:tr>
        <w:tblPrEx>
          <w:tblCellMar>
            <w:top w:w="0" w:type="dxa"/>
            <w:left w:w="108" w:type="dxa"/>
            <w:bottom w:w="0" w:type="dxa"/>
            <w:right w:w="108" w:type="dxa"/>
          </w:tblCellMar>
        </w:tblPrEx>
        <w:trPr>
          <w:trHeight w:val="277" w:hRule="atLeast"/>
        </w:trPr>
        <w:tc>
          <w:tcPr>
            <w:tcW w:w="642"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1471"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171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T13  阀室内</w:t>
            </w:r>
          </w:p>
        </w:tc>
        <w:tc>
          <w:tcPr>
            <w:tcW w:w="1176"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r>
      <w:tr>
        <w:tblPrEx>
          <w:tblCellMar>
            <w:top w:w="0" w:type="dxa"/>
            <w:left w:w="108" w:type="dxa"/>
            <w:bottom w:w="0" w:type="dxa"/>
            <w:right w:w="108" w:type="dxa"/>
          </w:tblCellMar>
        </w:tblPrEx>
        <w:trPr>
          <w:trHeight w:val="267" w:hRule="atLeast"/>
        </w:trPr>
        <w:tc>
          <w:tcPr>
            <w:tcW w:w="64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w:t>
            </w:r>
          </w:p>
        </w:tc>
        <w:tc>
          <w:tcPr>
            <w:tcW w:w="147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砷</w:t>
            </w:r>
          </w:p>
        </w:tc>
        <w:tc>
          <w:tcPr>
            <w:tcW w:w="171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2.40</w:t>
            </w:r>
          </w:p>
        </w:tc>
        <w:tc>
          <w:tcPr>
            <w:tcW w:w="1176"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25</w:t>
            </w:r>
          </w:p>
        </w:tc>
      </w:tr>
      <w:tr>
        <w:tblPrEx>
          <w:tblCellMar>
            <w:top w:w="0" w:type="dxa"/>
            <w:left w:w="108" w:type="dxa"/>
            <w:bottom w:w="0" w:type="dxa"/>
            <w:right w:w="108" w:type="dxa"/>
          </w:tblCellMar>
        </w:tblPrEx>
        <w:trPr>
          <w:trHeight w:val="241" w:hRule="atLeast"/>
        </w:trPr>
        <w:tc>
          <w:tcPr>
            <w:tcW w:w="64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w:t>
            </w:r>
          </w:p>
        </w:tc>
        <w:tc>
          <w:tcPr>
            <w:tcW w:w="147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镉</w:t>
            </w:r>
          </w:p>
        </w:tc>
        <w:tc>
          <w:tcPr>
            <w:tcW w:w="171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0.25</w:t>
            </w:r>
          </w:p>
        </w:tc>
        <w:tc>
          <w:tcPr>
            <w:tcW w:w="1176"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0.6</w:t>
            </w:r>
          </w:p>
        </w:tc>
      </w:tr>
      <w:tr>
        <w:tblPrEx>
          <w:tblCellMar>
            <w:top w:w="0" w:type="dxa"/>
            <w:left w:w="108" w:type="dxa"/>
            <w:bottom w:w="0" w:type="dxa"/>
            <w:right w:w="108" w:type="dxa"/>
          </w:tblCellMar>
        </w:tblPrEx>
        <w:trPr>
          <w:trHeight w:val="245" w:hRule="atLeast"/>
        </w:trPr>
        <w:tc>
          <w:tcPr>
            <w:tcW w:w="64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3</w:t>
            </w:r>
          </w:p>
        </w:tc>
        <w:tc>
          <w:tcPr>
            <w:tcW w:w="147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铜</w:t>
            </w:r>
          </w:p>
        </w:tc>
        <w:tc>
          <w:tcPr>
            <w:tcW w:w="171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15</w:t>
            </w:r>
          </w:p>
        </w:tc>
        <w:tc>
          <w:tcPr>
            <w:tcW w:w="1176"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100</w:t>
            </w:r>
          </w:p>
        </w:tc>
      </w:tr>
      <w:tr>
        <w:tblPrEx>
          <w:tblCellMar>
            <w:top w:w="0" w:type="dxa"/>
            <w:left w:w="108" w:type="dxa"/>
            <w:bottom w:w="0" w:type="dxa"/>
            <w:right w:w="108" w:type="dxa"/>
          </w:tblCellMar>
        </w:tblPrEx>
        <w:trPr>
          <w:trHeight w:val="249" w:hRule="atLeast"/>
        </w:trPr>
        <w:tc>
          <w:tcPr>
            <w:tcW w:w="64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4</w:t>
            </w:r>
          </w:p>
        </w:tc>
        <w:tc>
          <w:tcPr>
            <w:tcW w:w="147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铅</w:t>
            </w:r>
          </w:p>
        </w:tc>
        <w:tc>
          <w:tcPr>
            <w:tcW w:w="171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32</w:t>
            </w:r>
          </w:p>
        </w:tc>
        <w:tc>
          <w:tcPr>
            <w:tcW w:w="1176"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170</w:t>
            </w:r>
          </w:p>
        </w:tc>
      </w:tr>
      <w:tr>
        <w:tblPrEx>
          <w:tblCellMar>
            <w:top w:w="0" w:type="dxa"/>
            <w:left w:w="108" w:type="dxa"/>
            <w:bottom w:w="0" w:type="dxa"/>
            <w:right w:w="108" w:type="dxa"/>
          </w:tblCellMar>
        </w:tblPrEx>
        <w:trPr>
          <w:trHeight w:val="239" w:hRule="atLeast"/>
        </w:trPr>
        <w:tc>
          <w:tcPr>
            <w:tcW w:w="64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5</w:t>
            </w:r>
          </w:p>
        </w:tc>
        <w:tc>
          <w:tcPr>
            <w:tcW w:w="147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汞</w:t>
            </w:r>
          </w:p>
        </w:tc>
        <w:tc>
          <w:tcPr>
            <w:tcW w:w="171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0.516</w:t>
            </w:r>
          </w:p>
        </w:tc>
        <w:tc>
          <w:tcPr>
            <w:tcW w:w="1176"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3.4</w:t>
            </w:r>
          </w:p>
        </w:tc>
      </w:tr>
      <w:tr>
        <w:tblPrEx>
          <w:tblCellMar>
            <w:top w:w="0" w:type="dxa"/>
            <w:left w:w="108" w:type="dxa"/>
            <w:bottom w:w="0" w:type="dxa"/>
            <w:right w:w="108" w:type="dxa"/>
          </w:tblCellMar>
        </w:tblPrEx>
        <w:trPr>
          <w:trHeight w:val="243" w:hRule="atLeast"/>
        </w:trPr>
        <w:tc>
          <w:tcPr>
            <w:tcW w:w="64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6</w:t>
            </w:r>
          </w:p>
        </w:tc>
        <w:tc>
          <w:tcPr>
            <w:tcW w:w="147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镍</w:t>
            </w:r>
          </w:p>
        </w:tc>
        <w:tc>
          <w:tcPr>
            <w:tcW w:w="171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32</w:t>
            </w:r>
          </w:p>
        </w:tc>
        <w:tc>
          <w:tcPr>
            <w:tcW w:w="1176"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190</w:t>
            </w:r>
          </w:p>
        </w:tc>
      </w:tr>
      <w:tr>
        <w:tblPrEx>
          <w:tblCellMar>
            <w:top w:w="0" w:type="dxa"/>
            <w:left w:w="108" w:type="dxa"/>
            <w:bottom w:w="0" w:type="dxa"/>
            <w:right w:w="108" w:type="dxa"/>
          </w:tblCellMar>
        </w:tblPrEx>
        <w:trPr>
          <w:trHeight w:val="247" w:hRule="atLeast"/>
        </w:trPr>
        <w:tc>
          <w:tcPr>
            <w:tcW w:w="64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7</w:t>
            </w:r>
          </w:p>
        </w:tc>
        <w:tc>
          <w:tcPr>
            <w:tcW w:w="147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锌</w:t>
            </w:r>
          </w:p>
        </w:tc>
        <w:tc>
          <w:tcPr>
            <w:tcW w:w="171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28</w:t>
            </w:r>
          </w:p>
        </w:tc>
        <w:tc>
          <w:tcPr>
            <w:tcW w:w="1176"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300</w:t>
            </w:r>
          </w:p>
        </w:tc>
      </w:tr>
      <w:tr>
        <w:tblPrEx>
          <w:tblCellMar>
            <w:top w:w="0" w:type="dxa"/>
            <w:left w:w="108" w:type="dxa"/>
            <w:bottom w:w="0" w:type="dxa"/>
            <w:right w:w="108" w:type="dxa"/>
          </w:tblCellMar>
        </w:tblPrEx>
        <w:trPr>
          <w:trHeight w:val="251" w:hRule="atLeast"/>
        </w:trPr>
        <w:tc>
          <w:tcPr>
            <w:tcW w:w="64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8</w:t>
            </w:r>
          </w:p>
        </w:tc>
        <w:tc>
          <w:tcPr>
            <w:tcW w:w="147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铬</w:t>
            </w:r>
          </w:p>
        </w:tc>
        <w:tc>
          <w:tcPr>
            <w:tcW w:w="171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172</w:t>
            </w:r>
          </w:p>
        </w:tc>
        <w:tc>
          <w:tcPr>
            <w:tcW w:w="1176"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200</w:t>
            </w:r>
          </w:p>
        </w:tc>
      </w:tr>
      <w:tr>
        <w:tblPrEx>
          <w:tblCellMar>
            <w:top w:w="0" w:type="dxa"/>
            <w:left w:w="108" w:type="dxa"/>
            <w:bottom w:w="0" w:type="dxa"/>
            <w:right w:w="108" w:type="dxa"/>
          </w:tblCellMar>
        </w:tblPrEx>
        <w:trPr>
          <w:trHeight w:val="255" w:hRule="atLeast"/>
        </w:trPr>
        <w:tc>
          <w:tcPr>
            <w:tcW w:w="64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9</w:t>
            </w:r>
          </w:p>
        </w:tc>
        <w:tc>
          <w:tcPr>
            <w:tcW w:w="147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pH</w:t>
            </w:r>
          </w:p>
        </w:tc>
        <w:tc>
          <w:tcPr>
            <w:tcW w:w="1711" w:type="pct"/>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8.23</w:t>
            </w:r>
          </w:p>
        </w:tc>
        <w:tc>
          <w:tcPr>
            <w:tcW w:w="1176"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r>
    </w:tbl>
    <w:p>
      <w:pPr>
        <w:ind w:firstLine="480"/>
        <w:rPr>
          <w:rFonts w:ascii="Times New Roman" w:hAnsi="Times New Roman"/>
        </w:rPr>
      </w:pPr>
    </w:p>
    <w:tbl>
      <w:tblPr>
        <w:tblStyle w:val="28"/>
        <w:tblW w:w="0" w:type="auto"/>
        <w:tblInd w:w="0" w:type="dxa"/>
        <w:tblLayout w:type="autofit"/>
        <w:tblCellMar>
          <w:top w:w="0" w:type="dxa"/>
          <w:left w:w="108" w:type="dxa"/>
          <w:bottom w:w="0" w:type="dxa"/>
          <w:right w:w="108" w:type="dxa"/>
        </w:tblCellMar>
      </w:tblPr>
      <w:tblGrid>
        <w:gridCol w:w="4261"/>
        <w:gridCol w:w="4261"/>
      </w:tblGrid>
      <w:tr>
        <w:tblPrEx>
          <w:tblCellMar>
            <w:top w:w="0" w:type="dxa"/>
            <w:left w:w="108" w:type="dxa"/>
            <w:bottom w:w="0" w:type="dxa"/>
            <w:right w:w="108" w:type="dxa"/>
          </w:tblCellMar>
        </w:tblPrEx>
        <w:tc>
          <w:tcPr>
            <w:tcW w:w="4261" w:type="dxa"/>
          </w:tcPr>
          <w:p>
            <w:pPr>
              <w:ind w:firstLine="0" w:firstLineChars="0"/>
              <w:rPr>
                <w:rFonts w:ascii="Times New Roman" w:hAnsi="Times New Roman"/>
              </w:rPr>
            </w:pPr>
            <w:r>
              <w:rPr>
                <w:rFonts w:ascii="Times New Roman" w:hAnsi="Times New Roman"/>
              </w:rPr>
              <w:drawing>
                <wp:inline distT="0" distB="0" distL="0" distR="0">
                  <wp:extent cx="2519680" cy="3360420"/>
                  <wp:effectExtent l="0" t="0" r="0" b="0"/>
                  <wp:docPr id="1340248799" name="图片 1340248799" descr="D:\0、2023年\23、四川达州\3、Data&amp;Analysis\西南油气田2\西南油气田\3\30cc5b20dde1d484c497d59e1817d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48799" name="图片 1340248799" descr="D:\0、2023年\23、四川达州\3、Data&amp;Analysis\西南油气田2\西南油气田\3\30cc5b20dde1d484c497d59e1817d9c.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2520000" cy="3360787"/>
                          </a:xfrm>
                          <a:prstGeom prst="rect">
                            <a:avLst/>
                          </a:prstGeom>
                          <a:noFill/>
                          <a:ln>
                            <a:noFill/>
                          </a:ln>
                        </pic:spPr>
                      </pic:pic>
                    </a:graphicData>
                  </a:graphic>
                </wp:inline>
              </w:drawing>
            </w:r>
          </w:p>
        </w:tc>
        <w:tc>
          <w:tcPr>
            <w:tcW w:w="4261" w:type="dxa"/>
          </w:tcPr>
          <w:p>
            <w:pPr>
              <w:ind w:firstLine="0" w:firstLineChars="0"/>
              <w:rPr>
                <w:rFonts w:ascii="Times New Roman" w:hAnsi="Times New Roman"/>
              </w:rPr>
            </w:pPr>
            <w:r>
              <w:rPr>
                <w:rFonts w:ascii="Times New Roman" w:hAnsi="Times New Roman"/>
              </w:rPr>
              <w:drawing>
                <wp:inline distT="0" distB="0" distL="0" distR="0">
                  <wp:extent cx="2519680" cy="3360420"/>
                  <wp:effectExtent l="0" t="0" r="0" b="0"/>
                  <wp:docPr id="2139980333" name="图片 2139980333" descr="D:\0、2023年\23、四川达州\3、Data&amp;Analysis\西南油气田2\西南油气田\7\c1c880a9087d3e69641088305acce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80333" name="图片 2139980333" descr="D:\0、2023年\23、四川达州\3、Data&amp;Analysis\西南油气田2\西南油气田\7\c1c880a9087d3e69641088305accebe.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2520000" cy="3360787"/>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4261" w:type="dxa"/>
          </w:tcPr>
          <w:p>
            <w:pPr>
              <w:ind w:firstLine="0" w:firstLineChars="0"/>
              <w:jc w:val="center"/>
              <w:rPr>
                <w:rFonts w:ascii="Times New Roman" w:hAnsi="Times New Roman"/>
                <w:sz w:val="21"/>
                <w:szCs w:val="21"/>
              </w:rPr>
            </w:pPr>
            <w:r>
              <w:rPr>
                <w:rFonts w:ascii="Times New Roman" w:hAnsi="Times New Roman"/>
                <w:sz w:val="21"/>
                <w:szCs w:val="21"/>
              </w:rPr>
              <w:t>柱状样采样现场照片（1）</w:t>
            </w:r>
          </w:p>
        </w:tc>
        <w:tc>
          <w:tcPr>
            <w:tcW w:w="4261" w:type="dxa"/>
          </w:tcPr>
          <w:p>
            <w:pPr>
              <w:ind w:firstLine="0" w:firstLineChars="0"/>
              <w:jc w:val="center"/>
              <w:rPr>
                <w:rFonts w:ascii="Times New Roman" w:hAnsi="Times New Roman"/>
              </w:rPr>
            </w:pPr>
            <w:r>
              <w:rPr>
                <w:rFonts w:ascii="Times New Roman" w:hAnsi="Times New Roman"/>
                <w:sz w:val="21"/>
                <w:szCs w:val="21"/>
              </w:rPr>
              <w:t>柱状样采样现场照片（2）</w:t>
            </w:r>
          </w:p>
        </w:tc>
      </w:tr>
      <w:tr>
        <w:tblPrEx>
          <w:tblCellMar>
            <w:top w:w="0" w:type="dxa"/>
            <w:left w:w="108" w:type="dxa"/>
            <w:bottom w:w="0" w:type="dxa"/>
            <w:right w:w="108" w:type="dxa"/>
          </w:tblCellMar>
        </w:tblPrEx>
        <w:tc>
          <w:tcPr>
            <w:tcW w:w="4261" w:type="dxa"/>
          </w:tcPr>
          <w:p>
            <w:pPr>
              <w:ind w:firstLine="0" w:firstLineChars="0"/>
              <w:rPr>
                <w:rFonts w:ascii="Times New Roman" w:hAnsi="Times New Roman"/>
              </w:rPr>
            </w:pPr>
            <w:r>
              <w:rPr>
                <w:rFonts w:ascii="Times New Roman" w:hAnsi="Times New Roman"/>
              </w:rPr>
              <w:drawing>
                <wp:inline distT="0" distB="0" distL="0" distR="0">
                  <wp:extent cx="2476500" cy="3303905"/>
                  <wp:effectExtent l="0" t="0" r="0" b="0"/>
                  <wp:docPr id="535119489" name="图片 535119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19489" name="图片 53511948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2481750" cy="3311086"/>
                          </a:xfrm>
                          <a:prstGeom prst="rect">
                            <a:avLst/>
                          </a:prstGeom>
                          <a:noFill/>
                        </pic:spPr>
                      </pic:pic>
                    </a:graphicData>
                  </a:graphic>
                </wp:inline>
              </w:drawing>
            </w:r>
          </w:p>
        </w:tc>
        <w:tc>
          <w:tcPr>
            <w:tcW w:w="4261" w:type="dxa"/>
          </w:tcPr>
          <w:p>
            <w:pPr>
              <w:ind w:firstLine="0" w:firstLineChars="0"/>
              <w:rPr>
                <w:rFonts w:ascii="Times New Roman" w:hAnsi="Times New Roman"/>
              </w:rPr>
            </w:pPr>
            <w:r>
              <w:rPr>
                <w:rFonts w:ascii="Times New Roman" w:hAnsi="Times New Roman"/>
              </w:rPr>
              <w:drawing>
                <wp:inline distT="0" distB="0" distL="0" distR="0">
                  <wp:extent cx="2419985" cy="3246120"/>
                  <wp:effectExtent l="0" t="0" r="0" b="0"/>
                  <wp:docPr id="576887628" name="图片 576887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887628" name="图片 57688762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2421334" cy="3248190"/>
                          </a:xfrm>
                          <a:prstGeom prst="rect">
                            <a:avLst/>
                          </a:prstGeom>
                          <a:noFill/>
                        </pic:spPr>
                      </pic:pic>
                    </a:graphicData>
                  </a:graphic>
                </wp:inline>
              </w:drawing>
            </w:r>
          </w:p>
        </w:tc>
      </w:tr>
      <w:tr>
        <w:tblPrEx>
          <w:tblCellMar>
            <w:top w:w="0" w:type="dxa"/>
            <w:left w:w="108" w:type="dxa"/>
            <w:bottom w:w="0" w:type="dxa"/>
            <w:right w:w="108" w:type="dxa"/>
          </w:tblCellMar>
        </w:tblPrEx>
        <w:tc>
          <w:tcPr>
            <w:tcW w:w="4261" w:type="dxa"/>
          </w:tcPr>
          <w:p>
            <w:pPr>
              <w:ind w:firstLine="0" w:firstLineChars="0"/>
              <w:jc w:val="center"/>
              <w:rPr>
                <w:rFonts w:ascii="Times New Roman" w:hAnsi="Times New Roman"/>
              </w:rPr>
            </w:pPr>
            <w:r>
              <w:rPr>
                <w:rFonts w:ascii="Times New Roman" w:hAnsi="Times New Roman"/>
              </w:rPr>
              <w:t>表层样</w:t>
            </w:r>
            <w:r>
              <w:rPr>
                <w:rFonts w:ascii="Times New Roman" w:hAnsi="Times New Roman"/>
                <w:sz w:val="21"/>
                <w:szCs w:val="21"/>
              </w:rPr>
              <w:t>采样现场照片（1）</w:t>
            </w:r>
          </w:p>
        </w:tc>
        <w:tc>
          <w:tcPr>
            <w:tcW w:w="4261" w:type="dxa"/>
          </w:tcPr>
          <w:p>
            <w:pPr>
              <w:ind w:firstLine="0" w:firstLineChars="0"/>
              <w:jc w:val="center"/>
              <w:rPr>
                <w:rFonts w:ascii="Times New Roman" w:hAnsi="Times New Roman"/>
              </w:rPr>
            </w:pPr>
            <w:r>
              <w:rPr>
                <w:rFonts w:ascii="Times New Roman" w:hAnsi="Times New Roman"/>
                <w:sz w:val="21"/>
                <w:szCs w:val="21"/>
              </w:rPr>
              <w:t>表层样采样现场照片（2）</w:t>
            </w:r>
          </w:p>
        </w:tc>
      </w:tr>
    </w:tbl>
    <w:p>
      <w:pPr>
        <w:ind w:firstLine="480"/>
        <w:rPr>
          <w:rFonts w:ascii="Times New Roman" w:hAnsi="Times New Roman"/>
        </w:rPr>
      </w:pPr>
    </w:p>
    <w:p>
      <w:pPr>
        <w:pStyle w:val="5"/>
        <w:rPr>
          <w:rFonts w:ascii="Times New Roman" w:hAnsi="Times New Roman"/>
        </w:rPr>
      </w:pPr>
      <w:r>
        <w:rPr>
          <w:rFonts w:ascii="Times New Roman" w:hAnsi="Times New Roman"/>
        </w:rPr>
        <w:t>评价结果</w:t>
      </w:r>
    </w:p>
    <w:p>
      <w:pPr>
        <w:ind w:firstLine="480"/>
        <w:rPr>
          <w:rFonts w:ascii="Times New Roman" w:hAnsi="Times New Roman"/>
        </w:rPr>
      </w:pPr>
      <w:r>
        <w:rPr>
          <w:rFonts w:ascii="Times New Roman" w:hAnsi="Times New Roman"/>
        </w:rPr>
        <w:t>（1）评价方法</w:t>
      </w:r>
    </w:p>
    <w:p>
      <w:pPr>
        <w:spacing w:before="60"/>
        <w:ind w:firstLine="480"/>
        <w:rPr>
          <w:rFonts w:ascii="Times New Roman" w:hAnsi="Times New Roman"/>
        </w:rPr>
      </w:pPr>
      <w:r>
        <w:rPr>
          <w:rFonts w:ascii="Times New Roman" w:hAnsi="Times New Roman"/>
        </w:rPr>
        <w:t>采用单因子标准指数法对各污染物进行评价：</w:t>
      </w:r>
    </w:p>
    <w:p>
      <w:pPr>
        <w:adjustRightInd w:val="0"/>
        <w:snapToGrid w:val="0"/>
        <w:ind w:firstLine="480"/>
        <w:jc w:val="center"/>
        <w:rPr>
          <w:rFonts w:ascii="Times New Roman" w:hAnsi="Times New Roman"/>
        </w:rPr>
      </w:pPr>
      <w:r>
        <w:rPr>
          <w:rFonts w:ascii="Times New Roman" w:hAnsi="Times New Roman"/>
          <w:i/>
        </w:rPr>
        <w:t>P</w:t>
      </w:r>
      <w:r>
        <w:rPr>
          <w:rFonts w:ascii="Times New Roman" w:hAnsi="Times New Roman"/>
          <w:i/>
          <w:vertAlign w:val="subscript"/>
        </w:rPr>
        <w:t>i</w:t>
      </w:r>
      <w:r>
        <w:rPr>
          <w:rFonts w:ascii="Times New Roman" w:hAnsi="Times New Roman"/>
        </w:rPr>
        <w:t>=</w:t>
      </w:r>
      <w:r>
        <w:rPr>
          <w:rFonts w:ascii="Times New Roman" w:hAnsi="Times New Roman"/>
          <w:i/>
        </w:rPr>
        <w:t>C</w:t>
      </w:r>
      <w:r>
        <w:rPr>
          <w:rFonts w:ascii="Times New Roman" w:hAnsi="Times New Roman"/>
          <w:i/>
          <w:vertAlign w:val="subscript"/>
        </w:rPr>
        <w:t>i</w:t>
      </w:r>
      <w:r>
        <w:rPr>
          <w:rFonts w:ascii="Times New Roman" w:hAnsi="Times New Roman"/>
        </w:rPr>
        <w:t xml:space="preserve">/ </w:t>
      </w:r>
      <w:r>
        <w:rPr>
          <w:rFonts w:ascii="Times New Roman" w:hAnsi="Times New Roman"/>
          <w:i/>
        </w:rPr>
        <w:t>C</w:t>
      </w:r>
      <w:r>
        <w:rPr>
          <w:rFonts w:ascii="Times New Roman" w:hAnsi="Times New Roman"/>
          <w:i/>
          <w:vertAlign w:val="subscript"/>
        </w:rPr>
        <w:t>i</w:t>
      </w:r>
      <w:r>
        <w:rPr>
          <w:rFonts w:ascii="Times New Roman" w:hAnsi="Times New Roman"/>
          <w:vertAlign w:val="subscript"/>
        </w:rPr>
        <w:t>,</w:t>
      </w:r>
      <w:r>
        <w:rPr>
          <w:rFonts w:ascii="Times New Roman" w:hAnsi="Times New Roman"/>
          <w:i/>
          <w:vertAlign w:val="subscript"/>
        </w:rPr>
        <w:t>S</w:t>
      </w:r>
    </w:p>
    <w:p>
      <w:pPr>
        <w:spacing w:before="60"/>
        <w:ind w:firstLine="480"/>
        <w:rPr>
          <w:rFonts w:ascii="Times New Roman" w:hAnsi="Times New Roman"/>
        </w:rPr>
      </w:pPr>
      <w:r>
        <w:rPr>
          <w:rFonts w:ascii="Times New Roman" w:hAnsi="Times New Roman"/>
        </w:rPr>
        <w:t>式中：</w:t>
      </w:r>
      <w:r>
        <w:rPr>
          <w:rFonts w:ascii="Times New Roman" w:hAnsi="Times New Roman"/>
          <w:i/>
        </w:rPr>
        <w:t>P</w:t>
      </w:r>
      <w:r>
        <w:rPr>
          <w:rFonts w:ascii="Times New Roman" w:hAnsi="Times New Roman"/>
          <w:i/>
          <w:vertAlign w:val="subscript"/>
        </w:rPr>
        <w:t>i</w:t>
      </w:r>
      <w:r>
        <w:rPr>
          <w:rFonts w:ascii="Times New Roman" w:hAnsi="Times New Roman"/>
        </w:rPr>
        <w:t>---第</w:t>
      </w:r>
      <w:r>
        <w:rPr>
          <w:rFonts w:ascii="Times New Roman" w:hAnsi="Times New Roman"/>
          <w:i/>
        </w:rPr>
        <w:t>i</w:t>
      </w:r>
      <w:r>
        <w:rPr>
          <w:rFonts w:ascii="Times New Roman" w:hAnsi="Times New Roman"/>
        </w:rPr>
        <w:t>种污染物的标准指数；</w:t>
      </w:r>
    </w:p>
    <w:p>
      <w:pPr>
        <w:spacing w:before="60"/>
        <w:ind w:firstLine="1200" w:firstLineChars="500"/>
        <w:rPr>
          <w:rFonts w:ascii="Times New Roman" w:hAnsi="Times New Roman"/>
        </w:rPr>
      </w:pPr>
      <w:r>
        <w:rPr>
          <w:rFonts w:ascii="Times New Roman" w:hAnsi="Times New Roman"/>
          <w:i/>
        </w:rPr>
        <w:t>C</w:t>
      </w:r>
      <w:r>
        <w:rPr>
          <w:rFonts w:ascii="Times New Roman" w:hAnsi="Times New Roman"/>
          <w:i/>
          <w:vertAlign w:val="subscript"/>
        </w:rPr>
        <w:t>i</w:t>
      </w:r>
      <w:r>
        <w:rPr>
          <w:rFonts w:ascii="Times New Roman" w:hAnsi="Times New Roman"/>
        </w:rPr>
        <w:t>---第</w:t>
      </w:r>
      <w:r>
        <w:rPr>
          <w:rFonts w:ascii="Times New Roman" w:hAnsi="Times New Roman"/>
          <w:i/>
        </w:rPr>
        <w:t>i</w:t>
      </w:r>
      <w:r>
        <w:rPr>
          <w:rFonts w:ascii="Times New Roman" w:hAnsi="Times New Roman"/>
        </w:rPr>
        <w:t>种污染物的实测值（mg/kg）；</w:t>
      </w:r>
    </w:p>
    <w:p>
      <w:pPr>
        <w:ind w:firstLine="480"/>
        <w:rPr>
          <w:rFonts w:ascii="Times New Roman" w:hAnsi="Times New Roman"/>
        </w:rPr>
      </w:pPr>
      <w:r>
        <w:rPr>
          <w:rFonts w:ascii="Times New Roman" w:hAnsi="Times New Roman"/>
          <w:i/>
        </w:rPr>
        <w:t>C</w:t>
      </w:r>
      <w:r>
        <w:rPr>
          <w:rFonts w:ascii="Times New Roman" w:hAnsi="Times New Roman"/>
          <w:i/>
          <w:vertAlign w:val="subscript"/>
        </w:rPr>
        <w:t>i</w:t>
      </w:r>
      <w:r>
        <w:rPr>
          <w:rFonts w:ascii="Times New Roman" w:hAnsi="Times New Roman"/>
          <w:vertAlign w:val="subscript"/>
        </w:rPr>
        <w:t>,</w:t>
      </w:r>
      <w:r>
        <w:rPr>
          <w:rFonts w:ascii="Times New Roman" w:hAnsi="Times New Roman"/>
          <w:i/>
          <w:vertAlign w:val="subscript"/>
        </w:rPr>
        <w:t>S</w:t>
      </w:r>
      <w:r>
        <w:rPr>
          <w:rFonts w:ascii="Times New Roman" w:hAnsi="Times New Roman"/>
        </w:rPr>
        <w:t>---已建井站占地范围内基本因子和石油烃C</w:t>
      </w:r>
      <w:r>
        <w:rPr>
          <w:rFonts w:ascii="Times New Roman" w:hAnsi="Times New Roman"/>
          <w:vertAlign w:val="subscript"/>
        </w:rPr>
        <w:t>10</w:t>
      </w:r>
      <w:r>
        <w:rPr>
          <w:rFonts w:ascii="Times New Roman" w:hAnsi="Times New Roman"/>
        </w:rPr>
        <w:t>-C</w:t>
      </w:r>
      <w:r>
        <w:rPr>
          <w:rFonts w:ascii="Times New Roman" w:hAnsi="Times New Roman"/>
          <w:vertAlign w:val="subscript"/>
        </w:rPr>
        <w:t>40</w:t>
      </w:r>
      <w:r>
        <w:rPr>
          <w:rFonts w:ascii="Times New Roman" w:hAnsi="Times New Roman"/>
        </w:rPr>
        <w:t>按照第</w:t>
      </w:r>
      <w:r>
        <w:rPr>
          <w:rFonts w:ascii="Times New Roman" w:hAnsi="Times New Roman"/>
          <w:i/>
        </w:rPr>
        <w:t>i</w:t>
      </w:r>
      <w:r>
        <w:rPr>
          <w:rFonts w:ascii="Times New Roman" w:hAnsi="Times New Roman"/>
        </w:rPr>
        <w:t>种污染物的GB36600-2018中第二类用地筛选值（mg/kg）、井站外（包括管线、阀室）石油烃C</w:t>
      </w:r>
      <w:r>
        <w:rPr>
          <w:rFonts w:ascii="Times New Roman" w:hAnsi="Times New Roman"/>
          <w:vertAlign w:val="subscript"/>
        </w:rPr>
        <w:t>10</w:t>
      </w:r>
      <w:r>
        <w:rPr>
          <w:rFonts w:ascii="Times New Roman" w:hAnsi="Times New Roman"/>
        </w:rPr>
        <w:t>-C</w:t>
      </w:r>
      <w:r>
        <w:rPr>
          <w:rFonts w:ascii="Times New Roman" w:hAnsi="Times New Roman"/>
          <w:vertAlign w:val="subscript"/>
        </w:rPr>
        <w:t>40</w:t>
      </w:r>
      <w:r>
        <w:rPr>
          <w:rFonts w:ascii="Times New Roman" w:hAnsi="Times New Roman"/>
        </w:rPr>
        <w:t>按照第一类用地筛选值（mg/kg），阀室基本因子参考GB15618-2018中pH &gt;7.5的农用地土壤污染风险筛选值。</w:t>
      </w:r>
    </w:p>
    <w:p>
      <w:pPr>
        <w:ind w:firstLine="480"/>
        <w:rPr>
          <w:rFonts w:ascii="Times New Roman" w:hAnsi="Times New Roman"/>
        </w:rPr>
      </w:pPr>
      <w:r>
        <w:rPr>
          <w:rFonts w:ascii="Times New Roman" w:hAnsi="Times New Roman"/>
        </w:rPr>
        <w:t>（2）评价结果</w:t>
      </w:r>
    </w:p>
    <w:p>
      <w:pPr>
        <w:ind w:firstLine="480"/>
        <w:rPr>
          <w:rFonts w:ascii="Times New Roman" w:hAnsi="Times New Roman"/>
        </w:rPr>
      </w:pPr>
      <w:r>
        <w:rPr>
          <w:rFonts w:ascii="Times New Roman" w:hAnsi="Times New Roman"/>
        </w:rPr>
        <w:t>根据评价结果可知，本项目已建井站占地范围内基本因子和石油烃C</w:t>
      </w:r>
      <w:r>
        <w:rPr>
          <w:rFonts w:ascii="Times New Roman" w:hAnsi="Times New Roman"/>
          <w:vertAlign w:val="subscript"/>
        </w:rPr>
        <w:t>10</w:t>
      </w:r>
      <w:r>
        <w:rPr>
          <w:rFonts w:ascii="Times New Roman" w:hAnsi="Times New Roman"/>
        </w:rPr>
        <w:t>-C</w:t>
      </w:r>
      <w:r>
        <w:rPr>
          <w:rFonts w:ascii="Times New Roman" w:hAnsi="Times New Roman"/>
          <w:vertAlign w:val="subscript"/>
        </w:rPr>
        <w:t>40</w:t>
      </w:r>
      <w:r>
        <w:rPr>
          <w:rFonts w:ascii="Times New Roman" w:hAnsi="Times New Roman"/>
        </w:rPr>
        <w:t>均满足GB36600-2018中第二类用地筛选值（mg/kg），井站外（包括管线、阀室）石油烃C</w:t>
      </w:r>
      <w:r>
        <w:rPr>
          <w:rFonts w:ascii="Times New Roman" w:hAnsi="Times New Roman"/>
          <w:vertAlign w:val="subscript"/>
        </w:rPr>
        <w:t>10</w:t>
      </w:r>
      <w:r>
        <w:rPr>
          <w:rFonts w:ascii="Times New Roman" w:hAnsi="Times New Roman"/>
        </w:rPr>
        <w:t>-C</w:t>
      </w:r>
      <w:r>
        <w:rPr>
          <w:rFonts w:ascii="Times New Roman" w:hAnsi="Times New Roman"/>
          <w:vertAlign w:val="subscript"/>
        </w:rPr>
        <w:t>40</w:t>
      </w:r>
      <w:r>
        <w:rPr>
          <w:rFonts w:ascii="Times New Roman" w:hAnsi="Times New Roman"/>
        </w:rPr>
        <w:t>均满足GB36600-2018中第一类用地筛选值（mg/kg），阀室基本因子均满足GB15618-2018中pH &gt;7.5的农用地土壤污染风险筛选值。土壤环境现状评价结果见</w:t>
      </w:r>
      <w:r>
        <w:rPr>
          <w:rFonts w:ascii="Times New Roman" w:hAnsi="Times New Roman"/>
        </w:rPr>
        <w:fldChar w:fldCharType="begin"/>
      </w:r>
      <w:r>
        <w:rPr>
          <w:rFonts w:ascii="Times New Roman" w:hAnsi="Times New Roman"/>
        </w:rPr>
        <w:instrText xml:space="preserve"> REF _Ref155694448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20</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59" w:name="_Ref155694448"/>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20</w:t>
      </w:r>
      <w:r>
        <w:rPr>
          <w:rFonts w:ascii="Times New Roman" w:hAnsi="Times New Roman" w:cs="Times New Roman"/>
        </w:rPr>
        <w:fldChar w:fldCharType="end"/>
      </w:r>
      <w:bookmarkEnd w:id="159"/>
      <w:r>
        <w:rPr>
          <w:rFonts w:ascii="Times New Roman" w:hAnsi="Times New Roman" w:cs="Times New Roman"/>
        </w:rPr>
        <w:t xml:space="preserve">  土壤环境现状评价结果一览表</w:t>
      </w:r>
    </w:p>
    <w:tbl>
      <w:tblPr>
        <w:tblStyle w:val="28"/>
        <w:tblW w:w="5489" w:type="pct"/>
        <w:tblInd w:w="-601" w:type="dxa"/>
        <w:tblLayout w:type="fixed"/>
        <w:tblCellMar>
          <w:top w:w="0" w:type="dxa"/>
          <w:left w:w="108" w:type="dxa"/>
          <w:bottom w:w="0" w:type="dxa"/>
          <w:right w:w="108" w:type="dxa"/>
        </w:tblCellMar>
      </w:tblPr>
      <w:tblGrid>
        <w:gridCol w:w="994"/>
        <w:gridCol w:w="709"/>
        <w:gridCol w:w="1132"/>
        <w:gridCol w:w="1136"/>
        <w:gridCol w:w="1130"/>
        <w:gridCol w:w="889"/>
        <w:gridCol w:w="816"/>
        <w:gridCol w:w="849"/>
        <w:gridCol w:w="851"/>
        <w:gridCol w:w="849"/>
      </w:tblGrid>
      <w:tr>
        <w:tblPrEx>
          <w:tblCellMar>
            <w:top w:w="0" w:type="dxa"/>
            <w:left w:w="108" w:type="dxa"/>
            <w:bottom w:w="0" w:type="dxa"/>
            <w:right w:w="108" w:type="dxa"/>
          </w:tblCellMar>
        </w:tblPrEx>
        <w:trPr>
          <w:trHeight w:val="288" w:hRule="atLeast"/>
        </w:trPr>
        <w:tc>
          <w:tcPr>
            <w:tcW w:w="531"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检测项目</w:t>
            </w:r>
          </w:p>
        </w:tc>
        <w:tc>
          <w:tcPr>
            <w:tcW w:w="379"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样品数量</w:t>
            </w:r>
          </w:p>
        </w:tc>
        <w:tc>
          <w:tcPr>
            <w:tcW w:w="60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最大值（mg/kg）</w:t>
            </w:r>
          </w:p>
        </w:tc>
        <w:tc>
          <w:tcPr>
            <w:tcW w:w="607"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最小值（mg/kg）</w:t>
            </w:r>
          </w:p>
        </w:tc>
        <w:tc>
          <w:tcPr>
            <w:tcW w:w="60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均值（mg/kg）</w:t>
            </w:r>
          </w:p>
        </w:tc>
        <w:tc>
          <w:tcPr>
            <w:tcW w:w="47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标准差</w:t>
            </w:r>
          </w:p>
        </w:tc>
        <w:tc>
          <w:tcPr>
            <w:tcW w:w="43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检出率(%)</w:t>
            </w:r>
          </w:p>
        </w:tc>
        <w:tc>
          <w:tcPr>
            <w:tcW w:w="45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超标率(%)</w:t>
            </w:r>
          </w:p>
        </w:tc>
        <w:tc>
          <w:tcPr>
            <w:tcW w:w="45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最大超标倍数</w:t>
            </w:r>
          </w:p>
        </w:tc>
        <w:tc>
          <w:tcPr>
            <w:tcW w:w="45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标准mg/kg</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砷</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1.06</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0.86</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0.96</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0.1</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60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镉</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0.79</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0.35</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0.57</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0.22</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65</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六价铬</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5.7</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铜</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25</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23</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24</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18000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铅</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25</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18</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21.5</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3.5</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800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汞</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0.353</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0.114</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0.2335</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0.1195</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38</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镍</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59</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42</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50.5</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8.5</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900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四氯化碳</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2.8</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氯仿</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0.9</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氯甲烷</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37</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1,1-二氯乙烷</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9</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1,2-二氯乙烷</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5</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1,1-二氯乙烯</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66</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顺-1,2-二氯乙烯</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596</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反-1,2-二氯乙烯</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54</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二氯甲烷</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616</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1,2-二氯丙烷</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5</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1,1,1,2-四氯乙烷</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1,1,2,2-四氯乙烷</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6.8</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四氯乙烯</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53</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1,1,1-三氯乙烷</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840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1,1,2-三氯乙烷</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2.8</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三氯乙烯</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2.8</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1,2,3-三氯丙烷</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0.5</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氯乙烯</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0.43</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苯</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4</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氯苯</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270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1,2-二氯苯</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560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1,4-二氯苯</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乙苯</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28</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苯乙烯</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1290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甲苯</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1200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间，对-二甲苯</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570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邻-二甲苯</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640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硝基苯</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76</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苯胺</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260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2-氯苯酚</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2256</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苯并(a)蒽</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15</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苯并(a)芘</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1.5</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苯并(b)荧蒽</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15</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苯并(k)荧蒽</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151</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䓛</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1293</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二苯并(a,h)蒽</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1.5</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茚并(1,2,3-cd)芘</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15</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萘</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ND</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70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砷</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2.4</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2.4</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2.4</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25</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镉</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0.25</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0.25</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0.25</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0.6</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铜</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15</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15</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15</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铅</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32</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32</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32</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170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汞</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0.516</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0.516</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0.516</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3.4</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镍</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32</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32</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32</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190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锌</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28</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28</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28</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300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铬</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172</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172</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172</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200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pH</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8.23</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8.23</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8.23</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石油烃（C</w:t>
            </w:r>
            <w:r>
              <w:rPr>
                <w:rFonts w:ascii="Times New Roman" w:hAnsi="Times New Roman"/>
                <w:kern w:val="0"/>
                <w:sz w:val="21"/>
                <w:szCs w:val="21"/>
                <w:vertAlign w:val="subscript"/>
              </w:rPr>
              <w:t>10</w:t>
            </w:r>
            <w:r>
              <w:rPr>
                <w:rFonts w:ascii="Times New Roman" w:hAnsi="Times New Roman"/>
                <w:kern w:val="0"/>
                <w:sz w:val="21"/>
                <w:szCs w:val="21"/>
              </w:rPr>
              <w:t>-C</w:t>
            </w:r>
            <w:r>
              <w:rPr>
                <w:rFonts w:ascii="Times New Roman" w:hAnsi="Times New Roman"/>
                <w:kern w:val="0"/>
                <w:sz w:val="21"/>
                <w:szCs w:val="21"/>
                <w:vertAlign w:val="subscript"/>
              </w:rPr>
              <w:t>40</w:t>
            </w:r>
            <w:r>
              <w:rPr>
                <w:rFonts w:ascii="Times New Roman" w:hAnsi="Times New Roman"/>
                <w:kern w:val="0"/>
                <w:sz w:val="21"/>
                <w:szCs w:val="21"/>
              </w:rPr>
              <w:t>）</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20</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50</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7</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16.45</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12.08</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4500</w:t>
            </w:r>
          </w:p>
        </w:tc>
      </w:tr>
      <w:tr>
        <w:tblPrEx>
          <w:tblCellMar>
            <w:top w:w="0" w:type="dxa"/>
            <w:left w:w="108" w:type="dxa"/>
            <w:bottom w:w="0" w:type="dxa"/>
            <w:right w:w="108" w:type="dxa"/>
          </w:tblCellMar>
        </w:tblPrEx>
        <w:trPr>
          <w:trHeight w:val="288" w:hRule="atLeast"/>
        </w:trPr>
        <w:tc>
          <w:tcPr>
            <w:tcW w:w="53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石油烃（C</w:t>
            </w:r>
            <w:r>
              <w:rPr>
                <w:rFonts w:ascii="Times New Roman" w:hAnsi="Times New Roman"/>
                <w:kern w:val="0"/>
                <w:sz w:val="21"/>
                <w:szCs w:val="21"/>
                <w:vertAlign w:val="subscript"/>
              </w:rPr>
              <w:t>10</w:t>
            </w:r>
            <w:r>
              <w:rPr>
                <w:rFonts w:ascii="Times New Roman" w:hAnsi="Times New Roman"/>
                <w:kern w:val="0"/>
                <w:sz w:val="21"/>
                <w:szCs w:val="21"/>
              </w:rPr>
              <w:t>-C</w:t>
            </w:r>
            <w:r>
              <w:rPr>
                <w:rFonts w:ascii="Times New Roman" w:hAnsi="Times New Roman"/>
                <w:kern w:val="0"/>
                <w:sz w:val="21"/>
                <w:szCs w:val="21"/>
                <w:vertAlign w:val="subscript"/>
              </w:rPr>
              <w:t>40</w:t>
            </w:r>
            <w:r>
              <w:rPr>
                <w:rFonts w:ascii="Times New Roman" w:hAnsi="Times New Roman"/>
                <w:kern w:val="0"/>
                <w:sz w:val="21"/>
                <w:szCs w:val="21"/>
              </w:rPr>
              <w:t>）</w:t>
            </w:r>
          </w:p>
        </w:tc>
        <w:tc>
          <w:tcPr>
            <w:tcW w:w="37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8</w:t>
            </w:r>
          </w:p>
        </w:tc>
        <w:tc>
          <w:tcPr>
            <w:tcW w:w="6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39</w:t>
            </w:r>
          </w:p>
        </w:tc>
        <w:tc>
          <w:tcPr>
            <w:tcW w:w="607"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8</w:t>
            </w:r>
          </w:p>
        </w:tc>
        <w:tc>
          <w:tcPr>
            <w:tcW w:w="60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18.625</w:t>
            </w:r>
          </w:p>
        </w:tc>
        <w:tc>
          <w:tcPr>
            <w:tcW w:w="47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10.04</w:t>
            </w:r>
          </w:p>
        </w:tc>
        <w:tc>
          <w:tcPr>
            <w:tcW w:w="43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0</w:t>
            </w:r>
          </w:p>
        </w:tc>
        <w:tc>
          <w:tcPr>
            <w:tcW w:w="45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826</w:t>
            </w:r>
          </w:p>
        </w:tc>
      </w:tr>
    </w:tbl>
    <w:p>
      <w:pPr>
        <w:ind w:firstLine="480"/>
        <w:rPr>
          <w:rFonts w:ascii="Times New Roman" w:hAnsi="Times New Roman"/>
        </w:rPr>
      </w:pPr>
    </w:p>
    <w:p>
      <w:pPr>
        <w:pStyle w:val="3"/>
        <w:rPr>
          <w:rFonts w:ascii="Times New Roman" w:hAnsi="Times New Roman" w:cs="Times New Roman"/>
        </w:rPr>
      </w:pPr>
      <w:bookmarkStart w:id="160" w:name="_Toc162339421"/>
      <w:r>
        <w:rPr>
          <w:rFonts w:ascii="Times New Roman" w:hAnsi="Times New Roman" w:cs="Times New Roman"/>
        </w:rPr>
        <w:t>生态环境</w:t>
      </w:r>
      <w:bookmarkEnd w:id="160"/>
    </w:p>
    <w:p>
      <w:pPr>
        <w:pStyle w:val="4"/>
        <w:rPr>
          <w:rFonts w:ascii="Times New Roman" w:hAnsi="Times New Roman" w:cs="Times New Roman"/>
        </w:rPr>
      </w:pPr>
      <w:r>
        <w:rPr>
          <w:rFonts w:ascii="Times New Roman" w:hAnsi="Times New Roman" w:cs="Times New Roman"/>
        </w:rPr>
        <w:t>调查与分析方法</w:t>
      </w:r>
    </w:p>
    <w:p>
      <w:pPr>
        <w:pStyle w:val="5"/>
        <w:rPr>
          <w:rFonts w:ascii="Times New Roman" w:hAnsi="Times New Roman"/>
        </w:rPr>
      </w:pPr>
      <w:r>
        <w:rPr>
          <w:rFonts w:ascii="Times New Roman" w:hAnsi="Times New Roman"/>
        </w:rPr>
        <w:t>调查方法</w:t>
      </w:r>
    </w:p>
    <w:p>
      <w:pPr>
        <w:ind w:firstLine="480"/>
        <w:rPr>
          <w:rFonts w:ascii="Times New Roman" w:hAnsi="Times New Roman"/>
        </w:rPr>
      </w:pPr>
      <w:r>
        <w:rPr>
          <w:rFonts w:ascii="Times New Roman" w:hAnsi="Times New Roman"/>
        </w:rPr>
        <w:t>本项目的生态现状调查采用收集资料、现场踏勘、样方调查、遥感解译相结合的方法。</w:t>
      </w:r>
    </w:p>
    <w:p>
      <w:pPr>
        <w:pStyle w:val="43"/>
        <w:numPr>
          <w:ilvl w:val="0"/>
          <w:numId w:val="6"/>
        </w:numPr>
        <w:ind w:firstLineChars="0"/>
        <w:rPr>
          <w:rFonts w:ascii="Times New Roman" w:hAnsi="Times New Roman"/>
        </w:rPr>
      </w:pPr>
      <w:r>
        <w:rPr>
          <w:rFonts w:ascii="Times New Roman" w:hAnsi="Times New Roman"/>
        </w:rPr>
        <w:t>陆生植被调查</w:t>
      </w:r>
    </w:p>
    <w:p>
      <w:pPr>
        <w:ind w:firstLine="480"/>
        <w:rPr>
          <w:rFonts w:ascii="Times New Roman" w:hAnsi="Times New Roman"/>
        </w:rPr>
      </w:pPr>
      <w:r>
        <w:rPr>
          <w:rFonts w:ascii="Times New Roman" w:hAnsi="Times New Roman"/>
        </w:rPr>
        <w:t>1）收集资料</w:t>
      </w:r>
    </w:p>
    <w:p>
      <w:pPr>
        <w:ind w:firstLine="480"/>
        <w:rPr>
          <w:rFonts w:ascii="Times New Roman" w:hAnsi="Times New Roman"/>
        </w:rPr>
      </w:pPr>
      <w:r>
        <w:rPr>
          <w:rFonts w:ascii="Times New Roman" w:hAnsi="Times New Roman"/>
        </w:rPr>
        <w:t>收集查阅《中国植物志</w:t>
      </w:r>
      <w:r>
        <w:rPr>
          <w:rFonts w:hint="eastAsia" w:ascii="Times New Roman" w:hAnsi="Times New Roman"/>
          <w:lang w:eastAsia="zh-CN"/>
        </w:rPr>
        <w:t>》《</w:t>
      </w:r>
      <w:r>
        <w:rPr>
          <w:rFonts w:ascii="Times New Roman" w:hAnsi="Times New Roman"/>
        </w:rPr>
        <w:t>中国高等植物</w:t>
      </w:r>
      <w:r>
        <w:rPr>
          <w:rFonts w:hint="eastAsia" w:ascii="Times New Roman" w:hAnsi="Times New Roman"/>
          <w:lang w:eastAsia="zh-CN"/>
        </w:rPr>
        <w:t>》《</w:t>
      </w:r>
      <w:r>
        <w:rPr>
          <w:rFonts w:ascii="Times New Roman" w:hAnsi="Times New Roman"/>
        </w:rPr>
        <w:t>中国高等植物图鉴</w:t>
      </w:r>
      <w:r>
        <w:rPr>
          <w:rFonts w:hint="eastAsia" w:ascii="Times New Roman" w:hAnsi="Times New Roman"/>
          <w:lang w:eastAsia="zh-CN"/>
        </w:rPr>
        <w:t>》《</w:t>
      </w:r>
      <w:r>
        <w:rPr>
          <w:rFonts w:ascii="Times New Roman" w:hAnsi="Times New Roman"/>
        </w:rPr>
        <w:t>四川植物志</w:t>
      </w:r>
      <w:r>
        <w:rPr>
          <w:rFonts w:hint="eastAsia" w:ascii="Times New Roman" w:hAnsi="Times New Roman"/>
          <w:lang w:eastAsia="zh-CN"/>
        </w:rPr>
        <w:t>》《</w:t>
      </w:r>
      <w:r>
        <w:rPr>
          <w:rFonts w:ascii="Times New Roman" w:hAnsi="Times New Roman"/>
        </w:rPr>
        <w:t>中国植被</w:t>
      </w:r>
      <w:r>
        <w:rPr>
          <w:rFonts w:hint="eastAsia" w:ascii="Times New Roman" w:hAnsi="Times New Roman"/>
          <w:lang w:eastAsia="zh-CN"/>
        </w:rPr>
        <w:t>》《</w:t>
      </w:r>
      <w:r>
        <w:rPr>
          <w:rFonts w:ascii="Times New Roman" w:hAnsi="Times New Roman"/>
        </w:rPr>
        <w:t>四川植被</w:t>
      </w:r>
      <w:r>
        <w:rPr>
          <w:rFonts w:hint="eastAsia" w:ascii="Times New Roman" w:hAnsi="Times New Roman"/>
          <w:lang w:eastAsia="zh-CN"/>
        </w:rPr>
        <w:t>》《</w:t>
      </w:r>
      <w:r>
        <w:rPr>
          <w:rFonts w:ascii="Times New Roman" w:hAnsi="Times New Roman"/>
        </w:rPr>
        <w:t>长江流域植被净第一性生产力及其时空格局研究》，沿线地区区国家重点保护野生植物和古树名木调查报告、天然保护林区划界定报告以及植物区系等资料文件，同时收集还收集了《四川盆地渡口河-七里北气田飞仙关组气藏开发产能建设项目环境影响报告书》（2022年12月）。</w:t>
      </w:r>
    </w:p>
    <w:p>
      <w:pPr>
        <w:ind w:firstLine="480"/>
        <w:rPr>
          <w:rFonts w:ascii="Times New Roman" w:hAnsi="Times New Roman"/>
        </w:rPr>
      </w:pPr>
      <w:r>
        <w:rPr>
          <w:rFonts w:ascii="Times New Roman" w:hAnsi="Times New Roman"/>
        </w:rPr>
        <w:t>2）现场踏勘</w:t>
      </w:r>
    </w:p>
    <w:p>
      <w:pPr>
        <w:ind w:firstLine="480"/>
        <w:rPr>
          <w:rFonts w:ascii="Times New Roman" w:hAnsi="Times New Roman"/>
        </w:rPr>
      </w:pPr>
      <w:r>
        <w:rPr>
          <w:rFonts w:ascii="Times New Roman" w:hAnsi="Times New Roman"/>
        </w:rPr>
        <w:t>在本项目评价范围内沿着井站、集气管道、宣探阀室、宣探清管站等直接和间接影响区的不同生境，逐一进行调查，记录各区域的生境类型和植被类型， GPS定位并按照分类学要求进行拍照。根据每个群系分布面积大小、生境代表性、群落结构完整性和物种丰富度等情况确定评价范围典型群落，为后续样方调查的基础。</w:t>
      </w:r>
    </w:p>
    <w:p>
      <w:pPr>
        <w:ind w:firstLine="480"/>
        <w:rPr>
          <w:rFonts w:ascii="Times New Roman" w:hAnsi="Times New Roman"/>
        </w:rPr>
      </w:pPr>
      <w:r>
        <w:rPr>
          <w:rFonts w:ascii="Times New Roman" w:hAnsi="Times New Roman"/>
        </w:rPr>
        <w:t>3）样方调查</w:t>
      </w:r>
    </w:p>
    <w:p>
      <w:pPr>
        <w:ind w:firstLine="480"/>
        <w:rPr>
          <w:rFonts w:ascii="Times New Roman" w:hAnsi="Times New Roman"/>
        </w:rPr>
      </w:pPr>
      <w:r>
        <w:rPr>
          <w:rFonts w:ascii="Times New Roman" w:hAnsi="Times New Roman"/>
        </w:rPr>
        <w:t>植物多样性调查采用样线法和样方法进行调查。首先结合卫片图对评价范围域空间植被分布情况进行分析，了解评价范围域不同生态系统的空间分布情况和植被类型的空间格局；进入评价范围后，沿评价范围内已有道路，结合卫片的分析结果，在评价范围内设置贯穿不同生境的样线。沿样线设置样方，样方的设置采取典型抽样法，沿着设置的样线观察前进，每个群系根据分布面积大小、生境代表性、群落结构完整性和物种丰富度等情况，设置3个代表性样方，进行群落类型调查。</w:t>
      </w:r>
    </w:p>
    <w:p>
      <w:pPr>
        <w:ind w:firstLine="480"/>
        <w:rPr>
          <w:rFonts w:ascii="Times New Roman" w:hAnsi="Times New Roman"/>
        </w:rPr>
      </w:pPr>
      <w:r>
        <w:rPr>
          <w:rFonts w:ascii="Times New Roman" w:hAnsi="Times New Roman"/>
        </w:rPr>
        <w:t>4）遥感解译</w:t>
      </w:r>
    </w:p>
    <w:p>
      <w:pPr>
        <w:ind w:firstLine="480"/>
        <w:rPr>
          <w:rFonts w:ascii="Times New Roman" w:hAnsi="Times New Roman"/>
        </w:rPr>
      </w:pPr>
      <w:r>
        <w:rPr>
          <w:rFonts w:ascii="Times New Roman" w:hAnsi="Times New Roman"/>
        </w:rPr>
        <w:t>在资料收集、分析和现场踏勘、样方调查的基础上，利用遥感（RS）、全球定位系统（GPS）、地理信息系统（GIS）等技术手段，进行数据采集，对评价范围内的植被情况进行遥感解译分析。</w:t>
      </w:r>
    </w:p>
    <w:p>
      <w:pPr>
        <w:pStyle w:val="43"/>
        <w:numPr>
          <w:ilvl w:val="0"/>
          <w:numId w:val="6"/>
        </w:numPr>
        <w:ind w:firstLineChars="0"/>
        <w:rPr>
          <w:rFonts w:ascii="Times New Roman" w:hAnsi="Times New Roman"/>
        </w:rPr>
      </w:pPr>
      <w:r>
        <w:rPr>
          <w:rFonts w:ascii="Times New Roman" w:hAnsi="Times New Roman"/>
        </w:rPr>
        <w:t>陆生动物调查</w:t>
      </w:r>
    </w:p>
    <w:p>
      <w:pPr>
        <w:ind w:firstLine="480"/>
        <w:rPr>
          <w:rFonts w:ascii="Times New Roman" w:hAnsi="Times New Roman"/>
        </w:rPr>
      </w:pPr>
      <w:r>
        <w:rPr>
          <w:rFonts w:ascii="Times New Roman" w:hAnsi="Times New Roman"/>
        </w:rPr>
        <w:t>野生动物的野外研究方法主要包括野外观察和识别、动物野外采集和数量统计等方法进行调查。本项目根据实地调查结果、并结合资料查阅、检索和整理确定评价范围内物种组成。</w:t>
      </w:r>
    </w:p>
    <w:p>
      <w:pPr>
        <w:ind w:firstLine="480"/>
        <w:rPr>
          <w:rFonts w:ascii="Times New Roman" w:hAnsi="Times New Roman"/>
        </w:rPr>
      </w:pPr>
      <w:r>
        <w:rPr>
          <w:rFonts w:ascii="Times New Roman" w:hAnsi="Times New Roman"/>
        </w:rPr>
        <w:t>1）兽类调查方法</w:t>
      </w:r>
    </w:p>
    <w:p>
      <w:pPr>
        <w:ind w:firstLine="480"/>
        <w:rPr>
          <w:rFonts w:ascii="Times New Roman" w:hAnsi="Times New Roman"/>
        </w:rPr>
      </w:pPr>
      <w:r>
        <w:rPr>
          <w:rFonts w:ascii="Times New Roman" w:hAnsi="Times New Roman"/>
        </w:rPr>
        <w:t>兽类调查应用传统的野外动物调查方法。先进行资料收集，包括收集已经公</w:t>
      </w:r>
    </w:p>
    <w:p>
      <w:pPr>
        <w:ind w:firstLine="0" w:firstLineChars="0"/>
        <w:rPr>
          <w:rFonts w:ascii="Times New Roman" w:hAnsi="Times New Roman"/>
        </w:rPr>
      </w:pPr>
      <w:r>
        <w:rPr>
          <w:rFonts w:ascii="Times New Roman" w:hAnsi="Times New Roman"/>
        </w:rPr>
        <w:t>开发表的和有关林业局等单位未公开发表的资料。对于大型野生动物的野外调查，白昼活动的动物采用直接计数法，对与易捕捉的小型动物，采用一次捕捉或多次捕捉法；通过相关指数转换法，用调查与动物数量相关的间接指标来估测动物的数量，如洞口计数法、巢穴计数法、粪便计数法、以及动物留下的足迹、标记、卧迹等；除了常规的样带法、样点法外，对于大中型兽类，辅助采用访问法，即对当地老乡和林业部门（局、站、点）工作人员进行访问，包括他们执法检查时查到的实物拍成的照片；对于鼠形动物，用铗夜法调查。</w:t>
      </w:r>
    </w:p>
    <w:p>
      <w:pPr>
        <w:ind w:firstLine="480"/>
        <w:rPr>
          <w:rFonts w:ascii="Times New Roman" w:hAnsi="Times New Roman"/>
        </w:rPr>
      </w:pPr>
      <w:r>
        <w:rPr>
          <w:rFonts w:ascii="Times New Roman" w:hAnsi="Times New Roman"/>
        </w:rPr>
        <w:t>2）两栖爬行动物调查方法</w:t>
      </w:r>
    </w:p>
    <w:p>
      <w:pPr>
        <w:ind w:firstLine="480"/>
        <w:rPr>
          <w:rFonts w:ascii="Times New Roman" w:hAnsi="Times New Roman"/>
        </w:rPr>
      </w:pPr>
      <w:r>
        <w:rPr>
          <w:rFonts w:ascii="Times New Roman" w:hAnsi="Times New Roman"/>
        </w:rPr>
        <w:t>两栖类动物由于对潮湿的生境依赖性强，因此在野外实地考察时主要选取可能有两栖动物生存的环境进行调查，包括溪流、湿地、水塘、耕地等，及其邻近区域；调查的方法主要是样点调查、样线调查。此外，咨询当地居民和与野生动物有关的林业管理干部等也是重要的补充手段。由于两栖动物多是夜行性，因此白天主要巡视可能有两栖动物生存的生境，并考察幼体或蝌蚪、卵的情况，夜晚再去考察成体的情况。爬行类动物由于已经基本摆脱对潮湿生境的依赖，因此其活动范围比较广泛，在草丛、灌丛、乱石堆、洞穴、水域等都可能见到它们的踪迹。在野外实地考察时主要选取上述可能有爬行动物生存的生境进行调查；调查的方法主要是样点调查。此外，访问当地居民和与野生动物有关的林业管理干部等也是必须的手段。由于爬行动物属外温动物，多喜爱温暖的时段活动，因此主要在白天巡视可能有爬行动物生存的生境。</w:t>
      </w:r>
    </w:p>
    <w:p>
      <w:pPr>
        <w:ind w:firstLine="480"/>
        <w:rPr>
          <w:rFonts w:ascii="Times New Roman" w:hAnsi="Times New Roman"/>
        </w:rPr>
      </w:pPr>
      <w:r>
        <w:rPr>
          <w:rFonts w:ascii="Times New Roman" w:hAnsi="Times New Roman"/>
        </w:rPr>
        <w:t>3）鸟类调查方法</w:t>
      </w:r>
    </w:p>
    <w:p>
      <w:pPr>
        <w:ind w:firstLine="480"/>
        <w:rPr>
          <w:rFonts w:ascii="Times New Roman" w:hAnsi="Times New Roman"/>
        </w:rPr>
      </w:pPr>
      <w:r>
        <w:rPr>
          <w:rFonts w:ascii="Times New Roman" w:hAnsi="Times New Roman"/>
        </w:rPr>
        <w:t>鸟类的野外调查主要依靠生态习性，主要采用样带法（包括样方法）进行种类及数量调查。调查过程中在样带内徒步行走，观察记数所见鸟类种类、数量以及羽毛、鸟巢等痕迹，同时访问有关人士，并详细记录样带内的生境变化，通过全球卫星定位仪（GPS）测定其经纬度和海拔高度变化。根据区内地貌、海拔高度、植被类型等特点，将鸟类生境划为一定的生物地理－植被地带分析论证。确定物种组成、区系构成，对鸟类的数量等级采用路线统计法进行常规统计，一些未在调查中所见种则依据有关文献判别。</w:t>
      </w:r>
    </w:p>
    <w:p>
      <w:pPr>
        <w:pStyle w:val="5"/>
        <w:rPr>
          <w:rFonts w:ascii="Times New Roman" w:hAnsi="Times New Roman"/>
        </w:rPr>
      </w:pPr>
      <w:r>
        <w:rPr>
          <w:rFonts w:ascii="Times New Roman" w:hAnsi="Times New Roman"/>
        </w:rPr>
        <w:t>分析方法</w:t>
      </w:r>
    </w:p>
    <w:p>
      <w:pPr>
        <w:pStyle w:val="43"/>
        <w:numPr>
          <w:ilvl w:val="0"/>
          <w:numId w:val="7"/>
        </w:numPr>
        <w:ind w:firstLineChars="0"/>
        <w:rPr>
          <w:rFonts w:ascii="Times New Roman" w:hAnsi="Times New Roman"/>
        </w:rPr>
      </w:pPr>
      <w:r>
        <w:rPr>
          <w:rFonts w:ascii="Times New Roman" w:hAnsi="Times New Roman"/>
        </w:rPr>
        <w:t>数据整理</w:t>
      </w:r>
    </w:p>
    <w:p>
      <w:pPr>
        <w:ind w:firstLine="480"/>
        <w:rPr>
          <w:rFonts w:ascii="Times New Roman" w:hAnsi="Times New Roman"/>
        </w:rPr>
      </w:pPr>
      <w:r>
        <w:rPr>
          <w:rFonts w:ascii="Times New Roman" w:hAnsi="Times New Roman"/>
        </w:rPr>
        <w:t>将野外调查的样方调查等数据资料录入相应的Excel数据库，按照相关算法计算典型样地生物多样性指数、生物量和生态系统生物生产力等；开展评价范围植物科属种统计；根据吴征镒的“世界种子植物科的分布区类型系统”（2003）和“中国种子植物属的分布区类型”（1991），对评价范围域内植物所属的区系进行分类和分析；按照景观生态学的相关方法，计算各类生态系统的面积和斑块数、景观类型优势度值等。查阅《四川植物志</w:t>
      </w:r>
      <w:r>
        <w:rPr>
          <w:rFonts w:hint="eastAsia" w:ascii="Times New Roman" w:hAnsi="Times New Roman"/>
          <w:lang w:eastAsia="zh-CN"/>
        </w:rPr>
        <w:t>》《</w:t>
      </w:r>
      <w:r>
        <w:rPr>
          <w:rFonts w:ascii="Times New Roman" w:hAnsi="Times New Roman"/>
        </w:rPr>
        <w:t>中国药用植物志</w:t>
      </w:r>
      <w:r>
        <w:rPr>
          <w:rFonts w:hint="eastAsia" w:ascii="Times New Roman" w:hAnsi="Times New Roman"/>
          <w:lang w:eastAsia="zh-CN"/>
        </w:rPr>
        <w:t>》《</w:t>
      </w:r>
      <w:r>
        <w:rPr>
          <w:rFonts w:ascii="Times New Roman" w:hAnsi="Times New Roman"/>
        </w:rPr>
        <w:t>四川油脂植物》等相关资料，整理评价范围内的重要野生资源植物分布情况，进行植物多样性和植被覆盖度的计算。</w:t>
      </w:r>
    </w:p>
    <w:p>
      <w:pPr>
        <w:pStyle w:val="43"/>
        <w:numPr>
          <w:ilvl w:val="0"/>
          <w:numId w:val="7"/>
        </w:numPr>
        <w:ind w:firstLineChars="0"/>
        <w:rPr>
          <w:rFonts w:ascii="Times New Roman" w:hAnsi="Times New Roman"/>
        </w:rPr>
      </w:pPr>
      <w:r>
        <w:rPr>
          <w:rFonts w:ascii="Times New Roman" w:hAnsi="Times New Roman"/>
        </w:rPr>
        <w:t>生物多样性评价方法</w:t>
      </w:r>
    </w:p>
    <w:p>
      <w:pPr>
        <w:ind w:firstLine="480"/>
        <w:rPr>
          <w:rFonts w:ascii="Times New Roman" w:hAnsi="Times New Roman"/>
        </w:rPr>
      </w:pPr>
      <w:r>
        <w:rPr>
          <w:rFonts w:ascii="Times New Roman" w:hAnsi="Times New Roman"/>
        </w:rPr>
        <w:t>物种多样性常用的评价指标包括物种丰富度、香农-威纳多样性指数、Pielou均匀度指数、Simpson优势度指数等。</w:t>
      </w:r>
    </w:p>
    <w:p>
      <w:pPr>
        <w:ind w:firstLine="480"/>
        <w:rPr>
          <w:rFonts w:ascii="Times New Roman" w:hAnsi="Times New Roman"/>
        </w:rPr>
      </w:pPr>
      <w:r>
        <w:rPr>
          <w:rFonts w:ascii="Times New Roman" w:hAnsi="Times New Roman"/>
        </w:rPr>
        <w:t>物种丰富度(species richness): 调查区域内物种种数之和。</w:t>
      </w:r>
    </w:p>
    <w:p>
      <w:pPr>
        <w:ind w:firstLine="480"/>
        <w:rPr>
          <w:rFonts w:ascii="Times New Roman" w:hAnsi="Times New Roman"/>
        </w:rPr>
      </w:pPr>
      <w:r>
        <w:rPr>
          <w:rFonts w:ascii="Times New Roman" w:hAnsi="Times New Roman"/>
        </w:rPr>
        <w:t>1）香农-威纳多样性指数(Shannon-Wiener diversity index)</w:t>
      </w:r>
    </w:p>
    <w:p>
      <w:pPr>
        <w:pStyle w:val="43"/>
        <w:ind w:left="920" w:firstLine="0" w:firstLineChars="0"/>
        <w:jc w:val="both"/>
        <w:textAlignment w:val="baseline"/>
        <w:rPr>
          <w:rFonts w:ascii="Times New Roman" w:hAnsi="Times New Roman"/>
        </w:rPr>
      </w:pPr>
      <w:r>
        <w:rPr>
          <w:rFonts w:ascii="Times New Roman" w:hAnsi="Times New Roman"/>
        </w:rPr>
        <w:t>计算公式为:</w:t>
      </w:r>
    </w:p>
    <w:p>
      <w:pPr>
        <w:spacing w:line="700" w:lineRule="atLeast"/>
        <w:ind w:firstLine="0" w:firstLineChars="0"/>
        <w:jc w:val="center"/>
        <w:textAlignment w:val="baseline"/>
        <w:rPr>
          <w:rFonts w:ascii="Times New Roman" w:hAnsi="Times New Roman"/>
          <w:sz w:val="23"/>
          <w:szCs w:val="22"/>
        </w:rPr>
      </w:pPr>
      <w:r>
        <w:rPr>
          <w:rFonts w:ascii="Times New Roman" w:hAnsi="Times New Roman"/>
        </w:rPr>
        <w:drawing>
          <wp:inline distT="0" distB="0" distL="0" distR="0">
            <wp:extent cx="1577340" cy="511175"/>
            <wp:effectExtent l="0" t="0" r="381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5"/>
                    <a:stretch>
                      <a:fillRect/>
                    </a:stretch>
                  </pic:blipFill>
                  <pic:spPr>
                    <a:xfrm>
                      <a:off x="0" y="0"/>
                      <a:ext cx="1577340" cy="511440"/>
                    </a:xfrm>
                    <a:prstGeom prst="rect">
                      <a:avLst/>
                    </a:prstGeom>
                  </pic:spPr>
                </pic:pic>
              </a:graphicData>
            </a:graphic>
          </wp:inline>
        </w:drawing>
      </w:r>
    </w:p>
    <w:p>
      <w:pPr>
        <w:ind w:firstLine="480"/>
        <w:rPr>
          <w:rFonts w:ascii="Times New Roman" w:hAnsi="Times New Roman"/>
        </w:rPr>
      </w:pPr>
      <w:r>
        <w:rPr>
          <w:rFonts w:ascii="Times New Roman" w:hAnsi="Times New Roman"/>
        </w:rPr>
        <w:t>式中：</w:t>
      </w:r>
      <w:r>
        <w:rPr>
          <w:rFonts w:ascii="Times New Roman" w:hAnsi="Times New Roman"/>
          <w:i/>
        </w:rPr>
        <w:t>H</w:t>
      </w:r>
      <w:r>
        <w:rPr>
          <w:rFonts w:ascii="Times New Roman" w:hAnsi="Times New Roman"/>
        </w:rPr>
        <w:t>—香农-威纳多样性指数；</w:t>
      </w:r>
    </w:p>
    <w:p>
      <w:pPr>
        <w:ind w:firstLine="1200" w:firstLineChars="500"/>
        <w:rPr>
          <w:rFonts w:ascii="Times New Roman" w:hAnsi="Times New Roman"/>
        </w:rPr>
      </w:pPr>
      <w:r>
        <w:rPr>
          <w:rFonts w:ascii="Times New Roman" w:hAnsi="Times New Roman"/>
          <w:i/>
        </w:rPr>
        <w:t>S</w:t>
      </w:r>
      <w:r>
        <w:rPr>
          <w:rFonts w:ascii="Times New Roman" w:hAnsi="Times New Roman"/>
        </w:rPr>
        <w:t>—调查区域内物种种类总数；</w:t>
      </w:r>
    </w:p>
    <w:p>
      <w:pPr>
        <w:ind w:firstLine="1200" w:firstLineChars="500"/>
        <w:rPr>
          <w:rFonts w:ascii="Times New Roman" w:hAnsi="Times New Roman"/>
        </w:rPr>
      </w:pPr>
      <m:oMath>
        <m:r>
          <m:rPr>
            <m:sty m:val="p"/>
          </m:rPr>
          <w:rPr>
            <w:rFonts w:ascii="Cambria Math" w:hAnsi="Cambria Math"/>
          </w:rPr>
          <m:t>Pᵢ</m:t>
        </m:r>
      </m:oMath>
      <w:r>
        <w:rPr>
          <w:rFonts w:ascii="Times New Roman" w:hAnsi="Times New Roman"/>
        </w:rPr>
        <w:t>—调查区域内属于第i种的个体比例，如总个体数为N，第</w:t>
      </w:r>
      <w:r>
        <w:rPr>
          <w:rFonts w:ascii="Times New Roman" w:hAnsi="Times New Roman"/>
          <w:i/>
        </w:rPr>
        <w:t>i</w:t>
      </w:r>
      <w:r>
        <w:rPr>
          <w:rFonts w:ascii="Times New Roman" w:hAnsi="Times New Roman"/>
        </w:rPr>
        <w:t>种个体数为</w:t>
      </w:r>
      <w:r>
        <w:rPr>
          <w:rFonts w:ascii="Times New Roman" w:hAnsi="Times New Roman"/>
          <w:i/>
          <w:sz w:val="28"/>
          <w:szCs w:val="28"/>
        </w:rPr>
        <w:t>n</w:t>
      </w:r>
      <w:r>
        <w:rPr>
          <w:rFonts w:ascii="Times New Roman" w:hAnsi="Times New Roman"/>
          <w:i/>
          <w:sz w:val="18"/>
          <w:szCs w:val="18"/>
        </w:rPr>
        <w:t>i</w:t>
      </w:r>
      <w:r>
        <w:rPr>
          <w:rFonts w:ascii="Times New Roman" w:hAnsi="Times New Roman"/>
        </w:rPr>
        <w:t>，则</w:t>
      </w:r>
      <m:oMath>
        <m:r>
          <m:rPr>
            <m:sty m:val="p"/>
          </m:rPr>
          <w:rPr>
            <w:rFonts w:ascii="Cambria Math" w:hAnsi="Cambria Math"/>
          </w:rPr>
          <m:t>Pi=ni/N</m:t>
        </m:r>
      </m:oMath>
    </w:p>
    <w:p>
      <w:pPr>
        <w:ind w:left="960" w:leftChars="200" w:hanging="480" w:hangingChars="200"/>
        <w:rPr>
          <w:rFonts w:ascii="Times New Roman" w:hAnsi="Times New Roman"/>
        </w:rPr>
      </w:pPr>
      <w:r>
        <w:rPr>
          <w:rFonts w:ascii="Times New Roman" w:hAnsi="Times New Roman"/>
        </w:rPr>
        <w:t>2）Pielou均匀度指数是反映调查区域各物种个体数目分配均匀程度的指数，计算公式为：</w:t>
      </w:r>
    </w:p>
    <w:p>
      <w:pPr>
        <w:spacing w:line="700" w:lineRule="atLeast"/>
        <w:ind w:firstLine="0" w:firstLineChars="0"/>
        <w:jc w:val="center"/>
        <w:textAlignment w:val="baseline"/>
        <w:rPr>
          <w:rFonts w:ascii="Times New Roman" w:hAnsi="Times New Roman"/>
          <w:sz w:val="23"/>
          <w:szCs w:val="22"/>
        </w:rPr>
      </w:pPr>
      <w:r>
        <w:rPr>
          <w:rFonts w:ascii="Times New Roman" w:hAnsi="Times New Roman"/>
        </w:rPr>
        <w:drawing>
          <wp:inline distT="0" distB="0" distL="0" distR="0">
            <wp:extent cx="1691640" cy="594995"/>
            <wp:effectExtent l="0" t="0" r="381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6"/>
                    <a:stretch>
                      <a:fillRect/>
                    </a:stretch>
                  </pic:blipFill>
                  <pic:spPr>
                    <a:xfrm>
                      <a:off x="0" y="0"/>
                      <a:ext cx="1691640" cy="595316"/>
                    </a:xfrm>
                    <a:prstGeom prst="rect">
                      <a:avLst/>
                    </a:prstGeom>
                  </pic:spPr>
                </pic:pic>
              </a:graphicData>
            </a:graphic>
          </wp:inline>
        </w:drawing>
      </w:r>
    </w:p>
    <w:p>
      <w:pPr>
        <w:ind w:firstLine="480"/>
        <w:rPr>
          <w:rFonts w:ascii="Times New Roman" w:hAnsi="Times New Roman"/>
        </w:rPr>
      </w:pPr>
      <w:r>
        <w:rPr>
          <w:rFonts w:ascii="Times New Roman" w:hAnsi="Times New Roman"/>
        </w:rPr>
        <w:t>式中:</w:t>
      </w:r>
      <w:r>
        <w:rPr>
          <w:rFonts w:ascii="Times New Roman" w:hAnsi="Times New Roman"/>
          <w:i/>
        </w:rPr>
        <w:t>J</w:t>
      </w:r>
      <w:r>
        <w:rPr>
          <w:rFonts w:ascii="Times New Roman" w:hAnsi="Times New Roman"/>
        </w:rPr>
        <w:t>—Pielou均匀度指数;</w:t>
      </w:r>
    </w:p>
    <w:p>
      <w:pPr>
        <w:ind w:firstLine="960" w:firstLineChars="400"/>
        <w:rPr>
          <w:rFonts w:ascii="Times New Roman" w:hAnsi="Times New Roman"/>
        </w:rPr>
      </w:pPr>
      <w:r>
        <w:rPr>
          <w:rFonts w:ascii="Times New Roman" w:hAnsi="Times New Roman"/>
        </w:rPr>
        <w:t>S—调查区域内物种种类总数；</w:t>
      </w:r>
    </w:p>
    <w:p>
      <w:pPr>
        <w:ind w:firstLine="960" w:firstLineChars="400"/>
        <w:rPr>
          <w:rFonts w:ascii="Times New Roman" w:hAnsi="Times New Roman"/>
        </w:rPr>
      </w:pPr>
      <m:oMath>
        <m:r>
          <m:rPr>
            <m:sty m:val="p"/>
          </m:rPr>
          <w:rPr>
            <w:rFonts w:ascii="Cambria Math" w:hAnsi="Cambria Math"/>
          </w:rPr>
          <m:t>Pᵢ</m:t>
        </m:r>
      </m:oMath>
      <w:r>
        <w:rPr>
          <w:rFonts w:ascii="Times New Roman" w:hAnsi="Times New Roman"/>
        </w:rPr>
        <w:t>—调查区域内属于第i种的个体比例。</w:t>
      </w:r>
    </w:p>
    <w:p>
      <w:pPr>
        <w:ind w:firstLine="480"/>
        <w:rPr>
          <w:rFonts w:ascii="Times New Roman" w:hAnsi="Times New Roman"/>
        </w:rPr>
      </w:pPr>
      <w:r>
        <w:rPr>
          <w:rFonts w:ascii="Times New Roman" w:hAnsi="Times New Roman"/>
        </w:rPr>
        <w:t>3）Simpson优势度指数与均匀度指数相对应，计算公式为：</w:t>
      </w:r>
    </w:p>
    <w:p>
      <w:pPr>
        <w:spacing w:line="700" w:lineRule="atLeast"/>
        <w:ind w:firstLineChars="0"/>
        <w:jc w:val="center"/>
        <w:textAlignment w:val="baseline"/>
        <w:rPr>
          <w:rFonts w:ascii="Times New Roman" w:hAnsi="Times New Roman"/>
          <w:sz w:val="23"/>
          <w:szCs w:val="22"/>
        </w:rPr>
      </w:pPr>
      <w:r>
        <w:rPr>
          <w:rFonts w:ascii="Times New Roman" w:hAnsi="Times New Roman"/>
        </w:rPr>
        <w:drawing>
          <wp:inline distT="0" distB="0" distL="0" distR="0">
            <wp:extent cx="1137285" cy="571500"/>
            <wp:effectExtent l="0" t="0" r="571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87"/>
                    <a:stretch>
                      <a:fillRect/>
                    </a:stretch>
                  </pic:blipFill>
                  <pic:spPr>
                    <a:xfrm>
                      <a:off x="0" y="0"/>
                      <a:ext cx="1137285" cy="571500"/>
                    </a:xfrm>
                    <a:prstGeom prst="rect">
                      <a:avLst/>
                    </a:prstGeom>
                  </pic:spPr>
                </pic:pic>
              </a:graphicData>
            </a:graphic>
          </wp:inline>
        </w:drawing>
      </w:r>
    </w:p>
    <w:p>
      <w:pPr>
        <w:ind w:firstLine="480"/>
        <w:rPr>
          <w:rFonts w:ascii="Times New Roman" w:hAnsi="Times New Roman"/>
        </w:rPr>
      </w:pPr>
      <w:r>
        <w:rPr>
          <w:rFonts w:ascii="Times New Roman" w:hAnsi="Times New Roman"/>
        </w:rPr>
        <w:t>式中:</w:t>
      </w:r>
      <w:r>
        <w:rPr>
          <w:rFonts w:ascii="Times New Roman" w:hAnsi="Times New Roman"/>
          <w:i/>
        </w:rPr>
        <w:t>D</w:t>
      </w:r>
      <w:r>
        <w:rPr>
          <w:rFonts w:ascii="Times New Roman" w:hAnsi="Times New Roman"/>
        </w:rPr>
        <w:t>—Simpson优势度指数;</w:t>
      </w:r>
    </w:p>
    <w:p>
      <w:pPr>
        <w:ind w:firstLine="919" w:firstLineChars="383"/>
        <w:rPr>
          <w:rFonts w:ascii="Times New Roman" w:hAnsi="Times New Roman"/>
        </w:rPr>
      </w:pPr>
      <w:r>
        <w:rPr>
          <w:rFonts w:ascii="Times New Roman" w:hAnsi="Times New Roman"/>
          <w:i/>
        </w:rPr>
        <w:t>S</w:t>
      </w:r>
      <w:r>
        <w:rPr>
          <w:rFonts w:ascii="Times New Roman" w:hAnsi="Times New Roman"/>
        </w:rPr>
        <w:t>—调查区域内物种种类总数；</w:t>
      </w:r>
    </w:p>
    <w:p>
      <w:pPr>
        <w:ind w:firstLine="960" w:firstLineChars="400"/>
        <w:rPr>
          <w:rFonts w:ascii="Times New Roman" w:hAnsi="Times New Roman"/>
        </w:rPr>
      </w:pPr>
      <m:oMath>
        <m:r>
          <m:rPr>
            <m:sty m:val="p"/>
          </m:rPr>
          <w:rPr>
            <w:rFonts w:ascii="Cambria Math" w:hAnsi="Cambria Math"/>
          </w:rPr>
          <m:t>Pᵢ</m:t>
        </m:r>
      </m:oMath>
      <w:r>
        <w:rPr>
          <w:rFonts w:ascii="Times New Roman" w:hAnsi="Times New Roman"/>
        </w:rPr>
        <w:t>—调查区域内属于第i种的个体比例。</w:t>
      </w:r>
    </w:p>
    <w:p>
      <w:pPr>
        <w:pStyle w:val="43"/>
        <w:numPr>
          <w:ilvl w:val="0"/>
          <w:numId w:val="7"/>
        </w:numPr>
        <w:ind w:firstLineChars="0"/>
        <w:rPr>
          <w:rFonts w:ascii="Times New Roman" w:hAnsi="Times New Roman"/>
        </w:rPr>
      </w:pPr>
      <w:r>
        <w:rPr>
          <w:rFonts w:ascii="Times New Roman" w:hAnsi="Times New Roman"/>
        </w:rPr>
        <w:t>生态系统评价方法</w:t>
      </w:r>
    </w:p>
    <w:p>
      <w:pPr>
        <w:ind w:firstLine="480"/>
        <w:rPr>
          <w:rFonts w:ascii="Times New Roman" w:hAnsi="Times New Roman"/>
        </w:rPr>
      </w:pPr>
      <w:r>
        <w:rPr>
          <w:rFonts w:ascii="Times New Roman" w:hAnsi="Times New Roman"/>
        </w:rPr>
        <w:t>1）植被覆盖度</w:t>
      </w:r>
    </w:p>
    <w:p>
      <w:pPr>
        <w:ind w:firstLine="480"/>
        <w:rPr>
          <w:rFonts w:ascii="Times New Roman" w:hAnsi="Times New Roman"/>
        </w:rPr>
      </w:pPr>
      <w:r>
        <w:rPr>
          <w:rFonts w:ascii="Times New Roman" w:hAnsi="Times New Roman"/>
        </w:rPr>
        <w:t>植被覆盖度可用于定量分析评价范围内的植被现状。基于遥感估算植被覆盖度可根据区域特点和数据基础采用不同的方法，如植被指数法、回归模型、机器学习法等。</w:t>
      </w:r>
    </w:p>
    <w:p>
      <w:pPr>
        <w:ind w:firstLine="480"/>
        <w:rPr>
          <w:rFonts w:ascii="Times New Roman" w:hAnsi="Times New Roman"/>
        </w:rPr>
      </w:pPr>
      <w:r>
        <w:rPr>
          <w:rFonts w:ascii="Times New Roman" w:hAnsi="Times New Roman"/>
        </w:rPr>
        <w:t>植被指数法主要是通过对各像元中植被类型及分布特征的分析，建立植被指数与植被覆盖度的转换关系。采用归一化植被指数（NDVI）估算植被覆盖度的方法如下：</w:t>
      </w:r>
    </w:p>
    <w:p>
      <w:pPr>
        <w:ind w:firstLineChars="0"/>
        <w:jc w:val="center"/>
        <w:rPr>
          <w:rFonts w:ascii="Times New Roman" w:hAnsi="Times New Roman"/>
        </w:rPr>
      </w:pPr>
      <w:r>
        <w:rPr>
          <w:rFonts w:ascii="Times New Roman" w:hAnsi="Times New Roman"/>
        </w:rPr>
        <w:t>FVC=(NDVI-NDVIs)/(NDVIv-NDVIs)</w:t>
      </w:r>
    </w:p>
    <w:p>
      <w:pPr>
        <w:ind w:firstLine="480"/>
        <w:rPr>
          <w:rFonts w:ascii="Times New Roman" w:hAnsi="Times New Roman"/>
        </w:rPr>
      </w:pPr>
      <w:r>
        <w:rPr>
          <w:rFonts w:ascii="Times New Roman" w:hAnsi="Times New Roman"/>
        </w:rPr>
        <w:t>式中：</w:t>
      </w:r>
    </w:p>
    <w:p>
      <w:pPr>
        <w:ind w:firstLine="480"/>
        <w:rPr>
          <w:rFonts w:ascii="Times New Roman" w:hAnsi="Times New Roman"/>
        </w:rPr>
      </w:pPr>
      <w:r>
        <w:rPr>
          <w:rFonts w:ascii="Times New Roman" w:hAnsi="Times New Roman"/>
        </w:rPr>
        <w:t>FVC——所计算像元的植被覆盖度；</w:t>
      </w:r>
    </w:p>
    <w:p>
      <w:pPr>
        <w:ind w:firstLine="480"/>
        <w:rPr>
          <w:rFonts w:ascii="Times New Roman" w:hAnsi="Times New Roman"/>
        </w:rPr>
      </w:pPr>
      <w:r>
        <w:rPr>
          <w:rFonts w:ascii="Times New Roman" w:hAnsi="Times New Roman"/>
        </w:rPr>
        <w:t>NDVI——所计算像元的NDVI 值；</w:t>
      </w:r>
    </w:p>
    <w:p>
      <w:pPr>
        <w:ind w:firstLine="480"/>
        <w:rPr>
          <w:rFonts w:ascii="Times New Roman" w:hAnsi="Times New Roman"/>
        </w:rPr>
      </w:pPr>
      <w:r>
        <w:rPr>
          <w:rFonts w:ascii="Times New Roman" w:hAnsi="Times New Roman"/>
        </w:rPr>
        <w:t>NDVIv——纯植物像元的NDVI 值；</w:t>
      </w:r>
    </w:p>
    <w:p>
      <w:pPr>
        <w:ind w:firstLine="480"/>
        <w:rPr>
          <w:rFonts w:ascii="Times New Roman" w:hAnsi="Times New Roman"/>
        </w:rPr>
      </w:pPr>
      <w:r>
        <w:rPr>
          <w:rFonts w:ascii="Times New Roman" w:hAnsi="Times New Roman"/>
        </w:rPr>
        <w:t>NDVIs——完全无植被覆盖像元的NDVI 值。</w:t>
      </w:r>
    </w:p>
    <w:p>
      <w:pPr>
        <w:ind w:firstLine="480"/>
        <w:rPr>
          <w:rFonts w:ascii="Times New Roman" w:hAnsi="Times New Roman"/>
        </w:rPr>
      </w:pPr>
      <w:r>
        <w:rPr>
          <w:rFonts w:ascii="Times New Roman" w:hAnsi="Times New Roman"/>
        </w:rPr>
        <w:t>2）生物量和生产力</w:t>
      </w:r>
    </w:p>
    <w:p>
      <w:pPr>
        <w:ind w:firstLine="480"/>
        <w:rPr>
          <w:rFonts w:ascii="Times New Roman" w:hAnsi="Times New Roman"/>
        </w:rPr>
      </w:pPr>
      <w:r>
        <w:rPr>
          <w:rFonts w:ascii="Times New Roman" w:hAnsi="Times New Roman"/>
        </w:rPr>
        <w:t>区域生态系统生产力的评价指标主要是其植被生产力。植被生产力指各类土地上的植被生长量，单位用“吨/年（t/a）”表示。而各植被生产量等于各植被类型的面积乘以其单位面积的年生产量，即净生产力，后者通常用“t（干重）/a.hm2”表示。参照目前惯用的Whittaker 和Likens（1975）对全球各地带主要植被类型生产量的计算方法，计算拟建项目评价范围内各植被类型（生态系统）生产量。</w:t>
      </w:r>
    </w:p>
    <w:p>
      <w:pPr>
        <w:ind w:firstLine="480"/>
        <w:rPr>
          <w:rFonts w:ascii="Times New Roman" w:hAnsi="Times New Roman"/>
        </w:rPr>
      </w:pPr>
      <w:r>
        <w:rPr>
          <w:rFonts w:hint="eastAsia" w:ascii="宋体" w:hAnsi="宋体" w:cs="宋体"/>
        </w:rPr>
        <w:t>①</w:t>
      </w:r>
      <w:r>
        <w:rPr>
          <w:rFonts w:ascii="Times New Roman" w:hAnsi="Times New Roman"/>
        </w:rPr>
        <w:t>评价范围生态系统的生物量</w:t>
      </w:r>
    </w:p>
    <w:p>
      <w:pPr>
        <w:ind w:firstLine="480"/>
        <w:rPr>
          <w:rFonts w:ascii="Times New Roman" w:hAnsi="Times New Roman"/>
        </w:rPr>
      </w:pPr>
      <w:r>
        <w:rPr>
          <w:rFonts w:ascii="Times New Roman" w:hAnsi="Times New Roman"/>
        </w:rPr>
        <w:t>根据评价范围内各种植被类型（生态系统）的面积，计算得到评价范围生态系统的生物量及其总和。</w:t>
      </w:r>
    </w:p>
    <w:p>
      <w:pPr>
        <w:ind w:firstLine="480"/>
        <w:rPr>
          <w:rFonts w:ascii="Times New Roman" w:hAnsi="Times New Roman"/>
        </w:rPr>
      </w:pPr>
      <w:r>
        <w:rPr>
          <w:rFonts w:hint="eastAsia" w:ascii="宋体" w:hAnsi="宋体" w:cs="宋体"/>
        </w:rPr>
        <w:t>②</w:t>
      </w:r>
      <w:r>
        <w:rPr>
          <w:rFonts w:ascii="Times New Roman" w:hAnsi="Times New Roman"/>
        </w:rPr>
        <w:t>评价范围自然体系生产力现状及分析</w:t>
      </w:r>
    </w:p>
    <w:p>
      <w:pPr>
        <w:ind w:firstLine="480"/>
        <w:rPr>
          <w:rFonts w:ascii="Times New Roman" w:hAnsi="Times New Roman"/>
        </w:rPr>
      </w:pPr>
      <w:r>
        <w:rPr>
          <w:rFonts w:ascii="Times New Roman" w:hAnsi="Times New Roman"/>
        </w:rPr>
        <w:t>根据评价范围内各种植被类型（生态系统）的面积，以及各植被类型（生态系统）的净生产力(t/a.hm</w:t>
      </w:r>
      <w:r>
        <w:rPr>
          <w:rFonts w:ascii="Times New Roman" w:hAnsi="Times New Roman"/>
          <w:vertAlign w:val="superscript"/>
        </w:rPr>
        <w:t>2</w:t>
      </w:r>
      <w:r>
        <w:rPr>
          <w:rFonts w:ascii="Times New Roman" w:hAnsi="Times New Roman"/>
        </w:rPr>
        <w:t>)，（Whittaker，Likens，1975），计算得到评价范围生态系统的年生产力及其总和。</w:t>
      </w:r>
    </w:p>
    <w:p>
      <w:pPr>
        <w:pStyle w:val="43"/>
        <w:numPr>
          <w:ilvl w:val="0"/>
          <w:numId w:val="7"/>
        </w:numPr>
        <w:ind w:firstLineChars="0"/>
        <w:rPr>
          <w:rFonts w:ascii="Times New Roman" w:hAnsi="Times New Roman"/>
        </w:rPr>
      </w:pPr>
      <w:r>
        <w:rPr>
          <w:rFonts w:ascii="Times New Roman" w:hAnsi="Times New Roman"/>
        </w:rPr>
        <w:t>图鉴制作</w:t>
      </w:r>
    </w:p>
    <w:p>
      <w:pPr>
        <w:ind w:firstLine="480"/>
        <w:rPr>
          <w:rFonts w:ascii="Times New Roman" w:hAnsi="Times New Roman"/>
        </w:rPr>
      </w:pPr>
      <w:r>
        <w:rPr>
          <w:rFonts w:ascii="Times New Roman" w:hAnsi="Times New Roman"/>
        </w:rPr>
        <w:t>在充分搜集和利用现有研究成果、资料的基础上，利用遥感（RS）、全球定位系统（GPS）、地理信息系统（GIS）等技术手段进行数据采集；根据遥感解译结果，结合地形图进行现场调查、勘探与定位实测；并对资料、信息和数据进行汇总、整理、分析，完成生态制图。</w:t>
      </w:r>
    </w:p>
    <w:p>
      <w:pPr>
        <w:pStyle w:val="4"/>
        <w:rPr>
          <w:rFonts w:ascii="Times New Roman" w:hAnsi="Times New Roman" w:cs="Times New Roman"/>
        </w:rPr>
      </w:pPr>
      <w:r>
        <w:rPr>
          <w:rFonts w:ascii="Times New Roman" w:hAnsi="Times New Roman" w:cs="Times New Roman"/>
        </w:rPr>
        <w:t>调查时间</w:t>
      </w:r>
    </w:p>
    <w:p>
      <w:pPr>
        <w:ind w:firstLine="480"/>
        <w:rPr>
          <w:rFonts w:ascii="Times New Roman" w:hAnsi="Times New Roman"/>
        </w:rPr>
      </w:pPr>
      <w:r>
        <w:rPr>
          <w:rFonts w:ascii="Times New Roman" w:hAnsi="Times New Roman"/>
        </w:rPr>
        <w:t>2023年12月6-7日、12月17-19日、2024年3月21-22日，对项目区域及评价范围的野生动植物进行现场调查，同时布设植被样方调查和野生动物样线调查。</w:t>
      </w:r>
    </w:p>
    <w:p>
      <w:pPr>
        <w:pStyle w:val="4"/>
        <w:rPr>
          <w:rFonts w:ascii="Times New Roman" w:hAnsi="Times New Roman" w:cs="Times New Roman"/>
        </w:rPr>
      </w:pPr>
      <w:r>
        <w:rPr>
          <w:rFonts w:ascii="Times New Roman" w:hAnsi="Times New Roman" w:cs="Times New Roman"/>
        </w:rPr>
        <w:t>生态功能区划</w:t>
      </w:r>
    </w:p>
    <w:p>
      <w:pPr>
        <w:ind w:firstLine="480"/>
        <w:jc w:val="both"/>
        <w:rPr>
          <w:rFonts w:ascii="Times New Roman" w:hAnsi="Times New Roman"/>
        </w:rPr>
      </w:pPr>
      <w:r>
        <w:rPr>
          <w:rFonts w:ascii="Times New Roman" w:hAnsi="Times New Roman"/>
        </w:rPr>
        <w:t>根据《四川省生态功能区划》，四川省生态功能区划分为4个一级区，13个二级区，36个三级区。4个一级区为：Ⅰ、四川盆地亚热带湿润气候生态区；Ⅱ、川西南山地亚热带半湿润气候生态区；Ⅲ、川西高山高原亚热带-温带-寒温带生态区；Ⅳ、川西北高原江河源区寒温带-亚寒带生态区。</w:t>
      </w:r>
    </w:p>
    <w:p>
      <w:pPr>
        <w:ind w:firstLine="480"/>
        <w:jc w:val="both"/>
        <w:rPr>
          <w:rFonts w:ascii="Times New Roman" w:hAnsi="Times New Roman"/>
        </w:rPr>
      </w:pPr>
      <w:r>
        <w:rPr>
          <w:rFonts w:ascii="Times New Roman" w:hAnsi="Times New Roman"/>
        </w:rPr>
        <w:t>依据《四川省生态功能区划》，评价范围属于Ⅰ-2、盆中农林农林复合生态亚区中Ⅰ-2-1盆北深丘农林业与土壤保持生态功能区和Ⅰ-4、盆东平行岭谷农林复合生态亚区中Ⅰ-4-1山峡库区华蓥山农林业与土壤保持生态功能区。</w:t>
      </w:r>
    </w:p>
    <w:p>
      <w:pPr>
        <w:ind w:firstLine="480"/>
        <w:jc w:val="both"/>
        <w:rPr>
          <w:rFonts w:ascii="Times New Roman" w:hAnsi="Times New Roman"/>
        </w:rPr>
      </w:pPr>
      <w:r>
        <w:rPr>
          <w:rFonts w:ascii="Times New Roman" w:hAnsi="Times New Roman"/>
        </w:rPr>
        <w:t>其主要生态特征为川东典型的山地丘陵地貌，年均气温16.8℃，≥10℃活动积温5100℃左右，年均降雨量865.9-1698毫米。河流主要属于嘉陵江水系。森林植被主要为阔叶林、针叶林。</w:t>
      </w:r>
    </w:p>
    <w:p>
      <w:pPr>
        <w:pStyle w:val="4"/>
        <w:rPr>
          <w:rFonts w:ascii="Times New Roman" w:hAnsi="Times New Roman" w:cs="Times New Roman"/>
        </w:rPr>
      </w:pPr>
      <w:r>
        <w:rPr>
          <w:rFonts w:ascii="Times New Roman" w:hAnsi="Times New Roman" w:cs="Times New Roman"/>
        </w:rPr>
        <w:t>区域生态系统</w:t>
      </w:r>
    </w:p>
    <w:p>
      <w:pPr>
        <w:adjustRightInd w:val="0"/>
        <w:snapToGrid w:val="0"/>
        <w:ind w:firstLine="480"/>
        <w:textAlignment w:val="baseline"/>
        <w:rPr>
          <w:rFonts w:ascii="Times New Roman" w:hAnsi="Times New Roman"/>
          <w:bCs/>
        </w:rPr>
      </w:pPr>
      <w:r>
        <w:rPr>
          <w:rFonts w:ascii="Times New Roman" w:hAnsi="Times New Roman"/>
          <w:bCs/>
        </w:rPr>
        <w:t>区域生态系统主要由森林生态系统、灌丛生态系统、草地生态系统、湿地生态系统、农田生态系统和城镇生态系统等6类生态系统镶嵌组成。气田工程施工开始后，则将增加城镇生态系统中的工况交通用地面积。评价范围生态系统类型统计见</w:t>
      </w:r>
      <w:r>
        <w:rPr>
          <w:rFonts w:ascii="Times New Roman" w:hAnsi="Times New Roman"/>
          <w:bCs/>
        </w:rPr>
        <w:fldChar w:fldCharType="begin"/>
      </w:r>
      <w:r>
        <w:rPr>
          <w:rFonts w:ascii="Times New Roman" w:hAnsi="Times New Roman"/>
          <w:bCs/>
        </w:rPr>
        <w:instrText xml:space="preserve"> REF _Ref154568275 \h  \* MERGEFORMAT </w:instrText>
      </w:r>
      <w:r>
        <w:rPr>
          <w:rFonts w:ascii="Times New Roman" w:hAnsi="Times New Roman"/>
          <w:bCs/>
        </w:rPr>
        <w:fldChar w:fldCharType="separate"/>
      </w:r>
      <w:r>
        <w:rPr>
          <w:rFonts w:ascii="Times New Roman" w:hAnsi="Times New Roman"/>
        </w:rPr>
        <w:t>表 5</w:t>
      </w:r>
      <w:r>
        <w:rPr>
          <w:rFonts w:ascii="Times New Roman" w:hAnsi="Times New Roman"/>
        </w:rPr>
        <w:noBreakHyphen/>
      </w:r>
      <w:r>
        <w:rPr>
          <w:rFonts w:ascii="Times New Roman" w:hAnsi="Times New Roman"/>
        </w:rPr>
        <w:t>21</w:t>
      </w:r>
      <w:r>
        <w:rPr>
          <w:rFonts w:ascii="Times New Roman" w:hAnsi="Times New Roman"/>
          <w:bCs/>
        </w:rPr>
        <w:fldChar w:fldCharType="end"/>
      </w:r>
      <w:r>
        <w:rPr>
          <w:rFonts w:ascii="Times New Roman" w:hAnsi="Times New Roman"/>
          <w:bCs/>
        </w:rPr>
        <w:t>。生态系统类型分布图见附图28。</w:t>
      </w:r>
    </w:p>
    <w:p>
      <w:pPr>
        <w:pStyle w:val="37"/>
        <w:rPr>
          <w:rFonts w:ascii="Times New Roman" w:hAnsi="Times New Roman" w:cs="Times New Roman"/>
        </w:rPr>
      </w:pPr>
      <w:bookmarkStart w:id="161" w:name="_Ref154568275"/>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21</w:t>
      </w:r>
      <w:r>
        <w:rPr>
          <w:rFonts w:ascii="Times New Roman" w:hAnsi="Times New Roman" w:cs="Times New Roman"/>
        </w:rPr>
        <w:fldChar w:fldCharType="end"/>
      </w:r>
      <w:bookmarkEnd w:id="161"/>
      <w:r>
        <w:rPr>
          <w:rFonts w:ascii="Times New Roman" w:hAnsi="Times New Roman" w:cs="Times New Roman"/>
        </w:rPr>
        <w:t xml:space="preserve">  评价范围生态系统类型统计表</w:t>
      </w:r>
    </w:p>
    <w:tbl>
      <w:tblPr>
        <w:tblStyle w:val="28"/>
        <w:tblW w:w="5000" w:type="pct"/>
        <w:tblInd w:w="0" w:type="dxa"/>
        <w:tblLayout w:type="autofit"/>
        <w:tblCellMar>
          <w:top w:w="0" w:type="dxa"/>
          <w:left w:w="108" w:type="dxa"/>
          <w:bottom w:w="0" w:type="dxa"/>
          <w:right w:w="108" w:type="dxa"/>
        </w:tblCellMar>
      </w:tblPr>
      <w:tblGrid>
        <w:gridCol w:w="1060"/>
        <w:gridCol w:w="2361"/>
        <w:gridCol w:w="1592"/>
        <w:gridCol w:w="2098"/>
        <w:gridCol w:w="1411"/>
      </w:tblGrid>
      <w:tr>
        <w:tblPrEx>
          <w:tblCellMar>
            <w:top w:w="0" w:type="dxa"/>
            <w:left w:w="108" w:type="dxa"/>
            <w:bottom w:w="0" w:type="dxa"/>
            <w:right w:w="108" w:type="dxa"/>
          </w:tblCellMar>
        </w:tblPrEx>
        <w:trPr>
          <w:trHeight w:val="288" w:hRule="atLeast"/>
        </w:trPr>
        <w:tc>
          <w:tcPr>
            <w:tcW w:w="622"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序号</w:t>
            </w:r>
          </w:p>
        </w:tc>
        <w:tc>
          <w:tcPr>
            <w:tcW w:w="2319" w:type="pct"/>
            <w:gridSpan w:val="2"/>
            <w:tcBorders>
              <w:top w:val="single" w:color="auto" w:sz="4" w:space="0"/>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类型</w:t>
            </w:r>
          </w:p>
        </w:tc>
        <w:tc>
          <w:tcPr>
            <w:tcW w:w="1231"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面积（hm</w:t>
            </w:r>
            <w:r>
              <w:rPr>
                <w:rFonts w:ascii="Times New Roman" w:hAnsi="Times New Roman"/>
                <w:vertAlign w:val="superscript"/>
              </w:rPr>
              <w:t>2</w:t>
            </w:r>
            <w:r>
              <w:rPr>
                <w:rFonts w:ascii="Times New Roman" w:hAnsi="Times New Roman"/>
              </w:rPr>
              <w:t>）</w:t>
            </w:r>
          </w:p>
        </w:tc>
        <w:tc>
          <w:tcPr>
            <w:tcW w:w="828"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比例（%）</w:t>
            </w:r>
          </w:p>
        </w:tc>
      </w:tr>
      <w:tr>
        <w:tblPrEx>
          <w:tblCellMar>
            <w:top w:w="0" w:type="dxa"/>
            <w:left w:w="108" w:type="dxa"/>
            <w:bottom w:w="0" w:type="dxa"/>
            <w:right w:w="108" w:type="dxa"/>
          </w:tblCellMar>
        </w:tblPrEx>
        <w:trPr>
          <w:trHeight w:val="288" w:hRule="atLeast"/>
        </w:trPr>
        <w:tc>
          <w:tcPr>
            <w:tcW w:w="62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w:t>
            </w:r>
          </w:p>
        </w:tc>
        <w:tc>
          <w:tcPr>
            <w:tcW w:w="138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Ι级分类</w:t>
            </w:r>
          </w:p>
        </w:tc>
        <w:tc>
          <w:tcPr>
            <w:tcW w:w="93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Ⅱ级分类</w:t>
            </w:r>
          </w:p>
        </w:tc>
        <w:tc>
          <w:tcPr>
            <w:tcW w:w="1231"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828"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r>
      <w:tr>
        <w:tblPrEx>
          <w:tblCellMar>
            <w:top w:w="0" w:type="dxa"/>
            <w:left w:w="108" w:type="dxa"/>
            <w:bottom w:w="0" w:type="dxa"/>
            <w:right w:w="108" w:type="dxa"/>
          </w:tblCellMar>
        </w:tblPrEx>
        <w:trPr>
          <w:trHeight w:val="288" w:hRule="atLeast"/>
        </w:trPr>
        <w:tc>
          <w:tcPr>
            <w:tcW w:w="62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w:t>
            </w:r>
          </w:p>
        </w:tc>
        <w:tc>
          <w:tcPr>
            <w:tcW w:w="1385" w:type="pct"/>
            <w:vMerge w:val="restar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森林生态系统</w:t>
            </w:r>
          </w:p>
        </w:tc>
        <w:tc>
          <w:tcPr>
            <w:tcW w:w="93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阔叶林</w:t>
            </w:r>
          </w:p>
        </w:tc>
        <w:tc>
          <w:tcPr>
            <w:tcW w:w="12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9.45</w:t>
            </w:r>
          </w:p>
        </w:tc>
        <w:tc>
          <w:tcPr>
            <w:tcW w:w="828"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1.02</w:t>
            </w:r>
          </w:p>
        </w:tc>
      </w:tr>
      <w:tr>
        <w:tblPrEx>
          <w:tblCellMar>
            <w:top w:w="0" w:type="dxa"/>
            <w:left w:w="108" w:type="dxa"/>
            <w:bottom w:w="0" w:type="dxa"/>
            <w:right w:w="108" w:type="dxa"/>
          </w:tblCellMar>
        </w:tblPrEx>
        <w:trPr>
          <w:trHeight w:val="288" w:hRule="atLeast"/>
        </w:trPr>
        <w:tc>
          <w:tcPr>
            <w:tcW w:w="62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3</w:t>
            </w:r>
          </w:p>
        </w:tc>
        <w:tc>
          <w:tcPr>
            <w:tcW w:w="1385" w:type="pct"/>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c>
          <w:tcPr>
            <w:tcW w:w="93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针叶林</w:t>
            </w:r>
          </w:p>
        </w:tc>
        <w:tc>
          <w:tcPr>
            <w:tcW w:w="12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621.51</w:t>
            </w:r>
          </w:p>
        </w:tc>
        <w:tc>
          <w:tcPr>
            <w:tcW w:w="828"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66.89</w:t>
            </w:r>
          </w:p>
        </w:tc>
      </w:tr>
      <w:tr>
        <w:tblPrEx>
          <w:tblCellMar>
            <w:top w:w="0" w:type="dxa"/>
            <w:left w:w="108" w:type="dxa"/>
            <w:bottom w:w="0" w:type="dxa"/>
            <w:right w:w="108" w:type="dxa"/>
          </w:tblCellMar>
        </w:tblPrEx>
        <w:trPr>
          <w:trHeight w:val="288" w:hRule="atLeast"/>
        </w:trPr>
        <w:tc>
          <w:tcPr>
            <w:tcW w:w="62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4</w:t>
            </w:r>
          </w:p>
        </w:tc>
        <w:tc>
          <w:tcPr>
            <w:tcW w:w="138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灌丛生态系统</w:t>
            </w:r>
          </w:p>
        </w:tc>
        <w:tc>
          <w:tcPr>
            <w:tcW w:w="93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阔叶灌丛</w:t>
            </w:r>
          </w:p>
        </w:tc>
        <w:tc>
          <w:tcPr>
            <w:tcW w:w="12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60.86</w:t>
            </w:r>
          </w:p>
        </w:tc>
        <w:tc>
          <w:tcPr>
            <w:tcW w:w="828"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6.55</w:t>
            </w:r>
          </w:p>
        </w:tc>
      </w:tr>
      <w:tr>
        <w:tblPrEx>
          <w:tblCellMar>
            <w:top w:w="0" w:type="dxa"/>
            <w:left w:w="108" w:type="dxa"/>
            <w:bottom w:w="0" w:type="dxa"/>
            <w:right w:w="108" w:type="dxa"/>
          </w:tblCellMar>
        </w:tblPrEx>
        <w:trPr>
          <w:trHeight w:val="288" w:hRule="atLeast"/>
        </w:trPr>
        <w:tc>
          <w:tcPr>
            <w:tcW w:w="62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5</w:t>
            </w:r>
          </w:p>
        </w:tc>
        <w:tc>
          <w:tcPr>
            <w:tcW w:w="138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草地生态系统</w:t>
            </w:r>
          </w:p>
        </w:tc>
        <w:tc>
          <w:tcPr>
            <w:tcW w:w="93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草丛</w:t>
            </w:r>
          </w:p>
        </w:tc>
        <w:tc>
          <w:tcPr>
            <w:tcW w:w="12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12.53</w:t>
            </w:r>
          </w:p>
        </w:tc>
        <w:tc>
          <w:tcPr>
            <w:tcW w:w="828"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1.35</w:t>
            </w:r>
          </w:p>
        </w:tc>
      </w:tr>
      <w:tr>
        <w:tblPrEx>
          <w:tblCellMar>
            <w:top w:w="0" w:type="dxa"/>
            <w:left w:w="108" w:type="dxa"/>
            <w:bottom w:w="0" w:type="dxa"/>
            <w:right w:w="108" w:type="dxa"/>
          </w:tblCellMar>
        </w:tblPrEx>
        <w:trPr>
          <w:trHeight w:val="288" w:hRule="atLeast"/>
        </w:trPr>
        <w:tc>
          <w:tcPr>
            <w:tcW w:w="62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6</w:t>
            </w:r>
          </w:p>
        </w:tc>
        <w:tc>
          <w:tcPr>
            <w:tcW w:w="1385" w:type="pct"/>
            <w:vMerge w:val="restar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湿地生态系统</w:t>
            </w:r>
          </w:p>
        </w:tc>
        <w:tc>
          <w:tcPr>
            <w:tcW w:w="93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湖泊</w:t>
            </w:r>
          </w:p>
        </w:tc>
        <w:tc>
          <w:tcPr>
            <w:tcW w:w="12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3.40</w:t>
            </w:r>
          </w:p>
        </w:tc>
        <w:tc>
          <w:tcPr>
            <w:tcW w:w="828"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0.37</w:t>
            </w:r>
          </w:p>
        </w:tc>
      </w:tr>
      <w:tr>
        <w:tblPrEx>
          <w:tblCellMar>
            <w:top w:w="0" w:type="dxa"/>
            <w:left w:w="108" w:type="dxa"/>
            <w:bottom w:w="0" w:type="dxa"/>
            <w:right w:w="108" w:type="dxa"/>
          </w:tblCellMar>
        </w:tblPrEx>
        <w:trPr>
          <w:trHeight w:val="288" w:hRule="atLeast"/>
        </w:trPr>
        <w:tc>
          <w:tcPr>
            <w:tcW w:w="62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7</w:t>
            </w:r>
          </w:p>
        </w:tc>
        <w:tc>
          <w:tcPr>
            <w:tcW w:w="1385" w:type="pct"/>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c>
          <w:tcPr>
            <w:tcW w:w="93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河流</w:t>
            </w:r>
          </w:p>
        </w:tc>
        <w:tc>
          <w:tcPr>
            <w:tcW w:w="12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2.79</w:t>
            </w:r>
          </w:p>
        </w:tc>
        <w:tc>
          <w:tcPr>
            <w:tcW w:w="828"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0.30</w:t>
            </w:r>
          </w:p>
        </w:tc>
      </w:tr>
      <w:tr>
        <w:tblPrEx>
          <w:tblCellMar>
            <w:top w:w="0" w:type="dxa"/>
            <w:left w:w="108" w:type="dxa"/>
            <w:bottom w:w="0" w:type="dxa"/>
            <w:right w:w="108" w:type="dxa"/>
          </w:tblCellMar>
        </w:tblPrEx>
        <w:trPr>
          <w:trHeight w:val="288" w:hRule="atLeast"/>
        </w:trPr>
        <w:tc>
          <w:tcPr>
            <w:tcW w:w="62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8</w:t>
            </w:r>
          </w:p>
        </w:tc>
        <w:tc>
          <w:tcPr>
            <w:tcW w:w="138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农田生态系统</w:t>
            </w:r>
          </w:p>
        </w:tc>
        <w:tc>
          <w:tcPr>
            <w:tcW w:w="93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耕地</w:t>
            </w:r>
          </w:p>
        </w:tc>
        <w:tc>
          <w:tcPr>
            <w:tcW w:w="12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183.29</w:t>
            </w:r>
          </w:p>
        </w:tc>
        <w:tc>
          <w:tcPr>
            <w:tcW w:w="828"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19.73</w:t>
            </w:r>
          </w:p>
        </w:tc>
      </w:tr>
      <w:tr>
        <w:tblPrEx>
          <w:tblCellMar>
            <w:top w:w="0" w:type="dxa"/>
            <w:left w:w="108" w:type="dxa"/>
            <w:bottom w:w="0" w:type="dxa"/>
            <w:right w:w="108" w:type="dxa"/>
          </w:tblCellMar>
        </w:tblPrEx>
        <w:trPr>
          <w:trHeight w:val="288" w:hRule="atLeast"/>
        </w:trPr>
        <w:tc>
          <w:tcPr>
            <w:tcW w:w="62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9</w:t>
            </w:r>
          </w:p>
        </w:tc>
        <w:tc>
          <w:tcPr>
            <w:tcW w:w="1385" w:type="pct"/>
            <w:vMerge w:val="restar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城镇生态系统</w:t>
            </w:r>
          </w:p>
        </w:tc>
        <w:tc>
          <w:tcPr>
            <w:tcW w:w="93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居住地</w:t>
            </w:r>
          </w:p>
        </w:tc>
        <w:tc>
          <w:tcPr>
            <w:tcW w:w="12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18.47</w:t>
            </w:r>
          </w:p>
        </w:tc>
        <w:tc>
          <w:tcPr>
            <w:tcW w:w="828"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1.99</w:t>
            </w:r>
          </w:p>
        </w:tc>
      </w:tr>
      <w:tr>
        <w:tblPrEx>
          <w:tblCellMar>
            <w:top w:w="0" w:type="dxa"/>
            <w:left w:w="108" w:type="dxa"/>
            <w:bottom w:w="0" w:type="dxa"/>
            <w:right w:w="108" w:type="dxa"/>
          </w:tblCellMar>
        </w:tblPrEx>
        <w:trPr>
          <w:trHeight w:val="288" w:hRule="atLeast"/>
        </w:trPr>
        <w:tc>
          <w:tcPr>
            <w:tcW w:w="62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10</w:t>
            </w:r>
          </w:p>
        </w:tc>
        <w:tc>
          <w:tcPr>
            <w:tcW w:w="1385" w:type="pct"/>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c>
          <w:tcPr>
            <w:tcW w:w="934"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工矿交通</w:t>
            </w:r>
          </w:p>
        </w:tc>
        <w:tc>
          <w:tcPr>
            <w:tcW w:w="12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16.81</w:t>
            </w:r>
          </w:p>
        </w:tc>
        <w:tc>
          <w:tcPr>
            <w:tcW w:w="828"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1.81</w:t>
            </w:r>
          </w:p>
        </w:tc>
      </w:tr>
      <w:tr>
        <w:tblPrEx>
          <w:tblCellMar>
            <w:top w:w="0" w:type="dxa"/>
            <w:left w:w="108" w:type="dxa"/>
            <w:bottom w:w="0" w:type="dxa"/>
            <w:right w:w="108" w:type="dxa"/>
          </w:tblCellMar>
        </w:tblPrEx>
        <w:trPr>
          <w:trHeight w:val="288" w:hRule="atLeast"/>
        </w:trPr>
        <w:tc>
          <w:tcPr>
            <w:tcW w:w="622" w:type="pc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11</w:t>
            </w:r>
          </w:p>
        </w:tc>
        <w:tc>
          <w:tcPr>
            <w:tcW w:w="2319" w:type="pct"/>
            <w:gridSpan w:val="2"/>
            <w:tcBorders>
              <w:top w:val="single" w:color="auto" w:sz="4" w:space="0"/>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合计</w:t>
            </w:r>
          </w:p>
        </w:tc>
        <w:tc>
          <w:tcPr>
            <w:tcW w:w="12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929.10</w:t>
            </w:r>
          </w:p>
        </w:tc>
        <w:tc>
          <w:tcPr>
            <w:tcW w:w="828"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100</w:t>
            </w:r>
          </w:p>
        </w:tc>
      </w:tr>
    </w:tbl>
    <w:p>
      <w:pPr>
        <w:adjustRightInd w:val="0"/>
        <w:snapToGrid w:val="0"/>
        <w:ind w:firstLine="480"/>
        <w:textAlignment w:val="baseline"/>
        <w:rPr>
          <w:rFonts w:ascii="Times New Roman" w:hAnsi="Times New Roman"/>
          <w:bCs/>
        </w:rPr>
      </w:pPr>
    </w:p>
    <w:p>
      <w:pPr>
        <w:ind w:firstLine="0" w:firstLineChars="0"/>
        <w:rPr>
          <w:rFonts w:ascii="Times New Roman" w:hAnsi="Times New Roman"/>
        </w:rPr>
      </w:pPr>
      <w:r>
        <w:rPr>
          <w:rFonts w:ascii="Times New Roman" w:hAnsi="Times New Roman"/>
        </w:rPr>
        <w:drawing>
          <wp:inline distT="0" distB="0" distL="0" distR="0">
            <wp:extent cx="5036820" cy="3036570"/>
            <wp:effectExtent l="0" t="0" r="11430" b="11430"/>
            <wp:docPr id="8" name="图表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t xml:space="preserve">  生态评价范围生态系统类型分布</w:t>
      </w:r>
    </w:p>
    <w:p>
      <w:pPr>
        <w:ind w:firstLine="480"/>
        <w:rPr>
          <w:rFonts w:ascii="Times New Roman" w:hAnsi="Times New Roman"/>
        </w:rPr>
      </w:pPr>
      <w:r>
        <w:rPr>
          <w:rFonts w:ascii="Times New Roman" w:hAnsi="Times New Roman"/>
        </w:rPr>
        <w:t>1）森林生态系统</w:t>
      </w:r>
    </w:p>
    <w:p>
      <w:pPr>
        <w:ind w:firstLine="480"/>
        <w:rPr>
          <w:rFonts w:ascii="Times New Roman" w:hAnsi="Times New Roman"/>
        </w:rPr>
      </w:pPr>
      <w:r>
        <w:rPr>
          <w:rFonts w:ascii="Times New Roman" w:hAnsi="Times New Roman"/>
        </w:rPr>
        <w:t>评价范围内森林生态系统面积最大，包含了亚热带针叶林、阔叶林等群落，面积为621.51 hm</w:t>
      </w:r>
      <w:r>
        <w:rPr>
          <w:rFonts w:ascii="Times New Roman" w:hAnsi="Times New Roman"/>
          <w:vertAlign w:val="superscript"/>
        </w:rPr>
        <w:t>2</w:t>
      </w:r>
      <w:r>
        <w:rPr>
          <w:rFonts w:ascii="Times New Roman" w:hAnsi="Times New Roman"/>
        </w:rPr>
        <w:t>，占评价范围域总面积的66.89%。主要为马尾松林、柏木林（（</w:t>
      </w:r>
      <w:r>
        <w:rPr>
          <w:rFonts w:ascii="Times New Roman" w:hAnsi="Times New Roman"/>
          <w:i/>
          <w:iCs/>
          <w:sz w:val="21"/>
          <w:szCs w:val="21"/>
        </w:rPr>
        <w:t>Cupressus funebris</w:t>
      </w:r>
      <w:r>
        <w:rPr>
          <w:rFonts w:ascii="Times New Roman" w:hAnsi="Times New Roman"/>
        </w:rPr>
        <w:t>））、桤木林等。</w:t>
      </w:r>
    </w:p>
    <w:p>
      <w:pPr>
        <w:ind w:firstLine="480"/>
        <w:rPr>
          <w:rFonts w:ascii="Times New Roman" w:hAnsi="Times New Roman"/>
        </w:rPr>
      </w:pPr>
      <w:r>
        <w:rPr>
          <w:rFonts w:ascii="Times New Roman" w:hAnsi="Times New Roman"/>
        </w:rPr>
        <w:t>2）灌丛生态系统</w:t>
      </w:r>
    </w:p>
    <w:p>
      <w:pPr>
        <w:ind w:firstLine="480"/>
        <w:jc w:val="both"/>
        <w:rPr>
          <w:rFonts w:ascii="Times New Roman" w:hAnsi="Times New Roman"/>
        </w:rPr>
      </w:pPr>
      <w:r>
        <w:rPr>
          <w:rFonts w:ascii="Times New Roman" w:hAnsi="Times New Roman"/>
        </w:rPr>
        <w:t>评价范围内灌草丛生态系统面积约为60.86hm</w:t>
      </w:r>
      <w:r>
        <w:rPr>
          <w:rFonts w:ascii="Times New Roman" w:hAnsi="Times New Roman"/>
          <w:vertAlign w:val="superscript"/>
        </w:rPr>
        <w:t>2</w:t>
      </w:r>
      <w:r>
        <w:rPr>
          <w:rFonts w:ascii="Times New Roman" w:hAnsi="Times New Roman"/>
        </w:rPr>
        <w:t>，占评价范围域总面积的6.55%。主要为格药柃灌丛、斑竹灌丛、乌泡子灌丛、高粱泡灌丛等。</w:t>
      </w:r>
    </w:p>
    <w:p>
      <w:pPr>
        <w:ind w:firstLine="480"/>
        <w:jc w:val="both"/>
        <w:rPr>
          <w:rFonts w:ascii="Times New Roman" w:hAnsi="Times New Roman"/>
        </w:rPr>
      </w:pPr>
      <w:r>
        <w:rPr>
          <w:rFonts w:ascii="Times New Roman" w:hAnsi="Times New Roman"/>
        </w:rPr>
        <w:t>3）草地生态系统</w:t>
      </w:r>
    </w:p>
    <w:p>
      <w:pPr>
        <w:ind w:firstLine="480"/>
        <w:jc w:val="both"/>
        <w:rPr>
          <w:rFonts w:ascii="Times New Roman" w:hAnsi="Times New Roman"/>
        </w:rPr>
      </w:pPr>
      <w:r>
        <w:rPr>
          <w:rFonts w:ascii="Times New Roman" w:hAnsi="Times New Roman"/>
        </w:rPr>
        <w:t>评价范围内灌草丛生态系统面积约为12.53hm</w:t>
      </w:r>
      <w:r>
        <w:rPr>
          <w:rFonts w:ascii="Times New Roman" w:hAnsi="Times New Roman"/>
          <w:vertAlign w:val="superscript"/>
        </w:rPr>
        <w:t>2</w:t>
      </w:r>
      <w:r>
        <w:rPr>
          <w:rFonts w:ascii="Times New Roman" w:hAnsi="Times New Roman"/>
        </w:rPr>
        <w:t>，占评价范围域总面积的1.35%。主要为芒萁、芒草（</w:t>
      </w:r>
      <w:r>
        <w:rPr>
          <w:rFonts w:ascii="Times New Roman" w:hAnsi="Times New Roman"/>
          <w:lang w:val="zh-CN"/>
        </w:rPr>
        <w:t>（</w:t>
      </w:r>
      <w:r>
        <w:rPr>
          <w:rFonts w:ascii="Times New Roman" w:hAnsi="Times New Roman"/>
          <w:i/>
          <w:sz w:val="21"/>
          <w:szCs w:val="21"/>
          <w:lang w:val="it-IT"/>
        </w:rPr>
        <w:t xml:space="preserve">Miscanthus </w:t>
      </w:r>
      <w:r>
        <w:rPr>
          <w:rFonts w:ascii="Times New Roman" w:hAnsi="Times New Roman"/>
          <w:iCs/>
          <w:sz w:val="21"/>
          <w:szCs w:val="21"/>
          <w:lang w:val="it-IT"/>
        </w:rPr>
        <w:t>spp</w:t>
      </w:r>
      <w:r>
        <w:rPr>
          <w:rFonts w:ascii="Times New Roman" w:hAnsi="Times New Roman"/>
          <w:lang w:val="zh-CN"/>
        </w:rPr>
        <w:t>）</w:t>
      </w:r>
      <w:r>
        <w:rPr>
          <w:rFonts w:ascii="Times New Roman" w:hAnsi="Times New Roman"/>
        </w:rPr>
        <w:t>）、里白等。</w:t>
      </w:r>
    </w:p>
    <w:p>
      <w:pPr>
        <w:ind w:firstLine="480"/>
        <w:rPr>
          <w:rFonts w:ascii="Times New Roman" w:hAnsi="Times New Roman"/>
        </w:rPr>
      </w:pPr>
      <w:r>
        <w:rPr>
          <w:rFonts w:ascii="Times New Roman" w:hAnsi="Times New Roman"/>
        </w:rPr>
        <w:t>4）湿地生态系统</w:t>
      </w:r>
    </w:p>
    <w:p>
      <w:pPr>
        <w:ind w:firstLine="480"/>
        <w:rPr>
          <w:rFonts w:ascii="Times New Roman" w:hAnsi="Times New Roman"/>
          <w:bCs/>
        </w:rPr>
      </w:pPr>
      <w:r>
        <w:rPr>
          <w:rFonts w:ascii="Times New Roman" w:hAnsi="Times New Roman"/>
        </w:rPr>
        <w:t>评价范围内湿地生态系统面积为6.19hm</w:t>
      </w:r>
      <w:r>
        <w:rPr>
          <w:rFonts w:ascii="Times New Roman" w:hAnsi="Times New Roman"/>
          <w:vertAlign w:val="superscript"/>
        </w:rPr>
        <w:t>2</w:t>
      </w:r>
      <w:r>
        <w:rPr>
          <w:rFonts w:ascii="Times New Roman" w:hAnsi="Times New Roman"/>
        </w:rPr>
        <w:t>，占评价范围域总面积的0.67%。主要为河流、湖泊等。</w:t>
      </w:r>
    </w:p>
    <w:p>
      <w:pPr>
        <w:ind w:firstLine="480"/>
        <w:rPr>
          <w:rFonts w:ascii="Times New Roman" w:hAnsi="Times New Roman"/>
        </w:rPr>
      </w:pPr>
      <w:r>
        <w:rPr>
          <w:rFonts w:ascii="Times New Roman" w:hAnsi="Times New Roman"/>
        </w:rPr>
        <w:t>5）农田生态系统</w:t>
      </w:r>
    </w:p>
    <w:p>
      <w:pPr>
        <w:ind w:firstLine="480"/>
        <w:rPr>
          <w:rFonts w:ascii="Times New Roman" w:hAnsi="Times New Roman"/>
        </w:rPr>
      </w:pPr>
      <w:r>
        <w:rPr>
          <w:rFonts w:ascii="Times New Roman" w:hAnsi="Times New Roman"/>
        </w:rPr>
        <w:t>评价范围农田生态系统的</w:t>
      </w:r>
      <w:r>
        <w:rPr>
          <w:rFonts w:ascii="Times New Roman" w:hAnsi="Times New Roman"/>
          <w:lang w:eastAsia="zh-Hans"/>
        </w:rPr>
        <w:t>分布面积</w:t>
      </w:r>
      <w:r>
        <w:rPr>
          <w:rFonts w:ascii="Times New Roman" w:hAnsi="Times New Roman"/>
        </w:rPr>
        <w:t>为183.29hm</w:t>
      </w:r>
      <w:r>
        <w:rPr>
          <w:rFonts w:ascii="Times New Roman" w:hAnsi="Times New Roman"/>
          <w:vertAlign w:val="superscript"/>
        </w:rPr>
        <w:t>2</w:t>
      </w:r>
      <w:r>
        <w:rPr>
          <w:rFonts w:ascii="Times New Roman" w:hAnsi="Times New Roman"/>
        </w:rPr>
        <w:t>，占评价范围域总面积的19.73%，分布于丘陵中山部、谷底等地。农作物品种包括玉米、水稻、油菜、白菜、白萝卜等作物，橘子树、柚子树、茶树、桑树等经济作物。</w:t>
      </w:r>
    </w:p>
    <w:p>
      <w:pPr>
        <w:ind w:firstLine="480"/>
        <w:rPr>
          <w:rFonts w:ascii="Times New Roman" w:hAnsi="Times New Roman"/>
        </w:rPr>
      </w:pPr>
      <w:r>
        <w:rPr>
          <w:rFonts w:ascii="Times New Roman" w:hAnsi="Times New Roman"/>
        </w:rPr>
        <w:t>6）城镇生态系统</w:t>
      </w:r>
    </w:p>
    <w:p>
      <w:pPr>
        <w:ind w:firstLine="480"/>
        <w:rPr>
          <w:rFonts w:ascii="Times New Roman" w:hAnsi="Times New Roman"/>
        </w:rPr>
      </w:pPr>
      <w:r>
        <w:rPr>
          <w:rFonts w:ascii="Times New Roman" w:hAnsi="Times New Roman"/>
        </w:rPr>
        <w:t>评价范围内城镇、村庄等聚聚区、工况用地、交通用地构成的城镇生态系统面积为35.27hm</w:t>
      </w:r>
      <w:r>
        <w:rPr>
          <w:rFonts w:ascii="Times New Roman" w:hAnsi="Times New Roman"/>
          <w:vertAlign w:val="superscript"/>
        </w:rPr>
        <w:t>2</w:t>
      </w:r>
      <w:r>
        <w:rPr>
          <w:rFonts w:ascii="Times New Roman" w:hAnsi="Times New Roman"/>
        </w:rPr>
        <w:t>，占评价范围域总面积的3.80%。在区域内以斑块、廊道的形式散落分布。</w:t>
      </w:r>
    </w:p>
    <w:tbl>
      <w:tblPr>
        <w:tblStyle w:val="28"/>
        <w:tblW w:w="0" w:type="auto"/>
        <w:tblInd w:w="-318" w:type="dxa"/>
        <w:tblLayout w:type="fixed"/>
        <w:tblCellMar>
          <w:top w:w="0" w:type="dxa"/>
          <w:left w:w="108" w:type="dxa"/>
          <w:bottom w:w="0" w:type="dxa"/>
          <w:right w:w="108" w:type="dxa"/>
        </w:tblCellMar>
      </w:tblPr>
      <w:tblGrid>
        <w:gridCol w:w="4395"/>
        <w:gridCol w:w="4445"/>
      </w:tblGrid>
      <w:tr>
        <w:tblPrEx>
          <w:tblCellMar>
            <w:top w:w="0" w:type="dxa"/>
            <w:left w:w="108" w:type="dxa"/>
            <w:bottom w:w="0" w:type="dxa"/>
            <w:right w:w="108" w:type="dxa"/>
          </w:tblCellMar>
        </w:tblPrEx>
        <w:tc>
          <w:tcPr>
            <w:tcW w:w="4395" w:type="dxa"/>
          </w:tcPr>
          <w:p>
            <w:pPr>
              <w:ind w:firstLine="0" w:firstLineChars="0"/>
              <w:rPr>
                <w:rFonts w:ascii="Times New Roman" w:hAnsi="Times New Roman"/>
              </w:rPr>
            </w:pPr>
            <w:r>
              <w:rPr>
                <w:rFonts w:ascii="Times New Roman" w:hAnsi="Times New Roman"/>
              </w:rPr>
              <w:drawing>
                <wp:inline distT="0" distB="0" distL="0" distR="0">
                  <wp:extent cx="2682240" cy="1900555"/>
                  <wp:effectExtent l="0" t="0" r="3810" b="4445"/>
                  <wp:docPr id="14" name="图片 14" descr="D:\0、2023年\23、四川达州\4、Photographs\现场航拍照片\2、宣探清管站\DJI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0、2023年\23、四川达州\4、Photographs\现场航拍照片\2、宣探清管站\DJI_0034.JPG"/>
                          <pic:cNvPicPr>
                            <a:picLocks noChangeAspect="1" noChangeArrowheads="1"/>
                          </pic:cNvPicPr>
                        </pic:nvPicPr>
                        <pic:blipFill>
                          <a:blip r:embed="rId89" cstate="email"/>
                          <a:srcRect/>
                          <a:stretch>
                            <a:fillRect/>
                          </a:stretch>
                        </pic:blipFill>
                        <pic:spPr>
                          <a:xfrm>
                            <a:off x="0" y="0"/>
                            <a:ext cx="2686997" cy="1904296"/>
                          </a:xfrm>
                          <a:prstGeom prst="rect">
                            <a:avLst/>
                          </a:prstGeom>
                          <a:noFill/>
                          <a:ln>
                            <a:noFill/>
                          </a:ln>
                        </pic:spPr>
                      </pic:pic>
                    </a:graphicData>
                  </a:graphic>
                </wp:inline>
              </w:drawing>
            </w:r>
          </w:p>
        </w:tc>
        <w:tc>
          <w:tcPr>
            <w:tcW w:w="4445" w:type="dxa"/>
          </w:tcPr>
          <w:p>
            <w:pPr>
              <w:ind w:firstLine="0" w:firstLineChars="0"/>
              <w:rPr>
                <w:rFonts w:ascii="Times New Roman" w:hAnsi="Times New Roman"/>
              </w:rPr>
            </w:pPr>
            <w:r>
              <w:rPr>
                <w:rFonts w:ascii="Times New Roman" w:hAnsi="Times New Roman"/>
              </w:rPr>
              <w:drawing>
                <wp:inline distT="0" distB="0" distL="0" distR="0">
                  <wp:extent cx="2636520" cy="1905000"/>
                  <wp:effectExtent l="0" t="0" r="0" b="0"/>
                  <wp:docPr id="15" name="图片 15" descr="D:\0、2023年\23、四川达州\4、Photographs\现场航拍照片\3、2号阀室\DJI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D:\0、2023年\23、四川达州\4、Photographs\现场航拍照片\3、2号阀室\DJI_0046.JPG"/>
                          <pic:cNvPicPr>
                            <a:picLocks noChangeAspect="1" noChangeArrowheads="1"/>
                          </pic:cNvPicPr>
                        </pic:nvPicPr>
                        <pic:blipFill>
                          <a:blip r:embed="rId90" cstate="email"/>
                          <a:srcRect/>
                          <a:stretch>
                            <a:fillRect/>
                          </a:stretch>
                        </pic:blipFill>
                        <pic:spPr>
                          <a:xfrm>
                            <a:off x="0" y="0"/>
                            <a:ext cx="2638983" cy="190678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4395" w:type="dxa"/>
          </w:tcPr>
          <w:p>
            <w:pPr>
              <w:ind w:firstLine="0" w:firstLineChars="0"/>
              <w:jc w:val="center"/>
              <w:rPr>
                <w:rFonts w:ascii="Times New Roman" w:hAnsi="Times New Roman"/>
                <w:sz w:val="21"/>
                <w:szCs w:val="21"/>
              </w:rPr>
            </w:pPr>
            <w:r>
              <w:rPr>
                <w:rFonts w:ascii="Times New Roman" w:hAnsi="Times New Roman"/>
                <w:sz w:val="21"/>
                <w:szCs w:val="21"/>
              </w:rPr>
              <w:t>宣探清管站周边</w:t>
            </w:r>
          </w:p>
        </w:tc>
        <w:tc>
          <w:tcPr>
            <w:tcW w:w="4445" w:type="dxa"/>
          </w:tcPr>
          <w:p>
            <w:pPr>
              <w:ind w:firstLine="0" w:firstLineChars="0"/>
              <w:jc w:val="center"/>
              <w:rPr>
                <w:rFonts w:ascii="Times New Roman" w:hAnsi="Times New Roman"/>
                <w:sz w:val="21"/>
                <w:szCs w:val="21"/>
              </w:rPr>
            </w:pPr>
            <w:r>
              <w:rPr>
                <w:rFonts w:ascii="Times New Roman" w:hAnsi="Times New Roman"/>
                <w:sz w:val="21"/>
                <w:szCs w:val="21"/>
              </w:rPr>
              <w:t>管线周边</w:t>
            </w:r>
          </w:p>
        </w:tc>
      </w:tr>
      <w:tr>
        <w:tblPrEx>
          <w:tblCellMar>
            <w:top w:w="0" w:type="dxa"/>
            <w:left w:w="108" w:type="dxa"/>
            <w:bottom w:w="0" w:type="dxa"/>
            <w:right w:w="108" w:type="dxa"/>
          </w:tblCellMar>
        </w:tblPrEx>
        <w:tc>
          <w:tcPr>
            <w:tcW w:w="4395" w:type="dxa"/>
          </w:tcPr>
          <w:p>
            <w:pPr>
              <w:ind w:firstLine="0" w:firstLineChars="0"/>
              <w:rPr>
                <w:rFonts w:ascii="Times New Roman" w:hAnsi="Times New Roman"/>
              </w:rPr>
            </w:pPr>
            <w:r>
              <w:rPr>
                <w:rFonts w:ascii="Times New Roman" w:hAnsi="Times New Roman"/>
              </w:rPr>
              <w:drawing>
                <wp:inline distT="0" distB="0" distL="0" distR="0">
                  <wp:extent cx="2699385" cy="1799590"/>
                  <wp:effectExtent l="0" t="0" r="5715" b="0"/>
                  <wp:docPr id="16" name="图片 16" descr="D:\0、2023年\23、四川达州\4、Photographs\现场航拍照片\4、1号阀室\DJI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D:\0、2023年\23、四川达州\4、Photographs\现场航拍照片\4、1号阀室\DJI_0057.JPG"/>
                          <pic:cNvPicPr>
                            <a:picLocks noChangeAspect="1" noChangeArrowheads="1"/>
                          </pic:cNvPicPr>
                        </pic:nvPicPr>
                        <pic:blipFill>
                          <a:blip r:embed="rId91" cstate="email"/>
                          <a:srcRect/>
                          <a:stretch>
                            <a:fillRect/>
                          </a:stretch>
                        </pic:blipFill>
                        <pic:spPr>
                          <a:xfrm>
                            <a:off x="0" y="0"/>
                            <a:ext cx="2700000" cy="1800000"/>
                          </a:xfrm>
                          <a:prstGeom prst="rect">
                            <a:avLst/>
                          </a:prstGeom>
                          <a:noFill/>
                          <a:ln>
                            <a:noFill/>
                          </a:ln>
                        </pic:spPr>
                      </pic:pic>
                    </a:graphicData>
                  </a:graphic>
                </wp:inline>
              </w:drawing>
            </w:r>
          </w:p>
        </w:tc>
        <w:tc>
          <w:tcPr>
            <w:tcW w:w="4445" w:type="dxa"/>
          </w:tcPr>
          <w:p>
            <w:pPr>
              <w:ind w:firstLine="0" w:firstLineChars="0"/>
              <w:rPr>
                <w:rFonts w:ascii="Times New Roman" w:hAnsi="Times New Roman"/>
              </w:rPr>
            </w:pPr>
            <w:r>
              <w:rPr>
                <w:rFonts w:ascii="Times New Roman" w:hAnsi="Times New Roman"/>
              </w:rPr>
              <w:drawing>
                <wp:inline distT="0" distB="0" distL="0" distR="0">
                  <wp:extent cx="2699385" cy="1799590"/>
                  <wp:effectExtent l="0" t="0" r="5715" b="0"/>
                  <wp:docPr id="17" name="图片 17" descr="D:\0、2023年\23、四川达州\4、Photographs\现场航拍照片\5、宣探1井\DJI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0、2023年\23、四川达州\4、Photographs\现场航拍照片\5、宣探1井\DJI_0069.JPG"/>
                          <pic:cNvPicPr>
                            <a:picLocks noChangeAspect="1" noChangeArrowheads="1"/>
                          </pic:cNvPicPr>
                        </pic:nvPicPr>
                        <pic:blipFill>
                          <a:blip r:embed="rId92" cstate="email"/>
                          <a:srcRect/>
                          <a:stretch>
                            <a:fillRect/>
                          </a:stretch>
                        </pic:blipFill>
                        <pic:spPr>
                          <a:xfrm>
                            <a:off x="0" y="0"/>
                            <a:ext cx="2700000" cy="1800000"/>
                          </a:xfrm>
                          <a:prstGeom prst="rect">
                            <a:avLst/>
                          </a:prstGeom>
                          <a:noFill/>
                          <a:ln>
                            <a:noFill/>
                          </a:ln>
                        </pic:spPr>
                      </pic:pic>
                    </a:graphicData>
                  </a:graphic>
                </wp:inline>
              </w:drawing>
            </w:r>
          </w:p>
        </w:tc>
      </w:tr>
      <w:tr>
        <w:tc>
          <w:tcPr>
            <w:tcW w:w="4395" w:type="dxa"/>
          </w:tcPr>
          <w:p>
            <w:pPr>
              <w:ind w:firstLine="0" w:firstLineChars="0"/>
              <w:jc w:val="center"/>
              <w:rPr>
                <w:rFonts w:ascii="Times New Roman" w:hAnsi="Times New Roman"/>
              </w:rPr>
            </w:pPr>
            <w:r>
              <w:rPr>
                <w:rFonts w:ascii="Times New Roman" w:hAnsi="Times New Roman"/>
                <w:sz w:val="21"/>
                <w:szCs w:val="21"/>
              </w:rPr>
              <w:t>宣探阀室周边</w:t>
            </w:r>
          </w:p>
        </w:tc>
        <w:tc>
          <w:tcPr>
            <w:tcW w:w="4445" w:type="dxa"/>
          </w:tcPr>
          <w:p>
            <w:pPr>
              <w:ind w:firstLine="0" w:firstLineChars="0"/>
              <w:jc w:val="center"/>
              <w:rPr>
                <w:rFonts w:ascii="Times New Roman" w:hAnsi="Times New Roman"/>
              </w:rPr>
            </w:pPr>
            <w:r>
              <w:rPr>
                <w:rFonts w:ascii="Times New Roman" w:hAnsi="Times New Roman"/>
                <w:sz w:val="21"/>
                <w:szCs w:val="21"/>
              </w:rPr>
              <w:t>宣探1井站周边</w:t>
            </w:r>
          </w:p>
        </w:tc>
      </w:tr>
      <w:tr>
        <w:tblPrEx>
          <w:tblCellMar>
            <w:top w:w="0" w:type="dxa"/>
            <w:left w:w="108" w:type="dxa"/>
            <w:bottom w:w="0" w:type="dxa"/>
            <w:right w:w="108" w:type="dxa"/>
          </w:tblCellMar>
        </w:tblPrEx>
        <w:tc>
          <w:tcPr>
            <w:tcW w:w="4395" w:type="dxa"/>
          </w:tcPr>
          <w:p>
            <w:pPr>
              <w:ind w:firstLine="0" w:firstLineChars="0"/>
              <w:jc w:val="center"/>
              <w:rPr>
                <w:rFonts w:ascii="Times New Roman" w:hAnsi="Times New Roman"/>
                <w:sz w:val="21"/>
                <w:szCs w:val="21"/>
              </w:rPr>
            </w:pPr>
            <w:r>
              <w:rPr>
                <w:rFonts w:ascii="Times New Roman" w:hAnsi="Times New Roman"/>
                <w:sz w:val="21"/>
                <w:szCs w:val="21"/>
              </w:rPr>
              <w:drawing>
                <wp:inline distT="0" distB="0" distL="0" distR="0">
                  <wp:extent cx="2699385" cy="1799590"/>
                  <wp:effectExtent l="0" t="0" r="5715" b="0"/>
                  <wp:docPr id="18" name="图片 18" descr="D:\0、2023年\23、四川达州\4、Photographs\现场航拍照片\7、宣兴1井\DJI_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0、2023年\23、四川达州\4、Photographs\现场航拍照片\7、宣兴1井\DJI_0095.JPG"/>
                          <pic:cNvPicPr>
                            <a:picLocks noChangeAspect="1" noChangeArrowheads="1"/>
                          </pic:cNvPicPr>
                        </pic:nvPicPr>
                        <pic:blipFill>
                          <a:blip r:embed="rId93" cstate="email"/>
                          <a:srcRect/>
                          <a:stretch>
                            <a:fillRect/>
                          </a:stretch>
                        </pic:blipFill>
                        <pic:spPr>
                          <a:xfrm>
                            <a:off x="0" y="0"/>
                            <a:ext cx="2700000" cy="1800000"/>
                          </a:xfrm>
                          <a:prstGeom prst="rect">
                            <a:avLst/>
                          </a:prstGeom>
                          <a:noFill/>
                          <a:ln>
                            <a:noFill/>
                          </a:ln>
                        </pic:spPr>
                      </pic:pic>
                    </a:graphicData>
                  </a:graphic>
                </wp:inline>
              </w:drawing>
            </w:r>
          </w:p>
        </w:tc>
        <w:tc>
          <w:tcPr>
            <w:tcW w:w="4445" w:type="dxa"/>
          </w:tcPr>
          <w:p>
            <w:pPr>
              <w:ind w:firstLine="0" w:firstLineChars="0"/>
              <w:jc w:val="center"/>
              <w:rPr>
                <w:rFonts w:ascii="Times New Roman" w:hAnsi="Times New Roman"/>
                <w:sz w:val="21"/>
                <w:szCs w:val="21"/>
              </w:rPr>
            </w:pPr>
            <w:r>
              <w:rPr>
                <w:rFonts w:ascii="Times New Roman" w:hAnsi="Times New Roman"/>
                <w:sz w:val="21"/>
                <w:szCs w:val="21"/>
              </w:rPr>
              <w:drawing>
                <wp:inline distT="0" distB="0" distL="0" distR="0">
                  <wp:extent cx="2699385" cy="1799590"/>
                  <wp:effectExtent l="0" t="0" r="5715" b="0"/>
                  <wp:docPr id="19" name="图片 19" descr="D:\0、2023年\23、四川达州\4、Photographs\现场航拍照片\4、1号阀室\DJI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0、2023年\23、四川达州\4、Photographs\现场航拍照片\4、1号阀室\DJI_0053.JPG"/>
                          <pic:cNvPicPr>
                            <a:picLocks noChangeAspect="1" noChangeArrowheads="1"/>
                          </pic:cNvPicPr>
                        </pic:nvPicPr>
                        <pic:blipFill>
                          <a:blip r:embed="rId94" cstate="email"/>
                          <a:srcRect/>
                          <a:stretch>
                            <a:fillRect/>
                          </a:stretch>
                        </pic:blipFill>
                        <pic:spPr>
                          <a:xfrm>
                            <a:off x="0" y="0"/>
                            <a:ext cx="2700000" cy="180000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4395" w:type="dxa"/>
          </w:tcPr>
          <w:p>
            <w:pPr>
              <w:ind w:firstLine="0" w:firstLineChars="0"/>
              <w:jc w:val="center"/>
              <w:rPr>
                <w:rFonts w:ascii="Times New Roman" w:hAnsi="Times New Roman"/>
                <w:sz w:val="21"/>
                <w:szCs w:val="21"/>
              </w:rPr>
            </w:pPr>
            <w:r>
              <w:rPr>
                <w:rFonts w:ascii="Times New Roman" w:hAnsi="Times New Roman"/>
                <w:sz w:val="21"/>
                <w:szCs w:val="21"/>
              </w:rPr>
              <w:t>宣兴1井站周边</w:t>
            </w:r>
          </w:p>
        </w:tc>
        <w:tc>
          <w:tcPr>
            <w:tcW w:w="4445" w:type="dxa"/>
          </w:tcPr>
          <w:p>
            <w:pPr>
              <w:ind w:firstLine="0" w:firstLineChars="0"/>
              <w:jc w:val="center"/>
              <w:rPr>
                <w:rFonts w:ascii="Times New Roman" w:hAnsi="Times New Roman"/>
                <w:sz w:val="21"/>
                <w:szCs w:val="21"/>
              </w:rPr>
            </w:pPr>
            <w:r>
              <w:rPr>
                <w:rFonts w:ascii="Times New Roman" w:hAnsi="Times New Roman"/>
                <w:sz w:val="21"/>
                <w:szCs w:val="21"/>
              </w:rPr>
              <w:t>管线周边</w:t>
            </w:r>
          </w:p>
        </w:tc>
      </w:tr>
    </w:tbl>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t xml:space="preserve">  项目周边生态环境现状</w:t>
      </w:r>
    </w:p>
    <w:p>
      <w:pPr>
        <w:pStyle w:val="4"/>
        <w:rPr>
          <w:rFonts w:ascii="Times New Roman" w:hAnsi="Times New Roman" w:cs="Times New Roman"/>
        </w:rPr>
      </w:pPr>
      <w:r>
        <w:rPr>
          <w:rFonts w:ascii="Times New Roman" w:hAnsi="Times New Roman" w:cs="Times New Roman"/>
        </w:rPr>
        <w:t>生态评价范围土地利用现状调查</w:t>
      </w:r>
    </w:p>
    <w:p>
      <w:pPr>
        <w:ind w:firstLine="480"/>
        <w:rPr>
          <w:rFonts w:ascii="Times New Roman" w:hAnsi="Times New Roman"/>
        </w:rPr>
      </w:pPr>
      <w:r>
        <w:rPr>
          <w:rFonts w:ascii="Times New Roman" w:hAnsi="Times New Roman"/>
        </w:rPr>
        <w:t>根据遥感解译，结合实地调查情况及土地利用现状图，评价范围内土地现状类型为耕地、林地、草地、工矿仓储用地、住宅用地、交通运输用地、水域及水利设施用地等。评价范围内土地利用类型面积统计结果见</w:t>
      </w:r>
      <w:r>
        <w:rPr>
          <w:rFonts w:ascii="Times New Roman" w:hAnsi="Times New Roman"/>
        </w:rPr>
        <w:fldChar w:fldCharType="begin"/>
      </w:r>
      <w:r>
        <w:rPr>
          <w:rFonts w:ascii="Times New Roman" w:hAnsi="Times New Roman"/>
        </w:rPr>
        <w:instrText xml:space="preserve"> REF _Ref152342786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22</w:t>
      </w:r>
      <w:r>
        <w:rPr>
          <w:rFonts w:ascii="Times New Roman" w:hAnsi="Times New Roman"/>
        </w:rPr>
        <w:fldChar w:fldCharType="end"/>
      </w:r>
      <w:r>
        <w:rPr>
          <w:rFonts w:ascii="Times New Roman" w:hAnsi="Times New Roman"/>
        </w:rPr>
        <w:t>，现状土地利用类型分布见附图29。</w:t>
      </w:r>
    </w:p>
    <w:p>
      <w:pPr>
        <w:ind w:firstLine="480"/>
        <w:rPr>
          <w:rFonts w:ascii="Times New Roman" w:hAnsi="Times New Roman"/>
        </w:rPr>
      </w:pPr>
      <w:r>
        <w:rPr>
          <w:rFonts w:ascii="Times New Roman" w:hAnsi="Times New Roman"/>
        </w:rPr>
        <w:t>由</w:t>
      </w:r>
      <w:r>
        <w:rPr>
          <w:rFonts w:ascii="Times New Roman" w:hAnsi="Times New Roman"/>
        </w:rPr>
        <w:fldChar w:fldCharType="begin"/>
      </w:r>
      <w:r>
        <w:rPr>
          <w:rFonts w:ascii="Times New Roman" w:hAnsi="Times New Roman"/>
        </w:rPr>
        <w:instrText xml:space="preserve"> REF _Ref152342786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22</w:t>
      </w:r>
      <w:r>
        <w:rPr>
          <w:rFonts w:ascii="Times New Roman" w:hAnsi="Times New Roman"/>
        </w:rPr>
        <w:fldChar w:fldCharType="end"/>
      </w:r>
      <w:r>
        <w:rPr>
          <w:rFonts w:ascii="Times New Roman" w:hAnsi="Times New Roman"/>
        </w:rPr>
        <w:t>可以看出：评价范围内主要土地利用类型为乔木林地，约占评价范围的67.91%，其次为耕地约占评价范围的19.73%，再次为灌木林地、天然牧草地、农村宅基地和公路用地，约占评价范围的6.55%、1.35%、1.99%和1.15%。</w:t>
      </w:r>
    </w:p>
    <w:p>
      <w:pPr>
        <w:pStyle w:val="37"/>
        <w:rPr>
          <w:rFonts w:ascii="Times New Roman" w:hAnsi="Times New Roman" w:cs="Times New Roman"/>
        </w:rPr>
      </w:pPr>
      <w:bookmarkStart w:id="162" w:name="_Ref15234278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22</w:t>
      </w:r>
      <w:r>
        <w:rPr>
          <w:rFonts w:ascii="Times New Roman" w:hAnsi="Times New Roman" w:cs="Times New Roman"/>
        </w:rPr>
        <w:fldChar w:fldCharType="end"/>
      </w:r>
      <w:bookmarkEnd w:id="162"/>
      <w:r>
        <w:rPr>
          <w:rFonts w:ascii="Times New Roman" w:hAnsi="Times New Roman" w:cs="Times New Roman"/>
        </w:rPr>
        <w:t xml:space="preserve">  评价范围土地利用类型统计表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4"/>
        <w:gridCol w:w="2023"/>
        <w:gridCol w:w="2023"/>
        <w:gridCol w:w="1907"/>
        <w:gridCol w:w="1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Merge w:val="restart"/>
            <w:vAlign w:val="center"/>
          </w:tcPr>
          <w:p>
            <w:pPr>
              <w:pStyle w:val="39"/>
              <w:rPr>
                <w:rFonts w:ascii="Times New Roman" w:hAnsi="Times New Roman"/>
                <w:lang w:val="zh-CN"/>
              </w:rPr>
            </w:pPr>
            <w:r>
              <w:rPr>
                <w:rFonts w:ascii="Times New Roman" w:hAnsi="Times New Roman"/>
                <w:lang w:val="zh-CN"/>
              </w:rPr>
              <w:t>序号</w:t>
            </w:r>
          </w:p>
        </w:tc>
        <w:tc>
          <w:tcPr>
            <w:tcW w:w="2374" w:type="pct"/>
            <w:gridSpan w:val="2"/>
            <w:vAlign w:val="center"/>
          </w:tcPr>
          <w:p>
            <w:pPr>
              <w:pStyle w:val="39"/>
              <w:rPr>
                <w:rFonts w:ascii="Times New Roman" w:hAnsi="Times New Roman"/>
                <w:lang w:val="zh-CN"/>
              </w:rPr>
            </w:pPr>
            <w:r>
              <w:rPr>
                <w:rFonts w:ascii="Times New Roman" w:hAnsi="Times New Roman"/>
                <w:lang w:val="zh-CN"/>
              </w:rPr>
              <w:t>土地利用类型</w:t>
            </w:r>
          </w:p>
        </w:tc>
        <w:tc>
          <w:tcPr>
            <w:tcW w:w="2178" w:type="pct"/>
            <w:gridSpan w:val="2"/>
            <w:vAlign w:val="center"/>
          </w:tcPr>
          <w:p>
            <w:pPr>
              <w:pStyle w:val="39"/>
              <w:rPr>
                <w:rFonts w:ascii="Times New Roman" w:hAnsi="Times New Roman"/>
                <w:lang w:val="zh-CN"/>
              </w:rPr>
            </w:pPr>
            <w:r>
              <w:rPr>
                <w:rFonts w:ascii="Times New Roman" w:hAnsi="Times New Roman"/>
                <w:lang w:val="zh-CN"/>
              </w:rPr>
              <w:t>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Merge w:val="continue"/>
            <w:vAlign w:val="center"/>
          </w:tcPr>
          <w:p>
            <w:pPr>
              <w:pStyle w:val="39"/>
              <w:rPr>
                <w:rFonts w:ascii="Times New Roman" w:hAnsi="Times New Roman"/>
                <w:lang w:val="zh-CN"/>
              </w:rPr>
            </w:pPr>
          </w:p>
        </w:tc>
        <w:tc>
          <w:tcPr>
            <w:tcW w:w="1187" w:type="pct"/>
            <w:vAlign w:val="center"/>
          </w:tcPr>
          <w:p>
            <w:pPr>
              <w:pStyle w:val="39"/>
              <w:rPr>
                <w:rFonts w:ascii="Times New Roman" w:hAnsi="Times New Roman"/>
                <w:lang w:val="zh-CN"/>
              </w:rPr>
            </w:pPr>
            <w:r>
              <w:rPr>
                <w:rFonts w:ascii="Times New Roman" w:hAnsi="Times New Roman"/>
                <w:lang w:val="zh-CN"/>
              </w:rPr>
              <w:t>一级类</w:t>
            </w:r>
          </w:p>
        </w:tc>
        <w:tc>
          <w:tcPr>
            <w:tcW w:w="1187" w:type="pct"/>
            <w:vAlign w:val="center"/>
          </w:tcPr>
          <w:p>
            <w:pPr>
              <w:pStyle w:val="39"/>
              <w:rPr>
                <w:rFonts w:ascii="Times New Roman" w:hAnsi="Times New Roman"/>
                <w:lang w:val="zh-CN"/>
              </w:rPr>
            </w:pPr>
            <w:r>
              <w:rPr>
                <w:rFonts w:ascii="Times New Roman" w:hAnsi="Times New Roman"/>
                <w:lang w:val="zh-CN"/>
              </w:rPr>
              <w:t>二级类</w:t>
            </w:r>
          </w:p>
        </w:tc>
        <w:tc>
          <w:tcPr>
            <w:tcW w:w="1119" w:type="pct"/>
            <w:vAlign w:val="center"/>
          </w:tcPr>
          <w:p>
            <w:pPr>
              <w:pStyle w:val="39"/>
              <w:rPr>
                <w:rFonts w:ascii="Times New Roman" w:hAnsi="Times New Roman"/>
                <w:lang w:val="zh-CN"/>
              </w:rPr>
            </w:pPr>
            <w:r>
              <w:rPr>
                <w:rFonts w:ascii="Times New Roman" w:hAnsi="Times New Roman"/>
                <w:lang w:val="zh-CN"/>
              </w:rPr>
              <w:t>面积（hm</w:t>
            </w:r>
            <w:r>
              <w:rPr>
                <w:rFonts w:ascii="Times New Roman" w:hAnsi="Times New Roman"/>
                <w:vertAlign w:val="superscript"/>
                <w:lang w:val="zh-CN"/>
              </w:rPr>
              <w:t>2</w:t>
            </w:r>
            <w:r>
              <w:rPr>
                <w:rFonts w:ascii="Times New Roman" w:hAnsi="Times New Roman"/>
                <w:lang w:val="zh-CN"/>
              </w:rPr>
              <w:t>）</w:t>
            </w:r>
          </w:p>
        </w:tc>
        <w:tc>
          <w:tcPr>
            <w:tcW w:w="1059" w:type="pct"/>
            <w:vAlign w:val="center"/>
          </w:tcPr>
          <w:p>
            <w:pPr>
              <w:pStyle w:val="39"/>
              <w:rPr>
                <w:rFonts w:ascii="Times New Roman" w:hAnsi="Times New Roman"/>
                <w:lang w:val="zh-CN"/>
              </w:rPr>
            </w:pPr>
            <w:r>
              <w:rPr>
                <w:rFonts w:ascii="Times New Roman" w:hAnsi="Times New Roman"/>
                <w:lang w:val="zh-CN"/>
              </w:rPr>
              <w:t>所占比例（%）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pStyle w:val="39"/>
              <w:rPr>
                <w:rFonts w:ascii="Times New Roman" w:hAnsi="Times New Roman"/>
                <w:lang w:val="zh-CN"/>
              </w:rPr>
            </w:pPr>
            <w:r>
              <w:rPr>
                <w:rFonts w:ascii="Times New Roman" w:hAnsi="Times New Roman"/>
                <w:lang w:val="zh-CN"/>
              </w:rPr>
              <w:t>1</w:t>
            </w:r>
          </w:p>
        </w:tc>
        <w:tc>
          <w:tcPr>
            <w:tcW w:w="1187" w:type="pct"/>
            <w:vMerge w:val="restart"/>
            <w:vAlign w:val="center"/>
          </w:tcPr>
          <w:p>
            <w:pPr>
              <w:pStyle w:val="39"/>
              <w:rPr>
                <w:rFonts w:ascii="Times New Roman" w:hAnsi="Times New Roman"/>
              </w:rPr>
            </w:pPr>
            <w:r>
              <w:rPr>
                <w:rFonts w:ascii="Times New Roman" w:hAnsi="Times New Roman"/>
              </w:rPr>
              <w:t>耕地</w:t>
            </w:r>
          </w:p>
        </w:tc>
        <w:tc>
          <w:tcPr>
            <w:tcW w:w="1187" w:type="pct"/>
            <w:vAlign w:val="center"/>
          </w:tcPr>
          <w:p>
            <w:pPr>
              <w:pStyle w:val="39"/>
              <w:rPr>
                <w:rFonts w:ascii="Times New Roman" w:hAnsi="Times New Roman"/>
                <w:lang w:val="zh-CN"/>
              </w:rPr>
            </w:pPr>
            <w:r>
              <w:rPr>
                <w:rFonts w:ascii="Times New Roman" w:hAnsi="Times New Roman"/>
              </w:rPr>
              <w:t>水田</w:t>
            </w:r>
          </w:p>
        </w:tc>
        <w:tc>
          <w:tcPr>
            <w:tcW w:w="1119" w:type="pct"/>
            <w:vAlign w:val="center"/>
          </w:tcPr>
          <w:p>
            <w:pPr>
              <w:pStyle w:val="39"/>
              <w:rPr>
                <w:rFonts w:ascii="Times New Roman" w:hAnsi="Times New Roman"/>
                <w:lang w:val="zh-CN"/>
              </w:rPr>
            </w:pPr>
            <w:r>
              <w:rPr>
                <w:rFonts w:ascii="Times New Roman" w:hAnsi="Times New Roman"/>
              </w:rPr>
              <w:t>37.00</w:t>
            </w:r>
          </w:p>
        </w:tc>
        <w:tc>
          <w:tcPr>
            <w:tcW w:w="1059" w:type="pct"/>
            <w:vAlign w:val="center"/>
          </w:tcPr>
          <w:p>
            <w:pPr>
              <w:pStyle w:val="39"/>
              <w:rPr>
                <w:rFonts w:ascii="Times New Roman" w:hAnsi="Times New Roman"/>
                <w:lang w:val="zh-CN"/>
              </w:rPr>
            </w:pPr>
            <w:r>
              <w:rPr>
                <w:rFonts w:ascii="Times New Roman" w:hAnsi="Times New Roman"/>
              </w:rPr>
              <w:t>3.98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pStyle w:val="39"/>
              <w:rPr>
                <w:rFonts w:ascii="Times New Roman" w:hAnsi="Times New Roman"/>
                <w:lang w:val="zh-CN"/>
              </w:rPr>
            </w:pPr>
            <w:r>
              <w:rPr>
                <w:rFonts w:ascii="Times New Roman" w:hAnsi="Times New Roman"/>
                <w:lang w:val="zh-CN"/>
              </w:rPr>
              <w:t>2</w:t>
            </w:r>
          </w:p>
        </w:tc>
        <w:tc>
          <w:tcPr>
            <w:tcW w:w="1187" w:type="pct"/>
            <w:vMerge w:val="continue"/>
            <w:vAlign w:val="center"/>
          </w:tcPr>
          <w:p>
            <w:pPr>
              <w:pStyle w:val="39"/>
              <w:rPr>
                <w:rFonts w:ascii="Times New Roman" w:hAnsi="Times New Roman"/>
              </w:rPr>
            </w:pPr>
          </w:p>
        </w:tc>
        <w:tc>
          <w:tcPr>
            <w:tcW w:w="1187" w:type="pct"/>
            <w:vAlign w:val="center"/>
          </w:tcPr>
          <w:p>
            <w:pPr>
              <w:pStyle w:val="39"/>
              <w:rPr>
                <w:rFonts w:ascii="Times New Roman" w:hAnsi="Times New Roman"/>
              </w:rPr>
            </w:pPr>
            <w:r>
              <w:rPr>
                <w:rFonts w:ascii="Times New Roman" w:hAnsi="Times New Roman"/>
              </w:rPr>
              <w:t>旱地</w:t>
            </w:r>
          </w:p>
        </w:tc>
        <w:tc>
          <w:tcPr>
            <w:tcW w:w="1119" w:type="pct"/>
            <w:vAlign w:val="center"/>
          </w:tcPr>
          <w:p>
            <w:pPr>
              <w:pStyle w:val="39"/>
              <w:rPr>
                <w:rFonts w:ascii="Times New Roman" w:hAnsi="Times New Roman"/>
              </w:rPr>
            </w:pPr>
            <w:r>
              <w:rPr>
                <w:rFonts w:ascii="Times New Roman" w:hAnsi="Times New Roman"/>
              </w:rPr>
              <w:t>146.29</w:t>
            </w:r>
          </w:p>
        </w:tc>
        <w:tc>
          <w:tcPr>
            <w:tcW w:w="1059" w:type="pct"/>
            <w:vAlign w:val="center"/>
          </w:tcPr>
          <w:p>
            <w:pPr>
              <w:pStyle w:val="39"/>
              <w:rPr>
                <w:rFonts w:ascii="Times New Roman" w:hAnsi="Times New Roman"/>
              </w:rPr>
            </w:pPr>
            <w:r>
              <w:rPr>
                <w:rFonts w:ascii="Times New Roman" w:hAnsi="Times New Roman"/>
              </w:rPr>
              <w:t>15.75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pStyle w:val="39"/>
              <w:rPr>
                <w:rFonts w:ascii="Times New Roman" w:hAnsi="Times New Roman"/>
                <w:lang w:val="zh-CN"/>
              </w:rPr>
            </w:pPr>
            <w:r>
              <w:rPr>
                <w:rFonts w:ascii="Times New Roman" w:hAnsi="Times New Roman"/>
                <w:lang w:val="zh-CN"/>
              </w:rPr>
              <w:t>3</w:t>
            </w:r>
          </w:p>
        </w:tc>
        <w:tc>
          <w:tcPr>
            <w:tcW w:w="1187" w:type="pct"/>
            <w:vMerge w:val="restart"/>
            <w:vAlign w:val="center"/>
          </w:tcPr>
          <w:p>
            <w:pPr>
              <w:pStyle w:val="39"/>
              <w:rPr>
                <w:rFonts w:ascii="Times New Roman" w:hAnsi="Times New Roman"/>
              </w:rPr>
            </w:pPr>
            <w:r>
              <w:rPr>
                <w:rFonts w:ascii="Times New Roman" w:hAnsi="Times New Roman"/>
              </w:rPr>
              <w:t>林地</w:t>
            </w:r>
          </w:p>
        </w:tc>
        <w:tc>
          <w:tcPr>
            <w:tcW w:w="1187" w:type="pct"/>
            <w:vAlign w:val="center"/>
          </w:tcPr>
          <w:p>
            <w:pPr>
              <w:pStyle w:val="39"/>
              <w:rPr>
                <w:rFonts w:ascii="Times New Roman" w:hAnsi="Times New Roman"/>
                <w:lang w:val="zh-CN"/>
              </w:rPr>
            </w:pPr>
            <w:r>
              <w:rPr>
                <w:rFonts w:ascii="Times New Roman" w:hAnsi="Times New Roman"/>
              </w:rPr>
              <w:t>乔木林地</w:t>
            </w:r>
          </w:p>
        </w:tc>
        <w:tc>
          <w:tcPr>
            <w:tcW w:w="1119" w:type="pct"/>
            <w:vAlign w:val="center"/>
          </w:tcPr>
          <w:p>
            <w:pPr>
              <w:pStyle w:val="39"/>
              <w:rPr>
                <w:rFonts w:ascii="Times New Roman" w:hAnsi="Times New Roman"/>
                <w:lang w:val="zh-CN"/>
              </w:rPr>
            </w:pPr>
            <w:r>
              <w:rPr>
                <w:rFonts w:ascii="Times New Roman" w:hAnsi="Times New Roman"/>
              </w:rPr>
              <w:t>630.96</w:t>
            </w:r>
          </w:p>
        </w:tc>
        <w:tc>
          <w:tcPr>
            <w:tcW w:w="1059" w:type="pct"/>
            <w:vAlign w:val="center"/>
          </w:tcPr>
          <w:p>
            <w:pPr>
              <w:pStyle w:val="39"/>
              <w:rPr>
                <w:rFonts w:ascii="Times New Roman" w:hAnsi="Times New Roman"/>
                <w:lang w:val="zh-CN"/>
              </w:rPr>
            </w:pPr>
            <w:r>
              <w:rPr>
                <w:rFonts w:ascii="Times New Roman" w:hAnsi="Times New Roman"/>
              </w:rPr>
              <w:t>67.91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pStyle w:val="39"/>
              <w:rPr>
                <w:rFonts w:ascii="Times New Roman" w:hAnsi="Times New Roman"/>
                <w:lang w:val="zh-CN"/>
              </w:rPr>
            </w:pPr>
            <w:r>
              <w:rPr>
                <w:rFonts w:ascii="Times New Roman" w:hAnsi="Times New Roman"/>
                <w:lang w:val="zh-CN"/>
              </w:rPr>
              <w:t>4</w:t>
            </w:r>
          </w:p>
        </w:tc>
        <w:tc>
          <w:tcPr>
            <w:tcW w:w="1187" w:type="pct"/>
            <w:vMerge w:val="continue"/>
            <w:vAlign w:val="center"/>
          </w:tcPr>
          <w:p>
            <w:pPr>
              <w:pStyle w:val="39"/>
              <w:rPr>
                <w:rFonts w:ascii="Times New Roman" w:hAnsi="Times New Roman"/>
              </w:rPr>
            </w:pPr>
          </w:p>
        </w:tc>
        <w:tc>
          <w:tcPr>
            <w:tcW w:w="1187" w:type="pct"/>
            <w:vAlign w:val="center"/>
          </w:tcPr>
          <w:p>
            <w:pPr>
              <w:pStyle w:val="39"/>
              <w:rPr>
                <w:rFonts w:ascii="Times New Roman" w:hAnsi="Times New Roman"/>
                <w:lang w:val="zh-CN"/>
              </w:rPr>
            </w:pPr>
            <w:r>
              <w:rPr>
                <w:rFonts w:ascii="Times New Roman" w:hAnsi="Times New Roman"/>
              </w:rPr>
              <w:t>灌木林地</w:t>
            </w:r>
          </w:p>
        </w:tc>
        <w:tc>
          <w:tcPr>
            <w:tcW w:w="1119" w:type="pct"/>
            <w:vAlign w:val="center"/>
          </w:tcPr>
          <w:p>
            <w:pPr>
              <w:pStyle w:val="39"/>
              <w:rPr>
                <w:rFonts w:ascii="Times New Roman" w:hAnsi="Times New Roman"/>
                <w:lang w:val="zh-CN"/>
              </w:rPr>
            </w:pPr>
            <w:r>
              <w:rPr>
                <w:rFonts w:ascii="Times New Roman" w:hAnsi="Times New Roman"/>
              </w:rPr>
              <w:t>60.86</w:t>
            </w:r>
          </w:p>
        </w:tc>
        <w:tc>
          <w:tcPr>
            <w:tcW w:w="1059" w:type="pct"/>
            <w:vAlign w:val="center"/>
          </w:tcPr>
          <w:p>
            <w:pPr>
              <w:pStyle w:val="39"/>
              <w:rPr>
                <w:rFonts w:ascii="Times New Roman" w:hAnsi="Times New Roman"/>
                <w:lang w:val="zh-CN"/>
              </w:rPr>
            </w:pPr>
            <w:r>
              <w:rPr>
                <w:rFonts w:ascii="Times New Roman" w:hAnsi="Times New Roman"/>
              </w:rPr>
              <w:t>6.55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pStyle w:val="39"/>
              <w:rPr>
                <w:rFonts w:ascii="Times New Roman" w:hAnsi="Times New Roman"/>
                <w:lang w:val="zh-CN"/>
              </w:rPr>
            </w:pPr>
            <w:r>
              <w:rPr>
                <w:rFonts w:ascii="Times New Roman" w:hAnsi="Times New Roman"/>
                <w:lang w:val="zh-CN"/>
              </w:rPr>
              <w:t>5</w:t>
            </w:r>
          </w:p>
        </w:tc>
        <w:tc>
          <w:tcPr>
            <w:tcW w:w="1187" w:type="pct"/>
            <w:vAlign w:val="center"/>
          </w:tcPr>
          <w:p>
            <w:pPr>
              <w:pStyle w:val="39"/>
              <w:rPr>
                <w:rFonts w:ascii="Times New Roman" w:hAnsi="Times New Roman"/>
              </w:rPr>
            </w:pPr>
            <w:r>
              <w:rPr>
                <w:rFonts w:ascii="Times New Roman" w:hAnsi="Times New Roman"/>
              </w:rPr>
              <w:t>草地</w:t>
            </w:r>
          </w:p>
        </w:tc>
        <w:tc>
          <w:tcPr>
            <w:tcW w:w="1187" w:type="pct"/>
            <w:vAlign w:val="center"/>
          </w:tcPr>
          <w:p>
            <w:pPr>
              <w:pStyle w:val="39"/>
              <w:rPr>
                <w:rFonts w:ascii="Times New Roman" w:hAnsi="Times New Roman"/>
                <w:lang w:val="zh-CN"/>
              </w:rPr>
            </w:pPr>
            <w:r>
              <w:rPr>
                <w:rFonts w:ascii="Times New Roman" w:hAnsi="Times New Roman"/>
              </w:rPr>
              <w:t>天然牧草地</w:t>
            </w:r>
          </w:p>
        </w:tc>
        <w:tc>
          <w:tcPr>
            <w:tcW w:w="1119" w:type="pct"/>
            <w:vAlign w:val="center"/>
          </w:tcPr>
          <w:p>
            <w:pPr>
              <w:pStyle w:val="39"/>
              <w:rPr>
                <w:rFonts w:ascii="Times New Roman" w:hAnsi="Times New Roman"/>
                <w:lang w:val="zh-CN"/>
              </w:rPr>
            </w:pPr>
            <w:r>
              <w:rPr>
                <w:rFonts w:ascii="Times New Roman" w:hAnsi="Times New Roman"/>
              </w:rPr>
              <w:t>12.53</w:t>
            </w:r>
          </w:p>
        </w:tc>
        <w:tc>
          <w:tcPr>
            <w:tcW w:w="1059" w:type="pct"/>
            <w:vAlign w:val="center"/>
          </w:tcPr>
          <w:p>
            <w:pPr>
              <w:pStyle w:val="39"/>
              <w:rPr>
                <w:rFonts w:ascii="Times New Roman" w:hAnsi="Times New Roman"/>
                <w:lang w:val="zh-CN"/>
              </w:rPr>
            </w:pPr>
            <w:r>
              <w:rPr>
                <w:rFonts w:ascii="Times New Roman" w:hAnsi="Times New Roman"/>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pStyle w:val="39"/>
              <w:rPr>
                <w:rFonts w:ascii="Times New Roman" w:hAnsi="Times New Roman"/>
                <w:lang w:val="zh-CN"/>
              </w:rPr>
            </w:pPr>
            <w:r>
              <w:rPr>
                <w:rFonts w:ascii="Times New Roman" w:hAnsi="Times New Roman"/>
                <w:lang w:val="zh-CN"/>
              </w:rPr>
              <w:t>6</w:t>
            </w:r>
          </w:p>
        </w:tc>
        <w:tc>
          <w:tcPr>
            <w:tcW w:w="1187" w:type="pct"/>
            <w:vMerge w:val="restart"/>
            <w:vAlign w:val="center"/>
          </w:tcPr>
          <w:p>
            <w:pPr>
              <w:pStyle w:val="39"/>
              <w:rPr>
                <w:rFonts w:ascii="Times New Roman" w:hAnsi="Times New Roman"/>
              </w:rPr>
            </w:pPr>
            <w:r>
              <w:rPr>
                <w:rFonts w:ascii="Times New Roman" w:hAnsi="Times New Roman"/>
              </w:rPr>
              <w:t>工矿仓储用地</w:t>
            </w:r>
          </w:p>
        </w:tc>
        <w:tc>
          <w:tcPr>
            <w:tcW w:w="1187" w:type="pct"/>
            <w:vAlign w:val="center"/>
          </w:tcPr>
          <w:p>
            <w:pPr>
              <w:pStyle w:val="39"/>
              <w:rPr>
                <w:rFonts w:ascii="Times New Roman" w:hAnsi="Times New Roman"/>
                <w:lang w:val="zh-CN"/>
              </w:rPr>
            </w:pPr>
            <w:r>
              <w:rPr>
                <w:rFonts w:ascii="Times New Roman" w:hAnsi="Times New Roman"/>
              </w:rPr>
              <w:t>工业用地</w:t>
            </w:r>
          </w:p>
        </w:tc>
        <w:tc>
          <w:tcPr>
            <w:tcW w:w="1119" w:type="pct"/>
            <w:vAlign w:val="center"/>
          </w:tcPr>
          <w:p>
            <w:pPr>
              <w:pStyle w:val="39"/>
              <w:rPr>
                <w:rFonts w:ascii="Times New Roman" w:hAnsi="Times New Roman"/>
                <w:lang w:val="zh-CN"/>
              </w:rPr>
            </w:pPr>
            <w:r>
              <w:rPr>
                <w:rFonts w:ascii="Times New Roman" w:hAnsi="Times New Roman"/>
              </w:rPr>
              <w:t>1.67</w:t>
            </w:r>
          </w:p>
        </w:tc>
        <w:tc>
          <w:tcPr>
            <w:tcW w:w="1059" w:type="pct"/>
            <w:vAlign w:val="center"/>
          </w:tcPr>
          <w:p>
            <w:pPr>
              <w:pStyle w:val="39"/>
              <w:rPr>
                <w:rFonts w:ascii="Times New Roman" w:hAnsi="Times New Roman"/>
                <w:lang w:val="zh-CN"/>
              </w:rPr>
            </w:pPr>
            <w:r>
              <w:rPr>
                <w:rFonts w:ascii="Times New Roman" w:hAnsi="Times New Roman"/>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pStyle w:val="39"/>
              <w:rPr>
                <w:rFonts w:ascii="Times New Roman" w:hAnsi="Times New Roman"/>
                <w:lang w:val="zh-CN"/>
              </w:rPr>
            </w:pPr>
            <w:r>
              <w:rPr>
                <w:rFonts w:ascii="Times New Roman" w:hAnsi="Times New Roman"/>
                <w:lang w:val="zh-CN"/>
              </w:rPr>
              <w:t>7</w:t>
            </w:r>
          </w:p>
        </w:tc>
        <w:tc>
          <w:tcPr>
            <w:tcW w:w="1187" w:type="pct"/>
            <w:vMerge w:val="continue"/>
            <w:vAlign w:val="center"/>
          </w:tcPr>
          <w:p>
            <w:pPr>
              <w:pStyle w:val="39"/>
              <w:rPr>
                <w:rFonts w:ascii="Times New Roman" w:hAnsi="Times New Roman"/>
              </w:rPr>
            </w:pPr>
          </w:p>
        </w:tc>
        <w:tc>
          <w:tcPr>
            <w:tcW w:w="1187" w:type="pct"/>
            <w:vAlign w:val="center"/>
          </w:tcPr>
          <w:p>
            <w:pPr>
              <w:pStyle w:val="39"/>
              <w:rPr>
                <w:rFonts w:ascii="Times New Roman" w:hAnsi="Times New Roman"/>
                <w:lang w:val="zh-CN"/>
              </w:rPr>
            </w:pPr>
            <w:r>
              <w:rPr>
                <w:rFonts w:ascii="Times New Roman" w:hAnsi="Times New Roman"/>
              </w:rPr>
              <w:t>采矿用地</w:t>
            </w:r>
          </w:p>
        </w:tc>
        <w:tc>
          <w:tcPr>
            <w:tcW w:w="1119" w:type="pct"/>
            <w:vAlign w:val="center"/>
          </w:tcPr>
          <w:p>
            <w:pPr>
              <w:pStyle w:val="39"/>
              <w:rPr>
                <w:rFonts w:ascii="Times New Roman" w:hAnsi="Times New Roman"/>
                <w:lang w:val="zh-CN"/>
              </w:rPr>
            </w:pPr>
            <w:r>
              <w:rPr>
                <w:rFonts w:ascii="Times New Roman" w:hAnsi="Times New Roman"/>
              </w:rPr>
              <w:t>3.18</w:t>
            </w:r>
          </w:p>
        </w:tc>
        <w:tc>
          <w:tcPr>
            <w:tcW w:w="1059" w:type="pct"/>
            <w:vAlign w:val="center"/>
          </w:tcPr>
          <w:p>
            <w:pPr>
              <w:pStyle w:val="39"/>
              <w:rPr>
                <w:rFonts w:ascii="Times New Roman" w:hAnsi="Times New Roman"/>
                <w:lang w:val="zh-CN"/>
              </w:rPr>
            </w:pPr>
            <w:r>
              <w:rPr>
                <w:rFonts w:ascii="Times New Roman" w:hAnsi="Times New Roman"/>
              </w:rPr>
              <w:t>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pStyle w:val="39"/>
              <w:rPr>
                <w:rFonts w:ascii="Times New Roman" w:hAnsi="Times New Roman"/>
                <w:lang w:val="zh-CN"/>
              </w:rPr>
            </w:pPr>
            <w:r>
              <w:rPr>
                <w:rFonts w:ascii="Times New Roman" w:hAnsi="Times New Roman"/>
                <w:lang w:val="zh-CN"/>
              </w:rPr>
              <w:t>8</w:t>
            </w:r>
          </w:p>
        </w:tc>
        <w:tc>
          <w:tcPr>
            <w:tcW w:w="1187" w:type="pct"/>
            <w:vAlign w:val="center"/>
          </w:tcPr>
          <w:p>
            <w:pPr>
              <w:pStyle w:val="39"/>
              <w:rPr>
                <w:rFonts w:ascii="Times New Roman" w:hAnsi="Times New Roman"/>
              </w:rPr>
            </w:pPr>
            <w:r>
              <w:rPr>
                <w:rFonts w:ascii="Times New Roman" w:hAnsi="Times New Roman"/>
              </w:rPr>
              <w:t>住宅用地</w:t>
            </w:r>
          </w:p>
        </w:tc>
        <w:tc>
          <w:tcPr>
            <w:tcW w:w="1187" w:type="pct"/>
            <w:vAlign w:val="center"/>
          </w:tcPr>
          <w:p>
            <w:pPr>
              <w:pStyle w:val="39"/>
              <w:rPr>
                <w:rFonts w:ascii="Times New Roman" w:hAnsi="Times New Roman"/>
                <w:lang w:val="zh-CN"/>
              </w:rPr>
            </w:pPr>
            <w:r>
              <w:rPr>
                <w:rFonts w:ascii="Times New Roman" w:hAnsi="Times New Roman"/>
              </w:rPr>
              <w:t>农村宅基地</w:t>
            </w:r>
          </w:p>
        </w:tc>
        <w:tc>
          <w:tcPr>
            <w:tcW w:w="1119" w:type="pct"/>
            <w:vAlign w:val="center"/>
          </w:tcPr>
          <w:p>
            <w:pPr>
              <w:pStyle w:val="39"/>
              <w:rPr>
                <w:rFonts w:ascii="Times New Roman" w:hAnsi="Times New Roman"/>
                <w:lang w:val="zh-CN"/>
              </w:rPr>
            </w:pPr>
            <w:r>
              <w:rPr>
                <w:rFonts w:ascii="Times New Roman" w:hAnsi="Times New Roman"/>
              </w:rPr>
              <w:t>18.47</w:t>
            </w:r>
          </w:p>
        </w:tc>
        <w:tc>
          <w:tcPr>
            <w:tcW w:w="1059" w:type="pct"/>
            <w:vAlign w:val="center"/>
          </w:tcPr>
          <w:p>
            <w:pPr>
              <w:pStyle w:val="39"/>
              <w:rPr>
                <w:rFonts w:ascii="Times New Roman" w:hAnsi="Times New Roman"/>
                <w:lang w:val="zh-CN"/>
              </w:rPr>
            </w:pPr>
            <w:r>
              <w:rPr>
                <w:rFonts w:ascii="Times New Roman" w:hAnsi="Times New Roman"/>
              </w:rPr>
              <w:t>1.99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pStyle w:val="39"/>
              <w:rPr>
                <w:rFonts w:ascii="Times New Roman" w:hAnsi="Times New Roman"/>
                <w:lang w:val="zh-CN"/>
              </w:rPr>
            </w:pPr>
            <w:r>
              <w:rPr>
                <w:rFonts w:ascii="Times New Roman" w:hAnsi="Times New Roman"/>
                <w:lang w:val="zh-CN"/>
              </w:rPr>
              <w:t>9</w:t>
            </w:r>
          </w:p>
        </w:tc>
        <w:tc>
          <w:tcPr>
            <w:tcW w:w="1187" w:type="pct"/>
            <w:vMerge w:val="restart"/>
            <w:vAlign w:val="center"/>
          </w:tcPr>
          <w:p>
            <w:pPr>
              <w:pStyle w:val="39"/>
              <w:rPr>
                <w:rFonts w:ascii="Times New Roman" w:hAnsi="Times New Roman"/>
              </w:rPr>
            </w:pPr>
            <w:r>
              <w:rPr>
                <w:rFonts w:ascii="Times New Roman" w:hAnsi="Times New Roman"/>
              </w:rPr>
              <w:t>交通运输用地</w:t>
            </w:r>
          </w:p>
        </w:tc>
        <w:tc>
          <w:tcPr>
            <w:tcW w:w="1187" w:type="pct"/>
            <w:vAlign w:val="center"/>
          </w:tcPr>
          <w:p>
            <w:pPr>
              <w:pStyle w:val="39"/>
              <w:rPr>
                <w:rFonts w:ascii="Times New Roman" w:hAnsi="Times New Roman"/>
                <w:lang w:val="zh-CN"/>
              </w:rPr>
            </w:pPr>
            <w:r>
              <w:rPr>
                <w:rFonts w:ascii="Times New Roman" w:hAnsi="Times New Roman"/>
              </w:rPr>
              <w:t>公路用地</w:t>
            </w:r>
          </w:p>
        </w:tc>
        <w:tc>
          <w:tcPr>
            <w:tcW w:w="1119" w:type="pct"/>
            <w:vAlign w:val="center"/>
          </w:tcPr>
          <w:p>
            <w:pPr>
              <w:pStyle w:val="39"/>
              <w:rPr>
                <w:rFonts w:ascii="Times New Roman" w:hAnsi="Times New Roman"/>
                <w:lang w:val="zh-CN"/>
              </w:rPr>
            </w:pPr>
            <w:r>
              <w:rPr>
                <w:rFonts w:ascii="Times New Roman" w:hAnsi="Times New Roman"/>
              </w:rPr>
              <w:t>10.68</w:t>
            </w:r>
          </w:p>
        </w:tc>
        <w:tc>
          <w:tcPr>
            <w:tcW w:w="1059" w:type="pct"/>
            <w:vAlign w:val="center"/>
          </w:tcPr>
          <w:p>
            <w:pPr>
              <w:pStyle w:val="39"/>
              <w:rPr>
                <w:rFonts w:ascii="Times New Roman" w:hAnsi="Times New Roman"/>
                <w:lang w:val="zh-CN"/>
              </w:rPr>
            </w:pPr>
            <w:r>
              <w:rPr>
                <w:rFonts w:ascii="Times New Roman" w:hAnsi="Times New Roman"/>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pStyle w:val="39"/>
              <w:rPr>
                <w:rFonts w:ascii="Times New Roman" w:hAnsi="Times New Roman"/>
                <w:lang w:val="zh-CN"/>
              </w:rPr>
            </w:pPr>
            <w:r>
              <w:rPr>
                <w:rFonts w:ascii="Times New Roman" w:hAnsi="Times New Roman"/>
                <w:lang w:val="zh-CN"/>
              </w:rPr>
              <w:t>10</w:t>
            </w:r>
          </w:p>
        </w:tc>
        <w:tc>
          <w:tcPr>
            <w:tcW w:w="1187" w:type="pct"/>
            <w:vMerge w:val="continue"/>
            <w:vAlign w:val="center"/>
          </w:tcPr>
          <w:p>
            <w:pPr>
              <w:pStyle w:val="39"/>
              <w:rPr>
                <w:rFonts w:ascii="Times New Roman" w:hAnsi="Times New Roman"/>
              </w:rPr>
            </w:pPr>
          </w:p>
        </w:tc>
        <w:tc>
          <w:tcPr>
            <w:tcW w:w="1187" w:type="pct"/>
            <w:vAlign w:val="center"/>
          </w:tcPr>
          <w:p>
            <w:pPr>
              <w:pStyle w:val="39"/>
              <w:rPr>
                <w:rFonts w:ascii="Times New Roman" w:hAnsi="Times New Roman"/>
                <w:lang w:val="zh-CN"/>
              </w:rPr>
            </w:pPr>
            <w:r>
              <w:rPr>
                <w:rFonts w:ascii="Times New Roman" w:hAnsi="Times New Roman"/>
              </w:rPr>
              <w:t>管道运输用地</w:t>
            </w:r>
          </w:p>
        </w:tc>
        <w:tc>
          <w:tcPr>
            <w:tcW w:w="1119" w:type="pct"/>
            <w:vAlign w:val="center"/>
          </w:tcPr>
          <w:p>
            <w:pPr>
              <w:pStyle w:val="39"/>
              <w:rPr>
                <w:rFonts w:ascii="Times New Roman" w:hAnsi="Times New Roman"/>
              </w:rPr>
            </w:pPr>
            <w:r>
              <w:rPr>
                <w:rFonts w:ascii="Times New Roman" w:hAnsi="Times New Roman"/>
              </w:rPr>
              <w:t>1.28</w:t>
            </w:r>
          </w:p>
        </w:tc>
        <w:tc>
          <w:tcPr>
            <w:tcW w:w="1059" w:type="pct"/>
            <w:vAlign w:val="center"/>
          </w:tcPr>
          <w:p>
            <w:pPr>
              <w:pStyle w:val="39"/>
              <w:rPr>
                <w:rFonts w:ascii="Times New Roman" w:hAnsi="Times New Roman"/>
              </w:rPr>
            </w:pPr>
            <w:r>
              <w:rPr>
                <w:rFonts w:ascii="Times New Roman" w:hAnsi="Times New Roman"/>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pStyle w:val="39"/>
              <w:rPr>
                <w:rFonts w:ascii="Times New Roman" w:hAnsi="Times New Roman"/>
                <w:lang w:val="zh-CN"/>
              </w:rPr>
            </w:pPr>
            <w:r>
              <w:rPr>
                <w:rFonts w:ascii="Times New Roman" w:hAnsi="Times New Roman"/>
                <w:lang w:val="zh-CN"/>
              </w:rPr>
              <w:t>11</w:t>
            </w:r>
          </w:p>
        </w:tc>
        <w:tc>
          <w:tcPr>
            <w:tcW w:w="1187" w:type="pct"/>
            <w:vMerge w:val="restart"/>
            <w:vAlign w:val="center"/>
          </w:tcPr>
          <w:p>
            <w:pPr>
              <w:pStyle w:val="39"/>
              <w:rPr>
                <w:rFonts w:ascii="Times New Roman" w:hAnsi="Times New Roman"/>
                <w:sz w:val="22"/>
                <w:szCs w:val="22"/>
              </w:rPr>
            </w:pPr>
            <w:r>
              <w:rPr>
                <w:rFonts w:ascii="Times New Roman" w:hAnsi="Times New Roman"/>
                <w:sz w:val="22"/>
                <w:szCs w:val="22"/>
              </w:rPr>
              <w:t>水域及水利设施用地</w:t>
            </w:r>
          </w:p>
        </w:tc>
        <w:tc>
          <w:tcPr>
            <w:tcW w:w="1187" w:type="pct"/>
            <w:vAlign w:val="center"/>
          </w:tcPr>
          <w:p>
            <w:pPr>
              <w:pStyle w:val="39"/>
              <w:rPr>
                <w:rFonts w:ascii="Times New Roman" w:hAnsi="Times New Roman"/>
                <w:lang w:val="zh-CN"/>
              </w:rPr>
            </w:pPr>
            <w:r>
              <w:rPr>
                <w:rFonts w:ascii="Times New Roman" w:hAnsi="Times New Roman"/>
                <w:sz w:val="22"/>
                <w:szCs w:val="22"/>
              </w:rPr>
              <w:t>河流水面</w:t>
            </w:r>
          </w:p>
        </w:tc>
        <w:tc>
          <w:tcPr>
            <w:tcW w:w="1119" w:type="pct"/>
            <w:vAlign w:val="center"/>
          </w:tcPr>
          <w:p>
            <w:pPr>
              <w:pStyle w:val="39"/>
              <w:rPr>
                <w:rFonts w:ascii="Times New Roman" w:hAnsi="Times New Roman"/>
              </w:rPr>
            </w:pPr>
            <w:r>
              <w:rPr>
                <w:rFonts w:ascii="Times New Roman" w:hAnsi="Times New Roman"/>
                <w:sz w:val="22"/>
                <w:szCs w:val="22"/>
              </w:rPr>
              <w:t>2.79</w:t>
            </w:r>
          </w:p>
        </w:tc>
        <w:tc>
          <w:tcPr>
            <w:tcW w:w="1059" w:type="pct"/>
            <w:vAlign w:val="center"/>
          </w:tcPr>
          <w:p>
            <w:pPr>
              <w:pStyle w:val="39"/>
              <w:rPr>
                <w:rFonts w:ascii="Times New Roman" w:hAnsi="Times New Roman"/>
              </w:rPr>
            </w:pPr>
            <w:r>
              <w:rPr>
                <w:rFonts w:ascii="Times New Roman" w:hAnsi="Times New Roman"/>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pStyle w:val="39"/>
              <w:rPr>
                <w:rFonts w:ascii="Times New Roman" w:hAnsi="Times New Roman"/>
                <w:lang w:val="zh-CN"/>
              </w:rPr>
            </w:pPr>
            <w:r>
              <w:rPr>
                <w:rFonts w:ascii="Times New Roman" w:hAnsi="Times New Roman"/>
                <w:lang w:val="zh-CN"/>
              </w:rPr>
              <w:t>12</w:t>
            </w:r>
          </w:p>
        </w:tc>
        <w:tc>
          <w:tcPr>
            <w:tcW w:w="1187" w:type="pct"/>
            <w:vMerge w:val="continue"/>
            <w:vAlign w:val="center"/>
          </w:tcPr>
          <w:p>
            <w:pPr>
              <w:pStyle w:val="39"/>
              <w:rPr>
                <w:rFonts w:ascii="Times New Roman" w:hAnsi="Times New Roman"/>
                <w:sz w:val="22"/>
                <w:szCs w:val="22"/>
              </w:rPr>
            </w:pPr>
          </w:p>
        </w:tc>
        <w:tc>
          <w:tcPr>
            <w:tcW w:w="1187" w:type="pct"/>
            <w:vAlign w:val="center"/>
          </w:tcPr>
          <w:p>
            <w:pPr>
              <w:pStyle w:val="39"/>
              <w:rPr>
                <w:rFonts w:ascii="Times New Roman" w:hAnsi="Times New Roman"/>
                <w:lang w:val="zh-CN"/>
              </w:rPr>
            </w:pPr>
            <w:r>
              <w:rPr>
                <w:rFonts w:ascii="Times New Roman" w:hAnsi="Times New Roman"/>
                <w:sz w:val="22"/>
                <w:szCs w:val="22"/>
              </w:rPr>
              <w:t>坑塘水面</w:t>
            </w:r>
          </w:p>
        </w:tc>
        <w:tc>
          <w:tcPr>
            <w:tcW w:w="1119" w:type="pct"/>
            <w:vAlign w:val="center"/>
          </w:tcPr>
          <w:p>
            <w:pPr>
              <w:pStyle w:val="39"/>
              <w:rPr>
                <w:rFonts w:ascii="Times New Roman" w:hAnsi="Times New Roman"/>
              </w:rPr>
            </w:pPr>
            <w:r>
              <w:rPr>
                <w:rFonts w:ascii="Times New Roman" w:hAnsi="Times New Roman"/>
                <w:sz w:val="22"/>
                <w:szCs w:val="22"/>
              </w:rPr>
              <w:t>3.40</w:t>
            </w:r>
          </w:p>
        </w:tc>
        <w:tc>
          <w:tcPr>
            <w:tcW w:w="1059" w:type="pct"/>
            <w:vAlign w:val="center"/>
          </w:tcPr>
          <w:p>
            <w:pPr>
              <w:pStyle w:val="39"/>
              <w:rPr>
                <w:rFonts w:ascii="Times New Roman" w:hAnsi="Times New Roman"/>
              </w:rPr>
            </w:pPr>
            <w:r>
              <w:rPr>
                <w:rFonts w:ascii="Times New Roman" w:hAnsi="Times New Roman"/>
              </w:rPr>
              <w:t>0.37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Align w:val="center"/>
          </w:tcPr>
          <w:p>
            <w:pPr>
              <w:pStyle w:val="39"/>
              <w:rPr>
                <w:rFonts w:ascii="Times New Roman" w:hAnsi="Times New Roman"/>
                <w:lang w:val="zh-CN"/>
              </w:rPr>
            </w:pPr>
            <w:r>
              <w:rPr>
                <w:rFonts w:ascii="Times New Roman" w:hAnsi="Times New Roman"/>
                <w:lang w:val="zh-CN"/>
              </w:rPr>
              <w:t>13</w:t>
            </w:r>
          </w:p>
        </w:tc>
        <w:tc>
          <w:tcPr>
            <w:tcW w:w="1187" w:type="pct"/>
            <w:vAlign w:val="center"/>
          </w:tcPr>
          <w:p>
            <w:pPr>
              <w:pStyle w:val="39"/>
              <w:rPr>
                <w:rFonts w:ascii="Times New Roman" w:hAnsi="Times New Roman"/>
                <w:sz w:val="22"/>
                <w:szCs w:val="22"/>
              </w:rPr>
            </w:pPr>
            <w:r>
              <w:rPr>
                <w:rFonts w:ascii="Times New Roman" w:hAnsi="Times New Roman"/>
                <w:sz w:val="22"/>
                <w:szCs w:val="22"/>
              </w:rPr>
              <w:t>/</w:t>
            </w:r>
          </w:p>
        </w:tc>
        <w:tc>
          <w:tcPr>
            <w:tcW w:w="1187" w:type="pct"/>
            <w:vAlign w:val="center"/>
          </w:tcPr>
          <w:p>
            <w:pPr>
              <w:pStyle w:val="39"/>
              <w:rPr>
                <w:rFonts w:ascii="Times New Roman" w:hAnsi="Times New Roman"/>
                <w:lang w:val="zh-CN"/>
              </w:rPr>
            </w:pPr>
            <w:r>
              <w:rPr>
                <w:rFonts w:ascii="Times New Roman" w:hAnsi="Times New Roman"/>
                <w:sz w:val="22"/>
                <w:szCs w:val="22"/>
              </w:rPr>
              <w:t>合计</w:t>
            </w:r>
          </w:p>
        </w:tc>
        <w:tc>
          <w:tcPr>
            <w:tcW w:w="1119" w:type="pct"/>
            <w:vAlign w:val="center"/>
          </w:tcPr>
          <w:p>
            <w:pPr>
              <w:pStyle w:val="39"/>
              <w:rPr>
                <w:rFonts w:ascii="Times New Roman" w:hAnsi="Times New Roman"/>
              </w:rPr>
            </w:pPr>
            <w:r>
              <w:rPr>
                <w:rFonts w:ascii="Times New Roman" w:hAnsi="Times New Roman"/>
                <w:sz w:val="22"/>
                <w:szCs w:val="22"/>
              </w:rPr>
              <w:t>929.10</w:t>
            </w:r>
          </w:p>
        </w:tc>
        <w:tc>
          <w:tcPr>
            <w:tcW w:w="1059" w:type="pct"/>
            <w:vAlign w:val="center"/>
          </w:tcPr>
          <w:p>
            <w:pPr>
              <w:pStyle w:val="39"/>
              <w:rPr>
                <w:rFonts w:ascii="Times New Roman" w:hAnsi="Times New Roman"/>
              </w:rPr>
            </w:pPr>
            <w:r>
              <w:rPr>
                <w:rFonts w:ascii="Times New Roman" w:hAnsi="Times New Roman"/>
              </w:rPr>
              <w:t>100.00</w:t>
            </w:r>
          </w:p>
        </w:tc>
      </w:tr>
    </w:tbl>
    <w:p>
      <w:pPr>
        <w:ind w:firstLine="0" w:firstLineChars="0"/>
        <w:rPr>
          <w:rFonts w:ascii="Times New Roman" w:hAnsi="Times New Roman"/>
        </w:rPr>
      </w:pPr>
    </w:p>
    <w:p>
      <w:pPr>
        <w:ind w:firstLine="0" w:firstLineChars="0"/>
        <w:jc w:val="center"/>
        <w:rPr>
          <w:rFonts w:ascii="Times New Roman" w:hAnsi="Times New Roman"/>
        </w:rPr>
      </w:pPr>
      <w:r>
        <w:rPr>
          <w:rFonts w:ascii="Times New Roman" w:hAnsi="Times New Roman"/>
        </w:rPr>
        <w:drawing>
          <wp:inline distT="0" distB="0" distL="0" distR="0">
            <wp:extent cx="4800600" cy="2853690"/>
            <wp:effectExtent l="0" t="0" r="19050" b="22860"/>
            <wp:docPr id="12" name="图表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pPr>
        <w:pStyle w:val="37"/>
        <w:ind w:firstLine="480"/>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t xml:space="preserve">  生态评价范围土地利用类型分布</w:t>
      </w:r>
    </w:p>
    <w:p>
      <w:pPr>
        <w:pStyle w:val="4"/>
        <w:rPr>
          <w:rFonts w:ascii="Times New Roman" w:hAnsi="Times New Roman" w:cs="Times New Roman"/>
        </w:rPr>
      </w:pPr>
      <w:r>
        <w:rPr>
          <w:rFonts w:ascii="Times New Roman" w:hAnsi="Times New Roman" w:cs="Times New Roman"/>
        </w:rPr>
        <w:t>植被现状调查</w:t>
      </w:r>
    </w:p>
    <w:p>
      <w:pPr>
        <w:pStyle w:val="5"/>
        <w:rPr>
          <w:rFonts w:ascii="Times New Roman" w:hAnsi="Times New Roman"/>
        </w:rPr>
      </w:pPr>
      <w:r>
        <w:rPr>
          <w:rFonts w:ascii="Times New Roman" w:hAnsi="Times New Roman"/>
        </w:rPr>
        <w:t>陆生维管束植物现状</w:t>
      </w:r>
    </w:p>
    <w:p>
      <w:pPr>
        <w:ind w:firstLine="480"/>
        <w:rPr>
          <w:rFonts w:ascii="Times New Roman" w:hAnsi="Times New Roman"/>
        </w:rPr>
      </w:pPr>
      <w:r>
        <w:rPr>
          <w:rFonts w:ascii="Times New Roman" w:hAnsi="Times New Roman"/>
        </w:rPr>
        <w:t>（1）植物物种组成</w:t>
      </w:r>
    </w:p>
    <w:p>
      <w:pPr>
        <w:ind w:firstLine="480"/>
        <w:rPr>
          <w:rFonts w:ascii="Times New Roman" w:hAnsi="Times New Roman"/>
        </w:rPr>
      </w:pPr>
      <w:r>
        <w:rPr>
          <w:rFonts w:ascii="Times New Roman" w:hAnsi="Times New Roman"/>
        </w:rPr>
        <w:t>经过对评价范围内的实地调查和查阅文献资料，整理出项目区域维管束植物名录(含部分常见栽培作物)，见附表3。统计结果显示，评价区有维管束植物113科284属361种，其中蕨类植物16科25属37种，裸子植物5科9属10种，被子植物92科250属314种。</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23</w:t>
      </w:r>
      <w:r>
        <w:rPr>
          <w:rFonts w:ascii="Times New Roman" w:hAnsi="Times New Roman" w:cs="Times New Roman"/>
        </w:rPr>
        <w:fldChar w:fldCharType="end"/>
      </w:r>
      <w:r>
        <w:rPr>
          <w:rFonts w:ascii="Times New Roman" w:hAnsi="Times New Roman" w:cs="Times New Roman"/>
        </w:rPr>
        <w:t>评价区维管束植物物种组成统计表</w:t>
      </w:r>
    </w:p>
    <w:tbl>
      <w:tblPr>
        <w:tblStyle w:val="28"/>
        <w:tblW w:w="872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75"/>
        <w:gridCol w:w="1134"/>
        <w:gridCol w:w="696"/>
        <w:gridCol w:w="1620"/>
        <w:gridCol w:w="720"/>
        <w:gridCol w:w="1620"/>
        <w:gridCol w:w="720"/>
        <w:gridCol w:w="154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809" w:type="dxa"/>
            <w:gridSpan w:val="2"/>
            <w:noWrap/>
          </w:tcPr>
          <w:p>
            <w:pPr>
              <w:spacing w:before="100" w:beforeAutospacing="1" w:after="100" w:afterAutospacing="1"/>
              <w:ind w:firstLine="0" w:firstLineChars="0"/>
              <w:jc w:val="center"/>
              <w:rPr>
                <w:rFonts w:ascii="Times New Roman" w:hAnsi="Times New Roman"/>
                <w:bCs/>
                <w:szCs w:val="21"/>
              </w:rPr>
            </w:pPr>
            <w:r>
              <w:rPr>
                <w:rFonts w:ascii="Times New Roman" w:hAnsi="Times New Roman"/>
                <w:bCs/>
                <w:sz w:val="21"/>
                <w:szCs w:val="21"/>
              </w:rPr>
              <w:t>门 类</w:t>
            </w:r>
          </w:p>
        </w:tc>
        <w:tc>
          <w:tcPr>
            <w:tcW w:w="696" w:type="dxa"/>
            <w:noWrap/>
          </w:tcPr>
          <w:p>
            <w:pPr>
              <w:spacing w:before="100" w:beforeAutospacing="1" w:after="100" w:afterAutospacing="1"/>
              <w:ind w:firstLine="0" w:firstLineChars="0"/>
              <w:jc w:val="center"/>
              <w:rPr>
                <w:rFonts w:ascii="Times New Roman" w:hAnsi="Times New Roman"/>
                <w:bCs/>
                <w:szCs w:val="21"/>
              </w:rPr>
            </w:pPr>
            <w:r>
              <w:rPr>
                <w:rFonts w:ascii="Times New Roman" w:hAnsi="Times New Roman"/>
                <w:bCs/>
                <w:sz w:val="21"/>
                <w:szCs w:val="21"/>
              </w:rPr>
              <w:t>科数</w:t>
            </w:r>
          </w:p>
        </w:tc>
        <w:tc>
          <w:tcPr>
            <w:tcW w:w="1620" w:type="dxa"/>
            <w:noWrap/>
          </w:tcPr>
          <w:p>
            <w:pPr>
              <w:spacing w:before="100" w:beforeAutospacing="1" w:after="100" w:afterAutospacing="1"/>
              <w:ind w:firstLine="0" w:firstLineChars="0"/>
              <w:jc w:val="center"/>
              <w:rPr>
                <w:rFonts w:ascii="Times New Roman" w:hAnsi="Times New Roman"/>
                <w:bCs/>
                <w:szCs w:val="21"/>
              </w:rPr>
            </w:pPr>
            <w:r>
              <w:rPr>
                <w:rFonts w:ascii="Times New Roman" w:hAnsi="Times New Roman"/>
                <w:bCs/>
                <w:sz w:val="21"/>
                <w:szCs w:val="21"/>
              </w:rPr>
              <w:t>所占比例(%)</w:t>
            </w:r>
          </w:p>
        </w:tc>
        <w:tc>
          <w:tcPr>
            <w:tcW w:w="720" w:type="dxa"/>
            <w:noWrap/>
          </w:tcPr>
          <w:p>
            <w:pPr>
              <w:spacing w:before="100" w:beforeAutospacing="1" w:after="100" w:afterAutospacing="1"/>
              <w:ind w:firstLine="0" w:firstLineChars="0"/>
              <w:jc w:val="center"/>
              <w:rPr>
                <w:rFonts w:ascii="Times New Roman" w:hAnsi="Times New Roman"/>
                <w:bCs/>
                <w:szCs w:val="21"/>
              </w:rPr>
            </w:pPr>
            <w:r>
              <w:rPr>
                <w:rFonts w:ascii="Times New Roman" w:hAnsi="Times New Roman"/>
                <w:bCs/>
                <w:sz w:val="21"/>
                <w:szCs w:val="21"/>
              </w:rPr>
              <w:t>属数</w:t>
            </w:r>
          </w:p>
        </w:tc>
        <w:tc>
          <w:tcPr>
            <w:tcW w:w="1620" w:type="dxa"/>
            <w:noWrap/>
          </w:tcPr>
          <w:p>
            <w:pPr>
              <w:spacing w:before="100" w:beforeAutospacing="1" w:after="100" w:afterAutospacing="1"/>
              <w:ind w:firstLine="0" w:firstLineChars="0"/>
              <w:jc w:val="center"/>
              <w:rPr>
                <w:rFonts w:ascii="Times New Roman" w:hAnsi="Times New Roman"/>
                <w:bCs/>
                <w:szCs w:val="21"/>
              </w:rPr>
            </w:pPr>
            <w:r>
              <w:rPr>
                <w:rFonts w:ascii="Times New Roman" w:hAnsi="Times New Roman"/>
                <w:bCs/>
                <w:sz w:val="21"/>
                <w:szCs w:val="21"/>
              </w:rPr>
              <w:t>所占比例(%)</w:t>
            </w:r>
          </w:p>
        </w:tc>
        <w:tc>
          <w:tcPr>
            <w:tcW w:w="720" w:type="dxa"/>
            <w:noWrap/>
          </w:tcPr>
          <w:p>
            <w:pPr>
              <w:spacing w:before="100" w:beforeAutospacing="1" w:after="100" w:afterAutospacing="1"/>
              <w:ind w:firstLine="0" w:firstLineChars="0"/>
              <w:jc w:val="center"/>
              <w:rPr>
                <w:rFonts w:ascii="Times New Roman" w:hAnsi="Times New Roman"/>
                <w:bCs/>
                <w:szCs w:val="21"/>
              </w:rPr>
            </w:pPr>
            <w:r>
              <w:rPr>
                <w:rFonts w:ascii="Times New Roman" w:hAnsi="Times New Roman"/>
                <w:bCs/>
                <w:sz w:val="21"/>
                <w:szCs w:val="21"/>
              </w:rPr>
              <w:t>种数</w:t>
            </w:r>
          </w:p>
        </w:tc>
        <w:tc>
          <w:tcPr>
            <w:tcW w:w="1544" w:type="dxa"/>
            <w:noWrap/>
          </w:tcPr>
          <w:p>
            <w:pPr>
              <w:spacing w:before="100" w:beforeAutospacing="1" w:after="100" w:afterAutospacing="1"/>
              <w:ind w:firstLine="0" w:firstLineChars="0"/>
              <w:jc w:val="center"/>
              <w:rPr>
                <w:rFonts w:ascii="Times New Roman" w:hAnsi="Times New Roman"/>
                <w:bCs/>
                <w:szCs w:val="21"/>
              </w:rPr>
            </w:pPr>
            <w:r>
              <w:rPr>
                <w:rFonts w:ascii="Times New Roman" w:hAnsi="Times New Roman"/>
                <w:bCs/>
                <w:sz w:val="21"/>
                <w:szCs w:val="21"/>
              </w:rPr>
              <w:t>所占比例(%)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8" w:hRule="atLeast"/>
          <w:jc w:val="center"/>
        </w:trPr>
        <w:tc>
          <w:tcPr>
            <w:tcW w:w="1809" w:type="dxa"/>
            <w:gridSpan w:val="2"/>
            <w:noWrap/>
          </w:tcPr>
          <w:p>
            <w:pPr>
              <w:spacing w:before="100" w:beforeAutospacing="1" w:after="100" w:afterAutospacing="1"/>
              <w:ind w:firstLine="0" w:firstLineChars="0"/>
              <w:rPr>
                <w:rFonts w:ascii="Times New Roman" w:hAnsi="Times New Roman"/>
                <w:szCs w:val="21"/>
              </w:rPr>
            </w:pPr>
            <w:r>
              <w:rPr>
                <w:rFonts w:ascii="Times New Roman" w:hAnsi="Times New Roman"/>
                <w:sz w:val="21"/>
                <w:szCs w:val="21"/>
              </w:rPr>
              <w:t>蕨类植物</w:t>
            </w:r>
          </w:p>
        </w:tc>
        <w:tc>
          <w:tcPr>
            <w:tcW w:w="696"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16</w:t>
            </w:r>
          </w:p>
        </w:tc>
        <w:tc>
          <w:tcPr>
            <w:tcW w:w="1620"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14.16</w:t>
            </w:r>
          </w:p>
        </w:tc>
        <w:tc>
          <w:tcPr>
            <w:tcW w:w="720"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25</w:t>
            </w:r>
          </w:p>
        </w:tc>
        <w:tc>
          <w:tcPr>
            <w:tcW w:w="1620"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8.80</w:t>
            </w:r>
          </w:p>
        </w:tc>
        <w:tc>
          <w:tcPr>
            <w:tcW w:w="720"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37</w:t>
            </w:r>
          </w:p>
        </w:tc>
        <w:tc>
          <w:tcPr>
            <w:tcW w:w="1544"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10.25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75" w:type="dxa"/>
            <w:vMerge w:val="restart"/>
            <w:noWrap/>
            <w:vAlign w:val="center"/>
          </w:tcPr>
          <w:p>
            <w:pPr>
              <w:spacing w:before="100" w:beforeAutospacing="1" w:after="100" w:afterAutospacing="1"/>
              <w:ind w:firstLine="0" w:firstLineChars="0"/>
              <w:rPr>
                <w:rFonts w:ascii="Times New Roman" w:hAnsi="Times New Roman"/>
                <w:szCs w:val="21"/>
              </w:rPr>
            </w:pPr>
            <w:r>
              <w:rPr>
                <w:rFonts w:ascii="Times New Roman" w:hAnsi="Times New Roman"/>
                <w:sz w:val="21"/>
                <w:szCs w:val="21"/>
              </w:rPr>
              <w:t>种子植物</w:t>
            </w:r>
          </w:p>
        </w:tc>
        <w:tc>
          <w:tcPr>
            <w:tcW w:w="1134" w:type="dxa"/>
            <w:noWrap/>
          </w:tcPr>
          <w:p>
            <w:pPr>
              <w:spacing w:before="100" w:beforeAutospacing="1" w:after="100" w:afterAutospacing="1"/>
              <w:ind w:firstLine="0" w:firstLineChars="0"/>
              <w:rPr>
                <w:rFonts w:ascii="Times New Roman" w:hAnsi="Times New Roman"/>
                <w:szCs w:val="21"/>
              </w:rPr>
            </w:pPr>
            <w:r>
              <w:rPr>
                <w:rFonts w:ascii="Times New Roman" w:hAnsi="Times New Roman"/>
                <w:sz w:val="21"/>
                <w:szCs w:val="21"/>
              </w:rPr>
              <w:t>裸子植物</w:t>
            </w:r>
          </w:p>
        </w:tc>
        <w:tc>
          <w:tcPr>
            <w:tcW w:w="696"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5</w:t>
            </w:r>
          </w:p>
        </w:tc>
        <w:tc>
          <w:tcPr>
            <w:tcW w:w="1620"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4.42</w:t>
            </w:r>
          </w:p>
        </w:tc>
        <w:tc>
          <w:tcPr>
            <w:tcW w:w="720"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9</w:t>
            </w:r>
          </w:p>
        </w:tc>
        <w:tc>
          <w:tcPr>
            <w:tcW w:w="1620"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3.17</w:t>
            </w:r>
          </w:p>
        </w:tc>
        <w:tc>
          <w:tcPr>
            <w:tcW w:w="720"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10</w:t>
            </w:r>
          </w:p>
        </w:tc>
        <w:tc>
          <w:tcPr>
            <w:tcW w:w="1544"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2.77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75" w:type="dxa"/>
            <w:vMerge w:val="continue"/>
          </w:tcPr>
          <w:p>
            <w:pPr>
              <w:spacing w:before="100" w:beforeAutospacing="1" w:after="100" w:afterAutospacing="1"/>
              <w:ind w:firstLine="0" w:firstLineChars="0"/>
              <w:jc w:val="center"/>
              <w:rPr>
                <w:rFonts w:ascii="Times New Roman" w:hAnsi="Times New Roman"/>
                <w:szCs w:val="21"/>
              </w:rPr>
            </w:pPr>
          </w:p>
        </w:tc>
        <w:tc>
          <w:tcPr>
            <w:tcW w:w="1134" w:type="dxa"/>
            <w:noWrap/>
          </w:tcPr>
          <w:p>
            <w:pPr>
              <w:spacing w:before="100" w:beforeAutospacing="1" w:after="100" w:afterAutospacing="1"/>
              <w:ind w:firstLine="0" w:firstLineChars="0"/>
              <w:rPr>
                <w:rFonts w:ascii="Times New Roman" w:hAnsi="Times New Roman"/>
                <w:szCs w:val="21"/>
              </w:rPr>
            </w:pPr>
            <w:r>
              <w:rPr>
                <w:rFonts w:ascii="Times New Roman" w:hAnsi="Times New Roman"/>
                <w:sz w:val="21"/>
                <w:szCs w:val="21"/>
              </w:rPr>
              <w:t>被子植物</w:t>
            </w:r>
          </w:p>
        </w:tc>
        <w:tc>
          <w:tcPr>
            <w:tcW w:w="696"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92</w:t>
            </w:r>
          </w:p>
        </w:tc>
        <w:tc>
          <w:tcPr>
            <w:tcW w:w="1620"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81.42</w:t>
            </w:r>
          </w:p>
        </w:tc>
        <w:tc>
          <w:tcPr>
            <w:tcW w:w="720"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250</w:t>
            </w:r>
          </w:p>
        </w:tc>
        <w:tc>
          <w:tcPr>
            <w:tcW w:w="1620"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88.03</w:t>
            </w:r>
          </w:p>
        </w:tc>
        <w:tc>
          <w:tcPr>
            <w:tcW w:w="720"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314</w:t>
            </w:r>
          </w:p>
        </w:tc>
        <w:tc>
          <w:tcPr>
            <w:tcW w:w="1544" w:type="dxa"/>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86.98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809" w:type="dxa"/>
            <w:gridSpan w:val="2"/>
            <w:noWrap/>
          </w:tcPr>
          <w:p>
            <w:pPr>
              <w:spacing w:before="100" w:beforeAutospacing="1" w:after="100" w:afterAutospacing="1"/>
              <w:ind w:firstLine="0" w:firstLineChars="0"/>
              <w:jc w:val="center"/>
              <w:rPr>
                <w:rFonts w:ascii="Times New Roman" w:hAnsi="Times New Roman"/>
                <w:szCs w:val="21"/>
              </w:rPr>
            </w:pPr>
            <w:r>
              <w:rPr>
                <w:rFonts w:ascii="Times New Roman" w:hAnsi="Times New Roman"/>
                <w:sz w:val="21"/>
                <w:szCs w:val="21"/>
              </w:rPr>
              <w:t>合 计</w:t>
            </w:r>
          </w:p>
        </w:tc>
        <w:tc>
          <w:tcPr>
            <w:tcW w:w="696" w:type="dxa"/>
            <w:noWrap/>
          </w:tcPr>
          <w:p>
            <w:pPr>
              <w:spacing w:before="100" w:beforeAutospacing="1" w:after="100" w:afterAutospacing="1"/>
              <w:ind w:firstLine="0" w:firstLineChars="0"/>
              <w:jc w:val="center"/>
              <w:rPr>
                <w:rFonts w:ascii="Times New Roman" w:hAnsi="Times New Roman"/>
                <w:bCs/>
                <w:szCs w:val="21"/>
              </w:rPr>
            </w:pPr>
            <w:r>
              <w:rPr>
                <w:rFonts w:ascii="Times New Roman" w:hAnsi="Times New Roman"/>
                <w:bCs/>
                <w:sz w:val="21"/>
                <w:szCs w:val="21"/>
              </w:rPr>
              <w:t>113</w:t>
            </w:r>
          </w:p>
        </w:tc>
        <w:tc>
          <w:tcPr>
            <w:tcW w:w="1620" w:type="dxa"/>
            <w:noWrap/>
          </w:tcPr>
          <w:p>
            <w:pPr>
              <w:spacing w:before="100" w:beforeAutospacing="1" w:after="100" w:afterAutospacing="1"/>
              <w:ind w:firstLine="0" w:firstLineChars="0"/>
              <w:jc w:val="center"/>
              <w:rPr>
                <w:rFonts w:ascii="Times New Roman" w:hAnsi="Times New Roman"/>
                <w:bCs/>
                <w:szCs w:val="21"/>
              </w:rPr>
            </w:pPr>
            <w:r>
              <w:rPr>
                <w:rFonts w:ascii="Times New Roman" w:hAnsi="Times New Roman"/>
                <w:bCs/>
                <w:sz w:val="21"/>
                <w:szCs w:val="21"/>
              </w:rPr>
              <w:t>100.00</w:t>
            </w:r>
          </w:p>
        </w:tc>
        <w:tc>
          <w:tcPr>
            <w:tcW w:w="720" w:type="dxa"/>
            <w:noWrap/>
          </w:tcPr>
          <w:p>
            <w:pPr>
              <w:spacing w:before="100" w:beforeAutospacing="1" w:after="100" w:afterAutospacing="1"/>
              <w:ind w:firstLine="0" w:firstLineChars="0"/>
              <w:jc w:val="center"/>
              <w:rPr>
                <w:rFonts w:ascii="Times New Roman" w:hAnsi="Times New Roman"/>
                <w:bCs/>
                <w:szCs w:val="21"/>
              </w:rPr>
            </w:pPr>
            <w:r>
              <w:rPr>
                <w:rFonts w:ascii="Times New Roman" w:hAnsi="Times New Roman"/>
                <w:bCs/>
                <w:sz w:val="21"/>
                <w:szCs w:val="21"/>
              </w:rPr>
              <w:t>284</w:t>
            </w:r>
          </w:p>
        </w:tc>
        <w:tc>
          <w:tcPr>
            <w:tcW w:w="1620" w:type="dxa"/>
            <w:noWrap/>
          </w:tcPr>
          <w:p>
            <w:pPr>
              <w:spacing w:before="100" w:beforeAutospacing="1" w:after="100" w:afterAutospacing="1"/>
              <w:ind w:firstLine="0" w:firstLineChars="0"/>
              <w:jc w:val="center"/>
              <w:rPr>
                <w:rFonts w:ascii="Times New Roman" w:hAnsi="Times New Roman"/>
                <w:bCs/>
                <w:szCs w:val="21"/>
              </w:rPr>
            </w:pPr>
            <w:r>
              <w:rPr>
                <w:rFonts w:ascii="Times New Roman" w:hAnsi="Times New Roman"/>
                <w:bCs/>
                <w:sz w:val="21"/>
                <w:szCs w:val="21"/>
              </w:rPr>
              <w:t>100.00</w:t>
            </w:r>
          </w:p>
        </w:tc>
        <w:tc>
          <w:tcPr>
            <w:tcW w:w="720" w:type="dxa"/>
            <w:noWrap/>
          </w:tcPr>
          <w:p>
            <w:pPr>
              <w:spacing w:before="100" w:beforeAutospacing="1" w:after="100" w:afterAutospacing="1"/>
              <w:ind w:firstLine="0" w:firstLineChars="0"/>
              <w:jc w:val="center"/>
              <w:rPr>
                <w:rFonts w:ascii="Times New Roman" w:hAnsi="Times New Roman"/>
                <w:bCs/>
                <w:szCs w:val="21"/>
              </w:rPr>
            </w:pPr>
            <w:r>
              <w:rPr>
                <w:rFonts w:ascii="Times New Roman" w:hAnsi="Times New Roman"/>
                <w:bCs/>
                <w:sz w:val="21"/>
                <w:szCs w:val="21"/>
              </w:rPr>
              <w:t>361</w:t>
            </w:r>
          </w:p>
        </w:tc>
        <w:tc>
          <w:tcPr>
            <w:tcW w:w="1544" w:type="dxa"/>
            <w:noWrap/>
          </w:tcPr>
          <w:p>
            <w:pPr>
              <w:spacing w:before="100" w:beforeAutospacing="1" w:after="100" w:afterAutospacing="1"/>
              <w:ind w:firstLine="0" w:firstLineChars="0"/>
              <w:jc w:val="center"/>
              <w:rPr>
                <w:rFonts w:ascii="Times New Roman" w:hAnsi="Times New Roman"/>
                <w:bCs/>
                <w:szCs w:val="21"/>
              </w:rPr>
            </w:pPr>
            <w:r>
              <w:rPr>
                <w:rFonts w:ascii="Times New Roman" w:hAnsi="Times New Roman"/>
                <w:bCs/>
                <w:sz w:val="21"/>
                <w:szCs w:val="21"/>
              </w:rPr>
              <w:t>100.00</w:t>
            </w:r>
          </w:p>
        </w:tc>
      </w:tr>
    </w:tbl>
    <w:p>
      <w:pPr>
        <w:ind w:firstLine="480"/>
        <w:rPr>
          <w:rFonts w:ascii="Times New Roman" w:hAnsi="Times New Roman"/>
        </w:rPr>
      </w:pPr>
      <w:r>
        <w:rPr>
          <w:rFonts w:ascii="Times New Roman" w:hAnsi="Times New Roman"/>
        </w:rPr>
        <w:t>1）物种组成</w:t>
      </w:r>
    </w:p>
    <w:p>
      <w:pPr>
        <w:ind w:firstLine="480"/>
        <w:rPr>
          <w:rFonts w:ascii="Times New Roman" w:hAnsi="Times New Roman"/>
        </w:rPr>
      </w:pPr>
      <w:r>
        <w:rPr>
          <w:rFonts w:ascii="Times New Roman" w:hAnsi="Times New Roman"/>
        </w:rPr>
        <w:t>评价区內有蕨类植物16科25属37种，主要分布于林下、岩石及河谷湿润处。评价区内蕨类植物物种数量较少，鳞毛蕨科和水龙骨科所含的物种数最多，为6-7种。评价区常见的物种有井栏边草(</w:t>
      </w:r>
      <w:r>
        <w:rPr>
          <w:rFonts w:ascii="Times New Roman" w:hAnsi="Times New Roman"/>
          <w:i/>
        </w:rPr>
        <w:t>Pteris multifida</w:t>
      </w:r>
      <w:r>
        <w:rPr>
          <w:rFonts w:ascii="Times New Roman" w:hAnsi="Times New Roman"/>
        </w:rPr>
        <w:t>)、蜈蚣凤尾蕨(</w:t>
      </w:r>
      <w:r>
        <w:rPr>
          <w:rFonts w:ascii="Times New Roman" w:hAnsi="Times New Roman"/>
          <w:i/>
        </w:rPr>
        <w:t>Pteris vittata</w:t>
      </w:r>
      <w:r>
        <w:rPr>
          <w:rFonts w:ascii="Times New Roman" w:hAnsi="Times New Roman"/>
        </w:rPr>
        <w:t>)、蕨(</w:t>
      </w:r>
      <w:r>
        <w:rPr>
          <w:rFonts w:ascii="Times New Roman" w:hAnsi="Times New Roman"/>
          <w:i/>
        </w:rPr>
        <w:t>Pteridium esculentum</w:t>
      </w:r>
      <w:r>
        <w:rPr>
          <w:rFonts w:ascii="Times New Roman" w:hAnsi="Times New Roman"/>
        </w:rPr>
        <w:t>)、海金沙(</w:t>
      </w:r>
      <w:r>
        <w:rPr>
          <w:rFonts w:ascii="Times New Roman" w:hAnsi="Times New Roman"/>
          <w:i/>
        </w:rPr>
        <w:t>Lygodium japonicum</w:t>
      </w:r>
      <w:r>
        <w:rPr>
          <w:rFonts w:ascii="Times New Roman" w:hAnsi="Times New Roman"/>
        </w:rPr>
        <w:t>)、里白（</w:t>
      </w:r>
      <w:r>
        <w:rPr>
          <w:rFonts w:ascii="Times New Roman" w:hAnsi="Times New Roman"/>
          <w:i/>
        </w:rPr>
        <w:t>Hicriopteris glauca</w:t>
      </w:r>
      <w:r>
        <w:rPr>
          <w:rFonts w:ascii="Times New Roman" w:hAnsi="Times New Roman"/>
        </w:rPr>
        <w:t>）、铁芒萁（</w:t>
      </w:r>
      <w:r>
        <w:rPr>
          <w:rFonts w:ascii="Times New Roman" w:hAnsi="Times New Roman"/>
          <w:i/>
        </w:rPr>
        <w:t>Dicranopteris linearis</w:t>
      </w:r>
      <w:r>
        <w:rPr>
          <w:rFonts w:ascii="Times New Roman" w:hAnsi="Times New Roman"/>
        </w:rPr>
        <w:t>）、铁线蕨(</w:t>
      </w:r>
      <w:r>
        <w:rPr>
          <w:rFonts w:ascii="Times New Roman" w:hAnsi="Times New Roman"/>
          <w:i/>
        </w:rPr>
        <w:t>Adiantum capillus-veneris</w:t>
      </w:r>
      <w:r>
        <w:rPr>
          <w:rFonts w:ascii="Times New Roman" w:hAnsi="Times New Roman"/>
        </w:rPr>
        <w:t>)、槲蕨（</w:t>
      </w:r>
      <w:r>
        <w:rPr>
          <w:rFonts w:ascii="Times New Roman" w:hAnsi="Times New Roman"/>
          <w:i/>
        </w:rPr>
        <w:t>Drynaria roosii</w:t>
      </w:r>
      <w:r>
        <w:rPr>
          <w:rFonts w:ascii="Times New Roman" w:hAnsi="Times New Roman"/>
        </w:rPr>
        <w:t>）等。</w:t>
      </w:r>
    </w:p>
    <w:p>
      <w:pPr>
        <w:ind w:firstLine="480"/>
        <w:rPr>
          <w:rFonts w:ascii="Times New Roman" w:hAnsi="Times New Roman"/>
        </w:rPr>
      </w:pPr>
      <w:r>
        <w:rPr>
          <w:rFonts w:ascii="Times New Roman" w:hAnsi="Times New Roman"/>
        </w:rPr>
        <w:t>评价区裸子植物有5科9属10种，主要是银杏(</w:t>
      </w:r>
      <w:r>
        <w:rPr>
          <w:rFonts w:ascii="Times New Roman" w:hAnsi="Times New Roman"/>
          <w:i/>
        </w:rPr>
        <w:t>Ginkgo biloba</w:t>
      </w:r>
      <w:r>
        <w:rPr>
          <w:rFonts w:ascii="Times New Roman" w:hAnsi="Times New Roman"/>
        </w:rPr>
        <w:t>)、马尾松、华山松、柏木(</w:t>
      </w:r>
      <w:r>
        <w:rPr>
          <w:rFonts w:ascii="Times New Roman" w:hAnsi="Times New Roman"/>
          <w:i/>
        </w:rPr>
        <w:t>Cupressus funebris</w:t>
      </w:r>
      <w:r>
        <w:rPr>
          <w:rFonts w:ascii="Times New Roman" w:hAnsi="Times New Roman"/>
        </w:rPr>
        <w:t>)、杉木(</w:t>
      </w:r>
      <w:r>
        <w:rPr>
          <w:rFonts w:ascii="Times New Roman" w:hAnsi="Times New Roman"/>
          <w:i/>
        </w:rPr>
        <w:t>Cunninghamia canceolata</w:t>
      </w:r>
      <w:r>
        <w:rPr>
          <w:rFonts w:ascii="Times New Roman" w:hAnsi="Times New Roman"/>
        </w:rPr>
        <w:t>)、柳杉(</w:t>
      </w:r>
      <w:r>
        <w:rPr>
          <w:rFonts w:ascii="Times New Roman" w:hAnsi="Times New Roman"/>
          <w:i/>
        </w:rPr>
        <w:t>Cryptomeria fortunei</w:t>
      </w:r>
      <w:r>
        <w:rPr>
          <w:rFonts w:ascii="Times New Roman" w:hAnsi="Times New Roman"/>
        </w:rPr>
        <w:t>)、水杉（</w:t>
      </w:r>
      <w:r>
        <w:rPr>
          <w:rFonts w:ascii="Times New Roman" w:hAnsi="Times New Roman"/>
          <w:i/>
          <w:iCs/>
        </w:rPr>
        <w:t>Meyasequoia</w:t>
      </w:r>
      <w:r>
        <w:rPr>
          <w:rFonts w:ascii="Times New Roman" w:hAnsi="Times New Roman"/>
          <w:lang w:val="pt-BR"/>
        </w:rPr>
        <w:t xml:space="preserve"> </w:t>
      </w:r>
      <w:r>
        <w:rPr>
          <w:rFonts w:ascii="Times New Roman" w:hAnsi="Times New Roman"/>
          <w:i/>
          <w:iCs/>
        </w:rPr>
        <w:t>glyptostroboides</w:t>
      </w:r>
      <w:r>
        <w:rPr>
          <w:rFonts w:ascii="Times New Roman" w:hAnsi="Times New Roman"/>
        </w:rPr>
        <w:t>）等。评价区内的裸子植物除马尾松和华山松外，其它基本为人工种植的物种。区内马尾松分布最多，有人工种植的，也有天然遗留的。</w:t>
      </w:r>
    </w:p>
    <w:p>
      <w:pPr>
        <w:ind w:firstLine="480"/>
        <w:rPr>
          <w:rFonts w:ascii="Times New Roman" w:hAnsi="Times New Roman"/>
        </w:rPr>
      </w:pPr>
      <w:r>
        <w:rPr>
          <w:rFonts w:ascii="Times New Roman" w:hAnsi="Times New Roman" w:eastAsiaTheme="minorEastAsia"/>
        </w:rPr>
        <w:t>评价区内有被子植物92科250属314种。所含物种</w:t>
      </w:r>
      <w:r>
        <w:rPr>
          <w:rFonts w:ascii="Times New Roman" w:hAnsi="Times New Roman"/>
        </w:rPr>
        <w:t>数相对较多的有蔷薇科(Rosaceae)、蝶形花科(</w:t>
      </w:r>
      <w:r>
        <w:rPr>
          <w:rFonts w:ascii="Times New Roman" w:hAnsi="Times New Roman"/>
        </w:rPr>
        <w:fldChar w:fldCharType="begin"/>
      </w:r>
      <w:r>
        <w:rPr>
          <w:rFonts w:ascii="Times New Roman" w:hAnsi="Times New Roman"/>
        </w:rPr>
        <w:instrText xml:space="preserve">HYPERLINK "http://www.nature-museum.net/7259278.sp" \t "_blank"</w:instrText>
      </w:r>
      <w:r>
        <w:rPr>
          <w:rFonts w:ascii="Times New Roman" w:hAnsi="Times New Roman"/>
        </w:rPr>
        <w:fldChar w:fldCharType="separate"/>
      </w:r>
      <w:r>
        <w:rPr>
          <w:rFonts w:ascii="Times New Roman" w:hAnsi="Times New Roman"/>
        </w:rPr>
        <w:t>Papilionaceae</w:t>
      </w:r>
      <w:r>
        <w:rPr>
          <w:rFonts w:ascii="Times New Roman" w:hAnsi="Times New Roman"/>
        </w:rPr>
        <w:fldChar w:fldCharType="end"/>
      </w:r>
      <w:r>
        <w:rPr>
          <w:rFonts w:ascii="Times New Roman" w:hAnsi="Times New Roman"/>
        </w:rPr>
        <w:t>)、十字花科(</w:t>
      </w:r>
      <w:r>
        <w:fldChar w:fldCharType="begin"/>
      </w:r>
      <w:r>
        <w:instrText xml:space="preserve"> HYPERLINK "http://www.nature-museum.net/752.sp" \t "_blank" </w:instrText>
      </w:r>
      <w:r>
        <w:fldChar w:fldCharType="separate"/>
      </w:r>
      <w:r>
        <w:rPr>
          <w:rFonts w:ascii="Times New Roman" w:hAnsi="Times New Roman"/>
        </w:rPr>
        <w:t>Cruciferae)</w:t>
      </w:r>
      <w:r>
        <w:rPr>
          <w:rFonts w:ascii="Times New Roman" w:hAnsi="Times New Roman"/>
        </w:rPr>
        <w:fldChar w:fldCharType="end"/>
      </w:r>
      <w:r>
        <w:rPr>
          <w:rFonts w:ascii="Times New Roman" w:hAnsi="Times New Roman"/>
        </w:rPr>
        <w:t>、菊科(Asteraceae)和禾本科(Poaceae)，这些科分布的物种数量均在10种以上且在评价区广泛分布。评价区常见乔木树种有樟(</w:t>
      </w:r>
      <w:r>
        <w:rPr>
          <w:rFonts w:ascii="Times New Roman" w:hAnsi="Times New Roman"/>
          <w:i/>
        </w:rPr>
        <w:t>Cinnamomum camphora</w:t>
      </w:r>
      <w:r>
        <w:rPr>
          <w:rFonts w:ascii="Times New Roman" w:hAnsi="Times New Roman"/>
        </w:rPr>
        <w:t>)、喜树(</w:t>
      </w:r>
      <w:r>
        <w:rPr>
          <w:rFonts w:ascii="Times New Roman" w:hAnsi="Times New Roman"/>
          <w:i/>
        </w:rPr>
        <w:t>Camptotheca acuminata</w:t>
      </w:r>
      <w:r>
        <w:rPr>
          <w:rFonts w:ascii="Times New Roman" w:hAnsi="Times New Roman"/>
        </w:rPr>
        <w:t>)、桉(</w:t>
      </w:r>
      <w:r>
        <w:rPr>
          <w:rFonts w:ascii="Times New Roman" w:hAnsi="Times New Roman"/>
          <w:i/>
        </w:rPr>
        <w:t>Eucalyptus robusta</w:t>
      </w:r>
      <w:r>
        <w:rPr>
          <w:rFonts w:ascii="Times New Roman" w:hAnsi="Times New Roman"/>
        </w:rPr>
        <w:t>)、枫杨</w:t>
      </w:r>
      <w:r>
        <w:rPr>
          <w:rFonts w:ascii="Times New Roman" w:hAnsi="Times New Roman"/>
          <w:i/>
        </w:rPr>
        <w:t>Pterocarya stenoptera</w:t>
      </w:r>
      <w:r>
        <w:rPr>
          <w:rFonts w:ascii="Times New Roman" w:hAnsi="Times New Roman"/>
        </w:rPr>
        <w:t>、刺桐(</w:t>
      </w:r>
      <w:r>
        <w:rPr>
          <w:rFonts w:ascii="Times New Roman" w:hAnsi="Times New Roman"/>
          <w:i/>
        </w:rPr>
        <w:t>Erythrina variegata</w:t>
      </w:r>
      <w:r>
        <w:rPr>
          <w:rFonts w:ascii="Times New Roman" w:hAnsi="Times New Roman"/>
        </w:rPr>
        <w:t>)、女贞(</w:t>
      </w:r>
      <w:r>
        <w:rPr>
          <w:rFonts w:ascii="Times New Roman" w:hAnsi="Times New Roman"/>
          <w:i/>
        </w:rPr>
        <w:t>Ligustrum lucidum</w:t>
      </w:r>
      <w:r>
        <w:rPr>
          <w:rFonts w:ascii="Times New Roman" w:hAnsi="Times New Roman"/>
        </w:rPr>
        <w:t>)、构树(</w:t>
      </w:r>
      <w:r>
        <w:rPr>
          <w:rFonts w:ascii="Times New Roman" w:hAnsi="Times New Roman"/>
          <w:i/>
        </w:rPr>
        <w:t>Broussonetiz papyrifera</w:t>
      </w:r>
      <w:r>
        <w:rPr>
          <w:rFonts w:ascii="Times New Roman" w:hAnsi="Times New Roman"/>
        </w:rPr>
        <w:t>)等，这些树种多为人工栽植的用材树种、经济林木或行道树种。灌木种类有黄荆（</w:t>
      </w:r>
      <w:r>
        <w:rPr>
          <w:rFonts w:ascii="Times New Roman" w:hAnsi="Times New Roman"/>
          <w:i/>
        </w:rPr>
        <w:t>Vitex negundo</w:t>
      </w:r>
      <w:r>
        <w:rPr>
          <w:rFonts w:ascii="Times New Roman" w:hAnsi="Times New Roman"/>
        </w:rPr>
        <w:t>）、楤木(</w:t>
      </w:r>
      <w:r>
        <w:rPr>
          <w:rFonts w:ascii="Times New Roman" w:hAnsi="Times New Roman"/>
          <w:i/>
        </w:rPr>
        <w:t>Aralia chinensis</w:t>
      </w:r>
      <w:r>
        <w:rPr>
          <w:rFonts w:ascii="Times New Roman" w:hAnsi="Times New Roman"/>
        </w:rPr>
        <w:t>)、悬钩子(</w:t>
      </w:r>
      <w:r>
        <w:rPr>
          <w:rFonts w:ascii="Times New Roman" w:hAnsi="Times New Roman"/>
          <w:i/>
        </w:rPr>
        <w:t>Rubus</w:t>
      </w:r>
      <w:r>
        <w:rPr>
          <w:rFonts w:ascii="Times New Roman" w:hAnsi="Times New Roman"/>
        </w:rPr>
        <w:t xml:space="preserve"> </w:t>
      </w:r>
      <w:r>
        <w:rPr>
          <w:rFonts w:ascii="Times New Roman" w:hAnsi="Times New Roman"/>
          <w:i/>
        </w:rPr>
        <w:t>spp.</w:t>
      </w:r>
      <w:r>
        <w:rPr>
          <w:rFonts w:ascii="Times New Roman" w:hAnsi="Times New Roman"/>
        </w:rPr>
        <w:t>)、蔷薇(</w:t>
      </w:r>
      <w:r>
        <w:rPr>
          <w:rFonts w:ascii="Times New Roman" w:hAnsi="Times New Roman"/>
          <w:i/>
          <w:iCs/>
        </w:rPr>
        <w:t>Rosa spp.</w:t>
      </w:r>
      <w:r>
        <w:rPr>
          <w:rFonts w:ascii="Times New Roman" w:hAnsi="Times New Roman"/>
        </w:rPr>
        <w:t>)、马桑(</w:t>
      </w:r>
      <w:r>
        <w:rPr>
          <w:rFonts w:ascii="Times New Roman" w:hAnsi="Times New Roman"/>
          <w:i/>
        </w:rPr>
        <w:t>Coriaria sinica</w:t>
      </w:r>
      <w:r>
        <w:rPr>
          <w:rFonts w:ascii="Times New Roman" w:hAnsi="Times New Roman"/>
        </w:rPr>
        <w:t>)、火棘(</w:t>
      </w:r>
      <w:r>
        <w:rPr>
          <w:rFonts w:ascii="Times New Roman" w:hAnsi="Times New Roman"/>
          <w:i/>
          <w:iCs/>
        </w:rPr>
        <w:t>Pyracantha fortuneana</w:t>
      </w:r>
      <w:r>
        <w:rPr>
          <w:rFonts w:ascii="Times New Roman" w:hAnsi="Times New Roman"/>
        </w:rPr>
        <w:t>)、铁仔(</w:t>
      </w:r>
      <w:r>
        <w:rPr>
          <w:rFonts w:ascii="Times New Roman" w:hAnsi="Times New Roman"/>
          <w:i/>
        </w:rPr>
        <w:t>Myrsina africana</w:t>
      </w:r>
      <w:r>
        <w:rPr>
          <w:rFonts w:ascii="Times New Roman" w:hAnsi="Times New Roman"/>
        </w:rPr>
        <w:t>)、金山荚蒾(</w:t>
      </w:r>
      <w:r>
        <w:rPr>
          <w:rFonts w:ascii="Times New Roman" w:hAnsi="Times New Roman"/>
          <w:i/>
        </w:rPr>
        <w:t>Viburnum chinshanense</w:t>
      </w:r>
      <w:r>
        <w:rPr>
          <w:rFonts w:ascii="Times New Roman" w:hAnsi="Times New Roman"/>
        </w:rPr>
        <w:t>)、楮(</w:t>
      </w:r>
      <w:r>
        <w:rPr>
          <w:rFonts w:ascii="Times New Roman" w:hAnsi="Times New Roman"/>
          <w:i/>
        </w:rPr>
        <w:t>Broussonetiz kazinoki</w:t>
      </w:r>
      <w:r>
        <w:rPr>
          <w:rFonts w:ascii="Times New Roman" w:hAnsi="Times New Roman"/>
        </w:rPr>
        <w:t>)等。常见草本植物有多种蒿(</w:t>
      </w:r>
      <w:r>
        <w:rPr>
          <w:rFonts w:ascii="Times New Roman" w:hAnsi="Times New Roman"/>
          <w:i/>
          <w:iCs/>
        </w:rPr>
        <w:t xml:space="preserve">Artemisia </w:t>
      </w:r>
      <w:r>
        <w:rPr>
          <w:rFonts w:ascii="Times New Roman" w:hAnsi="Times New Roman"/>
          <w:iCs/>
        </w:rPr>
        <w:t>spp.</w:t>
      </w:r>
      <w:r>
        <w:rPr>
          <w:rFonts w:ascii="Times New Roman" w:hAnsi="Times New Roman"/>
        </w:rPr>
        <w:t>)、多种苔草(</w:t>
      </w:r>
      <w:r>
        <w:rPr>
          <w:rFonts w:ascii="Times New Roman" w:hAnsi="Times New Roman"/>
          <w:i/>
        </w:rPr>
        <w:t>Carex</w:t>
      </w:r>
      <w:r>
        <w:rPr>
          <w:rFonts w:ascii="Times New Roman" w:hAnsi="Times New Roman"/>
        </w:rPr>
        <w:t xml:space="preserve"> </w:t>
      </w:r>
      <w:r>
        <w:rPr>
          <w:rFonts w:ascii="Times New Roman" w:hAnsi="Times New Roman"/>
          <w:i/>
        </w:rPr>
        <w:t>spp.</w:t>
      </w:r>
      <w:r>
        <w:rPr>
          <w:rFonts w:ascii="Times New Roman" w:hAnsi="Times New Roman"/>
        </w:rPr>
        <w:t>)、</w:t>
      </w:r>
      <w:r>
        <w:rPr>
          <w:rFonts w:ascii="Times New Roman" w:hAnsi="Times New Roman"/>
          <w:lang w:val="pt-BR"/>
        </w:rPr>
        <w:t>葎草</w:t>
      </w:r>
      <w:r>
        <w:rPr>
          <w:rFonts w:ascii="Times New Roman" w:hAnsi="Times New Roman"/>
        </w:rPr>
        <w:t>（</w:t>
      </w:r>
      <w:r>
        <w:rPr>
          <w:rFonts w:ascii="Times New Roman" w:hAnsi="Times New Roman"/>
          <w:i/>
          <w:iCs/>
        </w:rPr>
        <w:t>Humulus</w:t>
      </w:r>
      <w:r>
        <w:rPr>
          <w:rFonts w:ascii="Times New Roman" w:hAnsi="Times New Roman"/>
          <w:lang w:val="pt-BR"/>
        </w:rPr>
        <w:t xml:space="preserve"> </w:t>
      </w:r>
      <w:r>
        <w:rPr>
          <w:rFonts w:ascii="Times New Roman" w:hAnsi="Times New Roman"/>
          <w:i/>
          <w:iCs/>
        </w:rPr>
        <w:t>scandens</w:t>
      </w:r>
      <w:r>
        <w:rPr>
          <w:rFonts w:ascii="Times New Roman" w:hAnsi="Times New Roman"/>
        </w:rPr>
        <w:t>）、斑茅(</w:t>
      </w:r>
      <w:r>
        <w:rPr>
          <w:rFonts w:ascii="Times New Roman" w:hAnsi="Times New Roman"/>
          <w:i/>
        </w:rPr>
        <w:t>Saccharum arundinaceum</w:t>
      </w:r>
      <w:r>
        <w:rPr>
          <w:rFonts w:ascii="Times New Roman" w:hAnsi="Times New Roman"/>
        </w:rPr>
        <w:t>)、芦竹(</w:t>
      </w:r>
      <w:r>
        <w:rPr>
          <w:rFonts w:ascii="Times New Roman" w:hAnsi="Times New Roman"/>
          <w:i/>
        </w:rPr>
        <w:t>Arundo donax</w:t>
      </w:r>
      <w:r>
        <w:rPr>
          <w:rFonts w:ascii="Times New Roman" w:hAnsi="Times New Roman"/>
        </w:rPr>
        <w:t>)、白茅(</w:t>
      </w:r>
      <w:r>
        <w:rPr>
          <w:rFonts w:ascii="Times New Roman" w:hAnsi="Times New Roman"/>
          <w:i/>
        </w:rPr>
        <w:t>Imperata cylindrical</w:t>
      </w:r>
      <w:r>
        <w:rPr>
          <w:rFonts w:ascii="Times New Roman" w:hAnsi="Times New Roman"/>
        </w:rPr>
        <w:t xml:space="preserve"> var. </w:t>
      </w:r>
      <w:r>
        <w:rPr>
          <w:rFonts w:ascii="Times New Roman" w:hAnsi="Times New Roman"/>
          <w:i/>
        </w:rPr>
        <w:t>major</w:t>
      </w:r>
      <w:r>
        <w:rPr>
          <w:rFonts w:ascii="Times New Roman" w:hAnsi="Times New Roman"/>
        </w:rPr>
        <w:t>)、狗尾草(</w:t>
      </w:r>
      <w:r>
        <w:rPr>
          <w:rFonts w:ascii="Times New Roman" w:hAnsi="Times New Roman"/>
          <w:i/>
          <w:iCs/>
        </w:rPr>
        <w:t>Setaria viridis</w:t>
      </w:r>
      <w:r>
        <w:rPr>
          <w:rFonts w:ascii="Times New Roman" w:hAnsi="Times New Roman"/>
        </w:rPr>
        <w:t>)、茅叶荩草(</w:t>
      </w:r>
      <w:r>
        <w:rPr>
          <w:rFonts w:ascii="Times New Roman" w:hAnsi="Times New Roman"/>
          <w:i/>
        </w:rPr>
        <w:t>Arthraxon lancealatas</w:t>
      </w:r>
      <w:r>
        <w:rPr>
          <w:rFonts w:ascii="Times New Roman" w:hAnsi="Times New Roman"/>
        </w:rPr>
        <w:t>)、白花鬼针草(</w:t>
      </w:r>
      <w:r>
        <w:rPr>
          <w:rFonts w:ascii="Times New Roman" w:hAnsi="Times New Roman"/>
          <w:i/>
        </w:rPr>
        <w:t>Bidens pilosa</w:t>
      </w:r>
      <w:r>
        <w:rPr>
          <w:rFonts w:ascii="Times New Roman" w:hAnsi="Times New Roman"/>
        </w:rPr>
        <w:t xml:space="preserve"> var.</w:t>
      </w:r>
      <w:r>
        <w:rPr>
          <w:rFonts w:ascii="Times New Roman" w:hAnsi="Times New Roman"/>
          <w:i/>
        </w:rPr>
        <w:t xml:space="preserve"> radiata</w:t>
      </w:r>
      <w:r>
        <w:rPr>
          <w:rFonts w:ascii="Times New Roman" w:hAnsi="Times New Roman"/>
        </w:rPr>
        <w:t>)、小蓬草(</w:t>
      </w:r>
      <w:r>
        <w:rPr>
          <w:rFonts w:ascii="Times New Roman" w:hAnsi="Times New Roman"/>
          <w:i/>
        </w:rPr>
        <w:t>Conyza canadensis</w:t>
      </w:r>
      <w:r>
        <w:rPr>
          <w:rFonts w:ascii="Times New Roman" w:hAnsi="Times New Roman"/>
        </w:rPr>
        <w:t>)、苦苣菜(</w:t>
      </w:r>
      <w:r>
        <w:rPr>
          <w:rFonts w:ascii="Times New Roman" w:hAnsi="Times New Roman"/>
          <w:i/>
        </w:rPr>
        <w:t>Sonchus oleraceus</w:t>
      </w:r>
      <w:r>
        <w:rPr>
          <w:rFonts w:ascii="Times New Roman" w:hAnsi="Times New Roman"/>
        </w:rPr>
        <w:t>)、早熟禾(</w:t>
      </w:r>
      <w:r>
        <w:rPr>
          <w:rFonts w:ascii="Times New Roman" w:hAnsi="Times New Roman"/>
          <w:i/>
        </w:rPr>
        <w:t>Poa annua</w:t>
      </w:r>
      <w:r>
        <w:rPr>
          <w:rFonts w:ascii="Times New Roman" w:hAnsi="Times New Roman"/>
        </w:rPr>
        <w:t>)等自然物种和耕地内栽植的农作物。藤本植物多见有打碗花(</w:t>
      </w:r>
      <w:r>
        <w:rPr>
          <w:rFonts w:ascii="Times New Roman" w:hAnsi="Times New Roman"/>
          <w:i/>
        </w:rPr>
        <w:t>Calystegia hederacea</w:t>
      </w:r>
      <w:r>
        <w:rPr>
          <w:rFonts w:ascii="Times New Roman" w:hAnsi="Times New Roman"/>
        </w:rPr>
        <w:t>)、地瓜藤(</w:t>
      </w:r>
      <w:r>
        <w:rPr>
          <w:rFonts w:ascii="Times New Roman" w:hAnsi="Times New Roman"/>
          <w:i/>
        </w:rPr>
        <w:t>Ficus tikoua</w:t>
      </w:r>
      <w:r>
        <w:rPr>
          <w:rFonts w:ascii="Times New Roman" w:hAnsi="Times New Roman"/>
        </w:rPr>
        <w:t>)、三裂蛇葡萄(</w:t>
      </w:r>
      <w:r>
        <w:rPr>
          <w:rFonts w:ascii="Times New Roman" w:hAnsi="Times New Roman"/>
          <w:i/>
        </w:rPr>
        <w:t>Ampelopsis delavayana</w:t>
      </w:r>
      <w:r>
        <w:rPr>
          <w:rFonts w:ascii="Times New Roman" w:hAnsi="Times New Roman"/>
        </w:rPr>
        <w:t>)、</w:t>
      </w:r>
      <w:r>
        <w:rPr>
          <w:rFonts w:ascii="Times New Roman" w:hAnsi="Times New Roman"/>
          <w:lang w:val="pt-BR"/>
        </w:rPr>
        <w:t>落葵薯</w:t>
      </w:r>
      <w:r>
        <w:rPr>
          <w:rFonts w:ascii="Times New Roman" w:hAnsi="Times New Roman"/>
        </w:rPr>
        <w:t>(</w:t>
      </w:r>
      <w:r>
        <w:rPr>
          <w:rFonts w:ascii="Times New Roman" w:hAnsi="Times New Roman"/>
          <w:i/>
          <w:iCs/>
        </w:rPr>
        <w:t>Anredera cordifolia</w:t>
      </w:r>
      <w:r>
        <w:rPr>
          <w:rFonts w:ascii="Times New Roman" w:hAnsi="Times New Roman"/>
        </w:rPr>
        <w:t>)等。</w:t>
      </w:r>
    </w:p>
    <w:p>
      <w:pPr>
        <w:ind w:firstLine="480"/>
        <w:rPr>
          <w:rFonts w:ascii="Times New Roman" w:hAnsi="Times New Roman"/>
        </w:rPr>
      </w:pPr>
      <w:r>
        <w:rPr>
          <w:rFonts w:ascii="Times New Roman" w:hAnsi="Times New Roman"/>
        </w:rPr>
        <w:t>2）科的种数分析</w:t>
      </w:r>
    </w:p>
    <w:p>
      <w:pPr>
        <w:ind w:firstLine="480"/>
        <w:rPr>
          <w:rFonts w:ascii="Times New Roman" w:hAnsi="Times New Roman"/>
        </w:rPr>
      </w:pPr>
      <w:r>
        <w:rPr>
          <w:rFonts w:ascii="Times New Roman" w:hAnsi="Times New Roman"/>
        </w:rPr>
        <w:t>评价区内只有1个种分布的科有26科，共26个物种，分别占总科数的23.01 %和总物种数的7.20 %；少种科（分布2-9种）的数量为75科，共有物种190种，分别占总科数的66.37 %和总物种数的52.63 %；多种科（分布10种及以上）有4科（菊科Asteraceae、蔷薇科Rosaceae、禾本科Poaceae、荨麻科Urticaceae），共有58个物种，分别占总科数的3.54 %和总物种数的16.07 %。</w:t>
      </w:r>
    </w:p>
    <w:p>
      <w:pPr>
        <w:ind w:firstLine="480"/>
        <w:rPr>
          <w:rFonts w:ascii="Times New Roman" w:hAnsi="Times New Roman"/>
        </w:rPr>
      </w:pPr>
      <w:r>
        <w:rPr>
          <w:rFonts w:ascii="Times New Roman" w:hAnsi="Times New Roman"/>
        </w:rPr>
        <w:t>评价区内只有1个物种分布的属有114属，占评价区属总数的40.14 %，其物种数（114）占总物种数的31.58 %；含物种2~5种的有101属，共有142种，分别占属总数和总物种数的35.56 %和39.34 %；含物种5种以上的有69属，共含105种，分别占属总数和总物种数的24.30 %和29.09 %。</w:t>
      </w:r>
    </w:p>
    <w:p>
      <w:pPr>
        <w:ind w:firstLine="480"/>
        <w:rPr>
          <w:rFonts w:ascii="Times New Roman" w:hAnsi="Times New Roman"/>
        </w:rPr>
      </w:pPr>
      <w:r>
        <w:rPr>
          <w:rFonts w:ascii="Times New Roman" w:hAnsi="Times New Roman"/>
        </w:rPr>
        <w:t>3）种子植物区系成分分析</w:t>
      </w:r>
    </w:p>
    <w:p>
      <w:pPr>
        <w:ind w:firstLine="480"/>
        <w:rPr>
          <w:rFonts w:ascii="Times New Roman" w:hAnsi="Times New Roman"/>
        </w:rPr>
      </w:pPr>
      <w:r>
        <w:rPr>
          <w:rFonts w:ascii="Times New Roman" w:hAnsi="Times New Roman"/>
        </w:rPr>
        <w:t>在植物分类学上，属的形态特征相对稳定，并占有比较稳定的分布区；在演化过程中，随环境条件的变化而产生分化，表现出明显的地区性差异。同时，每一个属所包含的种常具有同一起源和相似的进化趋势。所以属比科更能反映植物系统发育过程中的进化与分化情况和地区特征。</w:t>
      </w:r>
    </w:p>
    <w:p>
      <w:pPr>
        <w:ind w:firstLine="480"/>
        <w:rPr>
          <w:rFonts w:ascii="Times New Roman" w:hAnsi="Times New Roman"/>
        </w:rPr>
      </w:pPr>
      <w:r>
        <w:rPr>
          <w:rFonts w:ascii="Times New Roman" w:hAnsi="Times New Roman"/>
        </w:rPr>
        <w:t>根据吴征镒关于中国种子植物属、种的分布区类型划分的原则，可以将评价区的259属324种种子植物分成13个类型和7个亚型（表2-2）。</w:t>
      </w:r>
    </w:p>
    <w:p>
      <w:pPr>
        <w:ind w:firstLine="480"/>
        <w:rPr>
          <w:rFonts w:ascii="Times New Roman" w:hAnsi="Times New Roman"/>
        </w:rPr>
      </w:pPr>
      <w:r>
        <w:rPr>
          <w:rFonts w:ascii="Times New Roman" w:hAnsi="Times New Roman"/>
        </w:rPr>
        <w:t>从现知的259属分析，种子植物有世界分布7属，占该区种子植物总数属的14.29 %、热带分布（2-7型）有108属，占该区种子植物总属数的32.72%；热带分布有87属，占种子植物总属数的33.59%；温带分布类型（8-11型）有105属，占种子植物总属数的40.54 %；东亚分布类型（14型）有26属，占种子植物总属数的10.04 %；中国特有分布4属，占种子植物总属数的1.54 %。</w:t>
      </w:r>
    </w:p>
    <w:p>
      <w:pPr>
        <w:spacing w:after="156" w:afterLines="50"/>
        <w:ind w:firstLine="480"/>
        <w:jc w:val="center"/>
        <w:rPr>
          <w:rFonts w:ascii="Times New Roman" w:hAnsi="Times New Roman"/>
        </w:rPr>
      </w:pPr>
    </w:p>
    <w:p>
      <w:pPr>
        <w:spacing w:after="156" w:afterLines="50"/>
        <w:ind w:firstLine="480"/>
        <w:jc w:val="center"/>
        <w:rPr>
          <w:rFonts w:ascii="Times New Roman" w:hAnsi="Times New Roman"/>
          <w:b/>
        </w:rPr>
      </w:pPr>
      <w:r>
        <w:rPr>
          <w:rFonts w:ascii="Times New Roman" w:hAnsi="Times New Roman"/>
        </w:rPr>
        <w:t xml:space="preserve">表 </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5</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表 \* ARABIC \s 1 </w:instrText>
      </w:r>
      <w:r>
        <w:rPr>
          <w:rFonts w:ascii="Times New Roman" w:hAnsi="Times New Roman"/>
        </w:rPr>
        <w:fldChar w:fldCharType="separate"/>
      </w:r>
      <w:r>
        <w:rPr>
          <w:rFonts w:ascii="Times New Roman" w:hAnsi="Times New Roman"/>
        </w:rPr>
        <w:t>24</w:t>
      </w:r>
      <w:r>
        <w:rPr>
          <w:rFonts w:ascii="Times New Roman" w:hAnsi="Times New Roman"/>
        </w:rPr>
        <w:fldChar w:fldCharType="end"/>
      </w:r>
      <w:r>
        <w:rPr>
          <w:rFonts w:ascii="Times New Roman" w:hAnsi="Times New Roman"/>
          <w:b/>
        </w:rPr>
        <w:t>评价区种子植物属的区系统计表</w:t>
      </w:r>
    </w:p>
    <w:tbl>
      <w:tblPr>
        <w:tblStyle w:val="28"/>
        <w:tblW w:w="4998" w:type="pct"/>
        <w:tblInd w:w="0" w:type="dxa"/>
        <w:tblLayout w:type="autofit"/>
        <w:tblCellMar>
          <w:top w:w="0" w:type="dxa"/>
          <w:left w:w="108" w:type="dxa"/>
          <w:bottom w:w="0" w:type="dxa"/>
          <w:right w:w="108" w:type="dxa"/>
        </w:tblCellMar>
      </w:tblPr>
      <w:tblGrid>
        <w:gridCol w:w="5175"/>
        <w:gridCol w:w="1231"/>
        <w:gridCol w:w="2113"/>
      </w:tblGrid>
      <w:tr>
        <w:tblPrEx>
          <w:tblCellMar>
            <w:top w:w="0" w:type="dxa"/>
            <w:left w:w="108" w:type="dxa"/>
            <w:bottom w:w="0" w:type="dxa"/>
            <w:right w:w="108" w:type="dxa"/>
          </w:tblCellMar>
        </w:tblPrEx>
        <w:trPr>
          <w:trHeight w:val="285" w:hRule="atLeast"/>
        </w:trPr>
        <w:tc>
          <w:tcPr>
            <w:tcW w:w="3066"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center"/>
              <w:rPr>
                <w:rFonts w:ascii="Times New Roman" w:hAnsi="Times New Roman"/>
                <w:b/>
                <w:bCs/>
                <w:szCs w:val="21"/>
              </w:rPr>
            </w:pPr>
            <w:r>
              <w:rPr>
                <w:rFonts w:ascii="Times New Roman" w:hAnsi="Times New Roman"/>
                <w:b/>
                <w:bCs/>
                <w:kern w:val="0"/>
                <w:sz w:val="21"/>
                <w:szCs w:val="21"/>
                <w:lang w:bidi="ar"/>
              </w:rPr>
              <w:t>分布区类型和变型</w:t>
            </w:r>
          </w:p>
        </w:tc>
        <w:tc>
          <w:tcPr>
            <w:tcW w:w="752"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center"/>
              <w:rPr>
                <w:rFonts w:ascii="Times New Roman" w:hAnsi="Times New Roman"/>
                <w:b/>
                <w:bCs/>
                <w:szCs w:val="21"/>
              </w:rPr>
            </w:pPr>
            <w:r>
              <w:rPr>
                <w:rFonts w:ascii="Times New Roman" w:hAnsi="Times New Roman"/>
                <w:b/>
                <w:bCs/>
                <w:kern w:val="0"/>
                <w:sz w:val="21"/>
                <w:szCs w:val="21"/>
                <w:lang w:bidi="ar"/>
              </w:rPr>
              <w:t>属数</w:t>
            </w:r>
          </w:p>
        </w:tc>
        <w:tc>
          <w:tcPr>
            <w:tcW w:w="118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center"/>
              <w:rPr>
                <w:rFonts w:ascii="Times New Roman" w:hAnsi="Times New Roman"/>
                <w:b/>
                <w:bCs/>
                <w:szCs w:val="21"/>
              </w:rPr>
            </w:pPr>
            <w:r>
              <w:rPr>
                <w:rFonts w:ascii="Times New Roman" w:hAnsi="Times New Roman"/>
                <w:b/>
                <w:bCs/>
                <w:kern w:val="0"/>
                <w:sz w:val="21"/>
                <w:szCs w:val="21"/>
                <w:lang w:bidi="ar"/>
              </w:rPr>
              <w:t>占属总数比例（%）</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1.世界分布</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37</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14.29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2.泛热带分布</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40</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15.44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2-1.热带亚洲、大洋洲和南美洲（墨西哥）间断分布</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1</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0.39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2-2.热带亚洲、非洲和南美洲间断</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2</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0.77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3.热带亚洲和热带美洲间断分布</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7</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2.70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4.旧世界热带分布</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8</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3.09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5.热带亚洲至热带大洋洲分布</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9</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3.47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6.热带亚洲至热带非洲分布</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10</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3.86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7.热带亚洲分布</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9</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3.47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7-1.爪哇、喜玛拉雅和华南、西南星散</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1</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0.39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8.北温带分布</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76</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29.34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8-4.北温带和南温带间断分布</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10</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3.86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8-6.地中海区、东亚、新西兰和墨西哥到智利间断分布</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1</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0.39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9.东亚和北美洲间断分布</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12</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4.63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10.旧世界温带分布</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5</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1.93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11.温带亚洲分布</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1</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0.39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14.东亚分布</w:t>
            </w:r>
          </w:p>
        </w:tc>
        <w:tc>
          <w:tcPr>
            <w:tcW w:w="752" w:type="pct"/>
            <w:tcBorders>
              <w:top w:val="nil"/>
              <w:left w:val="nil"/>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16</w:t>
            </w:r>
          </w:p>
        </w:tc>
        <w:tc>
          <w:tcPr>
            <w:tcW w:w="1180" w:type="pct"/>
            <w:tcBorders>
              <w:top w:val="nil"/>
              <w:left w:val="nil"/>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6.18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14-1.中国-喜马拉雅分布</w:t>
            </w:r>
          </w:p>
        </w:tc>
        <w:tc>
          <w:tcPr>
            <w:tcW w:w="752" w:type="pct"/>
            <w:tcBorders>
              <w:top w:val="nil"/>
              <w:left w:val="nil"/>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3</w:t>
            </w:r>
          </w:p>
        </w:tc>
        <w:tc>
          <w:tcPr>
            <w:tcW w:w="1180" w:type="pct"/>
            <w:tcBorders>
              <w:top w:val="nil"/>
              <w:left w:val="nil"/>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1.16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14-2.中国-日本分布</w:t>
            </w:r>
          </w:p>
        </w:tc>
        <w:tc>
          <w:tcPr>
            <w:tcW w:w="752" w:type="pct"/>
            <w:tcBorders>
              <w:top w:val="nil"/>
              <w:left w:val="nil"/>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7</w:t>
            </w:r>
          </w:p>
        </w:tc>
        <w:tc>
          <w:tcPr>
            <w:tcW w:w="1180" w:type="pct"/>
            <w:tcBorders>
              <w:top w:val="nil"/>
              <w:left w:val="nil"/>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2.70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szCs w:val="21"/>
              </w:rPr>
            </w:pPr>
            <w:r>
              <w:rPr>
                <w:rFonts w:ascii="Times New Roman" w:hAnsi="Times New Roman"/>
                <w:kern w:val="0"/>
                <w:sz w:val="21"/>
                <w:szCs w:val="21"/>
                <w:lang w:bidi="ar"/>
              </w:rPr>
              <w:t>15.中国特有分布</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szCs w:val="21"/>
              </w:rPr>
            </w:pPr>
            <w:r>
              <w:rPr>
                <w:rFonts w:ascii="Times New Roman" w:hAnsi="Times New Roman"/>
                <w:kern w:val="0"/>
                <w:sz w:val="21"/>
                <w:szCs w:val="21"/>
                <w:lang w:bidi="ar"/>
              </w:rPr>
              <w:t>4</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kern w:val="0"/>
                <w:szCs w:val="21"/>
                <w:lang w:bidi="ar"/>
              </w:rPr>
            </w:pPr>
            <w:r>
              <w:rPr>
                <w:rFonts w:ascii="Times New Roman" w:hAnsi="Times New Roman"/>
                <w:kern w:val="0"/>
                <w:sz w:val="21"/>
                <w:szCs w:val="21"/>
                <w:lang w:bidi="ar"/>
              </w:rPr>
              <w:t xml:space="preserve">1.54 </w:t>
            </w:r>
          </w:p>
        </w:tc>
      </w:tr>
      <w:tr>
        <w:tblPrEx>
          <w:tblCellMar>
            <w:top w:w="0" w:type="dxa"/>
            <w:left w:w="108" w:type="dxa"/>
            <w:bottom w:w="0" w:type="dxa"/>
            <w:right w:w="108" w:type="dxa"/>
          </w:tblCellMar>
        </w:tblPrEx>
        <w:trPr>
          <w:trHeight w:val="285" w:hRule="atLeast"/>
        </w:trPr>
        <w:tc>
          <w:tcPr>
            <w:tcW w:w="3066"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textAlignment w:val="center"/>
              <w:rPr>
                <w:rFonts w:ascii="Times New Roman" w:hAnsi="Times New Roman"/>
                <w:b/>
                <w:bCs/>
                <w:szCs w:val="21"/>
              </w:rPr>
            </w:pPr>
            <w:r>
              <w:rPr>
                <w:rFonts w:ascii="Times New Roman" w:hAnsi="Times New Roman"/>
                <w:b/>
                <w:bCs/>
                <w:kern w:val="0"/>
                <w:sz w:val="21"/>
                <w:szCs w:val="21"/>
                <w:lang w:bidi="ar"/>
              </w:rPr>
              <w:t>合  计</w:t>
            </w:r>
          </w:p>
        </w:tc>
        <w:tc>
          <w:tcPr>
            <w:tcW w:w="752"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b/>
                <w:bCs/>
                <w:szCs w:val="21"/>
              </w:rPr>
            </w:pPr>
            <w:r>
              <w:rPr>
                <w:rFonts w:ascii="Times New Roman" w:hAnsi="Times New Roman"/>
                <w:b/>
                <w:bCs/>
                <w:kern w:val="0"/>
                <w:sz w:val="21"/>
                <w:szCs w:val="21"/>
                <w:lang w:bidi="ar"/>
              </w:rPr>
              <w:t>259</w:t>
            </w:r>
          </w:p>
        </w:tc>
        <w:tc>
          <w:tcPr>
            <w:tcW w:w="1180" w:type="pct"/>
            <w:tcBorders>
              <w:top w:val="nil"/>
              <w:left w:val="single" w:color="000000" w:sz="8" w:space="0"/>
              <w:bottom w:val="single" w:color="000000" w:sz="8" w:space="0"/>
              <w:right w:val="single" w:color="000000" w:sz="8" w:space="0"/>
            </w:tcBorders>
            <w:shd w:val="clear" w:color="auto" w:fill="auto"/>
            <w:vAlign w:val="center"/>
          </w:tcPr>
          <w:p>
            <w:pPr>
              <w:widowControl/>
              <w:spacing w:line="240" w:lineRule="auto"/>
              <w:ind w:firstLine="0" w:firstLineChars="0"/>
              <w:jc w:val="center"/>
              <w:textAlignment w:val="center"/>
              <w:rPr>
                <w:rFonts w:ascii="Times New Roman" w:hAnsi="Times New Roman"/>
                <w:b/>
                <w:bCs/>
                <w:kern w:val="0"/>
                <w:szCs w:val="21"/>
                <w:lang w:bidi="ar"/>
              </w:rPr>
            </w:pPr>
            <w:r>
              <w:rPr>
                <w:rFonts w:ascii="Times New Roman" w:hAnsi="Times New Roman"/>
                <w:b/>
                <w:bCs/>
                <w:kern w:val="0"/>
                <w:sz w:val="21"/>
                <w:szCs w:val="21"/>
                <w:lang w:bidi="ar"/>
              </w:rPr>
              <w:t>100</w:t>
            </w:r>
          </w:p>
        </w:tc>
      </w:tr>
    </w:tbl>
    <w:p>
      <w:pPr>
        <w:ind w:firstLine="480"/>
        <w:rPr>
          <w:rFonts w:ascii="Times New Roman" w:hAnsi="Times New Roman"/>
        </w:rPr>
      </w:pPr>
      <w:r>
        <w:rPr>
          <w:rFonts w:ascii="Times New Roman" w:hAnsi="Times New Roman"/>
        </w:rPr>
        <w:t>（2）国家级重点保护植物</w:t>
      </w:r>
    </w:p>
    <w:p>
      <w:pPr>
        <w:ind w:firstLine="480"/>
        <w:rPr>
          <w:rFonts w:ascii="Times New Roman" w:hAnsi="Times New Roman"/>
        </w:rPr>
      </w:pPr>
      <w:r>
        <w:rPr>
          <w:rFonts w:ascii="Times New Roman" w:hAnsi="Times New Roman"/>
        </w:rPr>
        <w:t>根据野外调查和评价区珍稀保护植物资料查证，按照《国家重点保护野生植物名录(2021年)》，评价区内发现有人工栽植的银杏（</w:t>
      </w:r>
      <w:r>
        <w:rPr>
          <w:rFonts w:ascii="Times New Roman" w:hAnsi="Times New Roman"/>
          <w:bCs/>
          <w:i/>
          <w:lang w:val="pt-BR"/>
        </w:rPr>
        <w:t>Ginkgo biloba</w:t>
      </w:r>
      <w:r>
        <w:rPr>
          <w:rFonts w:ascii="Times New Roman" w:hAnsi="Times New Roman"/>
        </w:rPr>
        <w:t>）、水杉（</w:t>
      </w:r>
      <w:r>
        <w:rPr>
          <w:rFonts w:ascii="Times New Roman" w:hAnsi="Times New Roman"/>
          <w:i/>
        </w:rPr>
        <w:t>Metasequoia glyptostroboides</w:t>
      </w:r>
      <w:r>
        <w:rPr>
          <w:rFonts w:ascii="Times New Roman" w:hAnsi="Times New Roman"/>
        </w:rPr>
        <w:t>）、香樟（</w:t>
      </w:r>
      <w:r>
        <w:rPr>
          <w:rFonts w:ascii="Times New Roman" w:hAnsi="Times New Roman"/>
          <w:i/>
          <w:lang w:val="pt-BR"/>
        </w:rPr>
        <w:t>Cinnamomum camphora</w:t>
      </w:r>
      <w:r>
        <w:rPr>
          <w:rFonts w:ascii="Times New Roman" w:hAnsi="Times New Roman"/>
        </w:rPr>
        <w:t>）、喜树（</w:t>
      </w:r>
      <w:r>
        <w:rPr>
          <w:rFonts w:ascii="Times New Roman" w:hAnsi="Times New Roman"/>
          <w:i/>
        </w:rPr>
        <w:t>Camptotheca acuminata</w:t>
      </w:r>
      <w:r>
        <w:rPr>
          <w:rFonts w:ascii="Times New Roman" w:hAnsi="Times New Roman"/>
        </w:rPr>
        <w:t>）等。但未发现评价区内分布有国家重点保护与珍稀濒危野生植物。</w:t>
      </w:r>
    </w:p>
    <w:p>
      <w:pPr>
        <w:ind w:firstLine="480"/>
        <w:rPr>
          <w:rFonts w:ascii="Times New Roman" w:hAnsi="Times New Roman"/>
        </w:rPr>
      </w:pPr>
      <w:r>
        <w:rPr>
          <w:rFonts w:ascii="Times New Roman" w:hAnsi="Times New Roman"/>
        </w:rPr>
        <w:t>根据规定，只有列入《国家重点保护野生植物名录(2021年》中的野生物种才受到国家法律的严格保护。评价区列入“名录”中的栽培种虽然不受国家法律保护，但这些物种具有园林绿化、观赏等多种价值，在项目规划建设时应该对征占的上述物种植株所有人达成赔偿协议。</w:t>
      </w:r>
    </w:p>
    <w:p>
      <w:pPr>
        <w:ind w:firstLine="480"/>
        <w:rPr>
          <w:rFonts w:ascii="Times New Roman" w:hAnsi="Times New Roman"/>
          <w:b/>
          <w:sz w:val="30"/>
          <w:szCs w:val="30"/>
        </w:rPr>
      </w:pPr>
      <w:r>
        <w:rPr>
          <w:rFonts w:ascii="Times New Roman" w:hAnsi="Times New Roman"/>
        </w:rPr>
        <w:t>经实地调查核实，评价范围内两棵柏树古树分布，这与地方政府部门的调查结果相符，具体见5.6.6.9章节。</w:t>
      </w:r>
    </w:p>
    <w:p>
      <w:pPr>
        <w:pStyle w:val="5"/>
        <w:rPr>
          <w:rFonts w:ascii="Times New Roman" w:hAnsi="Times New Roman"/>
        </w:rPr>
      </w:pPr>
      <w:r>
        <w:rPr>
          <w:rFonts w:ascii="Times New Roman" w:hAnsi="Times New Roman"/>
        </w:rPr>
        <w:t>区域植被分类</w:t>
      </w:r>
    </w:p>
    <w:p>
      <w:pPr>
        <w:ind w:firstLine="480"/>
        <w:rPr>
          <w:rFonts w:ascii="Times New Roman" w:hAnsi="Times New Roman"/>
        </w:rPr>
      </w:pPr>
      <w:r>
        <w:rPr>
          <w:rFonts w:ascii="Times New Roman" w:hAnsi="Times New Roman"/>
        </w:rPr>
        <w:t>（1）植被地理分布规律</w:t>
      </w:r>
    </w:p>
    <w:p>
      <w:pPr>
        <w:ind w:firstLine="480"/>
        <w:rPr>
          <w:rFonts w:ascii="Times New Roman" w:hAnsi="Times New Roman"/>
        </w:rPr>
      </w:pPr>
      <w:r>
        <w:rPr>
          <w:rFonts w:ascii="Times New Roman" w:hAnsi="Times New Roman"/>
        </w:rPr>
        <w:t>根据《四川植被》中的分区系统，评价范围属于“亚热带常绿阔叶林区-川东盆地及川西南山地常绿阔叶林地带-川东盆地偏湿性常绿阔叶林亚带-盆地底部丘陵低山植被地区-川东平行岭谷植被小区”。</w:t>
      </w:r>
    </w:p>
    <w:p>
      <w:pPr>
        <w:ind w:firstLine="480"/>
        <w:rPr>
          <w:rFonts w:ascii="Times New Roman" w:hAnsi="Times New Roman"/>
        </w:rPr>
      </w:pPr>
      <w:r>
        <w:rPr>
          <w:rFonts w:ascii="Times New Roman" w:hAnsi="Times New Roman"/>
        </w:rPr>
        <w:t>区域植被主要由马尾松林（</w:t>
      </w:r>
      <w:r>
        <w:rPr>
          <w:rFonts w:ascii="Times New Roman" w:hAnsi="Times New Roman"/>
          <w:i/>
          <w:iCs/>
        </w:rPr>
        <w:t>Pinus massoniana</w:t>
      </w:r>
      <w:r>
        <w:rPr>
          <w:rFonts w:ascii="Times New Roman" w:hAnsi="Times New Roman"/>
        </w:rPr>
        <w:t>）、柏木林（</w:t>
      </w:r>
      <w:r>
        <w:rPr>
          <w:rFonts w:ascii="Times New Roman" w:hAnsi="Times New Roman"/>
          <w:i/>
          <w:iCs/>
        </w:rPr>
        <w:t>Cupressus funebri）</w:t>
      </w:r>
      <w:r>
        <w:rPr>
          <w:rFonts w:ascii="Times New Roman" w:hAnsi="Times New Roman"/>
        </w:rPr>
        <w:t>、桤木林（</w:t>
      </w:r>
      <w:r>
        <w:rPr>
          <w:rFonts w:ascii="Times New Roman" w:hAnsi="Times New Roman"/>
          <w:i/>
          <w:iCs/>
        </w:rPr>
        <w:t>Alnuscremastogyne）</w:t>
      </w:r>
      <w:r>
        <w:rPr>
          <w:rFonts w:ascii="Times New Roman" w:hAnsi="Times New Roman"/>
        </w:rPr>
        <w:t>、竹林（</w:t>
      </w:r>
      <w:r>
        <w:rPr>
          <w:rFonts w:ascii="Times New Roman" w:hAnsi="Times New Roman"/>
          <w:i/>
          <w:iCs/>
          <w:lang w:val="it-IT"/>
        </w:rPr>
        <w:t>Phyllostachysbissetii</w:t>
      </w:r>
      <w:r>
        <w:rPr>
          <w:rFonts w:ascii="Times New Roman" w:hAnsi="Times New Roman"/>
        </w:rPr>
        <w:t>）组成，有如下分布特点：</w:t>
      </w:r>
    </w:p>
    <w:p>
      <w:pPr>
        <w:ind w:firstLine="480"/>
        <w:rPr>
          <w:rFonts w:ascii="Times New Roman" w:hAnsi="Times New Roman"/>
        </w:rPr>
      </w:pPr>
      <w:r>
        <w:rPr>
          <w:rFonts w:ascii="Times New Roman" w:hAnsi="Times New Roman"/>
        </w:rPr>
        <w:t>1）马尾松林在丘陵上部有典型连片分布，灌木有格药柃（</w:t>
      </w:r>
      <w:r>
        <w:rPr>
          <w:rFonts w:ascii="Times New Roman" w:hAnsi="Times New Roman"/>
          <w:i/>
          <w:iCs/>
        </w:rPr>
        <w:t>Eurya muricata</w:t>
      </w:r>
      <w:r>
        <w:rPr>
          <w:rFonts w:ascii="Times New Roman" w:hAnsi="Times New Roman"/>
        </w:rPr>
        <w:t>）等，草本以芒草草丛（</w:t>
      </w:r>
      <w:r>
        <w:rPr>
          <w:rFonts w:ascii="Times New Roman" w:hAnsi="Times New Roman"/>
          <w:i/>
          <w:lang w:val="it-IT"/>
        </w:rPr>
        <w:t xml:space="preserve">Miscanthus </w:t>
      </w:r>
      <w:r>
        <w:rPr>
          <w:rFonts w:ascii="Times New Roman" w:hAnsi="Times New Roman"/>
          <w:iCs/>
          <w:lang w:val="it-IT"/>
        </w:rPr>
        <w:t>spp</w:t>
      </w:r>
      <w:r>
        <w:rPr>
          <w:rFonts w:ascii="Times New Roman" w:hAnsi="Times New Roman"/>
        </w:rPr>
        <w:t>）为主。</w:t>
      </w:r>
    </w:p>
    <w:p>
      <w:pPr>
        <w:ind w:firstLine="480"/>
        <w:rPr>
          <w:rFonts w:ascii="Times New Roman" w:hAnsi="Times New Roman"/>
        </w:rPr>
      </w:pPr>
      <w:r>
        <w:rPr>
          <w:rFonts w:ascii="Times New Roman" w:hAnsi="Times New Roman"/>
        </w:rPr>
        <w:t>2）土层较厚地区则为栓皮栎（</w:t>
      </w:r>
      <w:r>
        <w:rPr>
          <w:rFonts w:ascii="Times New Roman" w:hAnsi="Times New Roman"/>
          <w:i/>
          <w:iCs/>
        </w:rPr>
        <w:t>Quercus spp</w:t>
      </w:r>
      <w:r>
        <w:rPr>
          <w:rFonts w:ascii="Times New Roman" w:hAnsi="Times New Roman"/>
        </w:rPr>
        <w:t>）为主的低山落叶阔叶林；此群落经破坏后形成各类灌丛。</w:t>
      </w:r>
    </w:p>
    <w:p>
      <w:pPr>
        <w:ind w:firstLine="480"/>
        <w:rPr>
          <w:rFonts w:ascii="Times New Roman" w:hAnsi="Times New Roman"/>
        </w:rPr>
      </w:pPr>
      <w:r>
        <w:rPr>
          <w:rFonts w:ascii="Times New Roman" w:hAnsi="Times New Roman"/>
        </w:rPr>
        <w:t>3）低矮丘陵地段常见柏木疏林，以柏木为主，有少乌泡子（</w:t>
      </w:r>
      <w:r>
        <w:rPr>
          <w:rFonts w:ascii="Times New Roman" w:hAnsi="Times New Roman"/>
          <w:i/>
          <w:iCs/>
        </w:rPr>
        <w:t>Rubus parkeri</w:t>
      </w:r>
      <w:r>
        <w:rPr>
          <w:rFonts w:ascii="Times New Roman" w:hAnsi="Times New Roman"/>
        </w:rPr>
        <w:t>）、高粱泡（</w:t>
      </w:r>
      <w:r>
        <w:rPr>
          <w:rFonts w:ascii="Times New Roman" w:hAnsi="Times New Roman"/>
          <w:i/>
          <w:iCs/>
        </w:rPr>
        <w:t>Rubus lambertianus</w:t>
      </w:r>
      <w:r>
        <w:rPr>
          <w:rFonts w:ascii="Times New Roman" w:hAnsi="Times New Roman"/>
        </w:rPr>
        <w:t>）、白夹竹林（</w:t>
      </w:r>
      <w:r>
        <w:rPr>
          <w:rFonts w:ascii="Times New Roman" w:hAnsi="Times New Roman"/>
          <w:i/>
          <w:iCs/>
        </w:rPr>
        <w:t>Phyllostachysbissetii</w:t>
      </w:r>
      <w:r>
        <w:rPr>
          <w:rFonts w:ascii="Times New Roman" w:hAnsi="Times New Roman"/>
        </w:rPr>
        <w:t>）等林下灌木和草本以芒草（</w:t>
      </w:r>
      <w:r>
        <w:rPr>
          <w:rFonts w:ascii="Times New Roman" w:hAnsi="Times New Roman"/>
          <w:i/>
          <w:lang w:val="it-IT"/>
        </w:rPr>
        <w:t xml:space="preserve">Miscanthus </w:t>
      </w:r>
      <w:r>
        <w:rPr>
          <w:rFonts w:ascii="Times New Roman" w:hAnsi="Times New Roman"/>
          <w:iCs/>
          <w:lang w:val="it-IT"/>
        </w:rPr>
        <w:t>spp</w:t>
      </w:r>
      <w:r>
        <w:rPr>
          <w:rFonts w:ascii="Times New Roman" w:hAnsi="Times New Roman"/>
        </w:rPr>
        <w:t>）、野菊（</w:t>
      </w:r>
      <w:r>
        <w:rPr>
          <w:rFonts w:ascii="Times New Roman" w:hAnsi="Times New Roman"/>
          <w:i/>
          <w:iCs/>
        </w:rPr>
        <w:t>Chrysanthemum indicum</w:t>
      </w:r>
      <w:r>
        <w:rPr>
          <w:rFonts w:ascii="Times New Roman" w:hAnsi="Times New Roman"/>
        </w:rPr>
        <w:t>）、里白（</w:t>
      </w:r>
      <w:r>
        <w:rPr>
          <w:rFonts w:ascii="Times New Roman" w:hAnsi="Times New Roman"/>
          <w:i/>
          <w:iCs/>
        </w:rPr>
        <w:t>Hicriopteris glauca</w:t>
      </w:r>
      <w:r>
        <w:rPr>
          <w:rFonts w:ascii="Times New Roman" w:hAnsi="Times New Roman"/>
        </w:rPr>
        <w:t>）、芒萁（</w:t>
      </w:r>
      <w:r>
        <w:rPr>
          <w:rFonts w:ascii="Times New Roman" w:hAnsi="Times New Roman"/>
          <w:i/>
          <w:iCs/>
        </w:rPr>
        <w:t>Dicranopteris pedata</w:t>
      </w:r>
      <w:r>
        <w:rPr>
          <w:rFonts w:ascii="Times New Roman" w:hAnsi="Times New Roman"/>
          <w:iCs/>
        </w:rPr>
        <w:t>）</w:t>
      </w:r>
      <w:r>
        <w:rPr>
          <w:rFonts w:ascii="Times New Roman" w:hAnsi="Times New Roman"/>
        </w:rPr>
        <w:t>为优势。</w:t>
      </w:r>
    </w:p>
    <w:p>
      <w:pPr>
        <w:ind w:firstLine="480"/>
        <w:rPr>
          <w:rFonts w:ascii="Times New Roman" w:hAnsi="Times New Roman"/>
        </w:rPr>
      </w:pPr>
      <w:r>
        <w:rPr>
          <w:rFonts w:ascii="Times New Roman" w:hAnsi="Times New Roman"/>
        </w:rPr>
        <w:t>4）沟谷地区及居民点周围分布着竹林，以白夹竹（</w:t>
      </w:r>
      <w:r>
        <w:rPr>
          <w:rFonts w:ascii="Times New Roman" w:hAnsi="Times New Roman"/>
          <w:i/>
          <w:iCs/>
          <w:lang w:val="it-IT"/>
        </w:rPr>
        <w:t>Phyllostachysbissetii</w:t>
      </w:r>
      <w:r>
        <w:rPr>
          <w:rFonts w:ascii="Times New Roman" w:hAnsi="Times New Roman"/>
        </w:rPr>
        <w:t>）等为代表。</w:t>
      </w:r>
    </w:p>
    <w:p>
      <w:pPr>
        <w:ind w:firstLine="480"/>
        <w:rPr>
          <w:rFonts w:ascii="Times New Roman" w:hAnsi="Times New Roman"/>
        </w:rPr>
      </w:pPr>
      <w:r>
        <w:rPr>
          <w:rFonts w:ascii="Times New Roman" w:hAnsi="Times New Roman"/>
        </w:rPr>
        <w:t>5）丘陵大部分区域开垦为旱地或农田，农业植被广泛分布，是评价范围最常见的生境类型，种植小麦（</w:t>
      </w:r>
      <w:r>
        <w:rPr>
          <w:rFonts w:ascii="Times New Roman" w:hAnsi="Times New Roman"/>
          <w:i/>
        </w:rPr>
        <w:t>Triticum aestivum</w:t>
      </w:r>
      <w:r>
        <w:rPr>
          <w:rFonts w:ascii="Times New Roman" w:hAnsi="Times New Roman"/>
        </w:rPr>
        <w:t>）、油菜（</w:t>
      </w:r>
      <w:r>
        <w:rPr>
          <w:rFonts w:ascii="Times New Roman" w:hAnsi="Times New Roman"/>
          <w:i/>
        </w:rPr>
        <w:t>Brassica campestris</w:t>
      </w:r>
      <w:r>
        <w:rPr>
          <w:rFonts w:ascii="Times New Roman" w:hAnsi="Times New Roman"/>
        </w:rPr>
        <w:t>）、水稻（</w:t>
      </w:r>
      <w:r>
        <w:rPr>
          <w:rFonts w:ascii="Times New Roman" w:hAnsi="Times New Roman"/>
          <w:i/>
          <w:lang w:val="pt-BR"/>
        </w:rPr>
        <w:t>Oryza sativa</w:t>
      </w:r>
      <w:r>
        <w:rPr>
          <w:rFonts w:ascii="Times New Roman" w:hAnsi="Times New Roman"/>
        </w:rPr>
        <w:t>）、红苕（</w:t>
      </w:r>
      <w:r>
        <w:rPr>
          <w:rFonts w:ascii="Times New Roman" w:hAnsi="Times New Roman"/>
          <w:i/>
        </w:rPr>
        <w:t>Ipomoea batatas</w:t>
      </w:r>
      <w:r>
        <w:rPr>
          <w:rFonts w:ascii="Times New Roman" w:hAnsi="Times New Roman"/>
        </w:rPr>
        <w:t>）等多种作物或蔬菜、瓜果、甜橙（</w:t>
      </w:r>
      <w:r>
        <w:rPr>
          <w:rFonts w:ascii="Times New Roman" w:hAnsi="Times New Roman"/>
          <w:i/>
        </w:rPr>
        <w:t>Citrus sinensis</w:t>
      </w:r>
      <w:r>
        <w:rPr>
          <w:rFonts w:ascii="Times New Roman" w:hAnsi="Times New Roman"/>
        </w:rPr>
        <w:t>）、柑橘（</w:t>
      </w:r>
      <w:r>
        <w:rPr>
          <w:rFonts w:ascii="Times New Roman" w:hAnsi="Times New Roman"/>
          <w:i/>
        </w:rPr>
        <w:t>Citrus reticulate</w:t>
      </w:r>
      <w:r>
        <w:rPr>
          <w:rFonts w:ascii="Times New Roman" w:hAnsi="Times New Roman"/>
        </w:rPr>
        <w:t>）、柚子（</w:t>
      </w:r>
      <w:r>
        <w:rPr>
          <w:rFonts w:ascii="Times New Roman" w:hAnsi="Times New Roman"/>
          <w:i/>
        </w:rPr>
        <w:t>Citrus maxima</w:t>
      </w:r>
      <w:r>
        <w:rPr>
          <w:rFonts w:ascii="Times New Roman" w:hAnsi="Times New Roman"/>
        </w:rPr>
        <w:t>）等。</w:t>
      </w:r>
    </w:p>
    <w:p>
      <w:pPr>
        <w:ind w:firstLine="480"/>
        <w:rPr>
          <w:rFonts w:ascii="Times New Roman" w:hAnsi="Times New Roman"/>
        </w:rPr>
      </w:pPr>
      <w:r>
        <w:rPr>
          <w:rFonts w:ascii="Times New Roman" w:hAnsi="Times New Roman"/>
        </w:rPr>
        <w:t>（2）植被类型分类</w:t>
      </w:r>
    </w:p>
    <w:p>
      <w:pPr>
        <w:ind w:firstLine="480"/>
        <w:jc w:val="both"/>
        <w:rPr>
          <w:rFonts w:ascii="Times New Roman" w:hAnsi="Times New Roman"/>
        </w:rPr>
      </w:pPr>
      <w:r>
        <w:rPr>
          <w:rFonts w:ascii="Times New Roman" w:hAnsi="Times New Roman"/>
        </w:rPr>
        <w:t>按照《四川植被》的分类原则，结合评价范围域植被构成情况，选取植被型、群系组和群系三级分类体系并结合野外调查、整理出的样方和样线资料对西南油气田桃花气田宣探1井组飞仙关组气藏试采产能建设项目评价范围的植被组成进行分类、描述。凡建群种生活型相近，群落外貌相似的植物群落联合的建群植物，对水热条件、生态关系组成一致的植物群落联合成为植被型（</w:t>
      </w:r>
      <w:r>
        <w:rPr>
          <w:rFonts w:ascii="Times New Roman" w:hAnsi="Times New Roman"/>
          <w:i/>
        </w:rPr>
        <w:t>Vegetation type</w:t>
      </w:r>
      <w:r>
        <w:rPr>
          <w:rFonts w:ascii="Times New Roman" w:hAnsi="Times New Roman"/>
        </w:rPr>
        <w:t>），是分类系统中的高级单位；凡建群种亲缘关系近似（同属或相近属），生活型近似，生态特点相同的植物群落联合为群系组（</w:t>
      </w:r>
      <w:r>
        <w:rPr>
          <w:rFonts w:ascii="Times New Roman" w:hAnsi="Times New Roman"/>
          <w:i/>
        </w:rPr>
        <w:t>Formation group）</w:t>
      </w:r>
      <w:r>
        <w:rPr>
          <w:rFonts w:ascii="Times New Roman" w:hAnsi="Times New Roman"/>
        </w:rPr>
        <w:t>，是群系以上的辅助单位；凡建群种和共建种相同的植被群落联合为群系（</w:t>
      </w:r>
      <w:r>
        <w:rPr>
          <w:rFonts w:ascii="Times New Roman" w:hAnsi="Times New Roman"/>
          <w:i/>
        </w:rPr>
        <w:t>Formation</w:t>
      </w:r>
      <w:r>
        <w:rPr>
          <w:rFonts w:ascii="Times New Roman" w:hAnsi="Times New Roman"/>
        </w:rPr>
        <w:t>），是分类系统中的中级单位。项目区域共有自然植被4种植被型组6种植被型7种植被亚型10类群系。人工植被按照农田种植植被和经济果木林植被划分为3种类型，植被组成情况分类见下</w:t>
      </w:r>
      <w:r>
        <w:rPr>
          <w:rFonts w:ascii="Times New Roman" w:hAnsi="Times New Roman"/>
        </w:rPr>
        <w:fldChar w:fldCharType="begin"/>
      </w:r>
      <w:r>
        <w:rPr>
          <w:rFonts w:ascii="Times New Roman" w:hAnsi="Times New Roman"/>
        </w:rPr>
        <w:instrText xml:space="preserve"> REF _Ref162081522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25</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63" w:name="_Ref16208152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25</w:t>
      </w:r>
      <w:r>
        <w:rPr>
          <w:rFonts w:ascii="Times New Roman" w:hAnsi="Times New Roman" w:cs="Times New Roman"/>
        </w:rPr>
        <w:fldChar w:fldCharType="end"/>
      </w:r>
      <w:bookmarkEnd w:id="163"/>
      <w:r>
        <w:rPr>
          <w:rFonts w:ascii="Times New Roman" w:hAnsi="Times New Roman" w:cs="Times New Roman"/>
        </w:rPr>
        <w:t xml:space="preserve">  项目区域植被分类</w:t>
      </w:r>
    </w:p>
    <w:tbl>
      <w:tblPr>
        <w:tblStyle w:val="28"/>
        <w:tblW w:w="5188" w:type="pct"/>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
        <w:gridCol w:w="706"/>
        <w:gridCol w:w="1424"/>
        <w:gridCol w:w="2269"/>
        <w:gridCol w:w="1701"/>
        <w:gridCol w:w="992"/>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81" w:type="pct"/>
            <w:vMerge w:val="restar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mc:AlternateContent>
                <mc:Choice Requires="wps">
                  <w:drawing>
                    <wp:anchor distT="0" distB="0" distL="114300" distR="114300" simplePos="0" relativeHeight="251665408" behindDoc="0" locked="0" layoutInCell="1" hidden="1" allowOverlap="1">
                      <wp:simplePos x="0" y="0"/>
                      <wp:positionH relativeFrom="column">
                        <wp:posOffset>0</wp:posOffset>
                      </wp:positionH>
                      <wp:positionV relativeFrom="paragraph">
                        <wp:posOffset>0</wp:posOffset>
                      </wp:positionV>
                      <wp:extent cx="685800" cy="180975"/>
                      <wp:effectExtent l="0" t="0" r="0" b="0"/>
                      <wp:wrapNone/>
                      <wp:docPr id="11" name="矩形 11" hidden="1"/>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685800" cy="180975"/>
                              </a:xfrm>
                              <a:prstGeom prst="rect">
                                <a:avLst/>
                              </a:prstGeom>
                              <a:noFill/>
                              <a:ln>
                                <a:noFill/>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0pt;margin-top:0pt;height:14.25pt;width:54pt;visibility:hidden;z-index:251665408;mso-width-relative:page;mso-height-relative:page;" filled="f" stroked="f" coordsize="21600,21600" o:gfxdata="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gkEZO9QAAAAEAQAADwAA&#10;AAAAAAABACAAAAAiAAAAZHJzL2Rvd25yZXYueG1sUEsBAhQAFAAAAAgAh07iQIzGlzEaAgAAKQQA&#10;AA4AAAAAAAAAAQAgAAAAIwEAAGRycy9lMm9Eb2MueG1sUEsFBgAAAAAGAAYAWQEAAK8FAAAAAA==&#10;">
                      <v:fill on="f" focussize="0,0"/>
                      <v:stroke on="f"/>
                      <v:imagedata o:title=""/>
                      <o:lock v:ext="edit" rotation="t" aspectratio="f"/>
                    </v:rect>
                  </w:pict>
                </mc:Fallback>
              </mc:AlternateContent>
            </w:r>
            <w:r>
              <w:rPr>
                <w:rFonts w:ascii="Times New Roman" w:hAnsi="Times New Roman"/>
                <w:sz w:val="21"/>
                <w:szCs w:val="21"/>
              </w:rPr>
              <w:t>植被</w:t>
            </w:r>
          </w:p>
          <w:p>
            <w:pPr>
              <w:spacing w:line="240" w:lineRule="auto"/>
              <w:ind w:firstLine="0" w:firstLineChars="0"/>
              <w:jc w:val="center"/>
              <w:rPr>
                <w:rFonts w:ascii="Times New Roman" w:hAnsi="Times New Roman"/>
                <w:sz w:val="21"/>
                <w:szCs w:val="21"/>
              </w:rPr>
            </w:pPr>
            <w:r>
              <w:rPr>
                <w:rFonts w:ascii="Times New Roman" w:hAnsi="Times New Roman"/>
                <w:sz w:val="21"/>
                <w:szCs w:val="21"/>
              </w:rPr>
              <w:t>型组</w:t>
            </w:r>
          </w:p>
        </w:tc>
        <w:tc>
          <w:tcPr>
            <w:tcW w:w="399" w:type="pct"/>
            <w:vMerge w:val="restar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植被型</w:t>
            </w:r>
          </w:p>
        </w:tc>
        <w:tc>
          <w:tcPr>
            <w:tcW w:w="805" w:type="pct"/>
            <w:vMerge w:val="restar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植被亚型</w:t>
            </w:r>
          </w:p>
        </w:tc>
        <w:tc>
          <w:tcPr>
            <w:tcW w:w="1283" w:type="pct"/>
            <w:vMerge w:val="restar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群系</w:t>
            </w:r>
          </w:p>
        </w:tc>
        <w:tc>
          <w:tcPr>
            <w:tcW w:w="962" w:type="pct"/>
            <w:vMerge w:val="restar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分布区域</w:t>
            </w:r>
          </w:p>
        </w:tc>
        <w:tc>
          <w:tcPr>
            <w:tcW w:w="1070" w:type="pct"/>
            <w:gridSpan w:val="2"/>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工程占用情况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81" w:type="pct"/>
            <w:vMerge w:val="continue"/>
            <w:shd w:val="clear" w:color="auto" w:fill="auto"/>
            <w:noWrap/>
            <w:vAlign w:val="center"/>
          </w:tcPr>
          <w:p>
            <w:pPr>
              <w:spacing w:line="240" w:lineRule="auto"/>
              <w:ind w:firstLine="0" w:firstLineChars="0"/>
              <w:jc w:val="center"/>
              <w:rPr>
                <w:rFonts w:ascii="Times New Roman" w:hAnsi="Times New Roman"/>
                <w:sz w:val="21"/>
                <w:szCs w:val="21"/>
              </w:rPr>
            </w:pPr>
          </w:p>
        </w:tc>
        <w:tc>
          <w:tcPr>
            <w:tcW w:w="399" w:type="pct"/>
            <w:vMerge w:val="continue"/>
            <w:shd w:val="clear" w:color="auto" w:fill="auto"/>
            <w:noWrap/>
            <w:vAlign w:val="center"/>
          </w:tcPr>
          <w:p>
            <w:pPr>
              <w:spacing w:line="240" w:lineRule="auto"/>
              <w:ind w:firstLine="0" w:firstLineChars="0"/>
              <w:jc w:val="center"/>
              <w:rPr>
                <w:rFonts w:ascii="Times New Roman" w:hAnsi="Times New Roman"/>
                <w:sz w:val="21"/>
                <w:szCs w:val="21"/>
              </w:rPr>
            </w:pPr>
          </w:p>
        </w:tc>
        <w:tc>
          <w:tcPr>
            <w:tcW w:w="805" w:type="pct"/>
            <w:vMerge w:val="continue"/>
            <w:shd w:val="clear" w:color="auto" w:fill="auto"/>
            <w:noWrap/>
            <w:vAlign w:val="center"/>
          </w:tcPr>
          <w:p>
            <w:pPr>
              <w:spacing w:line="240" w:lineRule="auto"/>
              <w:ind w:firstLine="0" w:firstLineChars="0"/>
              <w:jc w:val="center"/>
              <w:rPr>
                <w:rFonts w:ascii="Times New Roman" w:hAnsi="Times New Roman"/>
                <w:sz w:val="21"/>
                <w:szCs w:val="21"/>
              </w:rPr>
            </w:pPr>
          </w:p>
        </w:tc>
        <w:tc>
          <w:tcPr>
            <w:tcW w:w="1283" w:type="pct"/>
            <w:vMerge w:val="continue"/>
            <w:shd w:val="clear" w:color="auto" w:fill="auto"/>
            <w:noWrap/>
            <w:vAlign w:val="center"/>
          </w:tcPr>
          <w:p>
            <w:pPr>
              <w:spacing w:line="240" w:lineRule="auto"/>
              <w:ind w:firstLine="0" w:firstLineChars="0"/>
              <w:jc w:val="center"/>
              <w:rPr>
                <w:rFonts w:ascii="Times New Roman" w:hAnsi="Times New Roman"/>
                <w:sz w:val="21"/>
                <w:szCs w:val="21"/>
              </w:rPr>
            </w:pPr>
          </w:p>
        </w:tc>
        <w:tc>
          <w:tcPr>
            <w:tcW w:w="962" w:type="pct"/>
            <w:vMerge w:val="continue"/>
            <w:vAlign w:val="center"/>
          </w:tcPr>
          <w:p>
            <w:pPr>
              <w:spacing w:line="240" w:lineRule="auto"/>
              <w:ind w:firstLine="0" w:firstLineChars="0"/>
              <w:jc w:val="center"/>
              <w:rPr>
                <w:rFonts w:ascii="Times New Roman" w:hAnsi="Times New Roman"/>
                <w:sz w:val="21"/>
                <w:szCs w:val="21"/>
              </w:rPr>
            </w:pPr>
          </w:p>
        </w:tc>
        <w:tc>
          <w:tcPr>
            <w:tcW w:w="561"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占用面积（hm</w:t>
            </w:r>
            <w:r>
              <w:rPr>
                <w:rFonts w:ascii="Times New Roman" w:hAnsi="Times New Roman"/>
                <w:sz w:val="21"/>
                <w:szCs w:val="21"/>
                <w:vertAlign w:val="superscript"/>
              </w:rPr>
              <w:t>2</w:t>
            </w:r>
            <w:r>
              <w:rPr>
                <w:rFonts w:ascii="Times New Roman" w:hAnsi="Times New Roman"/>
                <w:sz w:val="21"/>
                <w:szCs w:val="21"/>
              </w:rPr>
              <w:t>）</w:t>
            </w:r>
          </w:p>
        </w:tc>
        <w:tc>
          <w:tcPr>
            <w:tcW w:w="509"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占用比例（%）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481"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针叶林</w:t>
            </w:r>
          </w:p>
        </w:tc>
        <w:tc>
          <w:tcPr>
            <w:tcW w:w="399"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Ⅰ暖性针叶林</w:t>
            </w:r>
          </w:p>
        </w:tc>
        <w:tc>
          <w:tcPr>
            <w:tcW w:w="805"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一、暖性常绿针叶林</w:t>
            </w:r>
          </w:p>
        </w:tc>
        <w:tc>
          <w:tcPr>
            <w:tcW w:w="1283"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iCs/>
                <w:sz w:val="21"/>
                <w:szCs w:val="21"/>
              </w:rPr>
              <w:t>1马尾松林（Form</w:t>
            </w:r>
            <w:r>
              <w:rPr>
                <w:rFonts w:ascii="Times New Roman" w:hAnsi="Times New Roman"/>
                <w:i/>
                <w:iCs/>
                <w:sz w:val="21"/>
                <w:szCs w:val="21"/>
              </w:rPr>
              <w:t>. Pinus massoniana</w:t>
            </w:r>
            <w:r>
              <w:rPr>
                <w:rFonts w:ascii="Times New Roman" w:hAnsi="Times New Roman"/>
                <w:sz w:val="21"/>
                <w:szCs w:val="21"/>
              </w:rPr>
              <w:t>）</w:t>
            </w:r>
          </w:p>
        </w:tc>
        <w:tc>
          <w:tcPr>
            <w:tcW w:w="962" w:type="pct"/>
            <w:vAlign w:val="center"/>
          </w:tcPr>
          <w:p>
            <w:pPr>
              <w:spacing w:line="240" w:lineRule="auto"/>
              <w:ind w:firstLine="0" w:firstLineChars="0"/>
              <w:jc w:val="center"/>
              <w:rPr>
                <w:rFonts w:ascii="Times New Roman" w:hAnsi="Times New Roman"/>
                <w:iCs/>
                <w:sz w:val="21"/>
                <w:szCs w:val="21"/>
              </w:rPr>
            </w:pPr>
            <w:r>
              <w:rPr>
                <w:rFonts w:ascii="Times New Roman" w:hAnsi="Times New Roman"/>
                <w:iCs/>
                <w:sz w:val="21"/>
                <w:szCs w:val="21"/>
              </w:rPr>
              <w:t>评价范围山地阳坡、住宅周边</w:t>
            </w:r>
          </w:p>
        </w:tc>
        <w:tc>
          <w:tcPr>
            <w:tcW w:w="561" w:type="pct"/>
            <w:vMerge w:val="restart"/>
            <w:vAlign w:val="center"/>
          </w:tcPr>
          <w:p>
            <w:pPr>
              <w:spacing w:line="240" w:lineRule="auto"/>
              <w:ind w:firstLine="0" w:firstLineChars="0"/>
              <w:jc w:val="center"/>
              <w:rPr>
                <w:rFonts w:ascii="Times New Roman" w:hAnsi="Times New Roman"/>
                <w:iCs/>
                <w:sz w:val="21"/>
                <w:szCs w:val="21"/>
              </w:rPr>
            </w:pPr>
            <w:r>
              <w:rPr>
                <w:rFonts w:ascii="Times New Roman" w:hAnsi="Times New Roman"/>
                <w:iCs/>
                <w:sz w:val="21"/>
                <w:szCs w:val="21"/>
              </w:rPr>
              <w:t>11.09</w:t>
            </w:r>
          </w:p>
        </w:tc>
        <w:tc>
          <w:tcPr>
            <w:tcW w:w="509" w:type="pct"/>
            <w:vMerge w:val="restart"/>
            <w:vAlign w:val="center"/>
          </w:tcPr>
          <w:p>
            <w:pPr>
              <w:spacing w:line="240" w:lineRule="auto"/>
              <w:ind w:firstLine="0" w:firstLineChars="0"/>
              <w:jc w:val="center"/>
              <w:rPr>
                <w:rFonts w:ascii="Times New Roman" w:hAnsi="Times New Roman"/>
                <w:iCs/>
                <w:sz w:val="21"/>
                <w:szCs w:val="21"/>
              </w:rPr>
            </w:pPr>
            <w:r>
              <w:rPr>
                <w:rFonts w:ascii="Times New Roman" w:hAnsi="Times New Roman"/>
                <w:iCs/>
                <w:sz w:val="21"/>
                <w:szCs w:val="21"/>
              </w:rPr>
              <w:t>33.80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481" w:type="pct"/>
            <w:vMerge w:val="restar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阔叶林</w:t>
            </w:r>
          </w:p>
        </w:tc>
        <w:tc>
          <w:tcPr>
            <w:tcW w:w="399" w:type="pct"/>
            <w:vMerge w:val="restar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Ⅱ落叶阔叶林</w:t>
            </w:r>
          </w:p>
        </w:tc>
        <w:tc>
          <w:tcPr>
            <w:tcW w:w="805"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二、典型落叶阔叶林</w:t>
            </w:r>
          </w:p>
        </w:tc>
        <w:tc>
          <w:tcPr>
            <w:tcW w:w="1283"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2栓皮栎林（Form.</w:t>
            </w:r>
            <w:r>
              <w:rPr>
                <w:rFonts w:ascii="Times New Roman" w:hAnsi="Times New Roman"/>
                <w:i/>
                <w:iCs/>
                <w:sz w:val="21"/>
                <w:szCs w:val="21"/>
              </w:rPr>
              <w:t xml:space="preserve"> Quercus spp.</w:t>
            </w:r>
            <w:r>
              <w:rPr>
                <w:rFonts w:ascii="Times New Roman" w:hAnsi="Times New Roman"/>
                <w:sz w:val="21"/>
                <w:szCs w:val="21"/>
              </w:rPr>
              <w:t>）</w:t>
            </w:r>
          </w:p>
        </w:tc>
        <w:tc>
          <w:tcPr>
            <w:tcW w:w="96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评价范围山地阳坡</w:t>
            </w:r>
          </w:p>
        </w:tc>
        <w:tc>
          <w:tcPr>
            <w:tcW w:w="561" w:type="pct"/>
            <w:vMerge w:val="continue"/>
            <w:vAlign w:val="center"/>
          </w:tcPr>
          <w:p>
            <w:pPr>
              <w:spacing w:line="240" w:lineRule="auto"/>
              <w:ind w:firstLine="0" w:firstLineChars="0"/>
              <w:jc w:val="center"/>
              <w:rPr>
                <w:rFonts w:ascii="Times New Roman" w:hAnsi="Times New Roman"/>
                <w:sz w:val="21"/>
                <w:szCs w:val="21"/>
              </w:rPr>
            </w:pPr>
          </w:p>
        </w:tc>
        <w:tc>
          <w:tcPr>
            <w:tcW w:w="509" w:type="pct"/>
            <w:vMerge w:val="continue"/>
            <w:vAlign w:val="center"/>
          </w:tcPr>
          <w:p>
            <w:pPr>
              <w:spacing w:line="240" w:lineRule="auto"/>
              <w:ind w:firstLine="0" w:firstLineChars="0"/>
              <w:jc w:val="center"/>
              <w:rPr>
                <w:rFonts w:ascii="Times New Roman" w:hAnsi="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481" w:type="pct"/>
            <w:vMerge w:val="continue"/>
            <w:shd w:val="clear" w:color="auto" w:fill="auto"/>
            <w:noWrap/>
            <w:vAlign w:val="center"/>
          </w:tcPr>
          <w:p>
            <w:pPr>
              <w:spacing w:line="240" w:lineRule="auto"/>
              <w:ind w:firstLine="0" w:firstLineChars="0"/>
              <w:jc w:val="center"/>
              <w:rPr>
                <w:rFonts w:ascii="Times New Roman" w:hAnsi="Times New Roman"/>
                <w:sz w:val="21"/>
                <w:szCs w:val="21"/>
              </w:rPr>
            </w:pPr>
          </w:p>
        </w:tc>
        <w:tc>
          <w:tcPr>
            <w:tcW w:w="399" w:type="pct"/>
            <w:vMerge w:val="continue"/>
            <w:shd w:val="clear" w:color="auto" w:fill="auto"/>
            <w:noWrap/>
            <w:vAlign w:val="center"/>
          </w:tcPr>
          <w:p>
            <w:pPr>
              <w:spacing w:line="240" w:lineRule="auto"/>
              <w:ind w:firstLine="0" w:firstLineChars="0"/>
              <w:jc w:val="center"/>
              <w:rPr>
                <w:rFonts w:ascii="Times New Roman" w:hAnsi="Times New Roman"/>
                <w:sz w:val="21"/>
                <w:szCs w:val="21"/>
              </w:rPr>
            </w:pPr>
          </w:p>
        </w:tc>
        <w:tc>
          <w:tcPr>
            <w:tcW w:w="805"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三、桤木林</w:t>
            </w:r>
          </w:p>
        </w:tc>
        <w:tc>
          <w:tcPr>
            <w:tcW w:w="1283"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3桤木林</w:t>
            </w:r>
            <w:r>
              <w:rPr>
                <w:rFonts w:ascii="Times New Roman" w:hAnsi="Times New Roman"/>
                <w:sz w:val="21"/>
                <w:szCs w:val="21"/>
                <w:lang w:val="it-IT"/>
              </w:rPr>
              <w:t xml:space="preserve">（Form. </w:t>
            </w:r>
            <w:r>
              <w:rPr>
                <w:rFonts w:ascii="Times New Roman" w:hAnsi="Times New Roman"/>
                <w:i/>
                <w:iCs/>
                <w:sz w:val="21"/>
                <w:szCs w:val="21"/>
                <w:lang w:val="it-IT"/>
              </w:rPr>
              <w:t>Alnuscremastogyne</w:t>
            </w:r>
            <w:r>
              <w:rPr>
                <w:rFonts w:ascii="Times New Roman" w:hAnsi="Times New Roman"/>
                <w:sz w:val="21"/>
                <w:szCs w:val="21"/>
                <w:lang w:val="it-IT"/>
              </w:rPr>
              <w:t>）</w:t>
            </w:r>
          </w:p>
        </w:tc>
        <w:tc>
          <w:tcPr>
            <w:tcW w:w="96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评价范围山地阳坡</w:t>
            </w:r>
          </w:p>
        </w:tc>
        <w:tc>
          <w:tcPr>
            <w:tcW w:w="561" w:type="pct"/>
            <w:vMerge w:val="continue"/>
            <w:vAlign w:val="center"/>
          </w:tcPr>
          <w:p>
            <w:pPr>
              <w:spacing w:line="240" w:lineRule="auto"/>
              <w:ind w:firstLine="0" w:firstLineChars="0"/>
              <w:jc w:val="center"/>
              <w:rPr>
                <w:rFonts w:ascii="Times New Roman" w:hAnsi="Times New Roman"/>
                <w:sz w:val="21"/>
                <w:szCs w:val="21"/>
              </w:rPr>
            </w:pPr>
          </w:p>
        </w:tc>
        <w:tc>
          <w:tcPr>
            <w:tcW w:w="509" w:type="pct"/>
            <w:vMerge w:val="continue"/>
            <w:vAlign w:val="center"/>
          </w:tcPr>
          <w:p>
            <w:pPr>
              <w:spacing w:line="240" w:lineRule="auto"/>
              <w:ind w:firstLine="0" w:firstLineChars="0"/>
              <w:jc w:val="center"/>
              <w:rPr>
                <w:rFonts w:ascii="Times New Roman" w:hAnsi="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481"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竹林</w:t>
            </w:r>
          </w:p>
        </w:tc>
        <w:tc>
          <w:tcPr>
            <w:tcW w:w="399"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Ⅲ竹林</w:t>
            </w:r>
          </w:p>
        </w:tc>
        <w:tc>
          <w:tcPr>
            <w:tcW w:w="805"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四、暖性竹林</w:t>
            </w:r>
          </w:p>
        </w:tc>
        <w:tc>
          <w:tcPr>
            <w:tcW w:w="1283"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4白夹竹林</w:t>
            </w:r>
            <w:r>
              <w:rPr>
                <w:rFonts w:ascii="Times New Roman" w:hAnsi="Times New Roman"/>
                <w:sz w:val="21"/>
                <w:szCs w:val="21"/>
                <w:lang w:val="it-IT"/>
              </w:rPr>
              <w:t xml:space="preserve">（Form. </w:t>
            </w:r>
            <w:r>
              <w:rPr>
                <w:rFonts w:ascii="Times New Roman" w:hAnsi="Times New Roman"/>
                <w:i/>
                <w:iCs/>
                <w:sz w:val="21"/>
                <w:szCs w:val="21"/>
                <w:lang w:val="it-IT"/>
              </w:rPr>
              <w:t>Phyllostachysbissetii</w:t>
            </w:r>
            <w:r>
              <w:rPr>
                <w:rFonts w:ascii="Times New Roman" w:hAnsi="Times New Roman"/>
                <w:sz w:val="21"/>
                <w:szCs w:val="21"/>
                <w:lang w:val="it-IT"/>
              </w:rPr>
              <w:t>）</w:t>
            </w:r>
          </w:p>
        </w:tc>
        <w:tc>
          <w:tcPr>
            <w:tcW w:w="96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评价范围山间沟谷和山间</w:t>
            </w:r>
          </w:p>
        </w:tc>
        <w:tc>
          <w:tcPr>
            <w:tcW w:w="561" w:type="pct"/>
            <w:vMerge w:val="continue"/>
            <w:vAlign w:val="center"/>
          </w:tcPr>
          <w:p>
            <w:pPr>
              <w:spacing w:line="240" w:lineRule="auto"/>
              <w:ind w:firstLine="0" w:firstLineChars="0"/>
              <w:jc w:val="center"/>
              <w:rPr>
                <w:rFonts w:ascii="Times New Roman" w:hAnsi="Times New Roman"/>
                <w:sz w:val="21"/>
                <w:szCs w:val="21"/>
              </w:rPr>
            </w:pPr>
          </w:p>
        </w:tc>
        <w:tc>
          <w:tcPr>
            <w:tcW w:w="509" w:type="pct"/>
            <w:vMerge w:val="continue"/>
            <w:vAlign w:val="center"/>
          </w:tcPr>
          <w:p>
            <w:pPr>
              <w:spacing w:line="240" w:lineRule="auto"/>
              <w:ind w:firstLine="0" w:firstLineChars="0"/>
              <w:jc w:val="center"/>
              <w:rPr>
                <w:rFonts w:ascii="Times New Roman" w:hAnsi="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481" w:type="pct"/>
            <w:vMerge w:val="restar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灌丛和</w:t>
            </w:r>
          </w:p>
          <w:p>
            <w:pPr>
              <w:spacing w:line="240" w:lineRule="auto"/>
              <w:ind w:firstLine="0" w:firstLineChars="0"/>
              <w:jc w:val="center"/>
              <w:rPr>
                <w:rFonts w:ascii="Times New Roman" w:hAnsi="Times New Roman"/>
                <w:sz w:val="21"/>
                <w:szCs w:val="21"/>
              </w:rPr>
            </w:pPr>
            <w:r>
              <w:rPr>
                <w:rFonts w:ascii="Times New Roman" w:hAnsi="Times New Roman"/>
                <w:sz w:val="21"/>
                <w:szCs w:val="21"/>
              </w:rPr>
              <w:t>灌草丛</w:t>
            </w:r>
          </w:p>
        </w:tc>
        <w:tc>
          <w:tcPr>
            <w:tcW w:w="399"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Ⅳ常绿阔叶灌丛</w:t>
            </w:r>
          </w:p>
        </w:tc>
        <w:tc>
          <w:tcPr>
            <w:tcW w:w="805"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五、暖性常绿阔叶灌丛</w:t>
            </w:r>
          </w:p>
        </w:tc>
        <w:tc>
          <w:tcPr>
            <w:tcW w:w="1283"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5格药柃灌丛</w:t>
            </w:r>
            <w:r>
              <w:rPr>
                <w:rFonts w:ascii="Times New Roman" w:hAnsi="Times New Roman"/>
                <w:sz w:val="21"/>
                <w:szCs w:val="21"/>
                <w:lang w:val="it-IT"/>
              </w:rPr>
              <w:t>（Form.</w:t>
            </w:r>
            <w:r>
              <w:rPr>
                <w:rFonts w:ascii="Times New Roman" w:hAnsi="Times New Roman"/>
                <w:sz w:val="21"/>
                <w:szCs w:val="21"/>
              </w:rPr>
              <w:t xml:space="preserve"> </w:t>
            </w:r>
            <w:r>
              <w:rPr>
                <w:rFonts w:ascii="Times New Roman" w:hAnsi="Times New Roman"/>
                <w:i/>
                <w:sz w:val="21"/>
                <w:szCs w:val="21"/>
              </w:rPr>
              <w:t>Eurya muricata</w:t>
            </w:r>
            <w:r>
              <w:rPr>
                <w:rFonts w:ascii="Times New Roman" w:hAnsi="Times New Roman"/>
                <w:sz w:val="21"/>
                <w:szCs w:val="21"/>
                <w:lang w:val="it-IT"/>
              </w:rPr>
              <w:t>）</w:t>
            </w:r>
          </w:p>
        </w:tc>
        <w:tc>
          <w:tcPr>
            <w:tcW w:w="96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针叶林、针阔混</w:t>
            </w:r>
          </w:p>
          <w:p>
            <w:pPr>
              <w:spacing w:line="240" w:lineRule="auto"/>
              <w:ind w:firstLine="0" w:firstLineChars="0"/>
              <w:jc w:val="center"/>
              <w:rPr>
                <w:rFonts w:ascii="Times New Roman" w:hAnsi="Times New Roman"/>
                <w:sz w:val="21"/>
                <w:szCs w:val="21"/>
              </w:rPr>
            </w:pPr>
            <w:r>
              <w:rPr>
                <w:rFonts w:ascii="Times New Roman" w:hAnsi="Times New Roman"/>
                <w:sz w:val="21"/>
                <w:szCs w:val="21"/>
              </w:rPr>
              <w:t>交林林缘</w:t>
            </w:r>
          </w:p>
        </w:tc>
        <w:tc>
          <w:tcPr>
            <w:tcW w:w="561" w:type="pct"/>
            <w:vMerge w:val="restar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0.23</w:t>
            </w:r>
          </w:p>
        </w:tc>
        <w:tc>
          <w:tcPr>
            <w:tcW w:w="509" w:type="pct"/>
            <w:vMerge w:val="restar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481" w:type="pct"/>
            <w:vMerge w:val="continue"/>
            <w:shd w:val="clear" w:color="auto" w:fill="auto"/>
            <w:noWrap/>
            <w:vAlign w:val="center"/>
          </w:tcPr>
          <w:p>
            <w:pPr>
              <w:spacing w:line="240" w:lineRule="auto"/>
              <w:ind w:firstLine="0" w:firstLineChars="0"/>
              <w:jc w:val="center"/>
              <w:rPr>
                <w:rFonts w:ascii="Times New Roman" w:hAnsi="Times New Roman"/>
                <w:sz w:val="21"/>
                <w:szCs w:val="21"/>
              </w:rPr>
            </w:pPr>
          </w:p>
        </w:tc>
        <w:tc>
          <w:tcPr>
            <w:tcW w:w="399" w:type="pct"/>
            <w:vMerge w:val="restar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Ⅴ落叶阔叶灌丛</w:t>
            </w:r>
          </w:p>
        </w:tc>
        <w:tc>
          <w:tcPr>
            <w:tcW w:w="805" w:type="pct"/>
            <w:vMerge w:val="restar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六、暖性落叶阔叶灌丛</w:t>
            </w:r>
          </w:p>
        </w:tc>
        <w:tc>
          <w:tcPr>
            <w:tcW w:w="1283"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6乌泡子灌丛（</w:t>
            </w:r>
            <w:r>
              <w:rPr>
                <w:rFonts w:ascii="Times New Roman" w:hAnsi="Times New Roman"/>
                <w:sz w:val="21"/>
                <w:szCs w:val="21"/>
                <w:lang w:val="it-IT"/>
              </w:rPr>
              <w:t>Form.</w:t>
            </w:r>
            <w:r>
              <w:rPr>
                <w:rFonts w:ascii="Times New Roman" w:hAnsi="Times New Roman"/>
                <w:sz w:val="21"/>
                <w:szCs w:val="21"/>
              </w:rPr>
              <w:t xml:space="preserve"> </w:t>
            </w:r>
            <w:r>
              <w:rPr>
                <w:rFonts w:ascii="Times New Roman" w:hAnsi="Times New Roman"/>
                <w:i/>
                <w:iCs/>
                <w:sz w:val="21"/>
                <w:szCs w:val="21"/>
              </w:rPr>
              <w:t>Rubus parkeri</w:t>
            </w:r>
            <w:r>
              <w:rPr>
                <w:rFonts w:ascii="Times New Roman" w:hAnsi="Times New Roman"/>
                <w:sz w:val="21"/>
                <w:szCs w:val="21"/>
              </w:rPr>
              <w:t>）</w:t>
            </w:r>
          </w:p>
        </w:tc>
        <w:tc>
          <w:tcPr>
            <w:tcW w:w="96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针叶林、针阔混</w:t>
            </w:r>
          </w:p>
          <w:p>
            <w:pPr>
              <w:spacing w:line="240" w:lineRule="auto"/>
              <w:ind w:firstLine="0" w:firstLineChars="0"/>
              <w:jc w:val="center"/>
              <w:rPr>
                <w:rFonts w:ascii="Times New Roman" w:hAnsi="Times New Roman"/>
                <w:sz w:val="21"/>
                <w:szCs w:val="21"/>
              </w:rPr>
            </w:pPr>
            <w:r>
              <w:rPr>
                <w:rFonts w:ascii="Times New Roman" w:hAnsi="Times New Roman"/>
                <w:sz w:val="21"/>
                <w:szCs w:val="21"/>
              </w:rPr>
              <w:t>交林林缘</w:t>
            </w:r>
          </w:p>
        </w:tc>
        <w:tc>
          <w:tcPr>
            <w:tcW w:w="561" w:type="pct"/>
            <w:vMerge w:val="continue"/>
            <w:vAlign w:val="center"/>
          </w:tcPr>
          <w:p>
            <w:pPr>
              <w:spacing w:line="240" w:lineRule="auto"/>
              <w:ind w:firstLine="0" w:firstLineChars="0"/>
              <w:jc w:val="center"/>
              <w:rPr>
                <w:rFonts w:ascii="Times New Roman" w:hAnsi="Times New Roman"/>
                <w:sz w:val="21"/>
                <w:szCs w:val="21"/>
              </w:rPr>
            </w:pPr>
          </w:p>
        </w:tc>
        <w:tc>
          <w:tcPr>
            <w:tcW w:w="509" w:type="pct"/>
            <w:vMerge w:val="continue"/>
            <w:vAlign w:val="center"/>
          </w:tcPr>
          <w:p>
            <w:pPr>
              <w:spacing w:line="240" w:lineRule="auto"/>
              <w:ind w:firstLine="0" w:firstLineChars="0"/>
              <w:jc w:val="center"/>
              <w:rPr>
                <w:rFonts w:ascii="Times New Roman" w:hAnsi="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481" w:type="pct"/>
            <w:vMerge w:val="continue"/>
            <w:shd w:val="clear" w:color="auto" w:fill="auto"/>
            <w:noWrap/>
            <w:vAlign w:val="center"/>
          </w:tcPr>
          <w:p>
            <w:pPr>
              <w:spacing w:line="240" w:lineRule="auto"/>
              <w:ind w:firstLine="0" w:firstLineChars="0"/>
              <w:jc w:val="center"/>
              <w:rPr>
                <w:rFonts w:ascii="Times New Roman" w:hAnsi="Times New Roman"/>
                <w:sz w:val="21"/>
                <w:szCs w:val="21"/>
              </w:rPr>
            </w:pPr>
          </w:p>
        </w:tc>
        <w:tc>
          <w:tcPr>
            <w:tcW w:w="399" w:type="pct"/>
            <w:vMerge w:val="continue"/>
            <w:shd w:val="clear" w:color="auto" w:fill="auto"/>
            <w:noWrap/>
            <w:vAlign w:val="center"/>
          </w:tcPr>
          <w:p>
            <w:pPr>
              <w:spacing w:line="240" w:lineRule="auto"/>
              <w:ind w:firstLine="0" w:firstLineChars="0"/>
              <w:jc w:val="center"/>
              <w:rPr>
                <w:rFonts w:ascii="Times New Roman" w:hAnsi="Times New Roman"/>
                <w:sz w:val="21"/>
                <w:szCs w:val="21"/>
              </w:rPr>
            </w:pPr>
          </w:p>
        </w:tc>
        <w:tc>
          <w:tcPr>
            <w:tcW w:w="805" w:type="pct"/>
            <w:vMerge w:val="continue"/>
            <w:shd w:val="clear" w:color="auto" w:fill="auto"/>
            <w:noWrap/>
            <w:vAlign w:val="center"/>
          </w:tcPr>
          <w:p>
            <w:pPr>
              <w:spacing w:line="240" w:lineRule="auto"/>
              <w:ind w:firstLine="0" w:firstLineChars="0"/>
              <w:jc w:val="center"/>
              <w:rPr>
                <w:rFonts w:ascii="Times New Roman" w:hAnsi="Times New Roman"/>
                <w:sz w:val="21"/>
                <w:szCs w:val="21"/>
              </w:rPr>
            </w:pPr>
          </w:p>
        </w:tc>
        <w:tc>
          <w:tcPr>
            <w:tcW w:w="1283"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7</w:t>
            </w:r>
            <w:r>
              <w:rPr>
                <w:rFonts w:hint="eastAsia" w:ascii="Times New Roman" w:hAnsi="Times New Roman"/>
                <w:sz w:val="21"/>
                <w:szCs w:val="21"/>
                <w:lang w:eastAsia="zh-CN"/>
              </w:rPr>
              <w:t>高粱</w:t>
            </w:r>
            <w:r>
              <w:rPr>
                <w:rFonts w:ascii="Times New Roman" w:hAnsi="Times New Roman"/>
                <w:sz w:val="21"/>
                <w:szCs w:val="21"/>
              </w:rPr>
              <w:t>泡灌丛（</w:t>
            </w:r>
            <w:r>
              <w:rPr>
                <w:rFonts w:ascii="Times New Roman" w:hAnsi="Times New Roman"/>
                <w:sz w:val="21"/>
                <w:szCs w:val="21"/>
                <w:lang w:val="it-IT"/>
              </w:rPr>
              <w:t>Form.</w:t>
            </w:r>
            <w:r>
              <w:rPr>
                <w:rFonts w:ascii="Times New Roman" w:hAnsi="Times New Roman"/>
                <w:sz w:val="21"/>
                <w:szCs w:val="21"/>
              </w:rPr>
              <w:t xml:space="preserve"> </w:t>
            </w:r>
            <w:r>
              <w:rPr>
                <w:rFonts w:ascii="Times New Roman" w:hAnsi="Times New Roman"/>
                <w:i/>
                <w:iCs/>
                <w:sz w:val="21"/>
                <w:szCs w:val="21"/>
              </w:rPr>
              <w:t>Rubus lambertianus</w:t>
            </w:r>
            <w:r>
              <w:rPr>
                <w:rFonts w:ascii="Times New Roman" w:hAnsi="Times New Roman"/>
                <w:sz w:val="21"/>
                <w:szCs w:val="21"/>
              </w:rPr>
              <w:t>）</w:t>
            </w:r>
          </w:p>
        </w:tc>
        <w:tc>
          <w:tcPr>
            <w:tcW w:w="96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针叶林、针阔混</w:t>
            </w:r>
          </w:p>
          <w:p>
            <w:pPr>
              <w:spacing w:line="240" w:lineRule="auto"/>
              <w:ind w:firstLine="0" w:firstLineChars="0"/>
              <w:jc w:val="center"/>
              <w:rPr>
                <w:rFonts w:ascii="Times New Roman" w:hAnsi="Times New Roman"/>
                <w:sz w:val="21"/>
                <w:szCs w:val="21"/>
              </w:rPr>
            </w:pPr>
            <w:r>
              <w:rPr>
                <w:rFonts w:ascii="Times New Roman" w:hAnsi="Times New Roman"/>
                <w:sz w:val="21"/>
                <w:szCs w:val="21"/>
              </w:rPr>
              <w:t>交林林缘</w:t>
            </w:r>
          </w:p>
        </w:tc>
        <w:tc>
          <w:tcPr>
            <w:tcW w:w="561" w:type="pct"/>
            <w:vMerge w:val="continue"/>
            <w:vAlign w:val="center"/>
          </w:tcPr>
          <w:p>
            <w:pPr>
              <w:spacing w:line="240" w:lineRule="auto"/>
              <w:ind w:firstLine="0" w:firstLineChars="0"/>
              <w:jc w:val="center"/>
              <w:rPr>
                <w:rFonts w:ascii="Times New Roman" w:hAnsi="Times New Roman"/>
                <w:sz w:val="21"/>
                <w:szCs w:val="21"/>
              </w:rPr>
            </w:pPr>
          </w:p>
        </w:tc>
        <w:tc>
          <w:tcPr>
            <w:tcW w:w="509" w:type="pct"/>
            <w:vMerge w:val="continue"/>
            <w:vAlign w:val="center"/>
          </w:tcPr>
          <w:p>
            <w:pPr>
              <w:spacing w:line="240" w:lineRule="auto"/>
              <w:ind w:firstLine="0" w:firstLineChars="0"/>
              <w:jc w:val="center"/>
              <w:rPr>
                <w:rFonts w:ascii="Times New Roman" w:hAnsi="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481" w:type="pct"/>
            <w:vMerge w:val="continue"/>
            <w:shd w:val="clear" w:color="auto" w:fill="auto"/>
            <w:noWrap/>
            <w:vAlign w:val="center"/>
          </w:tcPr>
          <w:p>
            <w:pPr>
              <w:spacing w:line="240" w:lineRule="auto"/>
              <w:ind w:firstLine="0" w:firstLineChars="0"/>
              <w:jc w:val="center"/>
              <w:rPr>
                <w:rFonts w:ascii="Times New Roman" w:hAnsi="Times New Roman"/>
                <w:sz w:val="21"/>
                <w:szCs w:val="21"/>
              </w:rPr>
            </w:pPr>
          </w:p>
        </w:tc>
        <w:tc>
          <w:tcPr>
            <w:tcW w:w="399" w:type="pct"/>
            <w:vMerge w:val="restar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Ⅵ灌草丛</w:t>
            </w:r>
          </w:p>
        </w:tc>
        <w:tc>
          <w:tcPr>
            <w:tcW w:w="805" w:type="pct"/>
            <w:vMerge w:val="restar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七、暖热性灌草丛</w:t>
            </w:r>
          </w:p>
          <w:p>
            <w:pPr>
              <w:spacing w:line="240" w:lineRule="auto"/>
              <w:ind w:firstLine="420"/>
              <w:jc w:val="center"/>
              <w:rPr>
                <w:rFonts w:ascii="Times New Roman" w:hAnsi="Times New Roman"/>
                <w:sz w:val="21"/>
                <w:szCs w:val="21"/>
              </w:rPr>
            </w:pPr>
          </w:p>
        </w:tc>
        <w:tc>
          <w:tcPr>
            <w:tcW w:w="1283"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8芒草草丛</w:t>
            </w:r>
            <w:r>
              <w:rPr>
                <w:rFonts w:ascii="Times New Roman" w:hAnsi="Times New Roman"/>
                <w:sz w:val="21"/>
                <w:szCs w:val="21"/>
                <w:lang w:val="it-IT"/>
              </w:rPr>
              <w:t xml:space="preserve">（Form. </w:t>
            </w:r>
            <w:r>
              <w:rPr>
                <w:rFonts w:ascii="Times New Roman" w:hAnsi="Times New Roman"/>
                <w:i/>
                <w:sz w:val="21"/>
                <w:szCs w:val="21"/>
                <w:lang w:val="it-IT"/>
              </w:rPr>
              <w:t xml:space="preserve">Miscanthus </w:t>
            </w:r>
            <w:r>
              <w:rPr>
                <w:rFonts w:ascii="Times New Roman" w:hAnsi="Times New Roman"/>
                <w:iCs/>
                <w:sz w:val="21"/>
                <w:szCs w:val="21"/>
                <w:lang w:val="it-IT"/>
              </w:rPr>
              <w:t>spp.</w:t>
            </w:r>
            <w:r>
              <w:rPr>
                <w:rFonts w:ascii="Times New Roman" w:hAnsi="Times New Roman"/>
                <w:sz w:val="21"/>
                <w:szCs w:val="21"/>
                <w:lang w:val="it-IT"/>
              </w:rPr>
              <w:t>）</w:t>
            </w:r>
          </w:p>
        </w:tc>
        <w:tc>
          <w:tcPr>
            <w:tcW w:w="96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林缘、林下、路边</w:t>
            </w:r>
          </w:p>
        </w:tc>
        <w:tc>
          <w:tcPr>
            <w:tcW w:w="561" w:type="pct"/>
            <w:vMerge w:val="restar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5.55</w:t>
            </w:r>
          </w:p>
        </w:tc>
        <w:tc>
          <w:tcPr>
            <w:tcW w:w="509" w:type="pct"/>
            <w:vMerge w:val="restar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16.92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481" w:type="pct"/>
            <w:vMerge w:val="continue"/>
            <w:shd w:val="clear" w:color="auto" w:fill="auto"/>
            <w:noWrap/>
            <w:vAlign w:val="center"/>
          </w:tcPr>
          <w:p>
            <w:pPr>
              <w:spacing w:line="240" w:lineRule="auto"/>
              <w:ind w:firstLine="0" w:firstLineChars="0"/>
              <w:jc w:val="center"/>
              <w:rPr>
                <w:rFonts w:ascii="Times New Roman" w:hAnsi="Times New Roman"/>
                <w:sz w:val="21"/>
                <w:szCs w:val="21"/>
              </w:rPr>
            </w:pPr>
          </w:p>
        </w:tc>
        <w:tc>
          <w:tcPr>
            <w:tcW w:w="399" w:type="pct"/>
            <w:vMerge w:val="continue"/>
            <w:shd w:val="clear" w:color="auto" w:fill="auto"/>
            <w:noWrap/>
            <w:vAlign w:val="center"/>
          </w:tcPr>
          <w:p>
            <w:pPr>
              <w:spacing w:line="240" w:lineRule="auto"/>
              <w:ind w:firstLine="0" w:firstLineChars="0"/>
              <w:jc w:val="center"/>
              <w:rPr>
                <w:rFonts w:ascii="Times New Roman" w:hAnsi="Times New Roman"/>
                <w:sz w:val="21"/>
                <w:szCs w:val="21"/>
              </w:rPr>
            </w:pPr>
          </w:p>
        </w:tc>
        <w:tc>
          <w:tcPr>
            <w:tcW w:w="805" w:type="pct"/>
            <w:vMerge w:val="continue"/>
            <w:shd w:val="clear" w:color="auto" w:fill="auto"/>
            <w:noWrap/>
            <w:vAlign w:val="center"/>
          </w:tcPr>
          <w:p>
            <w:pPr>
              <w:spacing w:line="240" w:lineRule="auto"/>
              <w:ind w:firstLine="420"/>
              <w:jc w:val="center"/>
              <w:rPr>
                <w:rFonts w:ascii="Times New Roman" w:hAnsi="Times New Roman"/>
                <w:sz w:val="21"/>
                <w:szCs w:val="21"/>
              </w:rPr>
            </w:pPr>
          </w:p>
        </w:tc>
        <w:tc>
          <w:tcPr>
            <w:tcW w:w="1283"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9芒萁草丛（</w:t>
            </w:r>
            <w:r>
              <w:rPr>
                <w:rFonts w:ascii="Times New Roman" w:hAnsi="Times New Roman"/>
                <w:sz w:val="21"/>
                <w:szCs w:val="21"/>
                <w:lang w:val="it-IT"/>
              </w:rPr>
              <w:t>Form.</w:t>
            </w:r>
            <w:r>
              <w:rPr>
                <w:rFonts w:ascii="Times New Roman" w:hAnsi="Times New Roman"/>
                <w:sz w:val="21"/>
                <w:szCs w:val="21"/>
              </w:rPr>
              <w:t xml:space="preserve"> </w:t>
            </w:r>
            <w:r>
              <w:rPr>
                <w:rFonts w:ascii="Times New Roman" w:hAnsi="Times New Roman"/>
                <w:i/>
                <w:iCs/>
                <w:sz w:val="21"/>
                <w:szCs w:val="21"/>
              </w:rPr>
              <w:t>Dicranopteris pedata</w:t>
            </w:r>
            <w:r>
              <w:rPr>
                <w:rFonts w:ascii="Times New Roman" w:hAnsi="Times New Roman"/>
                <w:sz w:val="21"/>
                <w:szCs w:val="21"/>
              </w:rPr>
              <w:t>）</w:t>
            </w:r>
          </w:p>
        </w:tc>
        <w:tc>
          <w:tcPr>
            <w:tcW w:w="96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林缘、林下、路边</w:t>
            </w:r>
          </w:p>
        </w:tc>
        <w:tc>
          <w:tcPr>
            <w:tcW w:w="561" w:type="pct"/>
            <w:vMerge w:val="continue"/>
            <w:vAlign w:val="center"/>
          </w:tcPr>
          <w:p>
            <w:pPr>
              <w:spacing w:line="240" w:lineRule="auto"/>
              <w:ind w:firstLine="0" w:firstLineChars="0"/>
              <w:jc w:val="center"/>
              <w:rPr>
                <w:rFonts w:ascii="Times New Roman" w:hAnsi="Times New Roman"/>
                <w:sz w:val="21"/>
                <w:szCs w:val="21"/>
              </w:rPr>
            </w:pPr>
          </w:p>
        </w:tc>
        <w:tc>
          <w:tcPr>
            <w:tcW w:w="509" w:type="pct"/>
            <w:vMerge w:val="continue"/>
            <w:vAlign w:val="center"/>
          </w:tcPr>
          <w:p>
            <w:pPr>
              <w:spacing w:line="240" w:lineRule="auto"/>
              <w:ind w:firstLine="0" w:firstLineChars="0"/>
              <w:jc w:val="center"/>
              <w:rPr>
                <w:rFonts w:ascii="Times New Roman" w:hAnsi="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481" w:type="pct"/>
            <w:vMerge w:val="continue"/>
            <w:shd w:val="clear" w:color="auto" w:fill="auto"/>
            <w:noWrap/>
            <w:vAlign w:val="center"/>
          </w:tcPr>
          <w:p>
            <w:pPr>
              <w:spacing w:line="240" w:lineRule="auto"/>
              <w:ind w:firstLine="0" w:firstLineChars="0"/>
              <w:jc w:val="center"/>
              <w:rPr>
                <w:rFonts w:ascii="Times New Roman" w:hAnsi="Times New Roman"/>
                <w:sz w:val="21"/>
                <w:szCs w:val="21"/>
              </w:rPr>
            </w:pPr>
          </w:p>
        </w:tc>
        <w:tc>
          <w:tcPr>
            <w:tcW w:w="399" w:type="pct"/>
            <w:vMerge w:val="continue"/>
            <w:shd w:val="clear" w:color="auto" w:fill="auto"/>
            <w:noWrap/>
            <w:vAlign w:val="center"/>
          </w:tcPr>
          <w:p>
            <w:pPr>
              <w:spacing w:line="240" w:lineRule="auto"/>
              <w:ind w:firstLine="0" w:firstLineChars="0"/>
              <w:jc w:val="center"/>
              <w:rPr>
                <w:rFonts w:ascii="Times New Roman" w:hAnsi="Times New Roman"/>
                <w:sz w:val="21"/>
                <w:szCs w:val="21"/>
              </w:rPr>
            </w:pPr>
          </w:p>
        </w:tc>
        <w:tc>
          <w:tcPr>
            <w:tcW w:w="805" w:type="pct"/>
            <w:vMerge w:val="continue"/>
            <w:shd w:val="clear" w:color="auto" w:fill="auto"/>
            <w:noWrap/>
            <w:vAlign w:val="center"/>
          </w:tcPr>
          <w:p>
            <w:pPr>
              <w:spacing w:line="240" w:lineRule="auto"/>
              <w:ind w:firstLine="0" w:firstLineChars="0"/>
              <w:jc w:val="center"/>
              <w:rPr>
                <w:rFonts w:ascii="Times New Roman" w:hAnsi="Times New Roman"/>
                <w:sz w:val="21"/>
                <w:szCs w:val="21"/>
              </w:rPr>
            </w:pPr>
          </w:p>
        </w:tc>
        <w:tc>
          <w:tcPr>
            <w:tcW w:w="1283"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10里白（Form.</w:t>
            </w:r>
            <w:r>
              <w:rPr>
                <w:rFonts w:ascii="Times New Roman" w:hAnsi="Times New Roman"/>
                <w:i/>
                <w:iCs/>
              </w:rPr>
              <w:t xml:space="preserve"> Hicriopteris glauca</w:t>
            </w:r>
            <w:r>
              <w:rPr>
                <w:rFonts w:ascii="Times New Roman" w:hAnsi="Times New Roman"/>
                <w:sz w:val="21"/>
                <w:szCs w:val="21"/>
              </w:rPr>
              <w:t>）</w:t>
            </w:r>
          </w:p>
        </w:tc>
        <w:tc>
          <w:tcPr>
            <w:tcW w:w="96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林缘</w:t>
            </w:r>
          </w:p>
        </w:tc>
        <w:tc>
          <w:tcPr>
            <w:tcW w:w="561" w:type="pct"/>
            <w:vMerge w:val="continue"/>
            <w:vAlign w:val="center"/>
          </w:tcPr>
          <w:p>
            <w:pPr>
              <w:spacing w:line="240" w:lineRule="auto"/>
              <w:ind w:firstLine="0" w:firstLineChars="0"/>
              <w:jc w:val="center"/>
              <w:rPr>
                <w:rFonts w:ascii="Times New Roman" w:hAnsi="Times New Roman"/>
                <w:sz w:val="21"/>
                <w:szCs w:val="21"/>
              </w:rPr>
            </w:pPr>
          </w:p>
        </w:tc>
        <w:tc>
          <w:tcPr>
            <w:tcW w:w="509" w:type="pct"/>
            <w:vMerge w:val="continue"/>
            <w:vAlign w:val="center"/>
          </w:tcPr>
          <w:p>
            <w:pPr>
              <w:spacing w:line="240" w:lineRule="auto"/>
              <w:ind w:firstLine="0" w:firstLineChars="0"/>
              <w:jc w:val="center"/>
              <w:rPr>
                <w:rFonts w:ascii="Times New Roman" w:hAnsi="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1685" w:type="pct"/>
            <w:gridSpan w:val="3"/>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栽植植被</w:t>
            </w:r>
          </w:p>
        </w:tc>
        <w:tc>
          <w:tcPr>
            <w:tcW w:w="1283" w:type="pct"/>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农作物</w:t>
            </w:r>
          </w:p>
        </w:tc>
        <w:tc>
          <w:tcPr>
            <w:tcW w:w="96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耕地中广泛分布</w:t>
            </w:r>
          </w:p>
        </w:tc>
        <w:tc>
          <w:tcPr>
            <w:tcW w:w="561"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8.06</w:t>
            </w:r>
          </w:p>
        </w:tc>
        <w:tc>
          <w:tcPr>
            <w:tcW w:w="509"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24.56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trPr>
        <w:tc>
          <w:tcPr>
            <w:tcW w:w="3930" w:type="pct"/>
            <w:gridSpan w:val="5"/>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其他</w:t>
            </w:r>
          </w:p>
        </w:tc>
        <w:tc>
          <w:tcPr>
            <w:tcW w:w="561"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7.88</w:t>
            </w:r>
          </w:p>
        </w:tc>
        <w:tc>
          <w:tcPr>
            <w:tcW w:w="509"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24.02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trPr>
        <w:tc>
          <w:tcPr>
            <w:tcW w:w="3930" w:type="pct"/>
            <w:gridSpan w:val="5"/>
            <w:shd w:val="clear" w:color="auto" w:fill="auto"/>
            <w:noWrap/>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合计</w:t>
            </w:r>
          </w:p>
        </w:tc>
        <w:tc>
          <w:tcPr>
            <w:tcW w:w="561"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32.81</w:t>
            </w:r>
          </w:p>
        </w:tc>
        <w:tc>
          <w:tcPr>
            <w:tcW w:w="509"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100</w:t>
            </w:r>
          </w:p>
        </w:tc>
      </w:tr>
    </w:tbl>
    <w:p>
      <w:pPr>
        <w:ind w:firstLine="480"/>
        <w:rPr>
          <w:rFonts w:ascii="Times New Roman" w:hAnsi="Times New Roman"/>
        </w:rPr>
      </w:pPr>
      <w:r>
        <w:rPr>
          <w:rFonts w:ascii="Times New Roman" w:hAnsi="Times New Roman"/>
        </w:rPr>
        <w:t>一、自然植被</w:t>
      </w:r>
    </w:p>
    <w:p>
      <w:pPr>
        <w:autoSpaceDE w:val="0"/>
        <w:autoSpaceDN w:val="0"/>
        <w:adjustRightInd w:val="0"/>
        <w:ind w:firstLine="441" w:firstLineChars="183"/>
        <w:rPr>
          <w:rFonts w:ascii="Times New Roman" w:hAnsi="Times New Roman"/>
          <w:b/>
          <w:bCs/>
        </w:rPr>
      </w:pPr>
      <w:r>
        <w:rPr>
          <w:rFonts w:ascii="Times New Roman" w:hAnsi="Times New Roman"/>
          <w:b/>
          <w:bCs/>
        </w:rPr>
        <w:t xml:space="preserve">（1）马尾松林（Form. </w:t>
      </w:r>
      <w:r>
        <w:rPr>
          <w:rFonts w:ascii="Times New Roman" w:hAnsi="Times New Roman"/>
          <w:b/>
          <w:bCs/>
          <w:i/>
          <w:iCs/>
        </w:rPr>
        <w:t>Pinus massoniana</w:t>
      </w:r>
      <w:r>
        <w:rPr>
          <w:rFonts w:ascii="Times New Roman" w:hAnsi="Times New Roman"/>
          <w:b/>
          <w:bCs/>
        </w:rPr>
        <w:t>）</w:t>
      </w:r>
    </w:p>
    <w:p>
      <w:pPr>
        <w:ind w:firstLine="424" w:firstLineChars="177"/>
        <w:rPr>
          <w:rFonts w:ascii="Times New Roman" w:hAnsi="Times New Roman"/>
        </w:rPr>
      </w:pPr>
      <w:r>
        <w:rPr>
          <w:rFonts w:ascii="Times New Roman" w:hAnsi="Times New Roman"/>
        </w:rPr>
        <w:t>马尾松林是四川低海拔地区针叶林的代表林种之一，在四川中部、北部和东部地区分布范围较广。马尾松是向阳、喜温暖的树种。多分布于酸性土上。分布区的土壤发育于砂岩、页岩的酸性黄壤、酸性紫色土或石灰岩经淋溶后形成的酸性土壤。集中分布于评价范围的深丘坡地、山脊等，海拔400~1000m。在评价范围内马尾松林林龄多在30年以下，广泛分布于低山山坡上。</w:t>
      </w:r>
    </w:p>
    <w:p>
      <w:pPr>
        <w:ind w:firstLine="424" w:firstLineChars="177"/>
        <w:rPr>
          <w:rFonts w:ascii="Times New Roman" w:hAnsi="Times New Roman"/>
        </w:rPr>
      </w:pPr>
      <w:r>
        <w:rPr>
          <w:rFonts w:ascii="Times New Roman" w:hAnsi="Times New Roman"/>
        </w:rPr>
        <w:t>群落外貌翠绿色，林冠较整齐。多为人工起源。除部分幼林外，一般树龄差异大，通常树龄不超过30年。郁闭度0.6~0.8。株高10~15m，胸径一般10~30cm。以纯林或与柏木混生为主要群落结构。林内通风透光良好，较少苔藓等活地被物，乔灌草三层层次明显。</w:t>
      </w:r>
    </w:p>
    <w:p>
      <w:pPr>
        <w:ind w:firstLine="424" w:firstLineChars="177"/>
        <w:rPr>
          <w:rFonts w:ascii="Times New Roman" w:hAnsi="Times New Roman"/>
        </w:rPr>
      </w:pPr>
      <w:r>
        <w:rPr>
          <w:rFonts w:ascii="Times New Roman" w:hAnsi="Times New Roman"/>
        </w:rPr>
        <w:t>乔木层除马尾松外，多见柏木（</w:t>
      </w:r>
      <w:r>
        <w:rPr>
          <w:rFonts w:ascii="Times New Roman" w:hAnsi="Times New Roman"/>
          <w:i/>
          <w:iCs/>
        </w:rPr>
        <w:t>Cupressus funebris）</w:t>
      </w:r>
      <w:r>
        <w:rPr>
          <w:rFonts w:ascii="Times New Roman" w:hAnsi="Times New Roman"/>
        </w:rPr>
        <w:t>、栎（</w:t>
      </w:r>
      <w:r>
        <w:rPr>
          <w:rFonts w:ascii="Times New Roman" w:hAnsi="Times New Roman"/>
          <w:i/>
          <w:iCs/>
        </w:rPr>
        <w:t>Quercus spp.</w:t>
      </w:r>
      <w:r>
        <w:rPr>
          <w:rFonts w:ascii="Times New Roman" w:hAnsi="Times New Roman"/>
        </w:rPr>
        <w:t>）与之混生于松林林缘地带，但树高明显低于马尾松。林下灌木以格药柃（</w:t>
      </w:r>
      <w:r>
        <w:rPr>
          <w:rFonts w:ascii="Times New Roman" w:hAnsi="Times New Roman"/>
          <w:i/>
        </w:rPr>
        <w:t>Eurya muricata</w:t>
      </w:r>
      <w:r>
        <w:rPr>
          <w:rFonts w:ascii="Times New Roman" w:hAnsi="Times New Roman"/>
        </w:rPr>
        <w:t>）、</w:t>
      </w:r>
      <w:r>
        <w:rPr>
          <w:rFonts w:hint="eastAsia" w:ascii="Times New Roman" w:hAnsi="Times New Roman"/>
          <w:lang w:eastAsia="zh-CN"/>
        </w:rPr>
        <w:t>高粱</w:t>
      </w:r>
      <w:r>
        <w:rPr>
          <w:rFonts w:ascii="Times New Roman" w:hAnsi="Times New Roman"/>
        </w:rPr>
        <w:t>泡灌丛（</w:t>
      </w:r>
      <w:r>
        <w:rPr>
          <w:rFonts w:ascii="Times New Roman" w:hAnsi="Times New Roman"/>
          <w:i/>
          <w:iCs/>
        </w:rPr>
        <w:t>Rubus lambertianus</w:t>
      </w:r>
      <w:r>
        <w:rPr>
          <w:rFonts w:ascii="Times New Roman" w:hAnsi="Times New Roman"/>
        </w:rPr>
        <w:t>）、乌泡子灌丛（</w:t>
      </w:r>
      <w:r>
        <w:rPr>
          <w:rFonts w:ascii="Times New Roman" w:hAnsi="Times New Roman"/>
          <w:i/>
          <w:iCs/>
        </w:rPr>
        <w:t>Rubus parkeri</w:t>
      </w:r>
      <w:r>
        <w:rPr>
          <w:rFonts w:ascii="Times New Roman" w:hAnsi="Times New Roman"/>
        </w:rPr>
        <w:t>）为主，草本层常以里白（</w:t>
      </w:r>
      <w:r>
        <w:rPr>
          <w:rFonts w:ascii="Times New Roman" w:hAnsi="Times New Roman"/>
          <w:i/>
          <w:iCs/>
        </w:rPr>
        <w:t>Hicriopteris glauca</w:t>
      </w:r>
      <w:r>
        <w:rPr>
          <w:rFonts w:ascii="Times New Roman" w:hAnsi="Times New Roman"/>
        </w:rPr>
        <w:t>）、芒萁（</w:t>
      </w:r>
      <w:r>
        <w:rPr>
          <w:rFonts w:ascii="Times New Roman" w:hAnsi="Times New Roman"/>
          <w:i/>
          <w:iCs/>
        </w:rPr>
        <w:t>Dicranopteris pedata</w:t>
      </w:r>
      <w:r>
        <w:rPr>
          <w:rFonts w:ascii="Times New Roman" w:hAnsi="Times New Roman"/>
        </w:rPr>
        <w:t>）、猫儿刺（</w:t>
      </w:r>
      <w:r>
        <w:rPr>
          <w:rFonts w:ascii="Times New Roman" w:hAnsi="Times New Roman"/>
          <w:i/>
          <w:iCs/>
        </w:rPr>
        <w:t>Ilex pernyi</w:t>
      </w:r>
      <w:r>
        <w:rPr>
          <w:rFonts w:ascii="Times New Roman" w:hAnsi="Times New Roman"/>
        </w:rPr>
        <w:t>）、山茶（</w:t>
      </w:r>
      <w:r>
        <w:rPr>
          <w:rFonts w:ascii="Times New Roman" w:hAnsi="Times New Roman"/>
          <w:i/>
          <w:iCs/>
        </w:rPr>
        <w:t>Theaceae</w:t>
      </w:r>
      <w:r>
        <w:rPr>
          <w:rFonts w:ascii="Times New Roman" w:hAnsi="Times New Roman"/>
        </w:rPr>
        <w:t>）、山麦冬（</w:t>
      </w:r>
      <w:r>
        <w:rPr>
          <w:rFonts w:ascii="Times New Roman" w:hAnsi="Times New Roman"/>
          <w:i/>
          <w:iCs/>
        </w:rPr>
        <w:t>Liriope graminifolia</w:t>
      </w:r>
      <w:r>
        <w:rPr>
          <w:rFonts w:ascii="Times New Roman" w:hAnsi="Times New Roman"/>
        </w:rPr>
        <w:t>）、贯众（</w:t>
      </w:r>
      <w:r>
        <w:rPr>
          <w:rFonts w:ascii="Times New Roman" w:hAnsi="Times New Roman"/>
          <w:i/>
          <w:iCs/>
        </w:rPr>
        <w:t>Cyrtomium fortunei</w:t>
      </w:r>
      <w:r>
        <w:rPr>
          <w:rFonts w:ascii="Times New Roman" w:hAnsi="Times New Roman"/>
        </w:rPr>
        <w:t>）、茅叶荩草（</w:t>
      </w:r>
      <w:r>
        <w:rPr>
          <w:rFonts w:ascii="Times New Roman" w:hAnsi="Times New Roman"/>
          <w:i/>
          <w:iCs/>
        </w:rPr>
        <w:t>Arthraxon lanceolatus</w:t>
      </w:r>
      <w:r>
        <w:rPr>
          <w:rFonts w:ascii="Times New Roman" w:hAnsi="Times New Roman"/>
        </w:rPr>
        <w:t>）等。</w:t>
      </w:r>
    </w:p>
    <w:p>
      <w:pPr>
        <w:autoSpaceDE w:val="0"/>
        <w:autoSpaceDN w:val="0"/>
        <w:adjustRightInd w:val="0"/>
        <w:ind w:firstLine="441" w:firstLineChars="183"/>
        <w:jc w:val="both"/>
        <w:rPr>
          <w:rFonts w:ascii="Times New Roman" w:hAnsi="Times New Roman"/>
          <w:b/>
          <w:bCs/>
        </w:rPr>
      </w:pPr>
      <w:r>
        <w:rPr>
          <w:rFonts w:ascii="Times New Roman" w:hAnsi="Times New Roman"/>
          <w:b/>
          <w:bCs/>
        </w:rPr>
        <w:t xml:space="preserve">（2）栎类林（Form. </w:t>
      </w:r>
      <w:r>
        <w:rPr>
          <w:rFonts w:ascii="Times New Roman" w:hAnsi="Times New Roman"/>
          <w:b/>
          <w:bCs/>
          <w:i/>
          <w:iCs/>
        </w:rPr>
        <w:t>Quercus</w:t>
      </w:r>
      <w:r>
        <w:rPr>
          <w:rFonts w:ascii="Times New Roman" w:hAnsi="Times New Roman"/>
          <w:b/>
          <w:bCs/>
        </w:rPr>
        <w:t xml:space="preserve"> spp.）</w:t>
      </w:r>
    </w:p>
    <w:p>
      <w:pPr>
        <w:ind w:firstLine="424" w:firstLineChars="177"/>
        <w:jc w:val="both"/>
        <w:rPr>
          <w:rFonts w:ascii="Times New Roman" w:hAnsi="Times New Roman"/>
        </w:rPr>
      </w:pPr>
      <w:r>
        <w:rPr>
          <w:rFonts w:ascii="Times New Roman" w:hAnsi="Times New Roman"/>
        </w:rPr>
        <w:t>栎林实际上是阔叶树混交杂木林，当地人将此类杂木林统称为青杠（冈）林，是评价范围内较常见的落叶阔叶树种混生的林型，该群落还常与马尾松林、柏木林（（</w:t>
      </w:r>
      <w:r>
        <w:rPr>
          <w:rFonts w:ascii="Times New Roman" w:hAnsi="Times New Roman"/>
          <w:i/>
          <w:iCs/>
          <w:sz w:val="21"/>
          <w:szCs w:val="21"/>
        </w:rPr>
        <w:t>Cupressus funebris</w:t>
      </w:r>
      <w:r>
        <w:rPr>
          <w:rFonts w:ascii="Times New Roman" w:hAnsi="Times New Roman"/>
        </w:rPr>
        <w:t>））混生。</w:t>
      </w:r>
    </w:p>
    <w:p>
      <w:pPr>
        <w:ind w:firstLine="480"/>
        <w:jc w:val="both"/>
        <w:rPr>
          <w:rFonts w:ascii="Times New Roman" w:hAnsi="Times New Roman"/>
          <w:lang w:val="zh-CN"/>
        </w:rPr>
      </w:pPr>
      <w:r>
        <w:rPr>
          <w:rFonts w:ascii="Times New Roman" w:hAnsi="Times New Roman"/>
        </w:rPr>
        <w:t>栓皮栎（</w:t>
      </w:r>
      <w:r>
        <w:rPr>
          <w:rFonts w:ascii="Times New Roman" w:hAnsi="Times New Roman"/>
          <w:i/>
          <w:iCs/>
        </w:rPr>
        <w:t>Quercus spp</w:t>
      </w:r>
      <w:r>
        <w:rPr>
          <w:rFonts w:ascii="Times New Roman" w:hAnsi="Times New Roman"/>
        </w:rPr>
        <w:t>）、白栎、</w:t>
      </w:r>
      <w:r>
        <w:rPr>
          <w:rFonts w:ascii="Times New Roman" w:hAnsi="Times New Roman"/>
          <w:lang w:val="zh-CN"/>
        </w:rPr>
        <w:t>麻栎是对丘陵地形土壤环境适应性较好的阳性树种，萌生能力强。对土壤要求不严，但多生长于干燥的阳坡，在土质肥沃，土层较厚处长势尤其良好。本区域除少量大树外，其余因长期砍伐利用，栎类林多为丛生的矮林。</w:t>
      </w:r>
    </w:p>
    <w:p>
      <w:pPr>
        <w:ind w:firstLine="480"/>
        <w:jc w:val="both"/>
        <w:rPr>
          <w:rFonts w:ascii="Times New Roman" w:hAnsi="Times New Roman"/>
          <w:lang w:val="zh-CN"/>
        </w:rPr>
      </w:pPr>
      <w:r>
        <w:rPr>
          <w:rFonts w:ascii="Times New Roman" w:hAnsi="Times New Roman"/>
          <w:lang w:val="zh-CN"/>
        </w:rPr>
        <w:t>栎类林主要分布在阳坡和半阳坡，垂直分布于海拔500m以上的山坡，郁闭度一般在0.5~0.7左右，林层高度6~8m。土壤常为由砂岩发育形成的山地黄壤，紫色砂页岩、紫色页岩发育形成的山地黄棕壤。枯枝落叶覆盖率40~50%，分解较好。</w:t>
      </w:r>
    </w:p>
    <w:p>
      <w:pPr>
        <w:ind w:firstLine="480"/>
        <w:jc w:val="both"/>
        <w:rPr>
          <w:rFonts w:ascii="Times New Roman" w:hAnsi="Times New Roman"/>
          <w:lang w:val="zh-CN"/>
        </w:rPr>
      </w:pPr>
      <w:r>
        <w:rPr>
          <w:rFonts w:ascii="Times New Roman" w:hAnsi="Times New Roman"/>
          <w:lang w:val="zh-CN"/>
        </w:rPr>
        <w:t>栎类林外貌夏季绿色、秋季黄绿色，树冠较整齐，林内组分简单。乔木层以白栎（</w:t>
      </w:r>
      <w:r>
        <w:rPr>
          <w:rFonts w:ascii="Times New Roman" w:hAnsi="Times New Roman"/>
          <w:i/>
          <w:iCs/>
        </w:rPr>
        <w:t>Quercus</w:t>
      </w:r>
      <w:r>
        <w:rPr>
          <w:rFonts w:ascii="Times New Roman" w:hAnsi="Times New Roman"/>
        </w:rPr>
        <w:t xml:space="preserve"> </w:t>
      </w:r>
      <w:r>
        <w:rPr>
          <w:rFonts w:ascii="Times New Roman" w:hAnsi="Times New Roman"/>
          <w:i/>
          <w:iCs/>
        </w:rPr>
        <w:t>fabri</w:t>
      </w:r>
      <w:r>
        <w:rPr>
          <w:rFonts w:ascii="Times New Roman" w:hAnsi="Times New Roman"/>
          <w:lang w:val="zh-CN"/>
        </w:rPr>
        <w:t>）、</w:t>
      </w:r>
      <w:r>
        <w:rPr>
          <w:rFonts w:ascii="Times New Roman" w:hAnsi="Times New Roman"/>
        </w:rPr>
        <w:t>栓皮栎（</w:t>
      </w:r>
      <w:r>
        <w:rPr>
          <w:rFonts w:ascii="Times New Roman" w:hAnsi="Times New Roman"/>
          <w:i/>
          <w:iCs/>
        </w:rPr>
        <w:t>Quercus spp</w:t>
      </w:r>
      <w:r>
        <w:rPr>
          <w:rFonts w:ascii="Times New Roman" w:hAnsi="Times New Roman"/>
        </w:rPr>
        <w:t>）</w:t>
      </w:r>
      <w:r>
        <w:rPr>
          <w:rFonts w:ascii="Times New Roman" w:hAnsi="Times New Roman"/>
          <w:lang w:val="zh-CN"/>
        </w:rPr>
        <w:t>等栎属物种为建群种、各在不同地段形成优势，郁闭度0.5~0.8，树高多在10m以下，胸径10~15cm。但当树高超过10m时，胸径可达25cm。林内多伴生有柏木（</w:t>
      </w:r>
      <w:r>
        <w:rPr>
          <w:rFonts w:ascii="Times New Roman" w:hAnsi="Times New Roman"/>
          <w:i/>
          <w:iCs/>
          <w:sz w:val="21"/>
          <w:szCs w:val="21"/>
        </w:rPr>
        <w:t>Cupressus funebris</w:t>
      </w:r>
      <w:r>
        <w:rPr>
          <w:rFonts w:ascii="Times New Roman" w:hAnsi="Times New Roman"/>
          <w:lang w:val="zh-CN"/>
        </w:rPr>
        <w:t>）、黑壳楠（</w:t>
      </w:r>
      <w:r>
        <w:rPr>
          <w:rFonts w:ascii="Times New Roman" w:hAnsi="Times New Roman"/>
          <w:i/>
          <w:iCs/>
        </w:rPr>
        <w:t>Lindera megaphylla</w:t>
      </w:r>
      <w:r>
        <w:rPr>
          <w:rFonts w:ascii="Times New Roman" w:hAnsi="Times New Roman"/>
          <w:lang w:val="zh-CN"/>
        </w:rPr>
        <w:t>）、盐肤木</w:t>
      </w:r>
      <w:r>
        <w:rPr>
          <w:rFonts w:ascii="Times New Roman" w:hAnsi="Times New Roman"/>
        </w:rPr>
        <w:t>（</w:t>
      </w:r>
      <w:r>
        <w:rPr>
          <w:rFonts w:ascii="Times New Roman" w:hAnsi="Times New Roman"/>
          <w:i/>
          <w:iCs/>
        </w:rPr>
        <w:t>Rhus</w:t>
      </w:r>
      <w:r>
        <w:rPr>
          <w:rFonts w:ascii="Times New Roman" w:hAnsi="Times New Roman"/>
        </w:rPr>
        <w:t xml:space="preserve"> </w:t>
      </w:r>
      <w:r>
        <w:rPr>
          <w:rFonts w:ascii="Times New Roman" w:hAnsi="Times New Roman"/>
          <w:i/>
          <w:iCs/>
        </w:rPr>
        <w:t>chinensis</w:t>
      </w:r>
      <w:r>
        <w:rPr>
          <w:rFonts w:ascii="Times New Roman" w:hAnsi="Times New Roman"/>
        </w:rPr>
        <w:t>）</w:t>
      </w:r>
      <w:r>
        <w:rPr>
          <w:rFonts w:ascii="Times New Roman" w:hAnsi="Times New Roman"/>
          <w:lang w:val="zh-CN"/>
        </w:rPr>
        <w:t>、油桐（</w:t>
      </w:r>
      <w:r>
        <w:rPr>
          <w:rFonts w:ascii="Times New Roman" w:hAnsi="Times New Roman"/>
          <w:i/>
          <w:iCs/>
        </w:rPr>
        <w:t>Vernicia</w:t>
      </w:r>
      <w:r>
        <w:rPr>
          <w:rFonts w:ascii="Times New Roman" w:hAnsi="Times New Roman"/>
        </w:rPr>
        <w:t xml:space="preserve"> </w:t>
      </w:r>
      <w:r>
        <w:rPr>
          <w:rFonts w:ascii="Times New Roman" w:hAnsi="Times New Roman"/>
          <w:i/>
          <w:iCs/>
        </w:rPr>
        <w:t>fordii</w:t>
      </w:r>
      <w:r>
        <w:rPr>
          <w:rFonts w:ascii="Times New Roman" w:hAnsi="Times New Roman"/>
          <w:lang w:val="zh-CN"/>
        </w:rPr>
        <w:t>）、杉木</w:t>
      </w:r>
      <w:r>
        <w:rPr>
          <w:rFonts w:ascii="Times New Roman" w:hAnsi="Times New Roman"/>
        </w:rPr>
        <w:t>（</w:t>
      </w:r>
      <w:r>
        <w:rPr>
          <w:rFonts w:ascii="Times New Roman" w:hAnsi="Times New Roman"/>
          <w:i/>
          <w:iCs/>
        </w:rPr>
        <w:t>Cunninghamia</w:t>
      </w:r>
      <w:r>
        <w:rPr>
          <w:rFonts w:ascii="Times New Roman" w:hAnsi="Times New Roman"/>
        </w:rPr>
        <w:t xml:space="preserve"> </w:t>
      </w:r>
      <w:r>
        <w:rPr>
          <w:rFonts w:ascii="Times New Roman" w:hAnsi="Times New Roman"/>
          <w:i/>
          <w:iCs/>
        </w:rPr>
        <w:t>lanceolata</w:t>
      </w:r>
      <w:r>
        <w:rPr>
          <w:rFonts w:ascii="Times New Roman" w:hAnsi="Times New Roman"/>
        </w:rPr>
        <w:t>）</w:t>
      </w:r>
      <w:r>
        <w:rPr>
          <w:rFonts w:ascii="Times New Roman" w:hAnsi="Times New Roman"/>
          <w:lang w:val="zh-CN"/>
        </w:rPr>
        <w:t>、桤木（</w:t>
      </w:r>
      <w:r>
        <w:rPr>
          <w:rFonts w:ascii="Times New Roman" w:hAnsi="Times New Roman"/>
          <w:i/>
          <w:iCs/>
        </w:rPr>
        <w:t>Alnus</w:t>
      </w:r>
      <w:r>
        <w:rPr>
          <w:rFonts w:ascii="Times New Roman" w:hAnsi="Times New Roman"/>
        </w:rPr>
        <w:t xml:space="preserve"> </w:t>
      </w:r>
      <w:r>
        <w:rPr>
          <w:rFonts w:ascii="Times New Roman" w:hAnsi="Times New Roman"/>
          <w:i/>
          <w:iCs/>
        </w:rPr>
        <w:t>cremastogyne</w:t>
      </w:r>
      <w:r>
        <w:rPr>
          <w:rFonts w:ascii="Times New Roman" w:hAnsi="Times New Roman"/>
          <w:lang w:val="zh-CN"/>
        </w:rPr>
        <w:t>）、山鸡椒（</w:t>
      </w:r>
      <w:r>
        <w:rPr>
          <w:rFonts w:ascii="Times New Roman" w:hAnsi="Times New Roman"/>
          <w:i/>
          <w:iCs/>
        </w:rPr>
        <w:t>Litsea cubeba</w:t>
      </w:r>
      <w:r>
        <w:rPr>
          <w:rFonts w:ascii="Times New Roman" w:hAnsi="Times New Roman"/>
          <w:lang w:val="zh-CN"/>
        </w:rPr>
        <w:t>）等，可形成0.1左右的郁闭度。</w:t>
      </w:r>
    </w:p>
    <w:p>
      <w:pPr>
        <w:ind w:firstLine="480"/>
        <w:jc w:val="both"/>
        <w:rPr>
          <w:rFonts w:ascii="Times New Roman" w:hAnsi="Times New Roman"/>
          <w:lang w:val="zh-CN"/>
        </w:rPr>
      </w:pPr>
      <w:r>
        <w:rPr>
          <w:rFonts w:ascii="Times New Roman" w:hAnsi="Times New Roman"/>
          <w:lang w:val="zh-CN"/>
        </w:rPr>
        <w:t>栎类林林下灌丛稀疏，盖度仅为10%左右。主要有火棘（</w:t>
      </w:r>
      <w:r>
        <w:rPr>
          <w:rFonts w:ascii="Times New Roman" w:hAnsi="Times New Roman"/>
          <w:i/>
          <w:iCs/>
        </w:rPr>
        <w:t>Pyracantha</w:t>
      </w:r>
      <w:r>
        <w:rPr>
          <w:rFonts w:ascii="Times New Roman" w:hAnsi="Times New Roman"/>
        </w:rPr>
        <w:t xml:space="preserve"> </w:t>
      </w:r>
      <w:r>
        <w:rPr>
          <w:rFonts w:ascii="Times New Roman" w:hAnsi="Times New Roman"/>
          <w:i/>
          <w:iCs/>
        </w:rPr>
        <w:t>fortuneana</w:t>
      </w:r>
      <w:r>
        <w:rPr>
          <w:rFonts w:ascii="Times New Roman" w:hAnsi="Times New Roman"/>
          <w:lang w:val="zh-CN"/>
        </w:rPr>
        <w:t>）、黄荆</w:t>
      </w:r>
      <w:r>
        <w:rPr>
          <w:rFonts w:ascii="Times New Roman" w:hAnsi="Times New Roman"/>
          <w:i/>
        </w:rPr>
        <w:t>（Vitex negundo）</w:t>
      </w:r>
      <w:r>
        <w:rPr>
          <w:rFonts w:ascii="Times New Roman" w:hAnsi="Times New Roman"/>
          <w:lang w:val="zh-CN"/>
        </w:rPr>
        <w:t>、铁仔（</w:t>
      </w:r>
      <w:r>
        <w:rPr>
          <w:rFonts w:ascii="Times New Roman" w:hAnsi="Times New Roman"/>
          <w:i/>
          <w:lang w:val="zh-CN"/>
        </w:rPr>
        <w:t>Myrsine africana</w:t>
      </w:r>
      <w:r>
        <w:rPr>
          <w:rFonts w:ascii="Times New Roman" w:hAnsi="Times New Roman"/>
          <w:lang w:val="zh-CN"/>
        </w:rPr>
        <w:t>）、棕榈（</w:t>
      </w:r>
      <w:r>
        <w:rPr>
          <w:rFonts w:ascii="Times New Roman" w:hAnsi="Times New Roman"/>
          <w:i/>
          <w:lang w:val="zh-CN"/>
        </w:rPr>
        <w:t>Trachycarpus fortunei</w:t>
      </w:r>
      <w:r>
        <w:rPr>
          <w:rFonts w:ascii="Times New Roman" w:hAnsi="Times New Roman"/>
          <w:lang w:val="zh-CN"/>
        </w:rPr>
        <w:t xml:space="preserve">）等。 </w:t>
      </w:r>
    </w:p>
    <w:p>
      <w:pPr>
        <w:ind w:firstLine="480"/>
        <w:jc w:val="both"/>
        <w:rPr>
          <w:rFonts w:ascii="Times New Roman" w:hAnsi="Times New Roman"/>
          <w:lang w:val="zh-CN"/>
        </w:rPr>
      </w:pPr>
      <w:r>
        <w:rPr>
          <w:rFonts w:ascii="Times New Roman" w:hAnsi="Times New Roman"/>
          <w:lang w:val="zh-CN"/>
        </w:rPr>
        <w:t>因其地表常为落叶覆盖所有草本植物盖度极小，常见的有高粱泡（</w:t>
      </w:r>
      <w:r>
        <w:rPr>
          <w:rFonts w:ascii="Times New Roman" w:hAnsi="Times New Roman"/>
          <w:i/>
          <w:iCs/>
        </w:rPr>
        <w:t>Rubus lambertianus</w:t>
      </w:r>
      <w:r>
        <w:rPr>
          <w:rFonts w:ascii="Times New Roman" w:hAnsi="Times New Roman"/>
          <w:lang w:val="zh-CN"/>
        </w:rPr>
        <w:t>）、芒草（</w:t>
      </w:r>
      <w:r>
        <w:rPr>
          <w:rFonts w:ascii="Times New Roman" w:hAnsi="Times New Roman"/>
          <w:i/>
          <w:sz w:val="21"/>
          <w:szCs w:val="21"/>
          <w:lang w:val="it-IT"/>
        </w:rPr>
        <w:t xml:space="preserve">Miscanthus </w:t>
      </w:r>
      <w:r>
        <w:rPr>
          <w:rFonts w:ascii="Times New Roman" w:hAnsi="Times New Roman"/>
          <w:iCs/>
          <w:sz w:val="21"/>
          <w:szCs w:val="21"/>
          <w:lang w:val="it-IT"/>
        </w:rPr>
        <w:t>spp</w:t>
      </w:r>
      <w:r>
        <w:rPr>
          <w:rFonts w:ascii="Times New Roman" w:hAnsi="Times New Roman"/>
          <w:lang w:val="zh-CN"/>
        </w:rPr>
        <w:t>）、珍珠茅（</w:t>
      </w:r>
      <w:r>
        <w:rPr>
          <w:rFonts w:ascii="Times New Roman" w:hAnsi="Times New Roman"/>
          <w:i/>
          <w:sz w:val="21"/>
          <w:szCs w:val="21"/>
          <w:lang w:val="it-IT"/>
        </w:rPr>
        <w:t>Scleria Berg.</w:t>
      </w:r>
      <w:r>
        <w:rPr>
          <w:rFonts w:ascii="Times New Roman" w:hAnsi="Times New Roman"/>
          <w:lang w:val="zh-CN"/>
        </w:rPr>
        <w:t>）、堇菜（</w:t>
      </w:r>
      <w:r>
        <w:rPr>
          <w:rFonts w:ascii="Times New Roman" w:hAnsi="Times New Roman"/>
          <w:i/>
          <w:iCs/>
        </w:rPr>
        <w:t>Violaceae</w:t>
      </w:r>
      <w:r>
        <w:rPr>
          <w:rFonts w:ascii="Times New Roman" w:hAnsi="Times New Roman"/>
          <w:lang w:val="zh-CN"/>
        </w:rPr>
        <w:t>）等。</w:t>
      </w:r>
    </w:p>
    <w:p>
      <w:pPr>
        <w:autoSpaceDE w:val="0"/>
        <w:autoSpaceDN w:val="0"/>
        <w:adjustRightInd w:val="0"/>
        <w:ind w:firstLine="441" w:firstLineChars="183"/>
        <w:jc w:val="both"/>
        <w:rPr>
          <w:rFonts w:ascii="Times New Roman" w:hAnsi="Times New Roman"/>
          <w:b/>
          <w:bCs/>
        </w:rPr>
      </w:pPr>
      <w:r>
        <w:rPr>
          <w:rFonts w:ascii="Times New Roman" w:hAnsi="Times New Roman"/>
          <w:b/>
          <w:bCs/>
        </w:rPr>
        <w:t xml:space="preserve">（3）桤木林（Form. </w:t>
      </w:r>
      <w:r>
        <w:rPr>
          <w:rFonts w:ascii="Times New Roman" w:hAnsi="Times New Roman"/>
          <w:b/>
          <w:bCs/>
          <w:i/>
          <w:iCs/>
        </w:rPr>
        <w:t>Alnus cremastogyne</w:t>
      </w:r>
      <w:r>
        <w:rPr>
          <w:rFonts w:ascii="Times New Roman" w:hAnsi="Times New Roman"/>
          <w:b/>
          <w:bCs/>
        </w:rPr>
        <w:t>）</w:t>
      </w:r>
    </w:p>
    <w:p>
      <w:pPr>
        <w:ind w:firstLine="480"/>
        <w:jc w:val="both"/>
        <w:rPr>
          <w:rFonts w:ascii="Times New Roman" w:hAnsi="Times New Roman"/>
        </w:rPr>
      </w:pPr>
      <w:r>
        <w:rPr>
          <w:rFonts w:ascii="Times New Roman" w:hAnsi="Times New Roman"/>
        </w:rPr>
        <w:t xml:space="preserve">桤木林在评价范围内呈小块状分布于河流两岸、河滩及人居附近，为人工起源。 </w:t>
      </w:r>
    </w:p>
    <w:p>
      <w:pPr>
        <w:ind w:firstLine="480"/>
        <w:jc w:val="both"/>
        <w:rPr>
          <w:rFonts w:ascii="Times New Roman" w:hAnsi="Times New Roman"/>
        </w:rPr>
      </w:pPr>
      <w:r>
        <w:rPr>
          <w:rFonts w:ascii="Times New Roman" w:hAnsi="Times New Roman"/>
        </w:rPr>
        <w:t>群落外貌深绿色，结构较简单。乔木层郁闭度约0.6，桤木占绝对优势，树高常在10-15m，最高可达20m。群落中常混生八角枫（</w:t>
      </w:r>
      <w:r>
        <w:rPr>
          <w:rFonts w:ascii="Times New Roman" w:hAnsi="Times New Roman"/>
          <w:i/>
          <w:iCs/>
        </w:rPr>
        <w:t>Alingum</w:t>
      </w:r>
      <w:r>
        <w:rPr>
          <w:rFonts w:ascii="Times New Roman" w:hAnsi="Times New Roman"/>
        </w:rPr>
        <w:t xml:space="preserve"> </w:t>
      </w:r>
      <w:r>
        <w:rPr>
          <w:rFonts w:ascii="Times New Roman" w:hAnsi="Times New Roman"/>
          <w:i/>
          <w:iCs/>
        </w:rPr>
        <w:t>chinense</w:t>
      </w:r>
      <w:r>
        <w:rPr>
          <w:rFonts w:ascii="Times New Roman" w:hAnsi="Times New Roman"/>
        </w:rPr>
        <w:t>）、油桐（</w:t>
      </w:r>
      <w:r>
        <w:rPr>
          <w:rFonts w:ascii="Times New Roman" w:hAnsi="Times New Roman"/>
          <w:i/>
          <w:iCs/>
        </w:rPr>
        <w:t>Vernicia</w:t>
      </w:r>
      <w:r>
        <w:rPr>
          <w:rFonts w:ascii="Times New Roman" w:hAnsi="Times New Roman"/>
        </w:rPr>
        <w:t xml:space="preserve"> </w:t>
      </w:r>
      <w:r>
        <w:rPr>
          <w:rFonts w:ascii="Times New Roman" w:hAnsi="Times New Roman"/>
          <w:i/>
          <w:iCs/>
        </w:rPr>
        <w:t>fordii</w:t>
      </w:r>
      <w:r>
        <w:rPr>
          <w:rFonts w:ascii="Times New Roman" w:hAnsi="Times New Roman"/>
        </w:rPr>
        <w:t>）、栓皮栎（</w:t>
      </w:r>
      <w:r>
        <w:rPr>
          <w:rFonts w:ascii="Times New Roman" w:hAnsi="Times New Roman"/>
          <w:i/>
          <w:iCs/>
        </w:rPr>
        <w:t>Quercus spp</w:t>
      </w:r>
      <w:r>
        <w:rPr>
          <w:rFonts w:ascii="Times New Roman" w:hAnsi="Times New Roman"/>
        </w:rPr>
        <w:t>）、柏木（</w:t>
      </w:r>
      <w:r>
        <w:rPr>
          <w:rFonts w:ascii="Times New Roman" w:hAnsi="Times New Roman"/>
          <w:i/>
          <w:iCs/>
          <w:sz w:val="21"/>
          <w:szCs w:val="21"/>
        </w:rPr>
        <w:t>Cupressus funebris</w:t>
      </w:r>
      <w:r>
        <w:rPr>
          <w:rFonts w:ascii="Times New Roman" w:hAnsi="Times New Roman"/>
        </w:rPr>
        <w:t>）、杉木（</w:t>
      </w:r>
      <w:r>
        <w:rPr>
          <w:rFonts w:ascii="Times New Roman" w:hAnsi="Times New Roman"/>
          <w:i/>
          <w:iCs/>
        </w:rPr>
        <w:t>Cunninghamia</w:t>
      </w:r>
      <w:r>
        <w:rPr>
          <w:rFonts w:ascii="Times New Roman" w:hAnsi="Times New Roman"/>
        </w:rPr>
        <w:t xml:space="preserve"> </w:t>
      </w:r>
      <w:r>
        <w:rPr>
          <w:rFonts w:ascii="Times New Roman" w:hAnsi="Times New Roman"/>
          <w:i/>
          <w:iCs/>
        </w:rPr>
        <w:t>lanceolata</w:t>
      </w:r>
      <w:r>
        <w:rPr>
          <w:rFonts w:ascii="Times New Roman" w:hAnsi="Times New Roman"/>
        </w:rPr>
        <w:t>）、苦楝（</w:t>
      </w:r>
      <w:r>
        <w:rPr>
          <w:rFonts w:ascii="Times New Roman" w:hAnsi="Times New Roman"/>
          <w:i/>
          <w:iCs/>
        </w:rPr>
        <w:t>Melia</w:t>
      </w:r>
      <w:r>
        <w:rPr>
          <w:rFonts w:ascii="Times New Roman" w:hAnsi="Times New Roman"/>
        </w:rPr>
        <w:t xml:space="preserve"> </w:t>
      </w:r>
      <w:r>
        <w:rPr>
          <w:rFonts w:ascii="Times New Roman" w:hAnsi="Times New Roman"/>
          <w:i/>
          <w:iCs/>
        </w:rPr>
        <w:t>azedarach</w:t>
      </w:r>
      <w:r>
        <w:rPr>
          <w:rFonts w:ascii="Times New Roman" w:hAnsi="Times New Roman"/>
        </w:rPr>
        <w:t>）、棕榈（</w:t>
      </w:r>
      <w:r>
        <w:rPr>
          <w:rFonts w:ascii="Times New Roman" w:hAnsi="Times New Roman"/>
          <w:i/>
          <w:iCs/>
        </w:rPr>
        <w:t>Trachycarpus fortunei</w:t>
      </w:r>
      <w:r>
        <w:rPr>
          <w:rFonts w:ascii="Times New Roman" w:hAnsi="Times New Roman"/>
        </w:rPr>
        <w:t>）、油桐（</w:t>
      </w:r>
      <w:r>
        <w:rPr>
          <w:rFonts w:ascii="Times New Roman" w:hAnsi="Times New Roman"/>
          <w:i/>
          <w:iCs/>
        </w:rPr>
        <w:t>Vernicia</w:t>
      </w:r>
      <w:r>
        <w:rPr>
          <w:rFonts w:ascii="Times New Roman" w:hAnsi="Times New Roman"/>
        </w:rPr>
        <w:t xml:space="preserve"> </w:t>
      </w:r>
      <w:r>
        <w:rPr>
          <w:rFonts w:ascii="Times New Roman" w:hAnsi="Times New Roman"/>
          <w:i/>
          <w:iCs/>
        </w:rPr>
        <w:t>fordii</w:t>
      </w:r>
      <w:r>
        <w:rPr>
          <w:rFonts w:ascii="Times New Roman" w:hAnsi="Times New Roman"/>
        </w:rPr>
        <w:t>）等。</w:t>
      </w:r>
    </w:p>
    <w:p>
      <w:pPr>
        <w:ind w:firstLine="480"/>
        <w:jc w:val="both"/>
        <w:rPr>
          <w:rFonts w:ascii="Times New Roman" w:hAnsi="Times New Roman"/>
        </w:rPr>
      </w:pPr>
      <w:r>
        <w:rPr>
          <w:rFonts w:ascii="Times New Roman" w:hAnsi="Times New Roman"/>
        </w:rPr>
        <w:t>因人为活动相对频繁，林下灌木种类不多，变化较大，常见种类有白夹竹（</w:t>
      </w:r>
      <w:r>
        <w:rPr>
          <w:rFonts w:ascii="Times New Roman" w:hAnsi="Times New Roman"/>
          <w:i/>
          <w:iCs/>
        </w:rPr>
        <w:t>Phyllostachys bissetii</w:t>
      </w:r>
      <w:r>
        <w:rPr>
          <w:rFonts w:ascii="Times New Roman" w:hAnsi="Times New Roman"/>
          <w:iCs/>
        </w:rPr>
        <w:t>）</w:t>
      </w:r>
      <w:r>
        <w:rPr>
          <w:rFonts w:ascii="Times New Roman" w:hAnsi="Times New Roman"/>
        </w:rPr>
        <w:t>、马桑（</w:t>
      </w:r>
      <w:r>
        <w:rPr>
          <w:rFonts w:ascii="Times New Roman" w:hAnsi="Times New Roman"/>
          <w:i/>
          <w:iCs/>
        </w:rPr>
        <w:t>Coriaria</w:t>
      </w:r>
      <w:r>
        <w:rPr>
          <w:rFonts w:ascii="Times New Roman" w:hAnsi="Times New Roman"/>
        </w:rPr>
        <w:t xml:space="preserve"> </w:t>
      </w:r>
      <w:r>
        <w:rPr>
          <w:rFonts w:ascii="Times New Roman" w:hAnsi="Times New Roman"/>
          <w:i/>
          <w:iCs/>
        </w:rPr>
        <w:t>nepalensis</w:t>
      </w:r>
      <w:r>
        <w:rPr>
          <w:rFonts w:ascii="Times New Roman" w:hAnsi="Times New Roman"/>
        </w:rPr>
        <w:t>）、水麻（</w:t>
      </w:r>
      <w:r>
        <w:rPr>
          <w:rFonts w:ascii="Times New Roman" w:hAnsi="Times New Roman"/>
          <w:i/>
          <w:iCs/>
        </w:rPr>
        <w:t>Debregeasia orientalis</w:t>
      </w:r>
      <w:r>
        <w:rPr>
          <w:rFonts w:ascii="Times New Roman" w:hAnsi="Times New Roman"/>
        </w:rPr>
        <w:t>）等。</w:t>
      </w:r>
    </w:p>
    <w:p>
      <w:pPr>
        <w:ind w:firstLine="480"/>
        <w:rPr>
          <w:rFonts w:ascii="Times New Roman" w:hAnsi="Times New Roman"/>
        </w:rPr>
      </w:pPr>
      <w:r>
        <w:rPr>
          <w:rFonts w:ascii="Times New Roman" w:hAnsi="Times New Roman"/>
        </w:rPr>
        <w:t>草本层盖度可达60％，主要有</w:t>
      </w:r>
      <w:r>
        <w:rPr>
          <w:rFonts w:hint="eastAsia" w:ascii="Times New Roman" w:hAnsi="Times New Roman"/>
          <w:lang w:eastAsia="zh-CN"/>
        </w:rPr>
        <w:t>高粱</w:t>
      </w:r>
      <w:r>
        <w:rPr>
          <w:rFonts w:ascii="Times New Roman" w:hAnsi="Times New Roman"/>
        </w:rPr>
        <w:t>泡（</w:t>
      </w:r>
      <w:r>
        <w:rPr>
          <w:rFonts w:ascii="Times New Roman" w:hAnsi="Times New Roman"/>
          <w:i/>
          <w:iCs/>
        </w:rPr>
        <w:t>Rubus lambertianus Ser</w:t>
      </w:r>
      <w:r>
        <w:rPr>
          <w:rFonts w:ascii="Times New Roman" w:hAnsi="Times New Roman"/>
        </w:rPr>
        <w:t>）、小果蔷薇（</w:t>
      </w:r>
      <w:r>
        <w:rPr>
          <w:rFonts w:ascii="Times New Roman" w:hAnsi="Times New Roman"/>
          <w:i/>
          <w:iCs/>
        </w:rPr>
        <w:t>Rosa</w:t>
      </w:r>
      <w:r>
        <w:rPr>
          <w:rFonts w:ascii="Times New Roman" w:hAnsi="Times New Roman"/>
        </w:rPr>
        <w:t xml:space="preserve"> </w:t>
      </w:r>
      <w:r>
        <w:rPr>
          <w:rFonts w:ascii="Times New Roman" w:hAnsi="Times New Roman"/>
          <w:i/>
          <w:iCs/>
        </w:rPr>
        <w:t>cymosa</w:t>
      </w:r>
      <w:r>
        <w:rPr>
          <w:rFonts w:ascii="Times New Roman" w:hAnsi="Times New Roman"/>
        </w:rPr>
        <w:t>）、川莓（</w:t>
      </w:r>
      <w:r>
        <w:rPr>
          <w:rFonts w:ascii="Times New Roman" w:hAnsi="Times New Roman"/>
          <w:i/>
          <w:iCs/>
        </w:rPr>
        <w:t>Rubus</w:t>
      </w:r>
      <w:r>
        <w:rPr>
          <w:rFonts w:ascii="Times New Roman" w:hAnsi="Times New Roman"/>
        </w:rPr>
        <w:t xml:space="preserve"> </w:t>
      </w:r>
      <w:r>
        <w:rPr>
          <w:rFonts w:ascii="Times New Roman" w:hAnsi="Times New Roman"/>
          <w:i/>
          <w:iCs/>
        </w:rPr>
        <w:t>setchuensis</w:t>
      </w:r>
      <w:r>
        <w:rPr>
          <w:rFonts w:ascii="Times New Roman" w:hAnsi="Times New Roman"/>
        </w:rPr>
        <w:t>）、过路黄（</w:t>
      </w:r>
      <w:r>
        <w:rPr>
          <w:rFonts w:ascii="Times New Roman" w:hAnsi="Times New Roman"/>
          <w:i/>
          <w:iCs/>
        </w:rPr>
        <w:t>Lysimachia</w:t>
      </w:r>
      <w:r>
        <w:rPr>
          <w:rFonts w:ascii="Times New Roman" w:hAnsi="Times New Roman"/>
        </w:rPr>
        <w:t xml:space="preserve"> </w:t>
      </w:r>
      <w:r>
        <w:rPr>
          <w:rFonts w:ascii="Times New Roman" w:hAnsi="Times New Roman"/>
          <w:i/>
          <w:iCs/>
        </w:rPr>
        <w:t>christinae</w:t>
      </w:r>
      <w:r>
        <w:rPr>
          <w:rFonts w:ascii="Times New Roman" w:hAnsi="Times New Roman"/>
        </w:rPr>
        <w:t>）、黄鹌菜（</w:t>
      </w:r>
      <w:r>
        <w:rPr>
          <w:rFonts w:ascii="Times New Roman" w:hAnsi="Times New Roman"/>
          <w:i/>
          <w:iCs/>
        </w:rPr>
        <w:t>Youngia</w:t>
      </w:r>
      <w:r>
        <w:rPr>
          <w:rFonts w:ascii="Times New Roman" w:hAnsi="Times New Roman"/>
        </w:rPr>
        <w:t xml:space="preserve"> </w:t>
      </w:r>
      <w:r>
        <w:rPr>
          <w:rFonts w:ascii="Times New Roman" w:hAnsi="Times New Roman"/>
          <w:i/>
          <w:iCs/>
        </w:rPr>
        <w:t>japonica</w:t>
      </w:r>
      <w:r>
        <w:rPr>
          <w:rFonts w:ascii="Times New Roman" w:hAnsi="Times New Roman"/>
        </w:rPr>
        <w:t>）、浆果薹草（</w:t>
      </w:r>
      <w:r>
        <w:rPr>
          <w:rFonts w:ascii="Times New Roman" w:hAnsi="Times New Roman"/>
          <w:i/>
          <w:iCs/>
        </w:rPr>
        <w:t>Carex baccans</w:t>
      </w:r>
      <w:r>
        <w:rPr>
          <w:rFonts w:ascii="Times New Roman" w:hAnsi="Times New Roman"/>
        </w:rPr>
        <w:t>）等。</w:t>
      </w:r>
    </w:p>
    <w:p>
      <w:pPr>
        <w:autoSpaceDE w:val="0"/>
        <w:autoSpaceDN w:val="0"/>
        <w:adjustRightInd w:val="0"/>
        <w:ind w:firstLine="441" w:firstLineChars="183"/>
        <w:jc w:val="both"/>
        <w:rPr>
          <w:rFonts w:ascii="Times New Roman" w:hAnsi="Times New Roman"/>
          <w:b/>
          <w:bCs/>
        </w:rPr>
      </w:pPr>
      <w:r>
        <w:rPr>
          <w:rFonts w:ascii="Times New Roman" w:hAnsi="Times New Roman"/>
          <w:b/>
          <w:bCs/>
        </w:rPr>
        <w:t xml:space="preserve">（4）白夹竹灌木（Form. </w:t>
      </w:r>
      <w:r>
        <w:rPr>
          <w:rFonts w:ascii="Times New Roman" w:hAnsi="Times New Roman"/>
          <w:b/>
          <w:bCs/>
          <w:i/>
        </w:rPr>
        <w:t>Phyllostachys bissetii</w:t>
      </w:r>
      <w:r>
        <w:rPr>
          <w:rFonts w:ascii="Times New Roman" w:hAnsi="Times New Roman"/>
          <w:b/>
          <w:bCs/>
        </w:rPr>
        <w:t>）</w:t>
      </w:r>
    </w:p>
    <w:p>
      <w:pPr>
        <w:ind w:firstLine="424" w:firstLineChars="177"/>
        <w:jc w:val="both"/>
        <w:rPr>
          <w:rFonts w:ascii="Times New Roman" w:hAnsi="Times New Roman"/>
        </w:rPr>
      </w:pPr>
      <w:r>
        <w:rPr>
          <w:rFonts w:ascii="Times New Roman" w:hAnsi="Times New Roman"/>
        </w:rPr>
        <w:t>白夹竹是评价范围内最为常见的竹种，栽培历史悠久。适生于温润肥沃，排水良好的中性和微酸性土壤，特别以山边崖脚、河岸、沟谷、宅旁疏松肥土生长最好。评价范围内的白夹竹均为小面积点状分布于居民点周围。</w:t>
      </w:r>
    </w:p>
    <w:p>
      <w:pPr>
        <w:ind w:firstLine="480"/>
        <w:jc w:val="both"/>
        <w:rPr>
          <w:rFonts w:ascii="Times New Roman" w:hAnsi="Times New Roman"/>
        </w:rPr>
      </w:pPr>
      <w:r>
        <w:rPr>
          <w:rFonts w:ascii="Times New Roman" w:hAnsi="Times New Roman"/>
        </w:rPr>
        <w:t>白夹竹结构较简单，林相整齐，往往以白夹竹形成乔木层单优势种，极少地段白夹竹混生共同形成乔木层优势种。乔木层一般高7-13m，径粗4-8cm。经人工管理的竹林，林下灌木和草本植物较少。但在粗放经营的情况下，竹林中常混生有阔叶树和针叶树。主要种类有油桐（</w:t>
      </w:r>
      <w:r>
        <w:rPr>
          <w:rFonts w:ascii="Times New Roman" w:hAnsi="Times New Roman"/>
          <w:i/>
          <w:iCs/>
        </w:rPr>
        <w:t>Vernicia</w:t>
      </w:r>
      <w:r>
        <w:rPr>
          <w:rFonts w:ascii="Times New Roman" w:hAnsi="Times New Roman"/>
        </w:rPr>
        <w:t xml:space="preserve"> </w:t>
      </w:r>
      <w:r>
        <w:rPr>
          <w:rFonts w:ascii="Times New Roman" w:hAnsi="Times New Roman"/>
          <w:i/>
          <w:iCs/>
        </w:rPr>
        <w:t>fordii</w:t>
      </w:r>
      <w:r>
        <w:rPr>
          <w:rFonts w:ascii="Times New Roman" w:hAnsi="Times New Roman"/>
        </w:rPr>
        <w:t>）、板栗（</w:t>
      </w:r>
      <w:r>
        <w:rPr>
          <w:rFonts w:ascii="Times New Roman" w:hAnsi="Times New Roman"/>
          <w:i/>
          <w:iCs/>
        </w:rPr>
        <w:t>Castanea mollissima</w:t>
      </w:r>
      <w:r>
        <w:rPr>
          <w:rFonts w:ascii="Times New Roman" w:hAnsi="Times New Roman"/>
        </w:rPr>
        <w:t>）、盐肤木（</w:t>
      </w:r>
      <w:r>
        <w:rPr>
          <w:rFonts w:ascii="Times New Roman" w:hAnsi="Times New Roman"/>
          <w:i/>
          <w:iCs/>
        </w:rPr>
        <w:t>Rhus</w:t>
      </w:r>
      <w:r>
        <w:rPr>
          <w:rFonts w:ascii="Times New Roman" w:hAnsi="Times New Roman"/>
        </w:rPr>
        <w:t xml:space="preserve"> </w:t>
      </w:r>
      <w:r>
        <w:rPr>
          <w:rFonts w:ascii="Times New Roman" w:hAnsi="Times New Roman"/>
          <w:i/>
          <w:iCs/>
        </w:rPr>
        <w:t>chinensis</w:t>
      </w:r>
      <w:r>
        <w:rPr>
          <w:rFonts w:ascii="Times New Roman" w:hAnsi="Times New Roman"/>
        </w:rPr>
        <w:t>）等。</w:t>
      </w:r>
    </w:p>
    <w:p>
      <w:pPr>
        <w:ind w:firstLine="480"/>
        <w:jc w:val="both"/>
        <w:rPr>
          <w:rFonts w:ascii="Times New Roman" w:hAnsi="Times New Roman"/>
        </w:rPr>
      </w:pPr>
      <w:r>
        <w:rPr>
          <w:rFonts w:ascii="Times New Roman" w:hAnsi="Times New Roman"/>
        </w:rPr>
        <w:t>灌木层盖度一般为30%为左右，主要种类为杜茎山（</w:t>
      </w:r>
      <w:r>
        <w:rPr>
          <w:rFonts w:ascii="Times New Roman" w:hAnsi="Times New Roman"/>
          <w:i/>
          <w:iCs/>
        </w:rPr>
        <w:t>Maesa japonica</w:t>
      </w:r>
      <w:r>
        <w:rPr>
          <w:rFonts w:ascii="Times New Roman" w:hAnsi="Times New Roman"/>
        </w:rPr>
        <w:t>）、水麻（</w:t>
      </w:r>
      <w:r>
        <w:rPr>
          <w:rFonts w:ascii="Times New Roman" w:hAnsi="Times New Roman"/>
          <w:i/>
        </w:rPr>
        <w:t>Debregeasia</w:t>
      </w:r>
      <w:r>
        <w:rPr>
          <w:rFonts w:ascii="Times New Roman" w:hAnsi="Times New Roman"/>
        </w:rPr>
        <w:t xml:space="preserve"> </w:t>
      </w:r>
      <w:r>
        <w:rPr>
          <w:rFonts w:ascii="Times New Roman" w:hAnsi="Times New Roman"/>
          <w:i/>
        </w:rPr>
        <w:t>orientalis</w:t>
      </w:r>
      <w:r>
        <w:rPr>
          <w:rFonts w:ascii="Times New Roman" w:hAnsi="Times New Roman"/>
        </w:rPr>
        <w:t>）等。</w:t>
      </w:r>
    </w:p>
    <w:p>
      <w:pPr>
        <w:ind w:firstLine="480"/>
        <w:jc w:val="both"/>
        <w:rPr>
          <w:rFonts w:ascii="Times New Roman" w:hAnsi="Times New Roman"/>
        </w:rPr>
      </w:pPr>
      <w:r>
        <w:rPr>
          <w:rFonts w:ascii="Times New Roman" w:hAnsi="Times New Roman"/>
        </w:rPr>
        <w:t>草本植物以鳞毛蕨（</w:t>
      </w:r>
      <w:r>
        <w:rPr>
          <w:rFonts w:ascii="Times New Roman" w:hAnsi="Times New Roman"/>
          <w:i/>
          <w:iCs/>
        </w:rPr>
        <w:t>Dryopteridaceae</w:t>
      </w:r>
      <w:r>
        <w:rPr>
          <w:rFonts w:ascii="Times New Roman" w:hAnsi="Times New Roman"/>
        </w:rPr>
        <w:t>）、过路黄（</w:t>
      </w:r>
      <w:r>
        <w:rPr>
          <w:rFonts w:ascii="Times New Roman" w:hAnsi="Times New Roman"/>
          <w:i/>
          <w:iCs/>
        </w:rPr>
        <w:t>Lysimachia</w:t>
      </w:r>
      <w:r>
        <w:rPr>
          <w:rFonts w:ascii="Times New Roman" w:hAnsi="Times New Roman"/>
        </w:rPr>
        <w:t xml:space="preserve"> </w:t>
      </w:r>
      <w:r>
        <w:rPr>
          <w:rFonts w:ascii="Times New Roman" w:hAnsi="Times New Roman"/>
          <w:i/>
          <w:iCs/>
        </w:rPr>
        <w:t>christinae</w:t>
      </w:r>
      <w:r>
        <w:rPr>
          <w:rFonts w:ascii="Times New Roman" w:hAnsi="Times New Roman"/>
        </w:rPr>
        <w:t>）等为主，一般盖度约30%，平均高度0.3m。</w:t>
      </w:r>
    </w:p>
    <w:p>
      <w:pPr>
        <w:autoSpaceDE w:val="0"/>
        <w:autoSpaceDN w:val="0"/>
        <w:adjustRightInd w:val="0"/>
        <w:ind w:firstLine="386" w:firstLineChars="183"/>
        <w:jc w:val="both"/>
        <w:rPr>
          <w:rFonts w:ascii="Times New Roman" w:hAnsi="Times New Roman"/>
          <w:b/>
        </w:rPr>
      </w:pPr>
      <w:r>
        <w:rPr>
          <w:rFonts w:ascii="Times New Roman" w:hAnsi="Times New Roman"/>
          <w:b/>
          <w:sz w:val="21"/>
          <w:szCs w:val="21"/>
        </w:rPr>
        <w:t>（5）格药柃灌丛</w:t>
      </w:r>
      <w:r>
        <w:rPr>
          <w:rFonts w:ascii="Times New Roman" w:hAnsi="Times New Roman"/>
          <w:b/>
          <w:sz w:val="21"/>
          <w:szCs w:val="21"/>
          <w:lang w:val="it-IT"/>
        </w:rPr>
        <w:t>（Form.</w:t>
      </w:r>
      <w:r>
        <w:rPr>
          <w:rFonts w:ascii="Times New Roman" w:hAnsi="Times New Roman"/>
          <w:b/>
          <w:i/>
        </w:rPr>
        <w:t>Eurya</w:t>
      </w:r>
      <w:r>
        <w:rPr>
          <w:rFonts w:ascii="Times New Roman" w:hAnsi="Times New Roman"/>
          <w:b/>
          <w:i/>
          <w:sz w:val="21"/>
          <w:szCs w:val="21"/>
        </w:rPr>
        <w:t>muricataDun</w:t>
      </w:r>
      <w:r>
        <w:rPr>
          <w:rFonts w:ascii="Times New Roman" w:hAnsi="Times New Roman"/>
          <w:b/>
          <w:sz w:val="21"/>
          <w:szCs w:val="21"/>
        </w:rPr>
        <w:t>n</w:t>
      </w:r>
      <w:r>
        <w:rPr>
          <w:rFonts w:ascii="Times New Roman" w:hAnsi="Times New Roman"/>
          <w:b/>
          <w:sz w:val="21"/>
          <w:szCs w:val="21"/>
          <w:lang w:val="it-IT"/>
        </w:rPr>
        <w:t>）</w:t>
      </w:r>
    </w:p>
    <w:p>
      <w:pPr>
        <w:ind w:firstLine="424" w:firstLineChars="177"/>
        <w:rPr>
          <w:rFonts w:ascii="Times New Roman" w:hAnsi="Times New Roman"/>
        </w:rPr>
      </w:pPr>
      <w:r>
        <w:rPr>
          <w:rFonts w:ascii="Times New Roman" w:hAnsi="Times New Roman"/>
        </w:rPr>
        <w:t>格药柃灌丛是评价范围较典型的灌丛群落，集中见于中、低山的山坡，群落外貌呈绿色，丛状，参差不齐，盖度90-100％。因环境不同，格药柃生长的数量也有差异。在格药柃灌丛除格药柃外，还有藤黄檀</w:t>
      </w:r>
      <w:r>
        <w:rPr>
          <w:rFonts w:ascii="Times New Roman" w:hAnsi="Times New Roman"/>
          <w:i/>
        </w:rPr>
        <w:t>（Dalbergia hancei Benth）、</w:t>
      </w:r>
      <w:r>
        <w:rPr>
          <w:rFonts w:ascii="Times New Roman" w:hAnsi="Times New Roman"/>
        </w:rPr>
        <w:t>黄荆</w:t>
      </w:r>
      <w:r>
        <w:rPr>
          <w:rFonts w:ascii="Times New Roman" w:hAnsi="Times New Roman"/>
          <w:i/>
        </w:rPr>
        <w:t>（Vitex negundo）、</w:t>
      </w:r>
      <w:r>
        <w:rPr>
          <w:rFonts w:ascii="Times New Roman" w:hAnsi="Times New Roman"/>
        </w:rPr>
        <w:t>铁仔</w:t>
      </w:r>
      <w:r>
        <w:rPr>
          <w:rFonts w:ascii="Times New Roman" w:hAnsi="Times New Roman"/>
          <w:i/>
        </w:rPr>
        <w:t>（Myrsine africana）、</w:t>
      </w:r>
      <w:r>
        <w:rPr>
          <w:rFonts w:ascii="Times New Roman" w:hAnsi="Times New Roman"/>
        </w:rPr>
        <w:t>映山红</w:t>
      </w:r>
      <w:r>
        <w:rPr>
          <w:rFonts w:ascii="Times New Roman" w:hAnsi="Times New Roman"/>
          <w:i/>
        </w:rPr>
        <w:t>（Rhododendron simsii Planch）</w:t>
      </w:r>
      <w:r>
        <w:rPr>
          <w:rFonts w:ascii="Times New Roman" w:hAnsi="Times New Roman"/>
        </w:rPr>
        <w:t>等。</w:t>
      </w:r>
    </w:p>
    <w:p>
      <w:pPr>
        <w:autoSpaceDE w:val="0"/>
        <w:autoSpaceDN w:val="0"/>
        <w:adjustRightInd w:val="0"/>
        <w:ind w:firstLine="386" w:firstLineChars="183"/>
        <w:jc w:val="both"/>
        <w:rPr>
          <w:rFonts w:ascii="Times New Roman" w:hAnsi="Times New Roman"/>
          <w:b/>
          <w:sz w:val="21"/>
          <w:szCs w:val="21"/>
        </w:rPr>
      </w:pPr>
      <w:r>
        <w:rPr>
          <w:rFonts w:ascii="Times New Roman" w:hAnsi="Times New Roman"/>
          <w:b/>
          <w:sz w:val="21"/>
          <w:szCs w:val="21"/>
        </w:rPr>
        <w:t>（6）乌泡子灌丛</w:t>
      </w:r>
    </w:p>
    <w:p>
      <w:pPr>
        <w:ind w:firstLine="424" w:firstLineChars="177"/>
        <w:jc w:val="both"/>
        <w:rPr>
          <w:rFonts w:ascii="Times New Roman" w:hAnsi="Times New Roman"/>
        </w:rPr>
      </w:pPr>
      <w:r>
        <w:rPr>
          <w:rFonts w:ascii="Times New Roman" w:hAnsi="Times New Roman"/>
        </w:rPr>
        <w:t>乌泡子灌丛是评价范围较典型的灌丛群落，集中见于中、低山的山坡，群落外貌呈绿色，丛状，盖度90-95％。在乌泡子灌丛除乌泡子外，还有构树（</w:t>
      </w:r>
      <w:r>
        <w:rPr>
          <w:rFonts w:ascii="Times New Roman" w:hAnsi="Times New Roman"/>
          <w:i/>
          <w:iCs/>
        </w:rPr>
        <w:t>Broussonetia</w:t>
      </w:r>
      <w:r>
        <w:rPr>
          <w:rFonts w:ascii="Times New Roman" w:hAnsi="Times New Roman"/>
        </w:rPr>
        <w:t xml:space="preserve"> </w:t>
      </w:r>
      <w:r>
        <w:rPr>
          <w:rFonts w:ascii="Times New Roman" w:hAnsi="Times New Roman"/>
          <w:i/>
          <w:iCs/>
        </w:rPr>
        <w:t>papyrifera</w:t>
      </w:r>
      <w:r>
        <w:rPr>
          <w:rFonts w:ascii="Times New Roman" w:hAnsi="Times New Roman"/>
        </w:rPr>
        <w:t>）、千里光（</w:t>
      </w:r>
      <w:r>
        <w:rPr>
          <w:rFonts w:ascii="Times New Roman" w:hAnsi="Times New Roman"/>
          <w:i/>
          <w:iCs/>
        </w:rPr>
        <w:t>Senecio scandens</w:t>
      </w:r>
      <w:r>
        <w:rPr>
          <w:rFonts w:ascii="Times New Roman" w:hAnsi="Times New Roman"/>
        </w:rPr>
        <w:t>）、山茶（</w:t>
      </w:r>
      <w:r>
        <w:rPr>
          <w:rFonts w:ascii="Times New Roman" w:hAnsi="Times New Roman"/>
          <w:i/>
          <w:iCs/>
        </w:rPr>
        <w:t>Theaceae</w:t>
      </w:r>
      <w:r>
        <w:rPr>
          <w:rFonts w:ascii="Times New Roman" w:hAnsi="Times New Roman"/>
        </w:rPr>
        <w:t>）、黄花蒿（</w:t>
      </w:r>
      <w:r>
        <w:rPr>
          <w:rFonts w:ascii="Times New Roman" w:hAnsi="Times New Roman"/>
          <w:i/>
          <w:iCs/>
        </w:rPr>
        <w:t>Artemisia annua</w:t>
      </w:r>
      <w:r>
        <w:rPr>
          <w:rFonts w:ascii="Times New Roman" w:hAnsi="Times New Roman"/>
        </w:rPr>
        <w:t>）、益母草（</w:t>
      </w:r>
      <w:r>
        <w:rPr>
          <w:rFonts w:ascii="Times New Roman" w:hAnsi="Times New Roman"/>
          <w:i/>
          <w:iCs/>
        </w:rPr>
        <w:t>Leonurus</w:t>
      </w:r>
      <w:r>
        <w:rPr>
          <w:rFonts w:ascii="Times New Roman" w:hAnsi="Times New Roman"/>
        </w:rPr>
        <w:t xml:space="preserve"> </w:t>
      </w:r>
      <w:r>
        <w:rPr>
          <w:rFonts w:ascii="Times New Roman" w:hAnsi="Times New Roman"/>
          <w:i/>
          <w:iCs/>
        </w:rPr>
        <w:t>heterophyllus</w:t>
      </w:r>
      <w:r>
        <w:rPr>
          <w:rFonts w:ascii="Times New Roman" w:hAnsi="Times New Roman"/>
        </w:rPr>
        <w:t>）等。</w:t>
      </w:r>
    </w:p>
    <w:p>
      <w:pPr>
        <w:autoSpaceDE w:val="0"/>
        <w:autoSpaceDN w:val="0"/>
        <w:adjustRightInd w:val="0"/>
        <w:ind w:firstLine="386" w:firstLineChars="183"/>
        <w:jc w:val="both"/>
        <w:rPr>
          <w:rFonts w:ascii="Times New Roman" w:hAnsi="Times New Roman"/>
          <w:b/>
          <w:sz w:val="21"/>
          <w:szCs w:val="21"/>
        </w:rPr>
      </w:pPr>
      <w:r>
        <w:rPr>
          <w:rFonts w:ascii="Times New Roman" w:hAnsi="Times New Roman"/>
          <w:b/>
          <w:sz w:val="21"/>
          <w:szCs w:val="21"/>
        </w:rPr>
        <w:t>（6）高粱泡灌丛</w:t>
      </w:r>
    </w:p>
    <w:p>
      <w:pPr>
        <w:ind w:firstLine="424" w:firstLineChars="177"/>
        <w:jc w:val="both"/>
        <w:rPr>
          <w:rFonts w:ascii="Times New Roman" w:hAnsi="Times New Roman"/>
        </w:rPr>
      </w:pPr>
      <w:r>
        <w:rPr>
          <w:rFonts w:ascii="Times New Roman" w:hAnsi="Times New Roman"/>
        </w:rPr>
        <w:t>乌泡子灌丛是评价单位常见的灌丛群落，集中见于中、低山的山坡，群落外貌呈绿色，丛状，盖度85-95％。在高粱泡灌丛除高粱泡（</w:t>
      </w:r>
      <w:r>
        <w:rPr>
          <w:rFonts w:ascii="Times New Roman" w:hAnsi="Times New Roman"/>
          <w:i/>
          <w:iCs/>
        </w:rPr>
        <w:t>Rubus lambertianus</w:t>
      </w:r>
      <w:r>
        <w:rPr>
          <w:rFonts w:ascii="Times New Roman" w:hAnsi="Times New Roman"/>
        </w:rPr>
        <w:t>）外，还有八月瓜（</w:t>
      </w:r>
      <w:r>
        <w:rPr>
          <w:rFonts w:ascii="Times New Roman" w:hAnsi="Times New Roman"/>
          <w:i/>
          <w:iCs/>
        </w:rPr>
        <w:t>Holboellia latifolia</w:t>
      </w:r>
      <w:r>
        <w:rPr>
          <w:rFonts w:ascii="Times New Roman" w:hAnsi="Times New Roman"/>
        </w:rPr>
        <w:t>）、鸡血藤（Spatholobus suberectus</w:t>
      </w:r>
      <w:r>
        <w:rPr>
          <w:rFonts w:ascii="Times New Roman" w:hAnsi="Times New Roman"/>
          <w:i/>
          <w:iCs/>
        </w:rPr>
        <w:t>Dunn</w:t>
      </w:r>
      <w:r>
        <w:rPr>
          <w:rFonts w:ascii="Times New Roman" w:hAnsi="Times New Roman"/>
        </w:rPr>
        <w:t>）、山莓（</w:t>
      </w:r>
      <w:r>
        <w:rPr>
          <w:rFonts w:ascii="Times New Roman" w:hAnsi="Times New Roman"/>
          <w:i/>
          <w:iCs/>
        </w:rPr>
        <w:t>Rubus corchorifolius</w:t>
      </w:r>
      <w:r>
        <w:rPr>
          <w:rFonts w:ascii="Times New Roman" w:hAnsi="Times New Roman"/>
        </w:rPr>
        <w:t>）、川莓（</w:t>
      </w:r>
      <w:r>
        <w:rPr>
          <w:rFonts w:ascii="Times New Roman" w:hAnsi="Times New Roman"/>
          <w:i/>
          <w:iCs/>
        </w:rPr>
        <w:t>Rubus</w:t>
      </w:r>
      <w:r>
        <w:rPr>
          <w:rFonts w:ascii="Times New Roman" w:hAnsi="Times New Roman"/>
        </w:rPr>
        <w:t xml:space="preserve"> </w:t>
      </w:r>
      <w:r>
        <w:rPr>
          <w:rFonts w:ascii="Times New Roman" w:hAnsi="Times New Roman"/>
          <w:i/>
          <w:iCs/>
        </w:rPr>
        <w:t>setchuensis</w:t>
      </w:r>
      <w:r>
        <w:rPr>
          <w:rFonts w:ascii="Times New Roman" w:hAnsi="Times New Roman"/>
        </w:rPr>
        <w:t>）、火棘（</w:t>
      </w:r>
      <w:r>
        <w:rPr>
          <w:rFonts w:ascii="Times New Roman" w:hAnsi="Times New Roman"/>
          <w:i/>
          <w:iCs/>
        </w:rPr>
        <w:t>Pyracantha</w:t>
      </w:r>
      <w:r>
        <w:rPr>
          <w:rFonts w:ascii="Times New Roman" w:hAnsi="Times New Roman"/>
        </w:rPr>
        <w:t xml:space="preserve"> </w:t>
      </w:r>
      <w:r>
        <w:rPr>
          <w:rFonts w:ascii="Times New Roman" w:hAnsi="Times New Roman"/>
          <w:i/>
          <w:iCs/>
        </w:rPr>
        <w:t>fortuneana</w:t>
      </w:r>
      <w:r>
        <w:rPr>
          <w:rFonts w:ascii="Times New Roman" w:hAnsi="Times New Roman"/>
        </w:rPr>
        <w:t>）、铁仔（</w:t>
      </w:r>
      <w:r>
        <w:rPr>
          <w:rFonts w:ascii="Times New Roman" w:hAnsi="Times New Roman"/>
          <w:i/>
          <w:iCs/>
        </w:rPr>
        <w:t>Myrsine</w:t>
      </w:r>
      <w:r>
        <w:rPr>
          <w:rFonts w:ascii="Times New Roman" w:hAnsi="Times New Roman"/>
        </w:rPr>
        <w:t xml:space="preserve"> </w:t>
      </w:r>
      <w:r>
        <w:rPr>
          <w:rFonts w:ascii="Times New Roman" w:hAnsi="Times New Roman"/>
          <w:i/>
          <w:iCs/>
        </w:rPr>
        <w:t>africana</w:t>
      </w:r>
      <w:r>
        <w:rPr>
          <w:rFonts w:ascii="Times New Roman" w:hAnsi="Times New Roman"/>
        </w:rPr>
        <w:t>）等。</w:t>
      </w:r>
    </w:p>
    <w:p>
      <w:pPr>
        <w:autoSpaceDE w:val="0"/>
        <w:autoSpaceDN w:val="0"/>
        <w:adjustRightInd w:val="0"/>
        <w:ind w:firstLine="441" w:firstLineChars="183"/>
        <w:jc w:val="both"/>
        <w:rPr>
          <w:rFonts w:ascii="Times New Roman" w:hAnsi="Times New Roman"/>
          <w:b/>
          <w:bCs/>
        </w:rPr>
      </w:pPr>
      <w:r>
        <w:rPr>
          <w:rFonts w:ascii="Times New Roman" w:hAnsi="Times New Roman"/>
          <w:b/>
          <w:bCs/>
        </w:rPr>
        <w:t xml:space="preserve">（8）芒草草丛（Form. </w:t>
      </w:r>
      <w:r>
        <w:rPr>
          <w:rFonts w:ascii="Times New Roman" w:hAnsi="Times New Roman"/>
          <w:b/>
          <w:bCs/>
          <w:i/>
          <w:iCs/>
        </w:rPr>
        <w:t xml:space="preserve">Miscanthus </w:t>
      </w:r>
      <w:r>
        <w:rPr>
          <w:rFonts w:ascii="Times New Roman" w:hAnsi="Times New Roman"/>
          <w:b/>
          <w:bCs/>
        </w:rPr>
        <w:t>spp.）</w:t>
      </w:r>
    </w:p>
    <w:p>
      <w:pPr>
        <w:ind w:firstLine="480"/>
        <w:jc w:val="both"/>
        <w:rPr>
          <w:rFonts w:ascii="Times New Roman" w:hAnsi="Times New Roman"/>
        </w:rPr>
      </w:pPr>
      <w:r>
        <w:rPr>
          <w:rFonts w:ascii="Times New Roman" w:hAnsi="Times New Roman"/>
        </w:rPr>
        <w:t>芒草草丛在评价范围的砍伐迹地、撂荒地、河岸、道路两侧较为常见，呈小块分布，是一种过渡植被类型，易向灌丛、柏木林群落演替。</w:t>
      </w:r>
    </w:p>
    <w:p>
      <w:pPr>
        <w:ind w:firstLine="480"/>
        <w:jc w:val="both"/>
        <w:rPr>
          <w:rFonts w:ascii="Times New Roman" w:hAnsi="Times New Roman"/>
        </w:rPr>
      </w:pPr>
      <w:r>
        <w:rPr>
          <w:rFonts w:ascii="Times New Roman" w:hAnsi="Times New Roman"/>
        </w:rPr>
        <w:t>群落层次明显，总盖度达90％以上。群落中其他主要草本植被还有艾蒿、节节草（</w:t>
      </w:r>
      <w:r>
        <w:rPr>
          <w:rFonts w:ascii="Times New Roman" w:hAnsi="Times New Roman"/>
          <w:i/>
          <w:iCs/>
        </w:rPr>
        <w:t>Equisetum ramosissima</w:t>
      </w:r>
      <w:r>
        <w:rPr>
          <w:rFonts w:ascii="Times New Roman" w:hAnsi="Times New Roman"/>
        </w:rPr>
        <w:t>）、空心莲子草（</w:t>
      </w:r>
      <w:r>
        <w:rPr>
          <w:rFonts w:ascii="Times New Roman" w:hAnsi="Times New Roman"/>
          <w:i/>
          <w:iCs/>
        </w:rPr>
        <w:t>Alternanthera philoxeroides</w:t>
      </w:r>
      <w:r>
        <w:rPr>
          <w:rFonts w:ascii="Times New Roman" w:hAnsi="Times New Roman"/>
        </w:rPr>
        <w:t>）、芒萁（</w:t>
      </w:r>
      <w:r>
        <w:rPr>
          <w:rFonts w:ascii="Times New Roman" w:hAnsi="Times New Roman"/>
          <w:i/>
          <w:iCs/>
          <w:sz w:val="21"/>
          <w:szCs w:val="21"/>
        </w:rPr>
        <w:t>Dicranopteris pedata</w:t>
      </w:r>
      <w:r>
        <w:rPr>
          <w:rFonts w:ascii="Times New Roman" w:hAnsi="Times New Roman"/>
        </w:rPr>
        <w:t>）等。</w:t>
      </w:r>
    </w:p>
    <w:p>
      <w:pPr>
        <w:ind w:firstLine="480"/>
        <w:jc w:val="both"/>
        <w:rPr>
          <w:rFonts w:ascii="Times New Roman" w:hAnsi="Times New Roman"/>
        </w:rPr>
      </w:pPr>
      <w:r>
        <w:rPr>
          <w:rFonts w:ascii="Times New Roman" w:hAnsi="Times New Roman"/>
        </w:rPr>
        <w:t>群落中灌木种类盖度一般不到10%，偶见盐肤木（</w:t>
      </w:r>
      <w:r>
        <w:rPr>
          <w:rFonts w:ascii="Times New Roman" w:hAnsi="Times New Roman"/>
          <w:i/>
          <w:iCs/>
        </w:rPr>
        <w:t>Rhus</w:t>
      </w:r>
      <w:r>
        <w:rPr>
          <w:rFonts w:ascii="Times New Roman" w:hAnsi="Times New Roman"/>
        </w:rPr>
        <w:t xml:space="preserve"> </w:t>
      </w:r>
      <w:r>
        <w:rPr>
          <w:rFonts w:ascii="Times New Roman" w:hAnsi="Times New Roman"/>
          <w:i/>
          <w:iCs/>
        </w:rPr>
        <w:t>chinensis</w:t>
      </w:r>
      <w:r>
        <w:rPr>
          <w:rFonts w:ascii="Times New Roman" w:hAnsi="Times New Roman"/>
        </w:rPr>
        <w:t>）、黄荆</w:t>
      </w:r>
      <w:r>
        <w:rPr>
          <w:rFonts w:ascii="Times New Roman" w:hAnsi="Times New Roman"/>
          <w:i/>
        </w:rPr>
        <w:t>（Vitex negundo）</w:t>
      </w:r>
      <w:r>
        <w:rPr>
          <w:rFonts w:ascii="Times New Roman" w:hAnsi="Times New Roman"/>
        </w:rPr>
        <w:t>等区域广泛分布的灌木物种。</w:t>
      </w:r>
    </w:p>
    <w:p>
      <w:pPr>
        <w:autoSpaceDE w:val="0"/>
        <w:autoSpaceDN w:val="0"/>
        <w:adjustRightInd w:val="0"/>
        <w:ind w:firstLine="441" w:firstLineChars="183"/>
        <w:jc w:val="both"/>
        <w:rPr>
          <w:rFonts w:ascii="Times New Roman" w:hAnsi="Times New Roman"/>
          <w:b/>
          <w:bCs/>
        </w:rPr>
      </w:pPr>
      <w:r>
        <w:rPr>
          <w:rFonts w:ascii="Times New Roman" w:hAnsi="Times New Roman"/>
          <w:b/>
          <w:bCs/>
        </w:rPr>
        <w:t>（9）芒萁草丛</w:t>
      </w:r>
    </w:p>
    <w:p>
      <w:pPr>
        <w:ind w:firstLine="480"/>
        <w:jc w:val="both"/>
        <w:rPr>
          <w:rFonts w:ascii="Times New Roman" w:hAnsi="Times New Roman"/>
        </w:rPr>
      </w:pPr>
      <w:r>
        <w:rPr>
          <w:rFonts w:ascii="Times New Roman" w:hAnsi="Times New Roman"/>
        </w:rPr>
        <w:t>该群落为森林砍伐和撂荒地弃耕而形成的不稳定类型，见于路边、砍伐迹地、滑坡迹地等次生生境。</w:t>
      </w:r>
    </w:p>
    <w:p>
      <w:pPr>
        <w:ind w:firstLine="480"/>
        <w:jc w:val="both"/>
        <w:rPr>
          <w:rFonts w:ascii="Times New Roman" w:hAnsi="Times New Roman"/>
        </w:rPr>
      </w:pPr>
      <w:r>
        <w:rPr>
          <w:rFonts w:ascii="Times New Roman" w:hAnsi="Times New Roman"/>
        </w:rPr>
        <w:t>群落外貌较整齐，生长均匀，盖度80-90％不等，高50-100cm，以芒萁（</w:t>
      </w:r>
      <w:r>
        <w:rPr>
          <w:rFonts w:ascii="Times New Roman" w:hAnsi="Times New Roman"/>
          <w:i/>
          <w:iCs/>
        </w:rPr>
        <w:t>Dicranopteris pedata</w:t>
      </w:r>
      <w:r>
        <w:rPr>
          <w:rFonts w:ascii="Times New Roman" w:hAnsi="Times New Roman"/>
        </w:rPr>
        <w:t>）为常见优势物种，群落中其他主要草本植被还有野青茅（</w:t>
      </w:r>
      <w:r>
        <w:rPr>
          <w:rFonts w:ascii="Times New Roman" w:hAnsi="Times New Roman"/>
          <w:i/>
          <w:iCs/>
        </w:rPr>
        <w:t>Deyeuxia pyramidalis</w:t>
      </w:r>
      <w:r>
        <w:rPr>
          <w:rFonts w:ascii="Times New Roman" w:hAnsi="Times New Roman"/>
          <w:iCs/>
        </w:rPr>
        <w:t xml:space="preserve"> (Host) </w:t>
      </w:r>
      <w:r>
        <w:rPr>
          <w:rFonts w:ascii="Times New Roman" w:hAnsi="Times New Roman"/>
          <w:i/>
          <w:iCs/>
        </w:rPr>
        <w:t>Veldkamp</w:t>
      </w:r>
      <w:r>
        <w:rPr>
          <w:rFonts w:ascii="Times New Roman" w:hAnsi="Times New Roman"/>
        </w:rPr>
        <w:t>）、堇菜（</w:t>
      </w:r>
      <w:r>
        <w:rPr>
          <w:rFonts w:ascii="Times New Roman" w:hAnsi="Times New Roman"/>
          <w:i/>
          <w:iCs/>
        </w:rPr>
        <w:t>Violaceae</w:t>
      </w:r>
      <w:r>
        <w:rPr>
          <w:rFonts w:ascii="Times New Roman" w:hAnsi="Times New Roman"/>
        </w:rPr>
        <w:t>）、贯众（</w:t>
      </w:r>
      <w:r>
        <w:rPr>
          <w:rFonts w:ascii="Times New Roman" w:hAnsi="Times New Roman"/>
          <w:i/>
          <w:iCs/>
        </w:rPr>
        <w:t>Cyrtomium fortunei</w:t>
      </w:r>
      <w:r>
        <w:rPr>
          <w:rFonts w:ascii="Times New Roman" w:hAnsi="Times New Roman"/>
        </w:rPr>
        <w:t>）、鱼腥草（</w:t>
      </w:r>
      <w:r>
        <w:rPr>
          <w:rFonts w:ascii="Times New Roman" w:hAnsi="Times New Roman"/>
          <w:i/>
          <w:iCs/>
        </w:rPr>
        <w:t>Houttuynia</w:t>
      </w:r>
      <w:r>
        <w:rPr>
          <w:rFonts w:ascii="Times New Roman" w:hAnsi="Times New Roman"/>
        </w:rPr>
        <w:t xml:space="preserve"> </w:t>
      </w:r>
      <w:r>
        <w:rPr>
          <w:rFonts w:ascii="Times New Roman" w:hAnsi="Times New Roman"/>
          <w:i/>
          <w:iCs/>
        </w:rPr>
        <w:t>cordata</w:t>
      </w:r>
      <w:r>
        <w:rPr>
          <w:rFonts w:ascii="Times New Roman" w:hAnsi="Times New Roman"/>
        </w:rPr>
        <w:t>）、早熟禾（</w:t>
      </w:r>
      <w:r>
        <w:rPr>
          <w:rFonts w:ascii="Times New Roman" w:hAnsi="Times New Roman"/>
          <w:i/>
          <w:iCs/>
        </w:rPr>
        <w:t>Poa</w:t>
      </w:r>
      <w:r>
        <w:rPr>
          <w:rFonts w:ascii="Times New Roman" w:hAnsi="Times New Roman"/>
        </w:rPr>
        <w:t xml:space="preserve"> </w:t>
      </w:r>
      <w:r>
        <w:rPr>
          <w:rFonts w:ascii="Times New Roman" w:hAnsi="Times New Roman"/>
          <w:i/>
          <w:iCs/>
        </w:rPr>
        <w:t>annua</w:t>
      </w:r>
      <w:r>
        <w:rPr>
          <w:rFonts w:ascii="Times New Roman" w:hAnsi="Times New Roman"/>
        </w:rPr>
        <w:t>）、繁缕（</w:t>
      </w:r>
      <w:r>
        <w:rPr>
          <w:rFonts w:ascii="Times New Roman" w:hAnsi="Times New Roman"/>
          <w:i/>
          <w:iCs/>
        </w:rPr>
        <w:t>Stellaria</w:t>
      </w:r>
      <w:r>
        <w:rPr>
          <w:rFonts w:ascii="Times New Roman" w:hAnsi="Times New Roman"/>
        </w:rPr>
        <w:t xml:space="preserve"> </w:t>
      </w:r>
      <w:r>
        <w:rPr>
          <w:rFonts w:ascii="Times New Roman" w:hAnsi="Times New Roman"/>
          <w:i/>
          <w:iCs/>
        </w:rPr>
        <w:t>media</w:t>
      </w:r>
      <w:r>
        <w:rPr>
          <w:rFonts w:ascii="Times New Roman" w:hAnsi="Times New Roman"/>
        </w:rPr>
        <w:t>）、过路黄（</w:t>
      </w:r>
      <w:r>
        <w:rPr>
          <w:rFonts w:ascii="Times New Roman" w:hAnsi="Times New Roman"/>
          <w:i/>
          <w:iCs/>
        </w:rPr>
        <w:t>Lysimachia</w:t>
      </w:r>
      <w:r>
        <w:rPr>
          <w:rFonts w:ascii="Times New Roman" w:hAnsi="Times New Roman"/>
        </w:rPr>
        <w:t xml:space="preserve"> </w:t>
      </w:r>
      <w:r>
        <w:rPr>
          <w:rFonts w:ascii="Times New Roman" w:hAnsi="Times New Roman"/>
          <w:i/>
          <w:iCs/>
        </w:rPr>
        <w:t>christinae</w:t>
      </w:r>
      <w:r>
        <w:rPr>
          <w:rFonts w:ascii="Times New Roman" w:hAnsi="Times New Roman"/>
        </w:rPr>
        <w:t>）等。</w:t>
      </w:r>
    </w:p>
    <w:p>
      <w:pPr>
        <w:autoSpaceDE w:val="0"/>
        <w:autoSpaceDN w:val="0"/>
        <w:adjustRightInd w:val="0"/>
        <w:ind w:firstLine="441" w:firstLineChars="183"/>
        <w:jc w:val="both"/>
        <w:rPr>
          <w:rFonts w:ascii="Times New Roman" w:hAnsi="Times New Roman"/>
          <w:b/>
          <w:bCs/>
        </w:rPr>
      </w:pPr>
      <w:r>
        <w:rPr>
          <w:rFonts w:ascii="Times New Roman" w:hAnsi="Times New Roman"/>
          <w:b/>
          <w:bCs/>
        </w:rPr>
        <w:t>10、里白草丛</w:t>
      </w:r>
    </w:p>
    <w:p>
      <w:pPr>
        <w:ind w:firstLine="480"/>
        <w:jc w:val="both"/>
        <w:rPr>
          <w:rFonts w:ascii="Times New Roman" w:hAnsi="Times New Roman"/>
        </w:rPr>
      </w:pPr>
      <w:r>
        <w:rPr>
          <w:rFonts w:ascii="Times New Roman" w:hAnsi="Times New Roman"/>
        </w:rPr>
        <w:t>该群落为林地周边形成的不稳定类型，见于路边、砍伐迹地、滑坡迹地等次生生境。</w:t>
      </w:r>
    </w:p>
    <w:p>
      <w:pPr>
        <w:ind w:firstLine="480"/>
        <w:jc w:val="both"/>
        <w:rPr>
          <w:rFonts w:ascii="Times New Roman" w:hAnsi="Times New Roman"/>
        </w:rPr>
      </w:pPr>
      <w:r>
        <w:rPr>
          <w:rFonts w:ascii="Times New Roman" w:hAnsi="Times New Roman"/>
        </w:rPr>
        <w:t>群落外貌较整齐，生长均匀，盖度90-97％不等，高40-80cm，以里白（</w:t>
      </w:r>
      <w:r>
        <w:rPr>
          <w:rFonts w:ascii="Times New Roman" w:hAnsi="Times New Roman"/>
          <w:i/>
          <w:iCs/>
        </w:rPr>
        <w:t>Hicriopteris glauca</w:t>
      </w:r>
      <w:r>
        <w:rPr>
          <w:rFonts w:ascii="Times New Roman" w:hAnsi="Times New Roman"/>
        </w:rPr>
        <w:t>）为常见优势物种，群落中其他主要草本植被还有芒萁（</w:t>
      </w:r>
      <w:r>
        <w:rPr>
          <w:rFonts w:ascii="Times New Roman" w:hAnsi="Times New Roman"/>
          <w:i/>
          <w:iCs/>
        </w:rPr>
        <w:t>Dicranopteris pedata</w:t>
      </w:r>
      <w:r>
        <w:rPr>
          <w:rFonts w:ascii="Times New Roman" w:hAnsi="Times New Roman"/>
        </w:rPr>
        <w:t>）、贯众（</w:t>
      </w:r>
      <w:r>
        <w:rPr>
          <w:rFonts w:ascii="Times New Roman" w:hAnsi="Times New Roman"/>
          <w:i/>
          <w:iCs/>
        </w:rPr>
        <w:t>Cyrtomium fortunei</w:t>
      </w:r>
      <w:r>
        <w:rPr>
          <w:rFonts w:ascii="Times New Roman" w:hAnsi="Times New Roman"/>
        </w:rPr>
        <w:t>）、过路黄（</w:t>
      </w:r>
      <w:r>
        <w:rPr>
          <w:rFonts w:ascii="Times New Roman" w:hAnsi="Times New Roman"/>
          <w:i/>
          <w:iCs/>
        </w:rPr>
        <w:t>Lysimachia</w:t>
      </w:r>
      <w:r>
        <w:rPr>
          <w:rFonts w:ascii="Times New Roman" w:hAnsi="Times New Roman"/>
        </w:rPr>
        <w:t xml:space="preserve"> </w:t>
      </w:r>
      <w:r>
        <w:rPr>
          <w:rFonts w:ascii="Times New Roman" w:hAnsi="Times New Roman"/>
          <w:i/>
          <w:iCs/>
        </w:rPr>
        <w:t>christinae</w:t>
      </w:r>
      <w:r>
        <w:rPr>
          <w:rFonts w:ascii="Times New Roman" w:hAnsi="Times New Roman"/>
        </w:rPr>
        <w:t>）等。</w:t>
      </w:r>
    </w:p>
    <w:p>
      <w:pPr>
        <w:adjustRightInd w:val="0"/>
        <w:snapToGrid w:val="0"/>
        <w:ind w:firstLine="480"/>
        <w:rPr>
          <w:rFonts w:ascii="Times New Roman" w:hAnsi="Times New Roman"/>
        </w:rPr>
      </w:pPr>
      <w:r>
        <w:rPr>
          <w:rFonts w:ascii="Times New Roman" w:hAnsi="Times New Roman"/>
        </w:rPr>
        <w:t>二、栽培植被类型</w:t>
      </w:r>
    </w:p>
    <w:p>
      <w:pPr>
        <w:autoSpaceDE w:val="0"/>
        <w:autoSpaceDN w:val="0"/>
        <w:adjustRightInd w:val="0"/>
        <w:ind w:firstLine="482"/>
        <w:jc w:val="both"/>
        <w:rPr>
          <w:rFonts w:ascii="Times New Roman" w:hAnsi="Times New Roman"/>
          <w:b/>
          <w:bCs/>
        </w:rPr>
      </w:pPr>
      <w:r>
        <w:rPr>
          <w:rFonts w:ascii="Times New Roman" w:hAnsi="Times New Roman"/>
          <w:b/>
          <w:bCs/>
        </w:rPr>
        <w:t>（1）一年两熟水田作物组合型</w:t>
      </w:r>
    </w:p>
    <w:p>
      <w:pPr>
        <w:autoSpaceDE w:val="0"/>
        <w:autoSpaceDN w:val="0"/>
        <w:adjustRightInd w:val="0"/>
        <w:ind w:firstLine="480"/>
        <w:jc w:val="both"/>
        <w:rPr>
          <w:rFonts w:ascii="Times New Roman" w:hAnsi="Times New Roman"/>
        </w:rPr>
      </w:pPr>
      <w:r>
        <w:rPr>
          <w:rFonts w:ascii="Times New Roman" w:hAnsi="Times New Roman"/>
        </w:rPr>
        <w:t>水田是评价范围内常见的栽培植被类型。由于评价范围气温适宜、年降雨丰富且前河水系发达、灌溉渠系纵横交错，水田作物产量较高，为主要的粮食生产基地。评价范围水田作物一年两熟，夏季种植水稻（</w:t>
      </w:r>
      <w:r>
        <w:rPr>
          <w:rFonts w:ascii="Times New Roman" w:hAnsi="Times New Roman"/>
          <w:i/>
          <w:lang w:val="pt-BR"/>
        </w:rPr>
        <w:t>Oryza sativa</w:t>
      </w:r>
      <w:r>
        <w:rPr>
          <w:rFonts w:ascii="Times New Roman" w:hAnsi="Times New Roman"/>
        </w:rPr>
        <w:t>）、冬季种植小麦（</w:t>
      </w:r>
      <w:r>
        <w:rPr>
          <w:rFonts w:ascii="Times New Roman" w:hAnsi="Times New Roman"/>
          <w:i/>
        </w:rPr>
        <w:t>Triticum aestivum</w:t>
      </w:r>
      <w:r>
        <w:rPr>
          <w:rFonts w:ascii="Times New Roman" w:hAnsi="Times New Roman"/>
        </w:rPr>
        <w:t>）或油菜（</w:t>
      </w:r>
      <w:r>
        <w:rPr>
          <w:rFonts w:ascii="Times New Roman" w:hAnsi="Times New Roman"/>
          <w:i/>
        </w:rPr>
        <w:t>Brassica campestris</w:t>
      </w:r>
      <w:r>
        <w:rPr>
          <w:rFonts w:ascii="Times New Roman" w:hAnsi="Times New Roman"/>
        </w:rPr>
        <w:t>），夏季一般在田埂上种植大豆（</w:t>
      </w:r>
      <w:r>
        <w:rPr>
          <w:rFonts w:ascii="Times New Roman" w:hAnsi="Times New Roman"/>
          <w:i/>
        </w:rPr>
        <w:t>Glycine max</w:t>
      </w:r>
      <w:r>
        <w:rPr>
          <w:rFonts w:ascii="Times New Roman" w:hAnsi="Times New Roman"/>
        </w:rPr>
        <w:t>）、冬季种植蚕豆（</w:t>
      </w:r>
      <w:r>
        <w:rPr>
          <w:rFonts w:ascii="Times New Roman" w:hAnsi="Times New Roman"/>
          <w:i/>
        </w:rPr>
        <w:t>Vicia faba</w:t>
      </w:r>
      <w:r>
        <w:rPr>
          <w:rFonts w:ascii="Times New Roman" w:hAnsi="Times New Roman"/>
        </w:rPr>
        <w:t>）以及一些蔬菜作物。</w:t>
      </w:r>
    </w:p>
    <w:p>
      <w:pPr>
        <w:autoSpaceDE w:val="0"/>
        <w:autoSpaceDN w:val="0"/>
        <w:adjustRightInd w:val="0"/>
        <w:ind w:firstLine="482"/>
        <w:jc w:val="both"/>
        <w:rPr>
          <w:rFonts w:ascii="Times New Roman" w:hAnsi="Times New Roman"/>
          <w:b/>
          <w:bCs/>
        </w:rPr>
      </w:pPr>
      <w:r>
        <w:rPr>
          <w:rFonts w:ascii="Times New Roman" w:hAnsi="Times New Roman"/>
          <w:b/>
          <w:bCs/>
        </w:rPr>
        <w:t>（2）一年两熟旱地作物组合型</w:t>
      </w:r>
    </w:p>
    <w:p>
      <w:pPr>
        <w:autoSpaceDE w:val="0"/>
        <w:autoSpaceDN w:val="0"/>
        <w:adjustRightInd w:val="0"/>
        <w:ind w:firstLine="480"/>
        <w:jc w:val="both"/>
        <w:rPr>
          <w:rFonts w:ascii="Times New Roman" w:hAnsi="Times New Roman"/>
        </w:rPr>
      </w:pPr>
      <w:r>
        <w:rPr>
          <w:rFonts w:ascii="Times New Roman" w:hAnsi="Times New Roman"/>
        </w:rPr>
        <w:t>种植农作物以玉米（</w:t>
      </w:r>
      <w:r>
        <w:rPr>
          <w:rFonts w:ascii="Times New Roman" w:hAnsi="Times New Roman"/>
          <w:i/>
          <w:lang w:val="pt-BR"/>
        </w:rPr>
        <w:t>Zea mays</w:t>
      </w:r>
      <w:r>
        <w:rPr>
          <w:rFonts w:ascii="Times New Roman" w:hAnsi="Times New Roman"/>
        </w:rPr>
        <w:t>）、油菜（</w:t>
      </w:r>
      <w:r>
        <w:rPr>
          <w:rFonts w:ascii="Times New Roman" w:hAnsi="Times New Roman"/>
          <w:i/>
        </w:rPr>
        <w:t>Brassica campestris</w:t>
      </w:r>
      <w:r>
        <w:rPr>
          <w:rFonts w:ascii="Times New Roman" w:hAnsi="Times New Roman"/>
        </w:rPr>
        <w:t>）、冬小麦（</w:t>
      </w:r>
      <w:r>
        <w:rPr>
          <w:rFonts w:ascii="Times New Roman" w:hAnsi="Times New Roman"/>
          <w:i/>
        </w:rPr>
        <w:t>Triticum aestivum</w:t>
      </w:r>
      <w:r>
        <w:rPr>
          <w:rFonts w:ascii="Times New Roman" w:hAnsi="Times New Roman"/>
        </w:rPr>
        <w:t>）、红苕（</w:t>
      </w:r>
      <w:r>
        <w:rPr>
          <w:rFonts w:ascii="Times New Roman" w:hAnsi="Times New Roman"/>
          <w:i/>
        </w:rPr>
        <w:t>Ipomoea batatas</w:t>
      </w:r>
      <w:r>
        <w:rPr>
          <w:rFonts w:ascii="Times New Roman" w:hAnsi="Times New Roman"/>
        </w:rPr>
        <w:t>）、马铃薯（</w:t>
      </w:r>
      <w:r>
        <w:rPr>
          <w:rFonts w:ascii="Times New Roman" w:hAnsi="Times New Roman"/>
          <w:i/>
          <w:lang w:val="pt-BR"/>
        </w:rPr>
        <w:t>Solanum tuberosum</w:t>
      </w:r>
      <w:r>
        <w:rPr>
          <w:rFonts w:ascii="Times New Roman" w:hAnsi="Times New Roman"/>
        </w:rPr>
        <w:t>）与豆类等为主。主要分布在评价范围缓坡地和丘陵地带，由于水源的限制，只能种植旱地作物，基本轮作倒茬方式为冬春两季种植油菜、冬小麦、蚕豆、马铃薯，夏秋两季种植玉米、红苕、豆类。</w:t>
      </w:r>
    </w:p>
    <w:p>
      <w:pPr>
        <w:autoSpaceDE w:val="0"/>
        <w:autoSpaceDN w:val="0"/>
        <w:adjustRightInd w:val="0"/>
        <w:ind w:firstLine="482"/>
        <w:jc w:val="both"/>
        <w:rPr>
          <w:rFonts w:ascii="Times New Roman" w:hAnsi="Times New Roman"/>
          <w:b/>
          <w:bCs/>
        </w:rPr>
      </w:pPr>
      <w:r>
        <w:rPr>
          <w:rFonts w:ascii="Times New Roman" w:hAnsi="Times New Roman"/>
          <w:b/>
          <w:bCs/>
        </w:rPr>
        <w:t>（3）经济林、果园和行道树</w:t>
      </w:r>
    </w:p>
    <w:p>
      <w:pPr>
        <w:autoSpaceDE w:val="0"/>
        <w:autoSpaceDN w:val="0"/>
        <w:adjustRightInd w:val="0"/>
        <w:ind w:firstLine="480"/>
        <w:jc w:val="both"/>
        <w:rPr>
          <w:rFonts w:ascii="Times New Roman" w:hAnsi="Times New Roman"/>
        </w:rPr>
      </w:pPr>
      <w:r>
        <w:rPr>
          <w:rFonts w:ascii="Times New Roman" w:hAnsi="Times New Roman"/>
        </w:rPr>
        <w:t>评价范围内的旱地大多肥力较差，农作物产量偏低。近年来随着科技下乡活动的深入开展和实施退耕还林政策，根据市场需求，当地农民将原有大片耕地种上了银杏（</w:t>
      </w:r>
      <w:r>
        <w:rPr>
          <w:rFonts w:ascii="Times New Roman" w:hAnsi="Times New Roman"/>
          <w:i/>
        </w:rPr>
        <w:t>Ginkgo biloba</w:t>
      </w:r>
      <w:r>
        <w:rPr>
          <w:rFonts w:ascii="Times New Roman" w:hAnsi="Times New Roman"/>
        </w:rPr>
        <w:t>）、桑树（</w:t>
      </w:r>
      <w:r>
        <w:rPr>
          <w:rFonts w:ascii="Times New Roman" w:hAnsi="Times New Roman"/>
          <w:i/>
        </w:rPr>
        <w:t>Morus alba</w:t>
      </w:r>
      <w:r>
        <w:rPr>
          <w:rFonts w:ascii="Times New Roman" w:hAnsi="Times New Roman"/>
        </w:rPr>
        <w:t>）、桂花（</w:t>
      </w:r>
      <w:r>
        <w:rPr>
          <w:rFonts w:ascii="Times New Roman" w:hAnsi="Times New Roman"/>
          <w:i/>
        </w:rPr>
        <w:t>Osmanthus fragrans</w:t>
      </w:r>
      <w:r>
        <w:rPr>
          <w:rFonts w:ascii="Times New Roman" w:hAnsi="Times New Roman"/>
        </w:rPr>
        <w:t>）、黄葛树（</w:t>
      </w:r>
      <w:r>
        <w:rPr>
          <w:rFonts w:ascii="Times New Roman" w:hAnsi="Times New Roman"/>
          <w:i/>
        </w:rPr>
        <w:t>Ficus virens Aiton）</w:t>
      </w:r>
      <w:r>
        <w:rPr>
          <w:rFonts w:ascii="Times New Roman" w:hAnsi="Times New Roman"/>
        </w:rPr>
        <w:t>、小叶榕（</w:t>
      </w:r>
      <w:r>
        <w:rPr>
          <w:rFonts w:ascii="Times New Roman" w:hAnsi="Times New Roman"/>
          <w:i/>
        </w:rPr>
        <w:t>Ficus microcarpa</w:t>
      </w:r>
      <w:r>
        <w:rPr>
          <w:rFonts w:ascii="Times New Roman" w:hAnsi="Times New Roman"/>
        </w:rPr>
        <w:t>var.</w:t>
      </w:r>
      <w:r>
        <w:rPr>
          <w:rFonts w:ascii="Times New Roman" w:hAnsi="Times New Roman"/>
          <w:i/>
        </w:rPr>
        <w:t>pusillifolia</w:t>
      </w:r>
      <w:r>
        <w:rPr>
          <w:rFonts w:ascii="Times New Roman" w:hAnsi="Times New Roman"/>
        </w:rPr>
        <w:t>）、天竺桂（</w:t>
      </w:r>
      <w:r>
        <w:rPr>
          <w:rFonts w:ascii="Times New Roman" w:hAnsi="Times New Roman"/>
          <w:i/>
        </w:rPr>
        <w:t>Cinnamomum pedunculatum</w:t>
      </w:r>
      <w:r>
        <w:rPr>
          <w:rFonts w:ascii="Times New Roman" w:hAnsi="Times New Roman"/>
        </w:rPr>
        <w:t>）等经济林木和枇杷（</w:t>
      </w:r>
      <w:r>
        <w:rPr>
          <w:rFonts w:ascii="Times New Roman" w:hAnsi="Times New Roman"/>
          <w:i/>
        </w:rPr>
        <w:t>Eriobotrya japonica (Thunb.) Lindl</w:t>
      </w:r>
      <w:r>
        <w:rPr>
          <w:rFonts w:ascii="Times New Roman" w:hAnsi="Times New Roman"/>
        </w:rPr>
        <w:t>）、梨（</w:t>
      </w:r>
      <w:r>
        <w:rPr>
          <w:rFonts w:ascii="Times New Roman" w:hAnsi="Times New Roman"/>
          <w:i/>
        </w:rPr>
        <w:t>Pyrus spp</w:t>
      </w:r>
      <w:r>
        <w:rPr>
          <w:rFonts w:ascii="Times New Roman" w:hAnsi="Times New Roman"/>
        </w:rPr>
        <w:t>）、柚（</w:t>
      </w:r>
      <w:r>
        <w:rPr>
          <w:rFonts w:ascii="Times New Roman" w:hAnsi="Times New Roman"/>
          <w:i/>
        </w:rPr>
        <w:t>Citrus maxima</w:t>
      </w:r>
      <w:r>
        <w:rPr>
          <w:rFonts w:ascii="Times New Roman" w:hAnsi="Times New Roman"/>
        </w:rPr>
        <w:t>）、柑橘（</w:t>
      </w:r>
      <w:r>
        <w:rPr>
          <w:rFonts w:ascii="Times New Roman" w:hAnsi="Times New Roman"/>
          <w:i/>
        </w:rPr>
        <w:t>Citrus reticulate</w:t>
      </w:r>
      <w:r>
        <w:rPr>
          <w:rFonts w:ascii="Times New Roman" w:hAnsi="Times New Roman"/>
        </w:rPr>
        <w:t>）、甜橙（</w:t>
      </w:r>
      <w:r>
        <w:rPr>
          <w:rFonts w:ascii="Times New Roman" w:hAnsi="Times New Roman"/>
          <w:i/>
        </w:rPr>
        <w:t>Citrus sinensis</w:t>
      </w:r>
      <w:r>
        <w:rPr>
          <w:rFonts w:ascii="Times New Roman" w:hAnsi="Times New Roman"/>
        </w:rPr>
        <w:t>）等果树。其间套种有大豆（</w:t>
      </w:r>
      <w:r>
        <w:rPr>
          <w:rFonts w:ascii="Times New Roman" w:hAnsi="Times New Roman"/>
          <w:i/>
        </w:rPr>
        <w:t>Glycine max (L.) Merr</w:t>
      </w:r>
      <w:r>
        <w:rPr>
          <w:rFonts w:ascii="Times New Roman" w:hAnsi="Times New Roman"/>
        </w:rPr>
        <w:t>）、红苕（</w:t>
      </w:r>
      <w:r>
        <w:rPr>
          <w:rFonts w:ascii="Times New Roman" w:hAnsi="Times New Roman"/>
          <w:i/>
        </w:rPr>
        <w:t>Ipomoea batatas</w:t>
      </w:r>
      <w:r>
        <w:rPr>
          <w:rFonts w:ascii="Times New Roman" w:hAnsi="Times New Roman"/>
        </w:rPr>
        <w:t>）、马铃薯（</w:t>
      </w:r>
      <w:r>
        <w:rPr>
          <w:rFonts w:ascii="Times New Roman" w:hAnsi="Times New Roman"/>
          <w:i/>
        </w:rPr>
        <w:t>Solanum tuberosum L</w:t>
      </w:r>
      <w:r>
        <w:rPr>
          <w:rFonts w:ascii="Times New Roman" w:hAnsi="Times New Roman"/>
        </w:rPr>
        <w:t>）等低矮农作物。园子周围有构树（</w:t>
      </w:r>
      <w:r>
        <w:rPr>
          <w:rFonts w:ascii="Times New Roman" w:hAnsi="Times New Roman"/>
          <w:i/>
        </w:rPr>
        <w:t>Broussonetia papyrifera</w:t>
      </w:r>
      <w:r>
        <w:rPr>
          <w:rFonts w:ascii="Times New Roman" w:hAnsi="Times New Roman"/>
        </w:rPr>
        <w:t>）、刺槐（</w:t>
      </w:r>
      <w:r>
        <w:rPr>
          <w:rFonts w:ascii="Times New Roman" w:hAnsi="Times New Roman"/>
          <w:i/>
        </w:rPr>
        <w:t>Robinia pseudoacacia</w:t>
      </w:r>
      <w:r>
        <w:rPr>
          <w:rFonts w:ascii="Times New Roman" w:hAnsi="Times New Roman"/>
        </w:rPr>
        <w:t>）、香椿（</w:t>
      </w:r>
      <w:r>
        <w:rPr>
          <w:rFonts w:ascii="Times New Roman" w:hAnsi="Times New Roman"/>
          <w:i/>
          <w:iCs/>
        </w:rPr>
        <w:t>Toona</w:t>
      </w:r>
      <w:r>
        <w:rPr>
          <w:rFonts w:ascii="Times New Roman" w:hAnsi="Times New Roman"/>
        </w:rPr>
        <w:t xml:space="preserve"> </w:t>
      </w:r>
      <w:r>
        <w:rPr>
          <w:rFonts w:ascii="Times New Roman" w:hAnsi="Times New Roman"/>
          <w:i/>
          <w:iCs/>
        </w:rPr>
        <w:t>sinensis</w:t>
      </w:r>
      <w:r>
        <w:rPr>
          <w:rFonts w:ascii="Times New Roman" w:hAnsi="Times New Roman"/>
        </w:rPr>
        <w:t>）等。</w:t>
      </w:r>
    </w:p>
    <w:p>
      <w:pPr>
        <w:pStyle w:val="5"/>
        <w:rPr>
          <w:rFonts w:ascii="Times New Roman" w:hAnsi="Times New Roman"/>
        </w:rPr>
      </w:pPr>
      <w:r>
        <w:rPr>
          <w:rFonts w:ascii="Times New Roman" w:hAnsi="Times New Roman"/>
        </w:rPr>
        <w:t>植被类型及分布情况</w:t>
      </w:r>
    </w:p>
    <w:p>
      <w:pPr>
        <w:pStyle w:val="43"/>
        <w:numPr>
          <w:ilvl w:val="0"/>
          <w:numId w:val="8"/>
        </w:numPr>
        <w:ind w:firstLineChars="0"/>
        <w:rPr>
          <w:rFonts w:ascii="Times New Roman" w:hAnsi="Times New Roman"/>
        </w:rPr>
      </w:pPr>
      <w:r>
        <w:rPr>
          <w:rFonts w:ascii="Times New Roman" w:hAnsi="Times New Roman"/>
        </w:rPr>
        <w:t>样方设置及合理性分析</w:t>
      </w:r>
    </w:p>
    <w:p>
      <w:pPr>
        <w:autoSpaceDE w:val="0"/>
        <w:autoSpaceDN w:val="0"/>
        <w:adjustRightInd w:val="0"/>
        <w:ind w:firstLine="480"/>
        <w:jc w:val="both"/>
        <w:rPr>
          <w:rFonts w:ascii="Times New Roman" w:hAnsi="Times New Roman"/>
        </w:rPr>
      </w:pPr>
      <w:r>
        <w:rPr>
          <w:rFonts w:ascii="Times New Roman" w:hAnsi="Times New Roman"/>
        </w:rPr>
        <w:t>本次评价根据本项目工程特性，结合调查范围、调查对象、地形地貌和实际环境影响情况等选择合适的调查点位进行样方调查。样方涵盖评价范围内不同的植被类型及生境类型，并结合坡位、坡向进行布设，尽量兼顾不同海拔段。根据相关资料的数据解析和现状调查，确定评价范围有针叶林、阔叶林、灌丛、灌草丛、栽培植被等5大类植被型组。按照导则要求二级评价每种群落类型设置的样方数量不少于3个，选择植物生长旺盛季节进行调查。本次调查在评价范围共设置了31个植物调查样方，其中针叶林样方6个（马尾松林样方4个），阔叶林样方6个（栓皮栎样方3个、桤木林样方3个），竹林样方3个（白夹竹林样方3个），常绿阔叶灌丛样方3个（格药柃灌丛样方3个），落叶阔叶灌丛样方6个（乌泡子灌丛样方3个、</w:t>
      </w:r>
      <w:r>
        <w:rPr>
          <w:rFonts w:hint="eastAsia" w:ascii="Times New Roman" w:hAnsi="Times New Roman"/>
          <w:lang w:eastAsia="zh-CN"/>
        </w:rPr>
        <w:t>高粱</w:t>
      </w:r>
      <w:r>
        <w:rPr>
          <w:rFonts w:ascii="Times New Roman" w:hAnsi="Times New Roman"/>
        </w:rPr>
        <w:t>泡灌丛样方3个），草丛样方9个（里白草丛样方3个、芒草草丛样方3个、芒萁草丛样方3个），符合导则要求。</w:t>
      </w:r>
    </w:p>
    <w:p>
      <w:pPr>
        <w:autoSpaceDE w:val="0"/>
        <w:autoSpaceDN w:val="0"/>
        <w:adjustRightInd w:val="0"/>
        <w:ind w:firstLine="480"/>
        <w:jc w:val="both"/>
        <w:rPr>
          <w:rFonts w:ascii="Times New Roman" w:hAnsi="Times New Roman"/>
        </w:rPr>
      </w:pPr>
      <w:r>
        <w:rPr>
          <w:rFonts w:ascii="Times New Roman" w:hAnsi="Times New Roman"/>
        </w:rPr>
        <w:t>综上，本项目样方设置结合了项目工程特性以及评价范围地形地貌和实际环境，对广泛分布的植物群落样方设置符合导则要求，对零星点状分布的植物群落也设置了样方，因此样方设置涵盖了评价范围的主要植被，具有一定的代表性。本次调查乔木、灌木、草丛的样方大小为20m×20m（或10m×10m）、5m×5m、1m×1m，乔木样方调查记录乔木层郁闭度、树种的组成、株数、每树种的胸径、高度、物候期、生活力，灌木样方调查记录灌木的种类组成、盖度、物候期、生活力等参数；草丛样方调查记录草本的种类组成、盖度和高度、物候期、生活力，并利用GPS、罗盘等测定、记录样方的经纬度、海拔等地理信息，拍摄样地群落结构和外面照片。样方点位分布见附图24，样方总体情况见</w:t>
      </w:r>
      <w:r>
        <w:rPr>
          <w:rFonts w:ascii="Times New Roman" w:hAnsi="Times New Roman"/>
        </w:rPr>
        <w:fldChar w:fldCharType="begin"/>
      </w:r>
      <w:r>
        <w:rPr>
          <w:rFonts w:ascii="Times New Roman" w:hAnsi="Times New Roman"/>
        </w:rPr>
        <w:instrText xml:space="preserve"> REF _Ref162081552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26</w:t>
      </w:r>
      <w:r>
        <w:rPr>
          <w:rFonts w:ascii="Times New Roman" w:hAnsi="Times New Roman"/>
        </w:rPr>
        <w:fldChar w:fldCharType="end"/>
      </w:r>
      <w:r>
        <w:rPr>
          <w:rFonts w:ascii="Times New Roman" w:hAnsi="Times New Roman"/>
        </w:rPr>
        <w:t>。各样方的具体情况见附表1。</w:t>
      </w:r>
    </w:p>
    <w:p>
      <w:pPr>
        <w:ind w:firstLine="480"/>
        <w:rPr>
          <w:rFonts w:ascii="Times New Roman" w:hAnsi="Times New Roman"/>
        </w:rPr>
      </w:pPr>
      <w:r>
        <w:rPr>
          <w:rFonts w:ascii="Times New Roman" w:hAnsi="Times New Roman"/>
        </w:rPr>
        <w:t>根据现场踏勘和相关资料介绍，项目所在区域的主要植被类型为温带常见的植被类型，植物种类包括马尾松、柏木、桤木、栓皮栎、香椿、白夹竹、喜树、柃、斑竹、乌泡子、高粱泡、隔药柃、藤黄檀、铁仔、芒萁、芒草、野青茅、堇菜、艾蒿、节节草、空心莲子草、野菊、粗齿冷水花、灯心草、辣蓼、珍珠茅、里白等。本次样方调查的植被类型均为评价范围域内典型的植被，因此布点合理。</w:t>
      </w:r>
    </w:p>
    <w:p>
      <w:pPr>
        <w:pStyle w:val="37"/>
        <w:rPr>
          <w:rFonts w:ascii="Times New Roman" w:hAnsi="Times New Roman" w:cs="Times New Roman"/>
        </w:rPr>
      </w:pPr>
      <w:bookmarkStart w:id="164" w:name="_Ref16208155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26</w:t>
      </w:r>
      <w:r>
        <w:rPr>
          <w:rFonts w:ascii="Times New Roman" w:hAnsi="Times New Roman" w:cs="Times New Roman"/>
        </w:rPr>
        <w:fldChar w:fldCharType="end"/>
      </w:r>
      <w:bookmarkEnd w:id="164"/>
      <w:r>
        <w:rPr>
          <w:rFonts w:ascii="Times New Roman" w:hAnsi="Times New Roman" w:cs="Times New Roman"/>
        </w:rPr>
        <w:t xml:space="preserve">  样方总体情况表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5"/>
        <w:gridCol w:w="925"/>
        <w:gridCol w:w="1955"/>
        <w:gridCol w:w="1389"/>
        <w:gridCol w:w="1742"/>
        <w:gridCol w:w="15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序号</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样方编号</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经纬度</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样方类型</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植物群落</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样方面积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1#</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N31.486299°  E107.808118°</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乔木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马尾松林</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20m×20m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2#</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N31.505825°  E107.793434°</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乔木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马尾松林</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20m×20m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3#</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N31.494118° E107.802479°</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乔木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马尾松林</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20m×20m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4</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4#</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N31.457139°  E107.821934°</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乔木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马尾松林</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20m×20m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5</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5#</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N31.499580°  E107.788455°</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乔木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栓皮栎林</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20m×20m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6</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6#</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E107.794890°  N31.504838°</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乔木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栓皮栎林</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20m×20m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7</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7#</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E107.804351°  N31.498163°</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乔木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栓皮栎林</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20m×20m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8</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8#</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E107.804351°  N31.498163°°</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乔木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桤木林</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20m×20m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9</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9#</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N31.454573°  E107.846523°</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乔木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桤木林</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20m×20m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10</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10#</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E107.805272°  N31.488637°°</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乔木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桤木林</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20m×20m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11</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11#</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N31.440640°  E107.847727°</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竹</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白夹竹林</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10m×10m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12</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12#</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E107.808781°  N31.473847°</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竹</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白夹竹林</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5m×5m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13</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13#</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E107.808808°  N31.474293°</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竹</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白夹竹林</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5m×5m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14</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14#</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N31.454544° E107.846647°</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灌木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高粱泡林</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5m×5m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15</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15#</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E107.814905°  E31.468711°</w:t>
            </w:r>
          </w:p>
        </w:tc>
        <w:tc>
          <w:tcPr>
            <w:tcW w:w="815" w:type="pct"/>
            <w:vAlign w:val="center"/>
          </w:tcPr>
          <w:p>
            <w:pPr>
              <w:snapToGrid w:val="0"/>
              <w:spacing w:line="160" w:lineRule="atLeast"/>
              <w:ind w:firstLine="0" w:firstLineChars="0"/>
              <w:jc w:val="center"/>
              <w:rPr>
                <w:rFonts w:ascii="Times New Roman" w:hAnsi="Times New Roman"/>
                <w:b/>
                <w:sz w:val="21"/>
                <w:szCs w:val="21"/>
                <w:lang w:val="zh-CN"/>
              </w:rPr>
            </w:pPr>
            <w:r>
              <w:rPr>
                <w:rFonts w:ascii="Times New Roman" w:hAnsi="Times New Roman"/>
                <w:sz w:val="21"/>
                <w:szCs w:val="21"/>
                <w:lang w:val="zh-CN"/>
              </w:rPr>
              <w:t>灌木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高粱泡林</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5m×5m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16</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16#</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E107.843990°  E31.456788°</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灌木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高粱泡林</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5m×5m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17</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17#</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N31.435931° E107.846482°</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灌木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乌泡子灌丛</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5m×5m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18</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18#</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E107.802303°  N31.504368°</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灌木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乌泡子灌丛</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5m×5m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19</w:t>
            </w:r>
          </w:p>
        </w:tc>
        <w:tc>
          <w:tcPr>
            <w:tcW w:w="543"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19#</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E107.805531°  N31.489929°</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灌木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乌泡子灌丛</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5m×5m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20</w:t>
            </w:r>
          </w:p>
        </w:tc>
        <w:tc>
          <w:tcPr>
            <w:tcW w:w="543" w:type="pc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20#</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N31.505797° E107.793633°</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灌木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格药柃灌丛</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5m×5m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21</w:t>
            </w:r>
          </w:p>
        </w:tc>
        <w:tc>
          <w:tcPr>
            <w:tcW w:w="543" w:type="pc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21#</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E107.811823°  N31.480263°</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灌木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格药柃灌丛</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5m×5m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22</w:t>
            </w:r>
          </w:p>
        </w:tc>
        <w:tc>
          <w:tcPr>
            <w:tcW w:w="543" w:type="pc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22</w:t>
            </w:r>
            <w:r>
              <w:rPr>
                <w:rFonts w:ascii="Times New Roman" w:hAnsi="Times New Roman"/>
                <w:i/>
                <w:iCs/>
                <w:sz w:val="21"/>
                <w:szCs w:val="21"/>
              </w:rPr>
              <w:t>#</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N31.457265° E107.821916°</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灌木</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格药柃灌丛</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5m×5m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23</w:t>
            </w:r>
          </w:p>
        </w:tc>
        <w:tc>
          <w:tcPr>
            <w:tcW w:w="543" w:type="pc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23#</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E107.812214°  N31.483377°</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草本</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芒萁草丛</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1m×1m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24</w:t>
            </w:r>
          </w:p>
        </w:tc>
        <w:tc>
          <w:tcPr>
            <w:tcW w:w="543" w:type="pc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24#</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N31.505695° E107.793782°</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草本</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芒萁草丛</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1m×1m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25</w:t>
            </w:r>
          </w:p>
        </w:tc>
        <w:tc>
          <w:tcPr>
            <w:tcW w:w="543" w:type="pc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25#</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E107.834485°  N31.456443°</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草本</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芒萁草丛</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1m×1m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26</w:t>
            </w:r>
          </w:p>
        </w:tc>
        <w:tc>
          <w:tcPr>
            <w:tcW w:w="543" w:type="pc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26#</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N31.457215° E107.821926°</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草本</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里白草丛</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1m×1m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27</w:t>
            </w:r>
          </w:p>
        </w:tc>
        <w:tc>
          <w:tcPr>
            <w:tcW w:w="543" w:type="pc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27#</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N31.451754° E107.821395°</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草本</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里白草丛</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1m×1m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28</w:t>
            </w:r>
          </w:p>
        </w:tc>
        <w:tc>
          <w:tcPr>
            <w:tcW w:w="543" w:type="pc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28#</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N31.450745° E107.824249°</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草本</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里白草丛</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1m×1m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29</w:t>
            </w:r>
          </w:p>
        </w:tc>
        <w:tc>
          <w:tcPr>
            <w:tcW w:w="543" w:type="pc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29#</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N31.436171° E107.845719°</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草本</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芒草草丛</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1m×1m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w:t>30</w:t>
            </w:r>
          </w:p>
        </w:tc>
        <w:tc>
          <w:tcPr>
            <w:tcW w:w="543" w:type="pc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30#</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N31.496638° E107.801164°</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草本</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芒草草丛</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1m×1m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 w:type="pc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30</w:t>
            </w:r>
          </w:p>
        </w:tc>
        <w:tc>
          <w:tcPr>
            <w:tcW w:w="543" w:type="pct"/>
            <w:vAlign w:val="center"/>
          </w:tcPr>
          <w:p>
            <w:pPr>
              <w:snapToGrid w:val="0"/>
              <w:spacing w:line="160" w:lineRule="atLeast"/>
              <w:ind w:firstLine="0" w:firstLineChars="0"/>
              <w:jc w:val="center"/>
              <w:rPr>
                <w:rFonts w:ascii="Times New Roman" w:hAnsi="Times New Roman"/>
                <w:sz w:val="21"/>
                <w:szCs w:val="21"/>
              </w:rPr>
            </w:pPr>
            <w:r>
              <w:rPr>
                <w:rFonts w:ascii="Times New Roman" w:hAnsi="Times New Roman"/>
                <w:sz w:val="21"/>
                <w:szCs w:val="21"/>
              </w:rPr>
              <w:t>31#</w:t>
            </w:r>
          </w:p>
        </w:tc>
        <w:tc>
          <w:tcPr>
            <w:tcW w:w="1147"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N31.454391° E107.846309°</w:t>
            </w:r>
          </w:p>
        </w:tc>
        <w:tc>
          <w:tcPr>
            <w:tcW w:w="815"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草本</w:t>
            </w:r>
          </w:p>
        </w:tc>
        <w:tc>
          <w:tcPr>
            <w:tcW w:w="1022"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芒草草丛</w:t>
            </w:r>
          </w:p>
        </w:tc>
        <w:tc>
          <w:tcPr>
            <w:tcW w:w="936" w:type="pct"/>
            <w:vAlign w:val="center"/>
          </w:tcPr>
          <w:p>
            <w:pPr>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1m×1m</w:t>
            </w:r>
          </w:p>
        </w:tc>
      </w:tr>
    </w:tbl>
    <w:p>
      <w:pPr>
        <w:pStyle w:val="37"/>
        <w:jc w:val="left"/>
        <w:rPr>
          <w:rFonts w:ascii="Times New Roman" w:hAnsi="Times New Roman" w:cs="Times New Roman"/>
        </w:rPr>
      </w:pPr>
      <w:r>
        <w:rPr>
          <w:rFonts w:ascii="Times New Roman" w:hAnsi="Times New Roman" w:cs="Times New Roman"/>
        </w:rPr>
        <w:t>（2）遥感解译</w:t>
      </w:r>
    </w:p>
    <w:p>
      <w:pPr>
        <w:ind w:firstLine="480"/>
        <w:rPr>
          <w:rFonts w:ascii="Times New Roman" w:hAnsi="Times New Roman"/>
        </w:rPr>
      </w:pPr>
      <w:r>
        <w:rPr>
          <w:rFonts w:ascii="Times New Roman" w:hAnsi="Times New Roman"/>
        </w:rPr>
        <w:t>本项目遥感解译基于2023年10月份，15m分辨率的landsat9卫星遥感影像同时参考1m分辨率的Airbus卫星遥感影像，以面向对象的影像分类技术为主要手段，开展评价范围内的土地覆盖遥感监测与地面调查，由此获得评价范围内植被分布数据。</w:t>
      </w:r>
    </w:p>
    <w:p>
      <w:pPr>
        <w:ind w:firstLine="480"/>
        <w:rPr>
          <w:rFonts w:ascii="Times New Roman" w:hAnsi="Times New Roman"/>
        </w:rPr>
      </w:pPr>
      <w:r>
        <w:rPr>
          <w:rFonts w:ascii="Times New Roman" w:hAnsi="Times New Roman"/>
        </w:rPr>
        <w:t>根据遥感解译，结合实地调查情况，评价范围内植被类型主要为含檵木、映山红的马尾松林，占评价范围63.42%；其次为农业植被，占评价范围19.73%；再次为乌泡子、麻栎灌丛等，占评价范围的6.55%。评价范围内植被类型面积统计结果见</w:t>
      </w:r>
      <w:r>
        <w:rPr>
          <w:rFonts w:ascii="Times New Roman" w:hAnsi="Times New Roman"/>
        </w:rPr>
        <w:fldChar w:fldCharType="begin"/>
      </w:r>
      <w:r>
        <w:rPr>
          <w:rFonts w:ascii="Times New Roman" w:hAnsi="Times New Roman"/>
        </w:rPr>
        <w:instrText xml:space="preserve"> REF _Ref162273743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27</w:t>
      </w:r>
      <w:r>
        <w:rPr>
          <w:rFonts w:ascii="Times New Roman" w:hAnsi="Times New Roman"/>
        </w:rPr>
        <w:fldChar w:fldCharType="end"/>
      </w:r>
      <w:r>
        <w:rPr>
          <w:rFonts w:ascii="Times New Roman" w:hAnsi="Times New Roman"/>
        </w:rPr>
        <w:t>，植被类型分布见附图30。</w:t>
      </w:r>
    </w:p>
    <w:p>
      <w:pPr>
        <w:pStyle w:val="37"/>
        <w:rPr>
          <w:rFonts w:ascii="Times New Roman" w:hAnsi="Times New Roman" w:cs="Times New Roman"/>
        </w:rPr>
      </w:pPr>
      <w:bookmarkStart w:id="165" w:name="_Ref162081565"/>
    </w:p>
    <w:p>
      <w:pPr>
        <w:pStyle w:val="37"/>
        <w:rPr>
          <w:rFonts w:ascii="Times New Roman" w:hAnsi="Times New Roman" w:cs="Times New Roman"/>
        </w:rPr>
      </w:pPr>
      <w:bookmarkStart w:id="166" w:name="_Ref16227374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27</w:t>
      </w:r>
      <w:r>
        <w:rPr>
          <w:rFonts w:ascii="Times New Roman" w:hAnsi="Times New Roman" w:cs="Times New Roman"/>
        </w:rPr>
        <w:fldChar w:fldCharType="end"/>
      </w:r>
      <w:bookmarkEnd w:id="165"/>
      <w:bookmarkEnd w:id="166"/>
      <w:r>
        <w:rPr>
          <w:rFonts w:ascii="Times New Roman" w:hAnsi="Times New Roman" w:cs="Times New Roman"/>
        </w:rPr>
        <w:t xml:space="preserve">  评价范围及矿区范围内植被类型统计表</w:t>
      </w:r>
    </w:p>
    <w:tbl>
      <w:tblPr>
        <w:tblStyle w:val="28"/>
        <w:tblW w:w="542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3034"/>
        <w:gridCol w:w="1560"/>
        <w:gridCol w:w="2205"/>
        <w:gridCol w:w="1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7" w:type="pct"/>
            <w:vMerge w:val="restart"/>
            <w:vAlign w:val="center"/>
          </w:tcPr>
          <w:p>
            <w:pPr>
              <w:pStyle w:val="39"/>
              <w:rPr>
                <w:rFonts w:ascii="Times New Roman" w:hAnsi="Times New Roman"/>
                <w:lang w:val="zh-CN"/>
              </w:rPr>
            </w:pPr>
            <w:r>
              <w:rPr>
                <w:rFonts w:ascii="Times New Roman" w:hAnsi="Times New Roman"/>
                <w:lang w:val="zh-CN"/>
              </w:rPr>
              <w:t>序号</w:t>
            </w:r>
          </w:p>
        </w:tc>
        <w:tc>
          <w:tcPr>
            <w:tcW w:w="1640" w:type="pct"/>
            <w:vMerge w:val="restart"/>
            <w:vAlign w:val="center"/>
          </w:tcPr>
          <w:p>
            <w:pPr>
              <w:pStyle w:val="39"/>
              <w:rPr>
                <w:rFonts w:ascii="Times New Roman" w:hAnsi="Times New Roman"/>
                <w:lang w:val="zh-CN"/>
              </w:rPr>
            </w:pPr>
            <w:r>
              <w:rPr>
                <w:rFonts w:ascii="Times New Roman" w:hAnsi="Times New Roman"/>
                <w:lang w:val="zh-CN"/>
              </w:rPr>
              <w:t>植被类型</w:t>
            </w:r>
          </w:p>
        </w:tc>
        <w:tc>
          <w:tcPr>
            <w:tcW w:w="843" w:type="pct"/>
            <w:vMerge w:val="restart"/>
            <w:vAlign w:val="center"/>
          </w:tcPr>
          <w:p>
            <w:pPr>
              <w:pStyle w:val="39"/>
              <w:rPr>
                <w:rFonts w:ascii="Times New Roman" w:hAnsi="Times New Roman"/>
                <w:lang w:val="zh-CN"/>
              </w:rPr>
            </w:pPr>
            <w:r>
              <w:rPr>
                <w:rFonts w:ascii="Times New Roman" w:hAnsi="Times New Roman"/>
                <w:lang w:val="zh-CN"/>
              </w:rPr>
              <w:t>植被代码</w:t>
            </w:r>
          </w:p>
        </w:tc>
        <w:tc>
          <w:tcPr>
            <w:tcW w:w="2139" w:type="pct"/>
            <w:gridSpan w:val="2"/>
            <w:vAlign w:val="center"/>
          </w:tcPr>
          <w:p>
            <w:pPr>
              <w:pStyle w:val="39"/>
              <w:rPr>
                <w:rFonts w:ascii="Times New Roman" w:hAnsi="Times New Roman"/>
                <w:lang w:val="zh-CN"/>
              </w:rPr>
            </w:pPr>
            <w:r>
              <w:rPr>
                <w:rFonts w:ascii="Times New Roman" w:hAnsi="Times New Roman"/>
                <w:lang w:val="zh-CN"/>
              </w:rPr>
              <w:t>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7" w:type="pct"/>
            <w:vMerge w:val="continue"/>
            <w:vAlign w:val="center"/>
          </w:tcPr>
          <w:p>
            <w:pPr>
              <w:pStyle w:val="39"/>
              <w:rPr>
                <w:rFonts w:ascii="Times New Roman" w:hAnsi="Times New Roman"/>
                <w:lang w:val="zh-CN"/>
              </w:rPr>
            </w:pPr>
          </w:p>
        </w:tc>
        <w:tc>
          <w:tcPr>
            <w:tcW w:w="1640" w:type="pct"/>
            <w:vMerge w:val="continue"/>
            <w:vAlign w:val="center"/>
          </w:tcPr>
          <w:p>
            <w:pPr>
              <w:pStyle w:val="39"/>
              <w:rPr>
                <w:rFonts w:ascii="Times New Roman" w:hAnsi="Times New Roman"/>
                <w:lang w:val="zh-CN"/>
              </w:rPr>
            </w:pPr>
          </w:p>
        </w:tc>
        <w:tc>
          <w:tcPr>
            <w:tcW w:w="843" w:type="pct"/>
            <w:vMerge w:val="continue"/>
            <w:vAlign w:val="center"/>
          </w:tcPr>
          <w:p>
            <w:pPr>
              <w:pStyle w:val="39"/>
              <w:rPr>
                <w:rFonts w:ascii="Times New Roman" w:hAnsi="Times New Roman"/>
                <w:lang w:val="zh-CN"/>
              </w:rPr>
            </w:pPr>
          </w:p>
        </w:tc>
        <w:tc>
          <w:tcPr>
            <w:tcW w:w="1192" w:type="pct"/>
            <w:vAlign w:val="center"/>
          </w:tcPr>
          <w:p>
            <w:pPr>
              <w:pStyle w:val="39"/>
              <w:rPr>
                <w:rFonts w:ascii="Times New Roman" w:hAnsi="Times New Roman"/>
                <w:lang w:val="zh-CN"/>
              </w:rPr>
            </w:pPr>
            <w:r>
              <w:rPr>
                <w:rFonts w:ascii="Times New Roman" w:hAnsi="Times New Roman"/>
                <w:lang w:val="zh-CN"/>
              </w:rPr>
              <w:t>面积（hm</w:t>
            </w:r>
            <w:r>
              <w:rPr>
                <w:rFonts w:ascii="Times New Roman" w:hAnsi="Times New Roman"/>
                <w:vertAlign w:val="superscript"/>
                <w:lang w:val="zh-CN"/>
              </w:rPr>
              <w:t>2</w:t>
            </w:r>
            <w:r>
              <w:rPr>
                <w:rFonts w:ascii="Times New Roman" w:hAnsi="Times New Roman"/>
                <w:lang w:val="zh-CN"/>
              </w:rPr>
              <w:t>）</w:t>
            </w:r>
          </w:p>
        </w:tc>
        <w:tc>
          <w:tcPr>
            <w:tcW w:w="947" w:type="pct"/>
            <w:vAlign w:val="center"/>
          </w:tcPr>
          <w:p>
            <w:pPr>
              <w:pStyle w:val="39"/>
              <w:rPr>
                <w:rFonts w:ascii="Times New Roman" w:hAnsi="Times New Roman"/>
                <w:lang w:val="zh-CN"/>
              </w:rPr>
            </w:pPr>
            <w:r>
              <w:rPr>
                <w:rFonts w:ascii="Times New Roman" w:hAnsi="Times New Roman"/>
                <w:lang w:val="zh-CN"/>
              </w:rPr>
              <w:t>所占比例（%）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7" w:type="pct"/>
            <w:vAlign w:val="center"/>
          </w:tcPr>
          <w:p>
            <w:pPr>
              <w:pStyle w:val="39"/>
              <w:rPr>
                <w:rFonts w:ascii="Times New Roman" w:hAnsi="Times New Roman"/>
                <w:lang w:val="zh-CN"/>
              </w:rPr>
            </w:pPr>
            <w:r>
              <w:rPr>
                <w:rFonts w:ascii="Times New Roman" w:hAnsi="Times New Roman"/>
                <w:lang w:val="zh-CN"/>
              </w:rPr>
              <w:t>1</w:t>
            </w:r>
          </w:p>
        </w:tc>
        <w:tc>
          <w:tcPr>
            <w:tcW w:w="1640" w:type="pct"/>
            <w:vAlign w:val="center"/>
          </w:tcPr>
          <w:p>
            <w:pPr>
              <w:pStyle w:val="39"/>
              <w:rPr>
                <w:rFonts w:ascii="Times New Roman" w:hAnsi="Times New Roman"/>
                <w:lang w:val="zh-CN"/>
              </w:rPr>
            </w:pPr>
            <w:r>
              <w:rPr>
                <w:rFonts w:ascii="Times New Roman" w:hAnsi="Times New Roman"/>
                <w:sz w:val="22"/>
                <w:szCs w:val="22"/>
              </w:rPr>
              <w:t>白夹竹林</w:t>
            </w:r>
          </w:p>
        </w:tc>
        <w:tc>
          <w:tcPr>
            <w:tcW w:w="843" w:type="pct"/>
            <w:vAlign w:val="center"/>
          </w:tcPr>
          <w:p>
            <w:pPr>
              <w:pStyle w:val="39"/>
              <w:rPr>
                <w:rFonts w:ascii="Times New Roman" w:hAnsi="Times New Roman"/>
                <w:lang w:val="zh-CN"/>
              </w:rPr>
            </w:pPr>
            <w:r>
              <w:rPr>
                <w:rFonts w:ascii="Times New Roman" w:hAnsi="Times New Roman"/>
                <w:sz w:val="22"/>
                <w:szCs w:val="22"/>
              </w:rPr>
              <w:t>170</w:t>
            </w:r>
          </w:p>
        </w:tc>
        <w:tc>
          <w:tcPr>
            <w:tcW w:w="1192" w:type="pct"/>
            <w:vAlign w:val="center"/>
          </w:tcPr>
          <w:p>
            <w:pPr>
              <w:pStyle w:val="39"/>
              <w:rPr>
                <w:rFonts w:ascii="Times New Roman" w:hAnsi="Times New Roman"/>
                <w:lang w:val="zh-CN"/>
              </w:rPr>
            </w:pPr>
            <w:r>
              <w:rPr>
                <w:rFonts w:ascii="Times New Roman" w:hAnsi="Times New Roman"/>
                <w:sz w:val="22"/>
                <w:szCs w:val="22"/>
              </w:rPr>
              <w:t>4.43</w:t>
            </w:r>
          </w:p>
        </w:tc>
        <w:tc>
          <w:tcPr>
            <w:tcW w:w="947" w:type="pct"/>
            <w:vAlign w:val="center"/>
          </w:tcPr>
          <w:p>
            <w:pPr>
              <w:pStyle w:val="39"/>
              <w:rPr>
                <w:rFonts w:ascii="Times New Roman" w:hAnsi="Times New Roman"/>
                <w:lang w:val="zh-CN"/>
              </w:rPr>
            </w:pPr>
            <w:r>
              <w:rPr>
                <w:rFonts w:ascii="Times New Roman" w:hAnsi="Times New Roman"/>
                <w:sz w:val="22"/>
                <w:szCs w:val="22"/>
              </w:rPr>
              <w:t>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7" w:type="pct"/>
            <w:vAlign w:val="center"/>
          </w:tcPr>
          <w:p>
            <w:pPr>
              <w:pStyle w:val="39"/>
              <w:rPr>
                <w:rFonts w:ascii="Times New Roman" w:hAnsi="Times New Roman"/>
                <w:lang w:val="zh-CN"/>
              </w:rPr>
            </w:pPr>
            <w:r>
              <w:rPr>
                <w:rFonts w:ascii="Times New Roman" w:hAnsi="Times New Roman"/>
                <w:lang w:val="zh-CN"/>
              </w:rPr>
              <w:t>2</w:t>
            </w:r>
          </w:p>
        </w:tc>
        <w:tc>
          <w:tcPr>
            <w:tcW w:w="1640" w:type="pct"/>
            <w:vAlign w:val="center"/>
          </w:tcPr>
          <w:p>
            <w:pPr>
              <w:pStyle w:val="39"/>
              <w:rPr>
                <w:rFonts w:ascii="Times New Roman" w:hAnsi="Times New Roman"/>
                <w:lang w:val="zh-CN"/>
              </w:rPr>
            </w:pPr>
            <w:r>
              <w:rPr>
                <w:rFonts w:ascii="Times New Roman" w:hAnsi="Times New Roman"/>
                <w:sz w:val="22"/>
                <w:szCs w:val="22"/>
              </w:rPr>
              <w:t>栓皮栎林</w:t>
            </w:r>
          </w:p>
        </w:tc>
        <w:tc>
          <w:tcPr>
            <w:tcW w:w="843" w:type="pct"/>
            <w:vAlign w:val="center"/>
          </w:tcPr>
          <w:p>
            <w:pPr>
              <w:pStyle w:val="39"/>
              <w:rPr>
                <w:rFonts w:ascii="Times New Roman" w:hAnsi="Times New Roman"/>
                <w:lang w:val="zh-CN"/>
              </w:rPr>
            </w:pPr>
            <w:r>
              <w:rPr>
                <w:rFonts w:ascii="Times New Roman" w:hAnsi="Times New Roman"/>
                <w:sz w:val="22"/>
                <w:szCs w:val="22"/>
              </w:rPr>
              <w:t>116b</w:t>
            </w:r>
          </w:p>
        </w:tc>
        <w:tc>
          <w:tcPr>
            <w:tcW w:w="1192" w:type="pct"/>
            <w:vAlign w:val="center"/>
          </w:tcPr>
          <w:p>
            <w:pPr>
              <w:pStyle w:val="39"/>
              <w:rPr>
                <w:rFonts w:ascii="Times New Roman" w:hAnsi="Times New Roman"/>
                <w:lang w:val="zh-CN"/>
              </w:rPr>
            </w:pPr>
            <w:r>
              <w:rPr>
                <w:rFonts w:ascii="Times New Roman" w:hAnsi="Times New Roman"/>
                <w:sz w:val="22"/>
                <w:szCs w:val="22"/>
              </w:rPr>
              <w:t>3.51</w:t>
            </w:r>
          </w:p>
        </w:tc>
        <w:tc>
          <w:tcPr>
            <w:tcW w:w="947" w:type="pct"/>
            <w:vAlign w:val="center"/>
          </w:tcPr>
          <w:p>
            <w:pPr>
              <w:pStyle w:val="39"/>
              <w:rPr>
                <w:rFonts w:ascii="Times New Roman" w:hAnsi="Times New Roman"/>
                <w:lang w:val="zh-CN"/>
              </w:rPr>
            </w:pPr>
            <w:r>
              <w:rPr>
                <w:rFonts w:ascii="Times New Roman" w:hAnsi="Times New Roman"/>
                <w:sz w:val="22"/>
                <w:szCs w:val="22"/>
              </w:rPr>
              <w:t>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7" w:type="pct"/>
            <w:vAlign w:val="center"/>
          </w:tcPr>
          <w:p>
            <w:pPr>
              <w:pStyle w:val="39"/>
              <w:rPr>
                <w:rFonts w:ascii="Times New Roman" w:hAnsi="Times New Roman"/>
                <w:lang w:val="zh-CN"/>
              </w:rPr>
            </w:pPr>
            <w:r>
              <w:rPr>
                <w:rFonts w:ascii="Times New Roman" w:hAnsi="Times New Roman"/>
                <w:lang w:val="zh-CN"/>
              </w:rPr>
              <w:t>3</w:t>
            </w:r>
          </w:p>
        </w:tc>
        <w:tc>
          <w:tcPr>
            <w:tcW w:w="1640" w:type="pct"/>
            <w:vAlign w:val="center"/>
          </w:tcPr>
          <w:p>
            <w:pPr>
              <w:pStyle w:val="39"/>
              <w:rPr>
                <w:rFonts w:ascii="Times New Roman" w:hAnsi="Times New Roman"/>
                <w:lang w:val="zh-CN"/>
              </w:rPr>
            </w:pPr>
            <w:r>
              <w:rPr>
                <w:rFonts w:ascii="Times New Roman" w:hAnsi="Times New Roman"/>
                <w:sz w:val="22"/>
                <w:szCs w:val="22"/>
              </w:rPr>
              <w:t>乌泡子、格药柃灌丛</w:t>
            </w:r>
          </w:p>
        </w:tc>
        <w:tc>
          <w:tcPr>
            <w:tcW w:w="843" w:type="pct"/>
            <w:vAlign w:val="center"/>
          </w:tcPr>
          <w:p>
            <w:pPr>
              <w:pStyle w:val="39"/>
              <w:rPr>
                <w:rFonts w:ascii="Times New Roman" w:hAnsi="Times New Roman"/>
                <w:lang w:val="zh-CN"/>
              </w:rPr>
            </w:pPr>
            <w:r>
              <w:rPr>
                <w:rFonts w:ascii="Times New Roman" w:hAnsi="Times New Roman"/>
                <w:sz w:val="22"/>
                <w:szCs w:val="22"/>
              </w:rPr>
              <w:t xml:space="preserve">199d </w:t>
            </w:r>
          </w:p>
        </w:tc>
        <w:tc>
          <w:tcPr>
            <w:tcW w:w="1192" w:type="pct"/>
            <w:vAlign w:val="center"/>
          </w:tcPr>
          <w:p>
            <w:pPr>
              <w:pStyle w:val="39"/>
              <w:rPr>
                <w:rFonts w:ascii="Times New Roman" w:hAnsi="Times New Roman"/>
                <w:lang w:val="zh-CN"/>
              </w:rPr>
            </w:pPr>
            <w:r>
              <w:rPr>
                <w:rFonts w:ascii="Times New Roman" w:hAnsi="Times New Roman"/>
                <w:sz w:val="22"/>
                <w:szCs w:val="22"/>
              </w:rPr>
              <w:t>60.86</w:t>
            </w:r>
          </w:p>
        </w:tc>
        <w:tc>
          <w:tcPr>
            <w:tcW w:w="947" w:type="pct"/>
            <w:vAlign w:val="center"/>
          </w:tcPr>
          <w:p>
            <w:pPr>
              <w:pStyle w:val="39"/>
              <w:rPr>
                <w:rFonts w:ascii="Times New Roman" w:hAnsi="Times New Roman"/>
                <w:lang w:val="zh-CN"/>
              </w:rPr>
            </w:pPr>
            <w:r>
              <w:rPr>
                <w:rFonts w:ascii="Times New Roman" w:hAnsi="Times New Roman"/>
                <w:sz w:val="22"/>
                <w:szCs w:val="22"/>
              </w:rPr>
              <w:t>6.55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7" w:type="pct"/>
            <w:vAlign w:val="center"/>
          </w:tcPr>
          <w:p>
            <w:pPr>
              <w:pStyle w:val="39"/>
              <w:rPr>
                <w:rFonts w:ascii="Times New Roman" w:hAnsi="Times New Roman"/>
                <w:lang w:val="zh-CN"/>
              </w:rPr>
            </w:pPr>
            <w:r>
              <w:rPr>
                <w:rFonts w:ascii="Times New Roman" w:hAnsi="Times New Roman"/>
                <w:lang w:val="zh-CN"/>
              </w:rPr>
              <w:t>4</w:t>
            </w:r>
          </w:p>
        </w:tc>
        <w:tc>
          <w:tcPr>
            <w:tcW w:w="1640" w:type="pct"/>
            <w:vAlign w:val="center"/>
          </w:tcPr>
          <w:p>
            <w:pPr>
              <w:pStyle w:val="39"/>
              <w:rPr>
                <w:rFonts w:ascii="Times New Roman" w:hAnsi="Times New Roman"/>
                <w:lang w:val="zh-CN"/>
              </w:rPr>
            </w:pPr>
            <w:r>
              <w:rPr>
                <w:rFonts w:ascii="Times New Roman" w:hAnsi="Times New Roman"/>
                <w:sz w:val="22"/>
                <w:szCs w:val="22"/>
              </w:rPr>
              <w:t>马尾松林</w:t>
            </w:r>
          </w:p>
        </w:tc>
        <w:tc>
          <w:tcPr>
            <w:tcW w:w="843" w:type="pct"/>
            <w:vAlign w:val="center"/>
          </w:tcPr>
          <w:p>
            <w:pPr>
              <w:pStyle w:val="39"/>
              <w:rPr>
                <w:rFonts w:ascii="Times New Roman" w:hAnsi="Times New Roman"/>
                <w:lang w:val="zh-CN"/>
              </w:rPr>
            </w:pPr>
            <w:r>
              <w:rPr>
                <w:rFonts w:ascii="Times New Roman" w:hAnsi="Times New Roman"/>
                <w:sz w:val="22"/>
                <w:szCs w:val="22"/>
              </w:rPr>
              <w:t>24b</w:t>
            </w:r>
          </w:p>
        </w:tc>
        <w:tc>
          <w:tcPr>
            <w:tcW w:w="1192" w:type="pct"/>
            <w:vAlign w:val="center"/>
          </w:tcPr>
          <w:p>
            <w:pPr>
              <w:pStyle w:val="39"/>
              <w:rPr>
                <w:rFonts w:ascii="Times New Roman" w:hAnsi="Times New Roman"/>
                <w:lang w:val="zh-CN"/>
              </w:rPr>
            </w:pPr>
            <w:r>
              <w:rPr>
                <w:rFonts w:ascii="Times New Roman" w:hAnsi="Times New Roman"/>
                <w:sz w:val="22"/>
                <w:szCs w:val="22"/>
              </w:rPr>
              <w:t>589.21</w:t>
            </w:r>
          </w:p>
        </w:tc>
        <w:tc>
          <w:tcPr>
            <w:tcW w:w="947" w:type="pct"/>
            <w:vAlign w:val="center"/>
          </w:tcPr>
          <w:p>
            <w:pPr>
              <w:pStyle w:val="39"/>
              <w:rPr>
                <w:rFonts w:ascii="Times New Roman" w:hAnsi="Times New Roman"/>
                <w:lang w:val="zh-CN"/>
              </w:rPr>
            </w:pPr>
            <w:r>
              <w:rPr>
                <w:rFonts w:ascii="Times New Roman" w:hAnsi="Times New Roman"/>
                <w:sz w:val="22"/>
                <w:szCs w:val="22"/>
              </w:rPr>
              <w:t>63.42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77" w:type="pct"/>
            <w:vAlign w:val="center"/>
          </w:tcPr>
          <w:p>
            <w:pPr>
              <w:pStyle w:val="39"/>
              <w:rPr>
                <w:rFonts w:ascii="Times New Roman" w:hAnsi="Times New Roman"/>
                <w:lang w:val="zh-CN"/>
              </w:rPr>
            </w:pPr>
            <w:r>
              <w:rPr>
                <w:rFonts w:ascii="Times New Roman" w:hAnsi="Times New Roman"/>
                <w:lang w:val="zh-CN"/>
              </w:rPr>
              <w:t>5</w:t>
            </w:r>
          </w:p>
        </w:tc>
        <w:tc>
          <w:tcPr>
            <w:tcW w:w="1640" w:type="pct"/>
            <w:vAlign w:val="center"/>
          </w:tcPr>
          <w:p>
            <w:pPr>
              <w:pStyle w:val="39"/>
              <w:rPr>
                <w:rFonts w:ascii="Times New Roman" w:hAnsi="Times New Roman"/>
                <w:lang w:val="zh-CN"/>
              </w:rPr>
            </w:pPr>
            <w:r>
              <w:rPr>
                <w:rFonts w:ascii="Times New Roman" w:hAnsi="Times New Roman"/>
                <w:sz w:val="22"/>
                <w:szCs w:val="22"/>
              </w:rPr>
              <w:t>柏木林</w:t>
            </w:r>
          </w:p>
        </w:tc>
        <w:tc>
          <w:tcPr>
            <w:tcW w:w="843" w:type="pct"/>
            <w:vAlign w:val="center"/>
          </w:tcPr>
          <w:p>
            <w:pPr>
              <w:pStyle w:val="39"/>
              <w:rPr>
                <w:rFonts w:ascii="Times New Roman" w:hAnsi="Times New Roman"/>
                <w:lang w:val="zh-CN"/>
              </w:rPr>
            </w:pPr>
            <w:r>
              <w:rPr>
                <w:rFonts w:ascii="Times New Roman" w:hAnsi="Times New Roman"/>
                <w:sz w:val="22"/>
                <w:szCs w:val="22"/>
              </w:rPr>
              <w:t>32</w:t>
            </w:r>
          </w:p>
        </w:tc>
        <w:tc>
          <w:tcPr>
            <w:tcW w:w="1192" w:type="pct"/>
            <w:vAlign w:val="center"/>
          </w:tcPr>
          <w:p>
            <w:pPr>
              <w:pStyle w:val="39"/>
              <w:rPr>
                <w:rFonts w:ascii="Times New Roman" w:hAnsi="Times New Roman"/>
                <w:lang w:val="zh-CN"/>
              </w:rPr>
            </w:pPr>
            <w:r>
              <w:rPr>
                <w:rFonts w:ascii="Times New Roman" w:hAnsi="Times New Roman"/>
                <w:sz w:val="22"/>
                <w:szCs w:val="22"/>
              </w:rPr>
              <w:t>32.30</w:t>
            </w:r>
          </w:p>
        </w:tc>
        <w:tc>
          <w:tcPr>
            <w:tcW w:w="947" w:type="pct"/>
            <w:vAlign w:val="center"/>
          </w:tcPr>
          <w:p>
            <w:pPr>
              <w:pStyle w:val="39"/>
              <w:rPr>
                <w:rFonts w:ascii="Times New Roman" w:hAnsi="Times New Roman"/>
                <w:lang w:val="zh-CN"/>
              </w:rPr>
            </w:pPr>
            <w:r>
              <w:rPr>
                <w:rFonts w:ascii="Times New Roman" w:hAnsi="Times New Roman"/>
                <w:sz w:val="22"/>
                <w:szCs w:val="22"/>
              </w:rPr>
              <w:t>3.48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7" w:type="pct"/>
            <w:vAlign w:val="center"/>
          </w:tcPr>
          <w:p>
            <w:pPr>
              <w:pStyle w:val="39"/>
              <w:rPr>
                <w:rFonts w:ascii="Times New Roman" w:hAnsi="Times New Roman"/>
                <w:lang w:val="zh-CN"/>
              </w:rPr>
            </w:pPr>
            <w:r>
              <w:rPr>
                <w:rFonts w:ascii="Times New Roman" w:hAnsi="Times New Roman"/>
                <w:lang w:val="zh-CN"/>
              </w:rPr>
              <w:t>6</w:t>
            </w:r>
          </w:p>
        </w:tc>
        <w:tc>
          <w:tcPr>
            <w:tcW w:w="1640" w:type="pct"/>
            <w:vAlign w:val="center"/>
          </w:tcPr>
          <w:p>
            <w:pPr>
              <w:pStyle w:val="39"/>
              <w:rPr>
                <w:rFonts w:ascii="Times New Roman" w:hAnsi="Times New Roman"/>
                <w:lang w:val="zh-CN"/>
              </w:rPr>
            </w:pPr>
            <w:r>
              <w:rPr>
                <w:rFonts w:ascii="Times New Roman" w:hAnsi="Times New Roman"/>
                <w:sz w:val="22"/>
                <w:szCs w:val="22"/>
              </w:rPr>
              <w:t>芒萁、芒草、里白草丛</w:t>
            </w:r>
          </w:p>
        </w:tc>
        <w:tc>
          <w:tcPr>
            <w:tcW w:w="843" w:type="pct"/>
            <w:vAlign w:val="center"/>
          </w:tcPr>
          <w:p>
            <w:pPr>
              <w:pStyle w:val="39"/>
              <w:rPr>
                <w:rFonts w:ascii="Times New Roman" w:hAnsi="Times New Roman"/>
                <w:lang w:val="zh-CN"/>
              </w:rPr>
            </w:pPr>
            <w:r>
              <w:rPr>
                <w:rFonts w:ascii="Times New Roman" w:hAnsi="Times New Roman"/>
                <w:sz w:val="22"/>
                <w:szCs w:val="22"/>
              </w:rPr>
              <w:t>442</w:t>
            </w:r>
          </w:p>
        </w:tc>
        <w:tc>
          <w:tcPr>
            <w:tcW w:w="1192" w:type="pct"/>
            <w:vAlign w:val="center"/>
          </w:tcPr>
          <w:p>
            <w:pPr>
              <w:pStyle w:val="39"/>
              <w:rPr>
                <w:rFonts w:ascii="Times New Roman" w:hAnsi="Times New Roman"/>
                <w:lang w:val="zh-CN"/>
              </w:rPr>
            </w:pPr>
            <w:r>
              <w:rPr>
                <w:rFonts w:ascii="Times New Roman" w:hAnsi="Times New Roman"/>
                <w:sz w:val="22"/>
                <w:szCs w:val="22"/>
              </w:rPr>
              <w:t>12.53</w:t>
            </w:r>
          </w:p>
        </w:tc>
        <w:tc>
          <w:tcPr>
            <w:tcW w:w="947" w:type="pct"/>
            <w:vAlign w:val="center"/>
          </w:tcPr>
          <w:p>
            <w:pPr>
              <w:pStyle w:val="39"/>
              <w:rPr>
                <w:rFonts w:ascii="Times New Roman" w:hAnsi="Times New Roman"/>
                <w:lang w:val="zh-CN"/>
              </w:rPr>
            </w:pPr>
            <w:r>
              <w:rPr>
                <w:rFonts w:ascii="Times New Roman" w:hAnsi="Times New Roman"/>
                <w:sz w:val="22"/>
                <w:szCs w:val="22"/>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7" w:type="pct"/>
            <w:vAlign w:val="center"/>
          </w:tcPr>
          <w:p>
            <w:pPr>
              <w:pStyle w:val="39"/>
              <w:rPr>
                <w:rFonts w:ascii="Times New Roman" w:hAnsi="Times New Roman"/>
                <w:lang w:val="zh-CN"/>
              </w:rPr>
            </w:pPr>
            <w:r>
              <w:rPr>
                <w:rFonts w:ascii="Times New Roman" w:hAnsi="Times New Roman"/>
                <w:lang w:val="zh-CN"/>
              </w:rPr>
              <w:t>7</w:t>
            </w:r>
          </w:p>
        </w:tc>
        <w:tc>
          <w:tcPr>
            <w:tcW w:w="1640" w:type="pct"/>
            <w:vAlign w:val="center"/>
          </w:tcPr>
          <w:p>
            <w:pPr>
              <w:pStyle w:val="39"/>
              <w:rPr>
                <w:rFonts w:ascii="Times New Roman" w:hAnsi="Times New Roman"/>
                <w:lang w:val="zh-CN"/>
              </w:rPr>
            </w:pPr>
            <w:r>
              <w:rPr>
                <w:rFonts w:ascii="Times New Roman" w:hAnsi="Times New Roman"/>
                <w:sz w:val="22"/>
                <w:szCs w:val="22"/>
              </w:rPr>
              <w:t>建设用地</w:t>
            </w:r>
          </w:p>
        </w:tc>
        <w:tc>
          <w:tcPr>
            <w:tcW w:w="843" w:type="pct"/>
            <w:vAlign w:val="center"/>
          </w:tcPr>
          <w:p>
            <w:pPr>
              <w:pStyle w:val="39"/>
              <w:rPr>
                <w:rFonts w:ascii="Times New Roman" w:hAnsi="Times New Roman"/>
                <w:lang w:val="zh-CN"/>
              </w:rPr>
            </w:pPr>
            <w:r>
              <w:rPr>
                <w:rFonts w:ascii="Times New Roman" w:hAnsi="Times New Roman"/>
                <w:sz w:val="22"/>
                <w:szCs w:val="22"/>
              </w:rPr>
              <w:t>50i</w:t>
            </w:r>
          </w:p>
        </w:tc>
        <w:tc>
          <w:tcPr>
            <w:tcW w:w="1192" w:type="pct"/>
            <w:vAlign w:val="center"/>
          </w:tcPr>
          <w:p>
            <w:pPr>
              <w:pStyle w:val="39"/>
              <w:rPr>
                <w:rFonts w:ascii="Times New Roman" w:hAnsi="Times New Roman"/>
                <w:lang w:val="zh-CN"/>
              </w:rPr>
            </w:pPr>
            <w:r>
              <w:rPr>
                <w:rFonts w:ascii="Times New Roman" w:hAnsi="Times New Roman"/>
                <w:sz w:val="22"/>
                <w:szCs w:val="22"/>
              </w:rPr>
              <w:t>35.27</w:t>
            </w:r>
          </w:p>
        </w:tc>
        <w:tc>
          <w:tcPr>
            <w:tcW w:w="947" w:type="pct"/>
            <w:vAlign w:val="center"/>
          </w:tcPr>
          <w:p>
            <w:pPr>
              <w:pStyle w:val="39"/>
              <w:rPr>
                <w:rFonts w:ascii="Times New Roman" w:hAnsi="Times New Roman"/>
                <w:lang w:val="zh-CN"/>
              </w:rPr>
            </w:pPr>
            <w:r>
              <w:rPr>
                <w:rFonts w:ascii="Times New Roman" w:hAnsi="Times New Roman"/>
                <w:sz w:val="22"/>
                <w:szCs w:val="22"/>
              </w:rPr>
              <w:t>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7" w:type="pct"/>
            <w:vAlign w:val="center"/>
          </w:tcPr>
          <w:p>
            <w:pPr>
              <w:pStyle w:val="39"/>
              <w:rPr>
                <w:rFonts w:ascii="Times New Roman" w:hAnsi="Times New Roman"/>
                <w:lang w:val="zh-CN"/>
              </w:rPr>
            </w:pPr>
            <w:r>
              <w:rPr>
                <w:rFonts w:ascii="Times New Roman" w:hAnsi="Times New Roman"/>
                <w:lang w:val="zh-CN"/>
              </w:rPr>
              <w:t>8</w:t>
            </w:r>
          </w:p>
        </w:tc>
        <w:tc>
          <w:tcPr>
            <w:tcW w:w="1640" w:type="pct"/>
            <w:vAlign w:val="center"/>
          </w:tcPr>
          <w:p>
            <w:pPr>
              <w:pStyle w:val="39"/>
              <w:rPr>
                <w:rFonts w:ascii="Times New Roman" w:hAnsi="Times New Roman"/>
                <w:lang w:val="zh-CN"/>
              </w:rPr>
            </w:pPr>
            <w:r>
              <w:rPr>
                <w:rFonts w:ascii="Times New Roman" w:hAnsi="Times New Roman"/>
                <w:sz w:val="22"/>
                <w:szCs w:val="22"/>
              </w:rPr>
              <w:t>农业植被</w:t>
            </w:r>
          </w:p>
        </w:tc>
        <w:tc>
          <w:tcPr>
            <w:tcW w:w="843" w:type="pct"/>
            <w:vAlign w:val="center"/>
          </w:tcPr>
          <w:p>
            <w:pPr>
              <w:pStyle w:val="39"/>
              <w:rPr>
                <w:rFonts w:ascii="Times New Roman" w:hAnsi="Times New Roman"/>
                <w:lang w:val="zh-CN"/>
              </w:rPr>
            </w:pPr>
            <w:r>
              <w:rPr>
                <w:rFonts w:ascii="Times New Roman" w:hAnsi="Times New Roman"/>
                <w:sz w:val="22"/>
                <w:szCs w:val="22"/>
              </w:rPr>
              <w:t>582</w:t>
            </w:r>
          </w:p>
        </w:tc>
        <w:tc>
          <w:tcPr>
            <w:tcW w:w="1192" w:type="pct"/>
            <w:vAlign w:val="center"/>
          </w:tcPr>
          <w:p>
            <w:pPr>
              <w:pStyle w:val="39"/>
              <w:rPr>
                <w:rFonts w:ascii="Times New Roman" w:hAnsi="Times New Roman"/>
                <w:lang w:val="zh-CN"/>
              </w:rPr>
            </w:pPr>
            <w:r>
              <w:rPr>
                <w:rFonts w:ascii="Times New Roman" w:hAnsi="Times New Roman"/>
                <w:sz w:val="22"/>
                <w:szCs w:val="22"/>
              </w:rPr>
              <w:t>183.29</w:t>
            </w:r>
          </w:p>
        </w:tc>
        <w:tc>
          <w:tcPr>
            <w:tcW w:w="947" w:type="pct"/>
            <w:vAlign w:val="center"/>
          </w:tcPr>
          <w:p>
            <w:pPr>
              <w:pStyle w:val="39"/>
              <w:rPr>
                <w:rFonts w:ascii="Times New Roman" w:hAnsi="Times New Roman"/>
                <w:lang w:val="zh-CN"/>
              </w:rPr>
            </w:pPr>
            <w:r>
              <w:rPr>
                <w:rFonts w:ascii="Times New Roman" w:hAnsi="Times New Roman"/>
                <w:sz w:val="22"/>
                <w:szCs w:val="22"/>
              </w:rPr>
              <w:t>19.73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7" w:type="pct"/>
            <w:vAlign w:val="center"/>
          </w:tcPr>
          <w:p>
            <w:pPr>
              <w:pStyle w:val="39"/>
              <w:rPr>
                <w:rFonts w:ascii="Times New Roman" w:hAnsi="Times New Roman"/>
                <w:lang w:val="zh-CN"/>
              </w:rPr>
            </w:pPr>
            <w:r>
              <w:rPr>
                <w:rFonts w:ascii="Times New Roman" w:hAnsi="Times New Roman"/>
                <w:lang w:val="zh-CN"/>
              </w:rPr>
              <w:t>9</w:t>
            </w:r>
          </w:p>
        </w:tc>
        <w:tc>
          <w:tcPr>
            <w:tcW w:w="1640" w:type="pct"/>
            <w:vAlign w:val="center"/>
          </w:tcPr>
          <w:p>
            <w:pPr>
              <w:pStyle w:val="39"/>
              <w:rPr>
                <w:rFonts w:ascii="Times New Roman" w:hAnsi="Times New Roman"/>
                <w:lang w:val="zh-CN"/>
              </w:rPr>
            </w:pPr>
            <w:r>
              <w:rPr>
                <w:rFonts w:ascii="Times New Roman" w:hAnsi="Times New Roman"/>
                <w:sz w:val="22"/>
                <w:szCs w:val="22"/>
              </w:rPr>
              <w:t>桤木林</w:t>
            </w:r>
          </w:p>
        </w:tc>
        <w:tc>
          <w:tcPr>
            <w:tcW w:w="843" w:type="pct"/>
            <w:vAlign w:val="center"/>
          </w:tcPr>
          <w:p>
            <w:pPr>
              <w:pStyle w:val="39"/>
              <w:rPr>
                <w:rFonts w:ascii="Times New Roman" w:hAnsi="Times New Roman"/>
                <w:lang w:val="zh-CN"/>
              </w:rPr>
            </w:pPr>
            <w:r>
              <w:rPr>
                <w:rFonts w:ascii="Times New Roman" w:hAnsi="Times New Roman"/>
                <w:sz w:val="22"/>
                <w:szCs w:val="22"/>
              </w:rPr>
              <w:t>89</w:t>
            </w:r>
          </w:p>
        </w:tc>
        <w:tc>
          <w:tcPr>
            <w:tcW w:w="1192" w:type="pct"/>
            <w:vAlign w:val="center"/>
          </w:tcPr>
          <w:p>
            <w:pPr>
              <w:pStyle w:val="39"/>
              <w:rPr>
                <w:rFonts w:ascii="Times New Roman" w:hAnsi="Times New Roman"/>
                <w:lang w:val="zh-CN"/>
              </w:rPr>
            </w:pPr>
            <w:r>
              <w:rPr>
                <w:rFonts w:ascii="Times New Roman" w:hAnsi="Times New Roman"/>
                <w:sz w:val="22"/>
                <w:szCs w:val="22"/>
              </w:rPr>
              <w:t>1.50</w:t>
            </w:r>
          </w:p>
        </w:tc>
        <w:tc>
          <w:tcPr>
            <w:tcW w:w="947" w:type="pct"/>
            <w:vAlign w:val="center"/>
          </w:tcPr>
          <w:p>
            <w:pPr>
              <w:pStyle w:val="39"/>
              <w:rPr>
                <w:rFonts w:ascii="Times New Roman" w:hAnsi="Times New Roman"/>
                <w:lang w:val="zh-CN"/>
              </w:rPr>
            </w:pPr>
            <w:r>
              <w:rPr>
                <w:rFonts w:ascii="Times New Roman" w:hAnsi="Times New Roman"/>
                <w:sz w:val="22"/>
                <w:szCs w:val="22"/>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7" w:type="pct"/>
            <w:vAlign w:val="center"/>
          </w:tcPr>
          <w:p>
            <w:pPr>
              <w:pStyle w:val="39"/>
              <w:rPr>
                <w:rFonts w:ascii="Times New Roman" w:hAnsi="Times New Roman"/>
                <w:lang w:val="zh-CN"/>
              </w:rPr>
            </w:pPr>
            <w:r>
              <w:rPr>
                <w:rFonts w:ascii="Times New Roman" w:hAnsi="Times New Roman"/>
                <w:lang w:val="zh-CN"/>
              </w:rPr>
              <w:t>10</w:t>
            </w:r>
          </w:p>
        </w:tc>
        <w:tc>
          <w:tcPr>
            <w:tcW w:w="1640" w:type="pct"/>
            <w:vAlign w:val="center"/>
          </w:tcPr>
          <w:p>
            <w:pPr>
              <w:pStyle w:val="39"/>
              <w:rPr>
                <w:rFonts w:ascii="Times New Roman" w:hAnsi="Times New Roman"/>
                <w:lang w:val="zh-CN"/>
              </w:rPr>
            </w:pPr>
            <w:r>
              <w:rPr>
                <w:rFonts w:ascii="Times New Roman" w:hAnsi="Times New Roman"/>
                <w:sz w:val="22"/>
                <w:szCs w:val="22"/>
              </w:rPr>
              <w:t>水体</w:t>
            </w:r>
          </w:p>
        </w:tc>
        <w:tc>
          <w:tcPr>
            <w:tcW w:w="843" w:type="pct"/>
            <w:vAlign w:val="center"/>
          </w:tcPr>
          <w:p>
            <w:pPr>
              <w:pStyle w:val="39"/>
              <w:rPr>
                <w:rFonts w:ascii="Times New Roman" w:hAnsi="Times New Roman"/>
                <w:lang w:val="zh-CN"/>
              </w:rPr>
            </w:pPr>
            <w:r>
              <w:rPr>
                <w:rFonts w:ascii="Times New Roman" w:hAnsi="Times New Roman"/>
                <w:sz w:val="22"/>
                <w:szCs w:val="22"/>
              </w:rPr>
              <w:t>999</w:t>
            </w:r>
          </w:p>
        </w:tc>
        <w:tc>
          <w:tcPr>
            <w:tcW w:w="1192" w:type="pct"/>
            <w:vAlign w:val="center"/>
          </w:tcPr>
          <w:p>
            <w:pPr>
              <w:pStyle w:val="39"/>
              <w:rPr>
                <w:rFonts w:ascii="Times New Roman" w:hAnsi="Times New Roman"/>
                <w:lang w:val="zh-CN"/>
              </w:rPr>
            </w:pPr>
            <w:r>
              <w:rPr>
                <w:rFonts w:ascii="Times New Roman" w:hAnsi="Times New Roman"/>
                <w:sz w:val="22"/>
                <w:szCs w:val="22"/>
              </w:rPr>
              <w:t>6.19</w:t>
            </w:r>
          </w:p>
        </w:tc>
        <w:tc>
          <w:tcPr>
            <w:tcW w:w="947" w:type="pct"/>
            <w:vAlign w:val="center"/>
          </w:tcPr>
          <w:p>
            <w:pPr>
              <w:pStyle w:val="39"/>
              <w:rPr>
                <w:rFonts w:ascii="Times New Roman" w:hAnsi="Times New Roman"/>
                <w:lang w:val="zh-CN"/>
              </w:rPr>
            </w:pPr>
            <w:r>
              <w:rPr>
                <w:rFonts w:ascii="Times New Roman" w:hAnsi="Times New Roman"/>
                <w:sz w:val="22"/>
                <w:szCs w:val="22"/>
              </w:rPr>
              <w:t>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7" w:type="pct"/>
            <w:vAlign w:val="center"/>
          </w:tcPr>
          <w:p>
            <w:pPr>
              <w:pStyle w:val="39"/>
              <w:rPr>
                <w:rFonts w:ascii="Times New Roman" w:hAnsi="Times New Roman"/>
                <w:lang w:val="zh-CN"/>
              </w:rPr>
            </w:pPr>
            <w:r>
              <w:rPr>
                <w:rFonts w:ascii="Times New Roman" w:hAnsi="Times New Roman"/>
                <w:lang w:val="zh-CN"/>
              </w:rPr>
              <w:t>11</w:t>
            </w:r>
          </w:p>
        </w:tc>
        <w:tc>
          <w:tcPr>
            <w:tcW w:w="1640" w:type="pct"/>
            <w:vAlign w:val="center"/>
          </w:tcPr>
          <w:p>
            <w:pPr>
              <w:pStyle w:val="39"/>
              <w:rPr>
                <w:rFonts w:ascii="Times New Roman" w:hAnsi="Times New Roman"/>
                <w:lang w:val="zh-CN"/>
              </w:rPr>
            </w:pPr>
            <w:r>
              <w:rPr>
                <w:rFonts w:ascii="Times New Roman" w:hAnsi="Times New Roman"/>
                <w:lang w:val="zh-CN"/>
              </w:rPr>
              <w:t>合计</w:t>
            </w:r>
          </w:p>
        </w:tc>
        <w:tc>
          <w:tcPr>
            <w:tcW w:w="843" w:type="pct"/>
            <w:vAlign w:val="center"/>
          </w:tcPr>
          <w:p>
            <w:pPr>
              <w:pStyle w:val="39"/>
              <w:rPr>
                <w:rFonts w:ascii="Times New Roman" w:hAnsi="Times New Roman"/>
                <w:lang w:val="zh-CN"/>
              </w:rPr>
            </w:pPr>
            <w:r>
              <w:rPr>
                <w:rFonts w:ascii="Times New Roman" w:hAnsi="Times New Roman"/>
                <w:lang w:val="zh-CN"/>
              </w:rPr>
              <w:t>/</w:t>
            </w:r>
          </w:p>
        </w:tc>
        <w:tc>
          <w:tcPr>
            <w:tcW w:w="1192" w:type="pct"/>
            <w:vAlign w:val="center"/>
          </w:tcPr>
          <w:p>
            <w:pPr>
              <w:pStyle w:val="39"/>
              <w:rPr>
                <w:rFonts w:ascii="Times New Roman" w:hAnsi="Times New Roman"/>
                <w:lang w:val="zh-CN"/>
              </w:rPr>
            </w:pPr>
            <w:r>
              <w:rPr>
                <w:rFonts w:ascii="Times New Roman" w:hAnsi="Times New Roman"/>
                <w:sz w:val="22"/>
                <w:szCs w:val="22"/>
              </w:rPr>
              <w:t>929.10</w:t>
            </w:r>
          </w:p>
        </w:tc>
        <w:tc>
          <w:tcPr>
            <w:tcW w:w="947" w:type="pct"/>
            <w:vAlign w:val="center"/>
          </w:tcPr>
          <w:p>
            <w:pPr>
              <w:pStyle w:val="39"/>
              <w:rPr>
                <w:rFonts w:ascii="Times New Roman" w:hAnsi="Times New Roman"/>
                <w:lang w:val="zh-CN"/>
              </w:rPr>
            </w:pPr>
            <w:r>
              <w:rPr>
                <w:rFonts w:ascii="Times New Roman" w:hAnsi="Times New Roman"/>
                <w:sz w:val="22"/>
                <w:szCs w:val="22"/>
              </w:rPr>
              <w:t>100.00</w:t>
            </w:r>
          </w:p>
        </w:tc>
      </w:tr>
    </w:tbl>
    <w:p>
      <w:pPr>
        <w:ind w:firstLine="480"/>
        <w:rPr>
          <w:rFonts w:ascii="Times New Roman" w:hAnsi="Times New Roman"/>
        </w:rPr>
      </w:pPr>
    </w:p>
    <w:p>
      <w:pPr>
        <w:ind w:firstLine="199" w:firstLineChars="83"/>
        <w:rPr>
          <w:rFonts w:ascii="Times New Roman" w:hAnsi="Times New Roman"/>
        </w:rPr>
      </w:pPr>
      <w:r>
        <w:rPr>
          <w:rFonts w:ascii="Times New Roman" w:hAnsi="Times New Roman"/>
        </w:rPr>
        <w:drawing>
          <wp:inline distT="0" distB="0" distL="0" distR="0">
            <wp:extent cx="4823460" cy="2895600"/>
            <wp:effectExtent l="0" t="0" r="15240" b="19050"/>
            <wp:docPr id="13" name="图表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pPr>
        <w:ind w:firstLine="0" w:firstLineChars="0"/>
        <w:jc w:val="center"/>
        <w:rPr>
          <w:rFonts w:ascii="Times New Roman" w:hAnsi="Times New Roman"/>
        </w:rPr>
      </w:pPr>
    </w:p>
    <w:p>
      <w:pPr>
        <w:pStyle w:val="37"/>
        <w:ind w:firstLine="480"/>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t xml:space="preserve">  生态评价范围植被类型分布</w:t>
      </w:r>
    </w:p>
    <w:p>
      <w:pPr>
        <w:pStyle w:val="5"/>
        <w:rPr>
          <w:rFonts w:ascii="Times New Roman" w:hAnsi="Times New Roman"/>
        </w:rPr>
      </w:pPr>
      <w:r>
        <w:rPr>
          <w:rFonts w:ascii="Times New Roman" w:hAnsi="Times New Roman"/>
        </w:rPr>
        <w:t>植被覆盖度</w:t>
      </w:r>
    </w:p>
    <w:p>
      <w:pPr>
        <w:ind w:firstLine="480"/>
        <w:rPr>
          <w:rFonts w:ascii="Times New Roman" w:hAnsi="Times New Roman"/>
        </w:rPr>
      </w:pPr>
      <w:r>
        <w:rPr>
          <w:rFonts w:ascii="Times New Roman" w:hAnsi="Times New Roman"/>
        </w:rPr>
        <w:t>（1）评价方法</w:t>
      </w:r>
    </w:p>
    <w:p>
      <w:pPr>
        <w:ind w:firstLine="480"/>
        <w:rPr>
          <w:rFonts w:ascii="Times New Roman" w:hAnsi="Times New Roman"/>
        </w:rPr>
      </w:pPr>
      <w:r>
        <w:rPr>
          <w:rFonts w:ascii="Times New Roman" w:hAnsi="Times New Roman"/>
        </w:rPr>
        <w:t>本评价利用卫星遥感影像数据，采用归一化植被指数（NDVI）法，通过计算归一化植被指数（NDVI）和植被覆盖度（F），对矿区所在区域植被现状进行评价。</w:t>
      </w:r>
    </w:p>
    <w:p>
      <w:pPr>
        <w:ind w:firstLine="480"/>
        <w:rPr>
          <w:rFonts w:ascii="Times New Roman" w:hAnsi="Times New Roman"/>
        </w:rPr>
      </w:pPr>
      <w:r>
        <w:rPr>
          <w:rFonts w:hint="eastAsia" w:ascii="宋体" w:hAnsi="宋体" w:cs="宋体"/>
        </w:rPr>
        <w:t>①</w:t>
      </w:r>
      <w:r>
        <w:rPr>
          <w:rFonts w:ascii="Times New Roman" w:hAnsi="Times New Roman"/>
        </w:rPr>
        <w:t>归一化植被指数（NDVI-Normal Different Vegetation Index）通常用来反映植被覆盖、生长等信息。NDVI的取值范围为-1.0～1.0，一般认为DNVI大于0.1为有植被覆盖，由于该指数与植被密度呈正相关，因此NDVI值越大，表示植被覆盖情况越好。</w:t>
      </w:r>
    </w:p>
    <w:p>
      <w:pPr>
        <w:ind w:firstLine="480"/>
        <w:rPr>
          <w:rFonts w:ascii="Times New Roman" w:hAnsi="Times New Roman"/>
        </w:rPr>
      </w:pPr>
      <w:r>
        <w:rPr>
          <w:rFonts w:hint="eastAsia" w:ascii="宋体" w:hAnsi="宋体" w:cs="宋体"/>
        </w:rPr>
        <w:t>②</w:t>
      </w:r>
      <w:r>
        <w:rPr>
          <w:rFonts w:ascii="Times New Roman" w:hAnsi="Times New Roman"/>
        </w:rPr>
        <w:t>植被覆盖度是反映植被最基本情况的指数，可利用NDVI（N）来计算植被覆盖度（F）。</w:t>
      </w:r>
    </w:p>
    <w:p>
      <w:pPr>
        <w:ind w:firstLine="480"/>
        <w:rPr>
          <w:rFonts w:ascii="Times New Roman" w:hAnsi="Times New Roman"/>
        </w:rPr>
      </w:pPr>
      <w:r>
        <w:rPr>
          <w:rFonts w:ascii="Times New Roman" w:hAnsi="Times New Roman"/>
        </w:rPr>
        <w:t>（2）评价结果</w:t>
      </w:r>
    </w:p>
    <w:p>
      <w:pPr>
        <w:ind w:firstLine="480"/>
        <w:rPr>
          <w:rFonts w:ascii="Times New Roman" w:hAnsi="Times New Roman" w:eastAsia="黑体"/>
        </w:rPr>
      </w:pPr>
      <w:r>
        <w:rPr>
          <w:rFonts w:ascii="Times New Roman" w:hAnsi="Times New Roman"/>
        </w:rPr>
        <w:t>本评价选取数据主要采用评价范围范围内2023年的landsat8遥感影像，运用ENVI、ARCGIS等软件对遥感数据进行辐射定标、几何纠正、数据镶嵌以及投影变化，精度在0.5个像元内，进而计算生态评价范围内的NDVI植被指数和植被覆盖度（F），得出本次生态评价范围域的植被覆盖度（F）空间分布图见附图31。</w:t>
      </w:r>
    </w:p>
    <w:p>
      <w:pPr>
        <w:ind w:firstLine="480"/>
        <w:rPr>
          <w:rFonts w:ascii="Times New Roman" w:hAnsi="Times New Roman"/>
        </w:rPr>
      </w:pPr>
      <w:r>
        <w:rPr>
          <w:rFonts w:ascii="Times New Roman" w:hAnsi="Times New Roman"/>
        </w:rPr>
        <w:t>根据计算，生态评价范围域的NDVI值为-0.01～0.59，为客观反映评价范围域内植被生长状况，将植被覆盖度按照＜10%、10-30%、30-50%、50-70%、&gt;70%划分为5级，具体情况见</w:t>
      </w:r>
      <w:r>
        <w:rPr>
          <w:rFonts w:ascii="Times New Roman" w:hAnsi="Times New Roman"/>
        </w:rPr>
        <w:fldChar w:fldCharType="begin"/>
      </w:r>
      <w:r>
        <w:rPr>
          <w:rFonts w:ascii="Times New Roman" w:hAnsi="Times New Roman"/>
        </w:rPr>
        <w:instrText xml:space="preserve"> REF _Ref162081581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28</w:t>
      </w:r>
      <w:r>
        <w:rPr>
          <w:rFonts w:ascii="Times New Roman" w:hAnsi="Times New Roman"/>
        </w:rPr>
        <w:fldChar w:fldCharType="end"/>
      </w:r>
      <w:r>
        <w:rPr>
          <w:rFonts w:ascii="Times New Roman" w:hAnsi="Times New Roman"/>
        </w:rPr>
        <w:t>，生态评价范围内植被覆盖度(F)空间分布见附图31。</w:t>
      </w:r>
    </w:p>
    <w:p>
      <w:pPr>
        <w:pStyle w:val="37"/>
        <w:rPr>
          <w:rFonts w:ascii="Times New Roman" w:hAnsi="Times New Roman" w:cs="Times New Roman"/>
        </w:rPr>
      </w:pPr>
      <w:bookmarkStart w:id="167" w:name="_Ref16208158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28</w:t>
      </w:r>
      <w:r>
        <w:rPr>
          <w:rFonts w:ascii="Times New Roman" w:hAnsi="Times New Roman" w:cs="Times New Roman"/>
        </w:rPr>
        <w:fldChar w:fldCharType="end"/>
      </w:r>
      <w:bookmarkEnd w:id="167"/>
      <w:r>
        <w:rPr>
          <w:rFonts w:ascii="Times New Roman" w:hAnsi="Times New Roman" w:cs="Times New Roman"/>
        </w:rPr>
        <w:t xml:space="preserve">  植被覆盖度评价结果表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9"/>
        <w:gridCol w:w="1463"/>
        <w:gridCol w:w="1461"/>
        <w:gridCol w:w="2068"/>
        <w:gridCol w:w="25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9" w:type="dxa"/>
          </w:tcPr>
          <w:p>
            <w:pPr>
              <w:pStyle w:val="39"/>
              <w:rPr>
                <w:rFonts w:ascii="Times New Roman" w:hAnsi="Times New Roman"/>
                <w:lang w:val="zh-CN"/>
              </w:rPr>
            </w:pPr>
            <w:r>
              <w:rPr>
                <w:rFonts w:ascii="Times New Roman" w:hAnsi="Times New Roman"/>
                <w:lang w:val="zh-CN"/>
              </w:rPr>
              <w:t>级别</w:t>
            </w:r>
          </w:p>
        </w:tc>
        <w:tc>
          <w:tcPr>
            <w:tcW w:w="1463" w:type="dxa"/>
          </w:tcPr>
          <w:p>
            <w:pPr>
              <w:pStyle w:val="39"/>
              <w:rPr>
                <w:rFonts w:ascii="Times New Roman" w:hAnsi="Times New Roman"/>
                <w:lang w:val="zh-CN"/>
              </w:rPr>
            </w:pPr>
            <w:r>
              <w:rPr>
                <w:rFonts w:ascii="Times New Roman" w:hAnsi="Times New Roman"/>
                <w:lang w:val="zh-CN"/>
              </w:rPr>
              <w:t>植被盖度</w:t>
            </w:r>
          </w:p>
        </w:tc>
        <w:tc>
          <w:tcPr>
            <w:tcW w:w="1461" w:type="dxa"/>
          </w:tcPr>
          <w:p>
            <w:pPr>
              <w:pStyle w:val="39"/>
              <w:rPr>
                <w:rFonts w:ascii="Times New Roman" w:hAnsi="Times New Roman"/>
                <w:lang w:val="zh-CN"/>
              </w:rPr>
            </w:pPr>
            <w:r>
              <w:rPr>
                <w:rFonts w:ascii="Times New Roman" w:hAnsi="Times New Roman"/>
                <w:lang w:val="zh-CN"/>
              </w:rPr>
              <w:t>面积（hm</w:t>
            </w:r>
            <w:r>
              <w:rPr>
                <w:rFonts w:ascii="Times New Roman" w:hAnsi="Times New Roman"/>
                <w:vertAlign w:val="superscript"/>
                <w:lang w:val="zh-CN"/>
              </w:rPr>
              <w:t>2</w:t>
            </w:r>
            <w:r>
              <w:rPr>
                <w:rFonts w:ascii="Times New Roman" w:hAnsi="Times New Roman"/>
                <w:lang w:val="zh-CN"/>
              </w:rPr>
              <w:t>）</w:t>
            </w:r>
          </w:p>
        </w:tc>
        <w:tc>
          <w:tcPr>
            <w:tcW w:w="2068" w:type="dxa"/>
          </w:tcPr>
          <w:p>
            <w:pPr>
              <w:pStyle w:val="39"/>
              <w:rPr>
                <w:rFonts w:ascii="Times New Roman" w:hAnsi="Times New Roman"/>
                <w:lang w:val="zh-CN"/>
              </w:rPr>
            </w:pPr>
            <w:r>
              <w:rPr>
                <w:rFonts w:ascii="Times New Roman" w:hAnsi="Times New Roman"/>
                <w:lang w:val="zh-CN"/>
              </w:rPr>
              <w:t>所占比例（%）</w:t>
            </w:r>
          </w:p>
        </w:tc>
        <w:tc>
          <w:tcPr>
            <w:tcW w:w="2505" w:type="dxa"/>
          </w:tcPr>
          <w:p>
            <w:pPr>
              <w:pStyle w:val="39"/>
              <w:rPr>
                <w:rFonts w:ascii="Times New Roman" w:hAnsi="Times New Roman"/>
                <w:lang w:val="zh-CN"/>
              </w:rPr>
            </w:pPr>
            <w:r>
              <w:rPr>
                <w:rFonts w:ascii="Times New Roman" w:hAnsi="Times New Roman"/>
                <w:lang w:val="zh-CN"/>
              </w:rPr>
              <w:t>植被现状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9" w:type="dxa"/>
          </w:tcPr>
          <w:p>
            <w:pPr>
              <w:pStyle w:val="39"/>
              <w:rPr>
                <w:rFonts w:ascii="Times New Roman" w:hAnsi="Times New Roman"/>
                <w:lang w:val="zh-CN"/>
              </w:rPr>
            </w:pPr>
            <w:r>
              <w:rPr>
                <w:rFonts w:ascii="Times New Roman" w:hAnsi="Times New Roman"/>
                <w:lang w:val="zh-CN"/>
              </w:rPr>
              <w:t>1</w:t>
            </w:r>
          </w:p>
        </w:tc>
        <w:tc>
          <w:tcPr>
            <w:tcW w:w="1463" w:type="dxa"/>
            <w:vAlign w:val="center"/>
          </w:tcPr>
          <w:p>
            <w:pPr>
              <w:pStyle w:val="39"/>
              <w:rPr>
                <w:rFonts w:ascii="Times New Roman" w:hAnsi="Times New Roman"/>
              </w:rPr>
            </w:pPr>
            <w:r>
              <w:rPr>
                <w:rFonts w:ascii="Times New Roman" w:hAnsi="Times New Roman"/>
              </w:rPr>
              <w:t>＜10%</w:t>
            </w:r>
          </w:p>
        </w:tc>
        <w:tc>
          <w:tcPr>
            <w:tcW w:w="1461" w:type="dxa"/>
            <w:vAlign w:val="center"/>
          </w:tcPr>
          <w:p>
            <w:pPr>
              <w:pStyle w:val="39"/>
              <w:rPr>
                <w:rFonts w:ascii="Times New Roman" w:hAnsi="Times New Roman"/>
              </w:rPr>
            </w:pPr>
            <w:r>
              <w:rPr>
                <w:rFonts w:ascii="Times New Roman" w:hAnsi="Times New Roman"/>
              </w:rPr>
              <w:t>10.54</w:t>
            </w:r>
          </w:p>
        </w:tc>
        <w:tc>
          <w:tcPr>
            <w:tcW w:w="2068" w:type="dxa"/>
            <w:vAlign w:val="center"/>
          </w:tcPr>
          <w:p>
            <w:pPr>
              <w:pStyle w:val="39"/>
              <w:rPr>
                <w:rFonts w:ascii="Times New Roman" w:hAnsi="Times New Roman"/>
              </w:rPr>
            </w:pPr>
            <w:r>
              <w:rPr>
                <w:rFonts w:ascii="Times New Roman" w:hAnsi="Times New Roman"/>
              </w:rPr>
              <w:t>1.13</w:t>
            </w:r>
          </w:p>
        </w:tc>
        <w:tc>
          <w:tcPr>
            <w:tcW w:w="2505" w:type="dxa"/>
            <w:vAlign w:val="center"/>
          </w:tcPr>
          <w:p>
            <w:pPr>
              <w:pStyle w:val="39"/>
              <w:rPr>
                <w:rFonts w:ascii="Times New Roman" w:hAnsi="Times New Roman"/>
                <w:lang w:val="zh-CN"/>
              </w:rPr>
            </w:pPr>
            <w:r>
              <w:rPr>
                <w:rFonts w:ascii="Times New Roman" w:hAnsi="Times New Roman"/>
                <w:lang w:val="zh-CN"/>
              </w:rPr>
              <w:t>低植被覆盖度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9" w:type="dxa"/>
          </w:tcPr>
          <w:p>
            <w:pPr>
              <w:pStyle w:val="39"/>
              <w:rPr>
                <w:rFonts w:ascii="Times New Roman" w:hAnsi="Times New Roman"/>
                <w:lang w:val="zh-CN"/>
              </w:rPr>
            </w:pPr>
            <w:r>
              <w:rPr>
                <w:rFonts w:ascii="Times New Roman" w:hAnsi="Times New Roman"/>
                <w:lang w:val="zh-CN"/>
              </w:rPr>
              <w:t>2</w:t>
            </w:r>
          </w:p>
        </w:tc>
        <w:tc>
          <w:tcPr>
            <w:tcW w:w="1463" w:type="dxa"/>
            <w:vAlign w:val="center"/>
          </w:tcPr>
          <w:p>
            <w:pPr>
              <w:pStyle w:val="39"/>
              <w:rPr>
                <w:rFonts w:ascii="Times New Roman" w:hAnsi="Times New Roman"/>
              </w:rPr>
            </w:pPr>
            <w:r>
              <w:rPr>
                <w:rFonts w:ascii="Times New Roman" w:hAnsi="Times New Roman"/>
              </w:rPr>
              <w:t>10-30%</w:t>
            </w:r>
          </w:p>
        </w:tc>
        <w:tc>
          <w:tcPr>
            <w:tcW w:w="1461" w:type="dxa"/>
            <w:vAlign w:val="center"/>
          </w:tcPr>
          <w:p>
            <w:pPr>
              <w:pStyle w:val="39"/>
              <w:rPr>
                <w:rFonts w:ascii="Times New Roman" w:hAnsi="Times New Roman"/>
              </w:rPr>
            </w:pPr>
            <w:r>
              <w:rPr>
                <w:rFonts w:ascii="Times New Roman" w:hAnsi="Times New Roman"/>
              </w:rPr>
              <w:t>26.79</w:t>
            </w:r>
          </w:p>
        </w:tc>
        <w:tc>
          <w:tcPr>
            <w:tcW w:w="2068" w:type="dxa"/>
            <w:vAlign w:val="center"/>
          </w:tcPr>
          <w:p>
            <w:pPr>
              <w:pStyle w:val="39"/>
              <w:rPr>
                <w:rFonts w:ascii="Times New Roman" w:hAnsi="Times New Roman"/>
              </w:rPr>
            </w:pPr>
            <w:r>
              <w:rPr>
                <w:rFonts w:ascii="Times New Roman" w:hAnsi="Times New Roman"/>
              </w:rPr>
              <w:t>2.88</w:t>
            </w:r>
          </w:p>
        </w:tc>
        <w:tc>
          <w:tcPr>
            <w:tcW w:w="2505" w:type="dxa"/>
            <w:vAlign w:val="center"/>
          </w:tcPr>
          <w:p>
            <w:pPr>
              <w:pStyle w:val="39"/>
              <w:rPr>
                <w:rFonts w:ascii="Times New Roman" w:hAnsi="Times New Roman"/>
                <w:lang w:val="zh-CN"/>
              </w:rPr>
            </w:pPr>
            <w:r>
              <w:rPr>
                <w:rFonts w:ascii="Times New Roman" w:hAnsi="Times New Roman"/>
                <w:lang w:val="zh-CN"/>
              </w:rPr>
              <w:t>中低植被覆盖度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9" w:type="dxa"/>
          </w:tcPr>
          <w:p>
            <w:pPr>
              <w:pStyle w:val="39"/>
              <w:rPr>
                <w:rFonts w:ascii="Times New Roman" w:hAnsi="Times New Roman"/>
                <w:lang w:val="zh-CN"/>
              </w:rPr>
            </w:pPr>
            <w:r>
              <w:rPr>
                <w:rFonts w:ascii="Times New Roman" w:hAnsi="Times New Roman"/>
                <w:lang w:val="zh-CN"/>
              </w:rPr>
              <w:t>3</w:t>
            </w:r>
          </w:p>
        </w:tc>
        <w:tc>
          <w:tcPr>
            <w:tcW w:w="1463" w:type="dxa"/>
            <w:vAlign w:val="center"/>
          </w:tcPr>
          <w:p>
            <w:pPr>
              <w:pStyle w:val="39"/>
              <w:rPr>
                <w:rFonts w:ascii="Times New Roman" w:hAnsi="Times New Roman"/>
              </w:rPr>
            </w:pPr>
            <w:r>
              <w:rPr>
                <w:rFonts w:ascii="Times New Roman" w:hAnsi="Times New Roman"/>
              </w:rPr>
              <w:t>30-50%</w:t>
            </w:r>
          </w:p>
        </w:tc>
        <w:tc>
          <w:tcPr>
            <w:tcW w:w="1461" w:type="dxa"/>
            <w:vAlign w:val="center"/>
          </w:tcPr>
          <w:p>
            <w:pPr>
              <w:pStyle w:val="39"/>
              <w:rPr>
                <w:rFonts w:ascii="Times New Roman" w:hAnsi="Times New Roman"/>
              </w:rPr>
            </w:pPr>
            <w:r>
              <w:rPr>
                <w:rFonts w:ascii="Times New Roman" w:hAnsi="Times New Roman"/>
              </w:rPr>
              <w:t>107.14</w:t>
            </w:r>
          </w:p>
        </w:tc>
        <w:tc>
          <w:tcPr>
            <w:tcW w:w="2068" w:type="dxa"/>
            <w:vAlign w:val="center"/>
          </w:tcPr>
          <w:p>
            <w:pPr>
              <w:pStyle w:val="39"/>
              <w:rPr>
                <w:rFonts w:ascii="Times New Roman" w:hAnsi="Times New Roman"/>
              </w:rPr>
            </w:pPr>
            <w:r>
              <w:rPr>
                <w:rFonts w:ascii="Times New Roman" w:hAnsi="Times New Roman"/>
              </w:rPr>
              <w:t>11.53</w:t>
            </w:r>
          </w:p>
        </w:tc>
        <w:tc>
          <w:tcPr>
            <w:tcW w:w="2505" w:type="dxa"/>
            <w:vAlign w:val="center"/>
          </w:tcPr>
          <w:p>
            <w:pPr>
              <w:pStyle w:val="39"/>
              <w:rPr>
                <w:rFonts w:ascii="Times New Roman" w:hAnsi="Times New Roman"/>
                <w:lang w:val="zh-CN"/>
              </w:rPr>
            </w:pPr>
            <w:r>
              <w:rPr>
                <w:rFonts w:ascii="Times New Roman" w:hAnsi="Times New Roman"/>
                <w:lang w:val="zh-CN"/>
              </w:rPr>
              <w:t>中植被覆盖度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9" w:type="dxa"/>
          </w:tcPr>
          <w:p>
            <w:pPr>
              <w:pStyle w:val="39"/>
              <w:rPr>
                <w:rFonts w:ascii="Times New Roman" w:hAnsi="Times New Roman"/>
                <w:lang w:val="zh-CN"/>
              </w:rPr>
            </w:pPr>
            <w:r>
              <w:rPr>
                <w:rFonts w:ascii="Times New Roman" w:hAnsi="Times New Roman"/>
                <w:lang w:val="zh-CN"/>
              </w:rPr>
              <w:t>4</w:t>
            </w:r>
          </w:p>
        </w:tc>
        <w:tc>
          <w:tcPr>
            <w:tcW w:w="1463" w:type="dxa"/>
            <w:vAlign w:val="center"/>
          </w:tcPr>
          <w:p>
            <w:pPr>
              <w:pStyle w:val="39"/>
              <w:rPr>
                <w:rFonts w:ascii="Times New Roman" w:hAnsi="Times New Roman"/>
              </w:rPr>
            </w:pPr>
            <w:r>
              <w:rPr>
                <w:rFonts w:ascii="Times New Roman" w:hAnsi="Times New Roman"/>
              </w:rPr>
              <w:t>50-70%</w:t>
            </w:r>
          </w:p>
        </w:tc>
        <w:tc>
          <w:tcPr>
            <w:tcW w:w="1461" w:type="dxa"/>
            <w:vAlign w:val="center"/>
          </w:tcPr>
          <w:p>
            <w:pPr>
              <w:pStyle w:val="39"/>
              <w:rPr>
                <w:rFonts w:ascii="Times New Roman" w:hAnsi="Times New Roman"/>
              </w:rPr>
            </w:pPr>
            <w:r>
              <w:rPr>
                <w:rFonts w:ascii="Times New Roman" w:hAnsi="Times New Roman"/>
              </w:rPr>
              <w:t>274.20</w:t>
            </w:r>
          </w:p>
        </w:tc>
        <w:tc>
          <w:tcPr>
            <w:tcW w:w="2068" w:type="dxa"/>
            <w:vAlign w:val="center"/>
          </w:tcPr>
          <w:p>
            <w:pPr>
              <w:pStyle w:val="39"/>
              <w:rPr>
                <w:rFonts w:ascii="Times New Roman" w:hAnsi="Times New Roman"/>
              </w:rPr>
            </w:pPr>
            <w:r>
              <w:rPr>
                <w:rFonts w:ascii="Times New Roman" w:hAnsi="Times New Roman"/>
              </w:rPr>
              <w:t>29.51</w:t>
            </w:r>
          </w:p>
        </w:tc>
        <w:tc>
          <w:tcPr>
            <w:tcW w:w="2505" w:type="dxa"/>
            <w:vAlign w:val="center"/>
          </w:tcPr>
          <w:p>
            <w:pPr>
              <w:pStyle w:val="39"/>
              <w:rPr>
                <w:rFonts w:ascii="Times New Roman" w:hAnsi="Times New Roman"/>
                <w:lang w:val="zh-CN"/>
              </w:rPr>
            </w:pPr>
            <w:r>
              <w:rPr>
                <w:rFonts w:ascii="Times New Roman" w:hAnsi="Times New Roman"/>
                <w:lang w:val="zh-CN"/>
              </w:rPr>
              <w:t>中高植被覆盖度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9" w:type="dxa"/>
          </w:tcPr>
          <w:p>
            <w:pPr>
              <w:pStyle w:val="39"/>
              <w:rPr>
                <w:rFonts w:ascii="Times New Roman" w:hAnsi="Times New Roman"/>
                <w:lang w:val="zh-CN"/>
              </w:rPr>
            </w:pPr>
            <w:r>
              <w:rPr>
                <w:rFonts w:ascii="Times New Roman" w:hAnsi="Times New Roman"/>
                <w:lang w:val="zh-CN"/>
              </w:rPr>
              <w:t>5</w:t>
            </w:r>
          </w:p>
        </w:tc>
        <w:tc>
          <w:tcPr>
            <w:tcW w:w="1463" w:type="dxa"/>
            <w:vAlign w:val="center"/>
          </w:tcPr>
          <w:p>
            <w:pPr>
              <w:pStyle w:val="39"/>
              <w:rPr>
                <w:rFonts w:ascii="Times New Roman" w:hAnsi="Times New Roman"/>
              </w:rPr>
            </w:pPr>
            <w:r>
              <w:rPr>
                <w:rFonts w:ascii="Times New Roman" w:hAnsi="Times New Roman"/>
              </w:rPr>
              <w:t>&gt;70%</w:t>
            </w:r>
          </w:p>
        </w:tc>
        <w:tc>
          <w:tcPr>
            <w:tcW w:w="1461" w:type="dxa"/>
            <w:vAlign w:val="center"/>
          </w:tcPr>
          <w:p>
            <w:pPr>
              <w:pStyle w:val="39"/>
              <w:rPr>
                <w:rFonts w:ascii="Times New Roman" w:hAnsi="Times New Roman"/>
              </w:rPr>
            </w:pPr>
            <w:r>
              <w:rPr>
                <w:rFonts w:ascii="Times New Roman" w:hAnsi="Times New Roman"/>
              </w:rPr>
              <w:t>510.43</w:t>
            </w:r>
          </w:p>
        </w:tc>
        <w:tc>
          <w:tcPr>
            <w:tcW w:w="2068" w:type="dxa"/>
            <w:vAlign w:val="center"/>
          </w:tcPr>
          <w:p>
            <w:pPr>
              <w:pStyle w:val="39"/>
              <w:rPr>
                <w:rFonts w:ascii="Times New Roman" w:hAnsi="Times New Roman"/>
              </w:rPr>
            </w:pPr>
            <w:r>
              <w:rPr>
                <w:rFonts w:ascii="Times New Roman" w:hAnsi="Times New Roman"/>
              </w:rPr>
              <w:t>54.94</w:t>
            </w:r>
          </w:p>
        </w:tc>
        <w:tc>
          <w:tcPr>
            <w:tcW w:w="2505" w:type="dxa"/>
            <w:vAlign w:val="center"/>
          </w:tcPr>
          <w:p>
            <w:pPr>
              <w:pStyle w:val="39"/>
              <w:rPr>
                <w:rFonts w:ascii="Times New Roman" w:hAnsi="Times New Roman"/>
                <w:lang w:val="zh-CN"/>
              </w:rPr>
            </w:pPr>
            <w:r>
              <w:rPr>
                <w:rFonts w:ascii="Times New Roman" w:hAnsi="Times New Roman"/>
                <w:lang w:val="zh-CN"/>
              </w:rPr>
              <w:t>高植被覆盖度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2" w:type="dxa"/>
            <w:gridSpan w:val="2"/>
          </w:tcPr>
          <w:p>
            <w:pPr>
              <w:pStyle w:val="39"/>
              <w:rPr>
                <w:rFonts w:ascii="Times New Roman" w:hAnsi="Times New Roman"/>
                <w:lang w:val="zh-CN"/>
              </w:rPr>
            </w:pPr>
            <w:r>
              <w:rPr>
                <w:rFonts w:ascii="Times New Roman" w:hAnsi="Times New Roman"/>
                <w:lang w:val="zh-CN"/>
              </w:rPr>
              <w:t>合计</w:t>
            </w:r>
          </w:p>
        </w:tc>
        <w:tc>
          <w:tcPr>
            <w:tcW w:w="1461" w:type="dxa"/>
            <w:vAlign w:val="center"/>
          </w:tcPr>
          <w:p>
            <w:pPr>
              <w:pStyle w:val="39"/>
              <w:rPr>
                <w:rFonts w:ascii="Times New Roman" w:hAnsi="Times New Roman"/>
                <w:lang w:val="zh-CN"/>
              </w:rPr>
            </w:pPr>
            <w:r>
              <w:rPr>
                <w:rFonts w:ascii="Times New Roman" w:hAnsi="Times New Roman"/>
              </w:rPr>
              <w:t>929.10</w:t>
            </w:r>
          </w:p>
        </w:tc>
        <w:tc>
          <w:tcPr>
            <w:tcW w:w="2068" w:type="dxa"/>
            <w:vAlign w:val="center"/>
          </w:tcPr>
          <w:p>
            <w:pPr>
              <w:pStyle w:val="39"/>
              <w:rPr>
                <w:rFonts w:ascii="Times New Roman" w:hAnsi="Times New Roman"/>
                <w:lang w:val="zh-CN"/>
              </w:rPr>
            </w:pPr>
            <w:r>
              <w:rPr>
                <w:rFonts w:ascii="Times New Roman" w:hAnsi="Times New Roman"/>
              </w:rPr>
              <w:t>100.00</w:t>
            </w:r>
          </w:p>
        </w:tc>
        <w:tc>
          <w:tcPr>
            <w:tcW w:w="2505" w:type="dxa"/>
            <w:vAlign w:val="center"/>
          </w:tcPr>
          <w:p>
            <w:pPr>
              <w:pStyle w:val="39"/>
              <w:rPr>
                <w:rFonts w:ascii="Times New Roman" w:hAnsi="Times New Roman"/>
                <w:lang w:val="zh-CN"/>
              </w:rPr>
            </w:pPr>
            <w:r>
              <w:rPr>
                <w:rFonts w:ascii="Times New Roman" w:hAnsi="Times New Roman"/>
              </w:rPr>
              <w:t>/</w:t>
            </w:r>
          </w:p>
        </w:tc>
      </w:tr>
    </w:tbl>
    <w:p>
      <w:pPr>
        <w:ind w:firstLine="0" w:firstLineChars="0"/>
        <w:jc w:val="center"/>
        <w:rPr>
          <w:rFonts w:ascii="Times New Roman" w:hAnsi="Times New Roman"/>
        </w:rPr>
      </w:pPr>
      <w:r>
        <w:rPr>
          <w:rFonts w:ascii="Times New Roman" w:hAnsi="Times New Roman"/>
        </w:rPr>
        <w:drawing>
          <wp:inline distT="0" distB="0" distL="0" distR="0">
            <wp:extent cx="4914900" cy="2975610"/>
            <wp:effectExtent l="0" t="0" r="19050" b="15240"/>
            <wp:docPr id="24" name="图表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pPr>
        <w:pStyle w:val="37"/>
        <w:ind w:firstLine="480"/>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r>
        <w:rPr>
          <w:rFonts w:ascii="Times New Roman" w:hAnsi="Times New Roman" w:cs="Times New Roman"/>
        </w:rPr>
        <w:t xml:space="preserve">  生态评价范围植被覆盖度分布</w:t>
      </w:r>
    </w:p>
    <w:p>
      <w:pPr>
        <w:ind w:firstLine="480"/>
        <w:jc w:val="both"/>
        <w:rPr>
          <w:rFonts w:ascii="Times New Roman" w:hAnsi="Times New Roman"/>
        </w:rPr>
      </w:pPr>
      <w:r>
        <w:rPr>
          <w:rFonts w:ascii="Times New Roman" w:hAnsi="Times New Roman"/>
        </w:rPr>
        <w:t>由上表分析可知，生态评价范围域内高植被覆盖度面积所占比例最高，为54.94%；其次为中高植被覆盖度，所占比例为29.51%。因此，根据遥感影像资料综合分析，生态评价范围内植被覆盖度主要处于“高植被覆盖度”到“中高植被覆盖度”状态，植被状况较好，有一定的净生产力。</w:t>
      </w:r>
    </w:p>
    <w:p>
      <w:pPr>
        <w:pStyle w:val="5"/>
        <w:rPr>
          <w:rFonts w:ascii="Times New Roman" w:hAnsi="Times New Roman"/>
        </w:rPr>
      </w:pPr>
      <w:r>
        <w:rPr>
          <w:rFonts w:ascii="Times New Roman" w:hAnsi="Times New Roman"/>
        </w:rPr>
        <w:t>生物量</w:t>
      </w:r>
    </w:p>
    <w:p>
      <w:pPr>
        <w:ind w:firstLine="480"/>
        <w:rPr>
          <w:rFonts w:ascii="Times New Roman" w:hAnsi="Times New Roman"/>
        </w:rPr>
      </w:pPr>
      <w:r>
        <w:rPr>
          <w:rFonts w:ascii="Times New Roman" w:hAnsi="Times New Roman"/>
        </w:rPr>
        <w:t>生物量评价是环境影响评价的一个重要方面。评价范围植物群落生物量调查是估算评价范围现存生物生产力、计算工程建设导致生物量损失的基础，本次植物群落生物调查采取现场实测和查阅文献资料两种方式进行。</w:t>
      </w:r>
    </w:p>
    <w:p>
      <w:pPr>
        <w:ind w:firstLine="480"/>
        <w:rPr>
          <w:rFonts w:ascii="Times New Roman" w:hAnsi="Times New Roman"/>
        </w:rPr>
      </w:pPr>
      <w:r>
        <w:rPr>
          <w:rFonts w:ascii="Times New Roman" w:hAnsi="Times New Roman"/>
        </w:rPr>
        <w:t>地面部分生物量的测定参照冯宗炜等著《中国森林生态系统的生物量和生产力》中的方法，其中灌从生物量参考实测值；乔木生物量由《四川森林</w:t>
      </w:r>
      <w:r>
        <w:rPr>
          <w:rFonts w:hint="eastAsia" w:ascii="Times New Roman" w:hAnsi="Times New Roman"/>
          <w:lang w:eastAsia="zh-CN"/>
        </w:rPr>
        <w:t>》《</w:t>
      </w:r>
      <w:r>
        <w:rPr>
          <w:rFonts w:ascii="Times New Roman" w:hAnsi="Times New Roman"/>
        </w:rPr>
        <w:t>四川森林生态研究</w:t>
      </w:r>
      <w:r>
        <w:rPr>
          <w:rFonts w:hint="eastAsia" w:ascii="Times New Roman" w:hAnsi="Times New Roman"/>
          <w:lang w:eastAsia="zh-CN"/>
        </w:rPr>
        <w:t>》《</w:t>
      </w:r>
      <w:r>
        <w:rPr>
          <w:rFonts w:ascii="Times New Roman" w:hAnsi="Times New Roman"/>
        </w:rPr>
        <w:t>中国森林生态系统的生物量和生产力》等专著参考和实测树高、胸径、株数等数据通过回归方程计算所得。</w:t>
      </w:r>
    </w:p>
    <w:p>
      <w:pPr>
        <w:ind w:firstLine="480"/>
        <w:rPr>
          <w:rFonts w:ascii="Times New Roman" w:hAnsi="Times New Roman"/>
        </w:rPr>
      </w:pPr>
      <w:r>
        <w:rPr>
          <w:rFonts w:ascii="Times New Roman" w:hAnsi="Times New Roman"/>
        </w:rPr>
        <w:t>部分森林植被实测困难，采用区域生物量估算方法中的蓄积量推算法:</w:t>
      </w:r>
    </w:p>
    <w:p>
      <w:pPr>
        <w:ind w:firstLine="600"/>
        <w:jc w:val="center"/>
        <w:rPr>
          <w:rFonts w:ascii="Times New Roman" w:hAnsi="Times New Roman"/>
          <w:sz w:val="30"/>
          <w:szCs w:val="30"/>
        </w:rPr>
      </w:pPr>
      <w:r>
        <w:rPr>
          <w:rFonts w:ascii="Times New Roman" w:hAnsi="Times New Roman"/>
          <w:i/>
          <w:sz w:val="30"/>
          <w:szCs w:val="30"/>
        </w:rPr>
        <w:t>B</w:t>
      </w:r>
      <w:r>
        <w:rPr>
          <w:rFonts w:ascii="Times New Roman" w:hAnsi="Times New Roman"/>
          <w:sz w:val="30"/>
          <w:szCs w:val="30"/>
        </w:rPr>
        <w:t>=</w:t>
      </w:r>
      <w:r>
        <w:rPr>
          <w:rFonts w:ascii="Times New Roman" w:hAnsi="Times New Roman"/>
          <w:i/>
          <w:sz w:val="30"/>
          <w:szCs w:val="30"/>
        </w:rPr>
        <w:t>V</w:t>
      </w:r>
      <w:r>
        <w:rPr>
          <w:rFonts w:ascii="Times New Roman" w:hAnsi="Times New Roman"/>
          <w:sz w:val="30"/>
          <w:szCs w:val="30"/>
          <w:vertAlign w:val="subscript"/>
        </w:rPr>
        <w:t>total</w:t>
      </w:r>
      <w:r>
        <w:rPr>
          <w:rFonts w:ascii="Times New Roman" w:hAnsi="Times New Roman"/>
          <w:sz w:val="30"/>
          <w:szCs w:val="30"/>
        </w:rPr>
        <w:t>×</w:t>
      </w:r>
      <w:r>
        <w:rPr>
          <w:rFonts w:ascii="Times New Roman" w:hAnsi="Times New Roman"/>
          <w:i/>
          <w:sz w:val="30"/>
          <w:szCs w:val="30"/>
        </w:rPr>
        <w:t>E</w:t>
      </w:r>
      <w:r>
        <w:rPr>
          <w:rFonts w:ascii="Times New Roman" w:hAnsi="Times New Roman"/>
          <w:sz w:val="30"/>
          <w:szCs w:val="30"/>
          <w:vertAlign w:val="subscript"/>
        </w:rPr>
        <w:t>F</w:t>
      </w:r>
    </w:p>
    <w:p>
      <w:pPr>
        <w:ind w:firstLine="480"/>
        <w:rPr>
          <w:rFonts w:ascii="Times New Roman" w:hAnsi="Times New Roman"/>
        </w:rPr>
      </w:pPr>
      <w:r>
        <w:rPr>
          <w:rFonts w:ascii="Times New Roman" w:hAnsi="Times New Roman"/>
        </w:rPr>
        <w:t>式中:</w:t>
      </w:r>
      <w:r>
        <w:rPr>
          <w:rFonts w:ascii="Times New Roman" w:hAnsi="Times New Roman"/>
          <w:i/>
          <w:sz w:val="30"/>
          <w:szCs w:val="30"/>
        </w:rPr>
        <w:t xml:space="preserve"> V</w:t>
      </w:r>
      <w:r>
        <w:rPr>
          <w:rFonts w:ascii="Times New Roman" w:hAnsi="Times New Roman"/>
          <w:sz w:val="30"/>
          <w:szCs w:val="30"/>
          <w:vertAlign w:val="subscript"/>
        </w:rPr>
        <w:t>tota</w:t>
      </w:r>
      <w:r>
        <w:rPr>
          <w:rFonts w:ascii="Times New Roman" w:hAnsi="Times New Roman"/>
        </w:rPr>
        <w:t>为该种林型的木材蓄积量，</w:t>
      </w:r>
      <w:r>
        <w:rPr>
          <w:rFonts w:ascii="Times New Roman" w:hAnsi="Times New Roman"/>
          <w:i/>
          <w:sz w:val="30"/>
          <w:szCs w:val="30"/>
        </w:rPr>
        <w:t>E</w:t>
      </w:r>
      <w:r>
        <w:rPr>
          <w:rFonts w:ascii="Times New Roman" w:hAnsi="Times New Roman"/>
          <w:sz w:val="30"/>
          <w:szCs w:val="30"/>
          <w:vertAlign w:val="subscript"/>
        </w:rPr>
        <w:t>F</w:t>
      </w:r>
      <w:r>
        <w:rPr>
          <w:rFonts w:ascii="Times New Roman" w:hAnsi="Times New Roman"/>
        </w:rPr>
        <w:t>为木材转换为生物量的常数，一般取0.52(Marland.1988)</w:t>
      </w:r>
    </w:p>
    <w:p>
      <w:pPr>
        <w:ind w:firstLine="480"/>
        <w:rPr>
          <w:rFonts w:ascii="Times New Roman" w:hAnsi="Times New Roman"/>
        </w:rPr>
      </w:pPr>
      <w:r>
        <w:rPr>
          <w:rFonts w:ascii="Times New Roman" w:hAnsi="Times New Roman"/>
        </w:rPr>
        <w:t>评价范围各类自然植被生物量见</w:t>
      </w:r>
      <w:r>
        <w:rPr>
          <w:rFonts w:ascii="Times New Roman" w:hAnsi="Times New Roman"/>
        </w:rPr>
        <w:fldChar w:fldCharType="begin"/>
      </w:r>
      <w:r>
        <w:rPr>
          <w:rFonts w:ascii="Times New Roman" w:hAnsi="Times New Roman"/>
        </w:rPr>
        <w:instrText xml:space="preserve"> REF _Ref162081602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29</w:t>
      </w:r>
      <w:r>
        <w:rPr>
          <w:rFonts w:ascii="Times New Roman" w:hAnsi="Times New Roman"/>
        </w:rPr>
        <w:fldChar w:fldCharType="end"/>
      </w:r>
      <w:r>
        <w:rPr>
          <w:rFonts w:ascii="Times New Roman" w:hAnsi="Times New Roman"/>
        </w:rPr>
        <w:t>，评价范围蓄积量480.87×10³m³，生物量256.19×10³t。</w:t>
      </w:r>
    </w:p>
    <w:p>
      <w:pPr>
        <w:pStyle w:val="37"/>
        <w:rPr>
          <w:rFonts w:ascii="Times New Roman" w:hAnsi="Times New Roman" w:cs="Times New Roman"/>
        </w:rPr>
      </w:pPr>
      <w:bookmarkStart w:id="168" w:name="_Ref16208160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29</w:t>
      </w:r>
      <w:r>
        <w:rPr>
          <w:rFonts w:ascii="Times New Roman" w:hAnsi="Times New Roman" w:cs="Times New Roman"/>
        </w:rPr>
        <w:fldChar w:fldCharType="end"/>
      </w:r>
      <w:bookmarkEnd w:id="168"/>
      <w:r>
        <w:rPr>
          <w:rFonts w:ascii="Times New Roman" w:hAnsi="Times New Roman" w:cs="Times New Roman"/>
        </w:rPr>
        <w:t>评价范围各类自然植被生物量</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pPr>
              <w:pStyle w:val="39"/>
              <w:rPr>
                <w:rFonts w:ascii="Times New Roman" w:hAnsi="Times New Roman"/>
              </w:rPr>
            </w:pPr>
            <w:r>
              <w:rPr>
                <w:rFonts w:ascii="Times New Roman" w:hAnsi="Times New Roman"/>
              </w:rPr>
              <w:t>群落类型</w:t>
            </w:r>
          </w:p>
        </w:tc>
        <w:tc>
          <w:tcPr>
            <w:tcW w:w="1704" w:type="dxa"/>
            <w:vAlign w:val="center"/>
          </w:tcPr>
          <w:p>
            <w:pPr>
              <w:pStyle w:val="39"/>
              <w:rPr>
                <w:rFonts w:ascii="Times New Roman" w:hAnsi="Times New Roman"/>
              </w:rPr>
            </w:pPr>
            <w:r>
              <w:rPr>
                <w:rFonts w:ascii="Times New Roman" w:hAnsi="Times New Roman"/>
              </w:rPr>
              <w:t>蓄积量(m³/hm²)</w:t>
            </w:r>
          </w:p>
        </w:tc>
        <w:tc>
          <w:tcPr>
            <w:tcW w:w="1704" w:type="dxa"/>
            <w:vAlign w:val="center"/>
          </w:tcPr>
          <w:p>
            <w:pPr>
              <w:pStyle w:val="39"/>
              <w:rPr>
                <w:rFonts w:ascii="Times New Roman" w:hAnsi="Times New Roman"/>
              </w:rPr>
            </w:pPr>
            <w:r>
              <w:rPr>
                <w:rFonts w:ascii="Times New Roman" w:hAnsi="Times New Roman"/>
              </w:rPr>
              <w:t>生物量(t/hm²)</w:t>
            </w:r>
          </w:p>
        </w:tc>
        <w:tc>
          <w:tcPr>
            <w:tcW w:w="1705" w:type="dxa"/>
            <w:vAlign w:val="center"/>
          </w:tcPr>
          <w:p>
            <w:pPr>
              <w:pStyle w:val="39"/>
              <w:rPr>
                <w:rFonts w:ascii="Times New Roman" w:hAnsi="Times New Roman"/>
              </w:rPr>
            </w:pPr>
            <w:r>
              <w:rPr>
                <w:rFonts w:ascii="Times New Roman" w:hAnsi="Times New Roman"/>
              </w:rPr>
              <w:t>评价范围蓄积量(1.0×10³m³)</w:t>
            </w:r>
          </w:p>
        </w:tc>
        <w:tc>
          <w:tcPr>
            <w:tcW w:w="1705" w:type="dxa"/>
            <w:vAlign w:val="center"/>
          </w:tcPr>
          <w:p>
            <w:pPr>
              <w:pStyle w:val="39"/>
              <w:rPr>
                <w:rFonts w:ascii="Times New Roman" w:hAnsi="Times New Roman"/>
              </w:rPr>
            </w:pPr>
            <w:r>
              <w:rPr>
                <w:rFonts w:ascii="Times New Roman" w:hAnsi="Times New Roman"/>
              </w:rPr>
              <w:t>评价范围生物量</w:t>
            </w:r>
            <w:r>
              <w:rPr>
                <w:rFonts w:ascii="Times New Roman" w:hAnsi="Times New Roman"/>
              </w:rPr>
              <w:br w:type="textWrapping"/>
            </w:r>
            <w:r>
              <w:rPr>
                <w:rFonts w:ascii="Times New Roman" w:hAnsi="Times New Roman"/>
              </w:rPr>
              <w:t>(1.0×10³t)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bottom"/>
          </w:tcPr>
          <w:p>
            <w:pPr>
              <w:pStyle w:val="39"/>
              <w:rPr>
                <w:rFonts w:ascii="Times New Roman" w:hAnsi="Times New Roman"/>
              </w:rPr>
            </w:pPr>
            <w:r>
              <w:rPr>
                <w:rFonts w:ascii="Times New Roman" w:hAnsi="Times New Roman"/>
                <w:sz w:val="22"/>
                <w:szCs w:val="22"/>
              </w:rPr>
              <w:t>白夹竹林</w:t>
            </w:r>
          </w:p>
        </w:tc>
        <w:tc>
          <w:tcPr>
            <w:tcW w:w="1704" w:type="dxa"/>
            <w:vAlign w:val="center"/>
          </w:tcPr>
          <w:p>
            <w:pPr>
              <w:pStyle w:val="39"/>
              <w:rPr>
                <w:rFonts w:ascii="Times New Roman" w:hAnsi="Times New Roman"/>
              </w:rPr>
            </w:pPr>
            <w:r>
              <w:rPr>
                <w:rFonts w:ascii="Times New Roman" w:hAnsi="Times New Roman"/>
              </w:rPr>
              <w:t>301.44</w:t>
            </w:r>
          </w:p>
        </w:tc>
        <w:tc>
          <w:tcPr>
            <w:tcW w:w="1704" w:type="dxa"/>
            <w:vAlign w:val="center"/>
          </w:tcPr>
          <w:p>
            <w:pPr>
              <w:pStyle w:val="39"/>
              <w:rPr>
                <w:rFonts w:ascii="Times New Roman" w:hAnsi="Times New Roman"/>
              </w:rPr>
            </w:pPr>
            <w:r>
              <w:rPr>
                <w:rFonts w:ascii="Times New Roman" w:hAnsi="Times New Roman"/>
              </w:rPr>
              <w:t>156.72</w:t>
            </w:r>
          </w:p>
        </w:tc>
        <w:tc>
          <w:tcPr>
            <w:tcW w:w="1705" w:type="dxa"/>
            <w:vAlign w:val="bottom"/>
          </w:tcPr>
          <w:p>
            <w:pPr>
              <w:pStyle w:val="39"/>
              <w:rPr>
                <w:rFonts w:ascii="Times New Roman" w:hAnsi="Times New Roman"/>
              </w:rPr>
            </w:pPr>
            <w:r>
              <w:rPr>
                <w:rFonts w:ascii="Times New Roman" w:hAnsi="Times New Roman"/>
                <w:sz w:val="22"/>
                <w:szCs w:val="22"/>
              </w:rPr>
              <w:t>1.34</w:t>
            </w:r>
          </w:p>
        </w:tc>
        <w:tc>
          <w:tcPr>
            <w:tcW w:w="1705" w:type="dxa"/>
            <w:vAlign w:val="bottom"/>
          </w:tcPr>
          <w:p>
            <w:pPr>
              <w:pStyle w:val="39"/>
              <w:rPr>
                <w:rFonts w:ascii="Times New Roman" w:hAnsi="Times New Roman"/>
              </w:rPr>
            </w:pPr>
            <w:r>
              <w:rPr>
                <w:rFonts w:ascii="Times New Roman" w:hAnsi="Times New Roman"/>
                <w:sz w:val="22"/>
                <w:szCs w:val="22"/>
              </w:rPr>
              <w:t>0.69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bottom"/>
          </w:tcPr>
          <w:p>
            <w:pPr>
              <w:pStyle w:val="39"/>
              <w:rPr>
                <w:rFonts w:ascii="Times New Roman" w:hAnsi="Times New Roman"/>
              </w:rPr>
            </w:pPr>
            <w:r>
              <w:rPr>
                <w:rFonts w:ascii="Times New Roman" w:hAnsi="Times New Roman"/>
                <w:sz w:val="22"/>
                <w:szCs w:val="22"/>
              </w:rPr>
              <w:t>桤木林</w:t>
            </w:r>
          </w:p>
        </w:tc>
        <w:tc>
          <w:tcPr>
            <w:tcW w:w="1704" w:type="dxa"/>
            <w:vAlign w:val="center"/>
          </w:tcPr>
          <w:p>
            <w:pPr>
              <w:pStyle w:val="39"/>
              <w:rPr>
                <w:rFonts w:ascii="Times New Roman" w:hAnsi="Times New Roman"/>
              </w:rPr>
            </w:pPr>
            <w:r>
              <w:rPr>
                <w:rFonts w:ascii="Times New Roman" w:hAnsi="Times New Roman"/>
              </w:rPr>
              <w:t>325.56</w:t>
            </w:r>
          </w:p>
        </w:tc>
        <w:tc>
          <w:tcPr>
            <w:tcW w:w="1704" w:type="dxa"/>
            <w:vAlign w:val="center"/>
          </w:tcPr>
          <w:p>
            <w:pPr>
              <w:pStyle w:val="39"/>
              <w:rPr>
                <w:rFonts w:ascii="Times New Roman" w:hAnsi="Times New Roman"/>
              </w:rPr>
            </w:pPr>
            <w:r>
              <w:rPr>
                <w:rFonts w:ascii="Times New Roman" w:hAnsi="Times New Roman"/>
              </w:rPr>
              <w:t>169.29</w:t>
            </w:r>
          </w:p>
        </w:tc>
        <w:tc>
          <w:tcPr>
            <w:tcW w:w="1705" w:type="dxa"/>
            <w:vAlign w:val="bottom"/>
          </w:tcPr>
          <w:p>
            <w:pPr>
              <w:pStyle w:val="39"/>
              <w:rPr>
                <w:rFonts w:ascii="Times New Roman" w:hAnsi="Times New Roman"/>
              </w:rPr>
            </w:pPr>
            <w:r>
              <w:rPr>
                <w:rFonts w:ascii="Times New Roman" w:hAnsi="Times New Roman"/>
                <w:sz w:val="22"/>
                <w:szCs w:val="22"/>
              </w:rPr>
              <w:t>0.49</w:t>
            </w:r>
          </w:p>
        </w:tc>
        <w:tc>
          <w:tcPr>
            <w:tcW w:w="1705" w:type="dxa"/>
            <w:vAlign w:val="bottom"/>
          </w:tcPr>
          <w:p>
            <w:pPr>
              <w:pStyle w:val="39"/>
              <w:rPr>
                <w:rFonts w:ascii="Times New Roman" w:hAnsi="Times New Roman"/>
              </w:rPr>
            </w:pPr>
            <w:r>
              <w:rPr>
                <w:rFonts w:ascii="Times New Roman" w:hAnsi="Times New Roman"/>
                <w:sz w:val="22"/>
                <w:szCs w:val="22"/>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bottom"/>
          </w:tcPr>
          <w:p>
            <w:pPr>
              <w:pStyle w:val="39"/>
              <w:rPr>
                <w:rFonts w:ascii="Times New Roman" w:hAnsi="Times New Roman"/>
              </w:rPr>
            </w:pPr>
            <w:r>
              <w:rPr>
                <w:rFonts w:ascii="Times New Roman" w:hAnsi="Times New Roman"/>
                <w:sz w:val="22"/>
                <w:szCs w:val="22"/>
              </w:rPr>
              <w:t>马尾松林</w:t>
            </w:r>
          </w:p>
        </w:tc>
        <w:tc>
          <w:tcPr>
            <w:tcW w:w="1704" w:type="dxa"/>
            <w:vAlign w:val="center"/>
          </w:tcPr>
          <w:p>
            <w:pPr>
              <w:pStyle w:val="39"/>
              <w:rPr>
                <w:rFonts w:ascii="Times New Roman" w:hAnsi="Times New Roman"/>
              </w:rPr>
            </w:pPr>
            <w:r>
              <w:rPr>
                <w:rFonts w:ascii="Times New Roman" w:hAnsi="Times New Roman"/>
              </w:rPr>
              <w:t>753.6</w:t>
            </w:r>
          </w:p>
        </w:tc>
        <w:tc>
          <w:tcPr>
            <w:tcW w:w="1704" w:type="dxa"/>
            <w:vAlign w:val="center"/>
          </w:tcPr>
          <w:p>
            <w:pPr>
              <w:pStyle w:val="39"/>
              <w:rPr>
                <w:rFonts w:ascii="Times New Roman" w:hAnsi="Times New Roman"/>
              </w:rPr>
            </w:pPr>
            <w:r>
              <w:rPr>
                <w:rFonts w:ascii="Times New Roman" w:hAnsi="Times New Roman"/>
              </w:rPr>
              <w:t>391.87</w:t>
            </w:r>
          </w:p>
        </w:tc>
        <w:tc>
          <w:tcPr>
            <w:tcW w:w="1705" w:type="dxa"/>
            <w:vAlign w:val="bottom"/>
          </w:tcPr>
          <w:p>
            <w:pPr>
              <w:pStyle w:val="39"/>
              <w:rPr>
                <w:rFonts w:ascii="Times New Roman" w:hAnsi="Times New Roman"/>
              </w:rPr>
            </w:pPr>
            <w:r>
              <w:rPr>
                <w:rFonts w:ascii="Times New Roman" w:hAnsi="Times New Roman"/>
                <w:sz w:val="22"/>
                <w:szCs w:val="22"/>
              </w:rPr>
              <w:t>444.03</w:t>
            </w:r>
          </w:p>
        </w:tc>
        <w:tc>
          <w:tcPr>
            <w:tcW w:w="1705" w:type="dxa"/>
            <w:vAlign w:val="bottom"/>
          </w:tcPr>
          <w:p>
            <w:pPr>
              <w:pStyle w:val="39"/>
              <w:rPr>
                <w:rFonts w:ascii="Times New Roman" w:hAnsi="Times New Roman"/>
              </w:rPr>
            </w:pPr>
            <w:r>
              <w:rPr>
                <w:rFonts w:ascii="Times New Roman" w:hAnsi="Times New Roman"/>
                <w:sz w:val="22"/>
                <w:szCs w:val="22"/>
              </w:rPr>
              <w:t>230.89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bottom"/>
          </w:tcPr>
          <w:p>
            <w:pPr>
              <w:pStyle w:val="39"/>
              <w:rPr>
                <w:rFonts w:ascii="Times New Roman" w:hAnsi="Times New Roman"/>
              </w:rPr>
            </w:pPr>
            <w:r>
              <w:rPr>
                <w:rFonts w:ascii="Times New Roman" w:hAnsi="Times New Roman"/>
                <w:sz w:val="22"/>
                <w:szCs w:val="22"/>
              </w:rPr>
              <w:t>柏木林</w:t>
            </w:r>
          </w:p>
        </w:tc>
        <w:tc>
          <w:tcPr>
            <w:tcW w:w="1704" w:type="dxa"/>
            <w:vAlign w:val="center"/>
          </w:tcPr>
          <w:p>
            <w:pPr>
              <w:pStyle w:val="39"/>
              <w:rPr>
                <w:rFonts w:ascii="Times New Roman" w:hAnsi="Times New Roman"/>
              </w:rPr>
            </w:pPr>
            <w:r>
              <w:rPr>
                <w:rFonts w:ascii="Times New Roman" w:hAnsi="Times New Roman"/>
              </w:rPr>
              <w:t>1084.18</w:t>
            </w:r>
          </w:p>
        </w:tc>
        <w:tc>
          <w:tcPr>
            <w:tcW w:w="1704" w:type="dxa"/>
            <w:vAlign w:val="center"/>
          </w:tcPr>
          <w:p>
            <w:pPr>
              <w:pStyle w:val="39"/>
              <w:rPr>
                <w:rFonts w:ascii="Times New Roman" w:hAnsi="Times New Roman"/>
              </w:rPr>
            </w:pPr>
            <w:r>
              <w:rPr>
                <w:rFonts w:ascii="Times New Roman" w:hAnsi="Times New Roman"/>
              </w:rPr>
              <w:t>563.77</w:t>
            </w:r>
          </w:p>
        </w:tc>
        <w:tc>
          <w:tcPr>
            <w:tcW w:w="1705" w:type="dxa"/>
            <w:vAlign w:val="bottom"/>
          </w:tcPr>
          <w:p>
            <w:pPr>
              <w:pStyle w:val="39"/>
              <w:rPr>
                <w:rFonts w:ascii="Times New Roman" w:hAnsi="Times New Roman"/>
              </w:rPr>
            </w:pPr>
            <w:r>
              <w:rPr>
                <w:rFonts w:ascii="Times New Roman" w:hAnsi="Times New Roman"/>
                <w:sz w:val="22"/>
                <w:szCs w:val="22"/>
              </w:rPr>
              <w:t>35.02</w:t>
            </w:r>
          </w:p>
        </w:tc>
        <w:tc>
          <w:tcPr>
            <w:tcW w:w="1705" w:type="dxa"/>
            <w:vAlign w:val="bottom"/>
          </w:tcPr>
          <w:p>
            <w:pPr>
              <w:pStyle w:val="39"/>
              <w:rPr>
                <w:rFonts w:ascii="Times New Roman" w:hAnsi="Times New Roman"/>
              </w:rPr>
            </w:pPr>
            <w:r>
              <w:rPr>
                <w:rFonts w:ascii="Times New Roman" w:hAnsi="Times New Roman"/>
                <w:sz w:val="22"/>
                <w:szCs w:val="22"/>
              </w:rPr>
              <w:t>18.21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bottom"/>
          </w:tcPr>
          <w:p>
            <w:pPr>
              <w:pStyle w:val="39"/>
              <w:rPr>
                <w:rFonts w:ascii="Times New Roman" w:hAnsi="Times New Roman"/>
              </w:rPr>
            </w:pPr>
            <w:r>
              <w:rPr>
                <w:rFonts w:ascii="Times New Roman" w:hAnsi="Times New Roman"/>
                <w:sz w:val="22"/>
                <w:szCs w:val="22"/>
              </w:rPr>
              <w:t>栓皮栎、麻栎、乌泡子灌丛</w:t>
            </w:r>
          </w:p>
        </w:tc>
        <w:tc>
          <w:tcPr>
            <w:tcW w:w="1704" w:type="dxa"/>
            <w:vAlign w:val="center"/>
          </w:tcPr>
          <w:p>
            <w:pPr>
              <w:pStyle w:val="39"/>
              <w:rPr>
                <w:rFonts w:ascii="Times New Roman" w:hAnsi="Times New Roman"/>
              </w:rPr>
            </w:pPr>
            <w:r>
              <w:rPr>
                <w:rFonts w:ascii="Times New Roman" w:hAnsi="Times New Roman"/>
              </w:rPr>
              <w:t>/</w:t>
            </w:r>
          </w:p>
        </w:tc>
        <w:tc>
          <w:tcPr>
            <w:tcW w:w="1704" w:type="dxa"/>
            <w:vAlign w:val="center"/>
          </w:tcPr>
          <w:p>
            <w:pPr>
              <w:pStyle w:val="39"/>
              <w:rPr>
                <w:rFonts w:ascii="Times New Roman" w:hAnsi="Times New Roman"/>
              </w:rPr>
            </w:pPr>
            <w:r>
              <w:rPr>
                <w:rFonts w:ascii="Times New Roman" w:hAnsi="Times New Roman"/>
              </w:rPr>
              <w:t>94.31</w:t>
            </w:r>
          </w:p>
        </w:tc>
        <w:tc>
          <w:tcPr>
            <w:tcW w:w="1705" w:type="dxa"/>
            <w:vAlign w:val="center"/>
          </w:tcPr>
          <w:p>
            <w:pPr>
              <w:pStyle w:val="39"/>
              <w:rPr>
                <w:rFonts w:ascii="Times New Roman" w:hAnsi="Times New Roman"/>
              </w:rPr>
            </w:pPr>
            <w:r>
              <w:rPr>
                <w:rFonts w:ascii="Times New Roman" w:hAnsi="Times New Roman"/>
              </w:rPr>
              <w:t>0</w:t>
            </w:r>
          </w:p>
        </w:tc>
        <w:tc>
          <w:tcPr>
            <w:tcW w:w="1705" w:type="dxa"/>
            <w:vAlign w:val="center"/>
          </w:tcPr>
          <w:p>
            <w:pPr>
              <w:pStyle w:val="39"/>
              <w:rPr>
                <w:rFonts w:ascii="Times New Roman" w:hAnsi="Times New Roman"/>
              </w:rPr>
            </w:pPr>
            <w:r>
              <w:rPr>
                <w:rFonts w:ascii="Times New Roman" w:hAnsi="Times New Roman"/>
              </w:rPr>
              <w:t>6.07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bottom"/>
          </w:tcPr>
          <w:p>
            <w:pPr>
              <w:pStyle w:val="39"/>
              <w:rPr>
                <w:rFonts w:ascii="Times New Roman" w:hAnsi="Times New Roman"/>
              </w:rPr>
            </w:pPr>
            <w:r>
              <w:rPr>
                <w:rFonts w:ascii="Times New Roman" w:hAnsi="Times New Roman"/>
                <w:sz w:val="22"/>
                <w:szCs w:val="22"/>
              </w:rPr>
              <w:t>芒萁、芒草、里白草丛</w:t>
            </w:r>
          </w:p>
        </w:tc>
        <w:tc>
          <w:tcPr>
            <w:tcW w:w="1704" w:type="dxa"/>
            <w:vAlign w:val="center"/>
          </w:tcPr>
          <w:p>
            <w:pPr>
              <w:pStyle w:val="39"/>
              <w:rPr>
                <w:rFonts w:ascii="Times New Roman" w:hAnsi="Times New Roman"/>
              </w:rPr>
            </w:pPr>
            <w:r>
              <w:rPr>
                <w:rFonts w:ascii="Times New Roman" w:hAnsi="Times New Roman"/>
              </w:rPr>
              <w:t>/</w:t>
            </w:r>
          </w:p>
        </w:tc>
        <w:tc>
          <w:tcPr>
            <w:tcW w:w="1704" w:type="dxa"/>
            <w:vAlign w:val="center"/>
          </w:tcPr>
          <w:p>
            <w:pPr>
              <w:pStyle w:val="39"/>
              <w:rPr>
                <w:rFonts w:ascii="Times New Roman" w:hAnsi="Times New Roman"/>
              </w:rPr>
            </w:pPr>
            <w:r>
              <w:rPr>
                <w:rFonts w:ascii="Times New Roman" w:hAnsi="Times New Roman"/>
              </w:rPr>
              <w:t>5.04</w:t>
            </w:r>
          </w:p>
        </w:tc>
        <w:tc>
          <w:tcPr>
            <w:tcW w:w="1705" w:type="dxa"/>
            <w:vAlign w:val="center"/>
          </w:tcPr>
          <w:p>
            <w:pPr>
              <w:pStyle w:val="39"/>
              <w:rPr>
                <w:rFonts w:ascii="Times New Roman" w:hAnsi="Times New Roman"/>
              </w:rPr>
            </w:pPr>
            <w:r>
              <w:rPr>
                <w:rFonts w:ascii="Times New Roman" w:hAnsi="Times New Roman"/>
              </w:rPr>
              <w:t>0</w:t>
            </w:r>
          </w:p>
        </w:tc>
        <w:tc>
          <w:tcPr>
            <w:tcW w:w="1705" w:type="dxa"/>
            <w:vAlign w:val="center"/>
          </w:tcPr>
          <w:p>
            <w:pPr>
              <w:pStyle w:val="39"/>
              <w:rPr>
                <w:rFonts w:ascii="Times New Roman" w:hAnsi="Times New Roman"/>
              </w:rPr>
            </w:pPr>
            <w:r>
              <w:rPr>
                <w:rFonts w:ascii="Times New Roman" w:hAnsi="Times New Roma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bottom"/>
          </w:tcPr>
          <w:p>
            <w:pPr>
              <w:pStyle w:val="39"/>
              <w:rPr>
                <w:rFonts w:ascii="Times New Roman" w:hAnsi="Times New Roman"/>
                <w:sz w:val="22"/>
                <w:szCs w:val="22"/>
              </w:rPr>
            </w:pPr>
            <w:r>
              <w:rPr>
                <w:rFonts w:ascii="Times New Roman" w:hAnsi="Times New Roman"/>
                <w:sz w:val="22"/>
                <w:szCs w:val="22"/>
              </w:rPr>
              <w:t>合计</w:t>
            </w:r>
          </w:p>
        </w:tc>
        <w:tc>
          <w:tcPr>
            <w:tcW w:w="1704" w:type="dxa"/>
            <w:vAlign w:val="center"/>
          </w:tcPr>
          <w:p>
            <w:pPr>
              <w:pStyle w:val="39"/>
              <w:rPr>
                <w:rFonts w:ascii="Times New Roman" w:hAnsi="Times New Roman"/>
              </w:rPr>
            </w:pPr>
            <w:r>
              <w:rPr>
                <w:rFonts w:ascii="Times New Roman" w:hAnsi="Times New Roman"/>
              </w:rPr>
              <w:t>/</w:t>
            </w:r>
          </w:p>
        </w:tc>
        <w:tc>
          <w:tcPr>
            <w:tcW w:w="1704" w:type="dxa"/>
            <w:vAlign w:val="center"/>
          </w:tcPr>
          <w:p>
            <w:pPr>
              <w:pStyle w:val="39"/>
              <w:rPr>
                <w:rFonts w:ascii="Times New Roman" w:hAnsi="Times New Roman"/>
              </w:rPr>
            </w:pPr>
            <w:r>
              <w:rPr>
                <w:rFonts w:ascii="Times New Roman" w:hAnsi="Times New Roman"/>
              </w:rPr>
              <w:t>/</w:t>
            </w:r>
          </w:p>
        </w:tc>
        <w:tc>
          <w:tcPr>
            <w:tcW w:w="1705" w:type="dxa"/>
            <w:vAlign w:val="bottom"/>
          </w:tcPr>
          <w:p>
            <w:pPr>
              <w:pStyle w:val="39"/>
              <w:rPr>
                <w:rFonts w:ascii="Times New Roman" w:hAnsi="Times New Roman"/>
              </w:rPr>
            </w:pPr>
            <w:r>
              <w:rPr>
                <w:rFonts w:ascii="Times New Roman" w:hAnsi="Times New Roman"/>
                <w:sz w:val="22"/>
                <w:szCs w:val="22"/>
              </w:rPr>
              <w:t>480.87</w:t>
            </w:r>
          </w:p>
        </w:tc>
        <w:tc>
          <w:tcPr>
            <w:tcW w:w="1705" w:type="dxa"/>
            <w:vAlign w:val="bottom"/>
          </w:tcPr>
          <w:p>
            <w:pPr>
              <w:pStyle w:val="39"/>
              <w:rPr>
                <w:rFonts w:ascii="Times New Roman" w:hAnsi="Times New Roman"/>
              </w:rPr>
            </w:pPr>
            <w:r>
              <w:rPr>
                <w:rFonts w:ascii="Times New Roman" w:hAnsi="Times New Roman"/>
                <w:sz w:val="22"/>
                <w:szCs w:val="22"/>
              </w:rPr>
              <w:t>256.19</w:t>
            </w:r>
          </w:p>
        </w:tc>
      </w:tr>
    </w:tbl>
    <w:p>
      <w:pPr>
        <w:pStyle w:val="5"/>
        <w:rPr>
          <w:rFonts w:ascii="Times New Roman" w:hAnsi="Times New Roman"/>
        </w:rPr>
      </w:pPr>
      <w:r>
        <w:rPr>
          <w:rFonts w:ascii="Times New Roman" w:hAnsi="Times New Roman"/>
        </w:rPr>
        <w:t>生产力</w:t>
      </w:r>
    </w:p>
    <w:p>
      <w:pPr>
        <w:ind w:firstLine="480"/>
        <w:rPr>
          <w:rFonts w:ascii="Times New Roman" w:hAnsi="Times New Roman"/>
        </w:rPr>
      </w:pPr>
      <w:r>
        <w:rPr>
          <w:rFonts w:ascii="Times New Roman" w:hAnsi="Times New Roman"/>
        </w:rPr>
        <w:t>根据评价范围内各种植被类型的面积，以及各植被类型的净生产力(t/a.hm</w:t>
      </w:r>
      <w:r>
        <w:rPr>
          <w:rFonts w:ascii="Times New Roman" w:hAnsi="Times New Roman"/>
          <w:vertAlign w:val="superscript"/>
        </w:rPr>
        <w:t>2</w:t>
      </w:r>
      <w:r>
        <w:rPr>
          <w:rFonts w:ascii="Times New Roman" w:hAnsi="Times New Roman"/>
        </w:rPr>
        <w:t>)，（Whittaker，Likens，1975），计算得到评价范围生态系统的年生产力及其总和。评价范围每年产生的生物生产力约为2745.93（t/a）（干重）。</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30</w:t>
      </w:r>
      <w:r>
        <w:rPr>
          <w:rFonts w:ascii="Times New Roman" w:hAnsi="Times New Roman" w:cs="Times New Roman"/>
        </w:rPr>
        <w:fldChar w:fldCharType="end"/>
      </w:r>
      <w:r>
        <w:rPr>
          <w:rFonts w:ascii="Times New Roman" w:hAnsi="Times New Roman" w:cs="Times New Roman"/>
        </w:rPr>
        <w:t>评价范围植被自然生产力</w:t>
      </w:r>
    </w:p>
    <w:tbl>
      <w:tblPr>
        <w:tblStyle w:val="28"/>
        <w:tblW w:w="7880" w:type="dxa"/>
        <w:tblInd w:w="93" w:type="dxa"/>
        <w:tblLayout w:type="autofit"/>
        <w:tblCellMar>
          <w:top w:w="0" w:type="dxa"/>
          <w:left w:w="108" w:type="dxa"/>
          <w:bottom w:w="0" w:type="dxa"/>
          <w:right w:w="108" w:type="dxa"/>
        </w:tblCellMar>
      </w:tblPr>
      <w:tblGrid>
        <w:gridCol w:w="1433"/>
        <w:gridCol w:w="1843"/>
        <w:gridCol w:w="1704"/>
        <w:gridCol w:w="1640"/>
        <w:gridCol w:w="1260"/>
      </w:tblGrid>
      <w:tr>
        <w:tblPrEx>
          <w:tblCellMar>
            <w:top w:w="0" w:type="dxa"/>
            <w:left w:w="108" w:type="dxa"/>
            <w:bottom w:w="0" w:type="dxa"/>
            <w:right w:w="108" w:type="dxa"/>
          </w:tblCellMar>
        </w:tblPrEx>
        <w:trPr>
          <w:trHeight w:val="288" w:hRule="atLeast"/>
        </w:trPr>
        <w:tc>
          <w:tcPr>
            <w:tcW w:w="143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生态系统类型</w:t>
            </w:r>
          </w:p>
        </w:tc>
        <w:tc>
          <w:tcPr>
            <w:tcW w:w="1843" w:type="dxa"/>
            <w:tcBorders>
              <w:top w:val="single" w:color="auto" w:sz="4" w:space="0"/>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面积（hm</w:t>
            </w:r>
            <w:r>
              <w:rPr>
                <w:rFonts w:ascii="Times New Roman" w:hAnsi="Times New Roman"/>
                <w:vertAlign w:val="superscript"/>
              </w:rPr>
              <w:t>2</w:t>
            </w:r>
            <w:r>
              <w:rPr>
                <w:rFonts w:ascii="Times New Roman" w:hAnsi="Times New Roman"/>
              </w:rPr>
              <w:t>）</w:t>
            </w:r>
          </w:p>
        </w:tc>
        <w:tc>
          <w:tcPr>
            <w:tcW w:w="1704" w:type="dxa"/>
            <w:tcBorders>
              <w:top w:val="single" w:color="auto" w:sz="4" w:space="0"/>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净生产力（t/a.hm</w:t>
            </w:r>
            <w:r>
              <w:rPr>
                <w:rFonts w:ascii="Times New Roman" w:hAnsi="Times New Roman"/>
                <w:vertAlign w:val="superscript"/>
              </w:rPr>
              <w:t>2</w:t>
            </w:r>
            <w:r>
              <w:rPr>
                <w:rFonts w:ascii="Times New Roman" w:hAnsi="Times New Roman"/>
              </w:rPr>
              <w:t>）</w:t>
            </w:r>
          </w:p>
        </w:tc>
        <w:tc>
          <w:tcPr>
            <w:tcW w:w="1640" w:type="dxa"/>
            <w:tcBorders>
              <w:top w:val="single" w:color="auto" w:sz="4" w:space="0"/>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植被生产力（t/a）</w:t>
            </w:r>
          </w:p>
        </w:tc>
        <w:tc>
          <w:tcPr>
            <w:tcW w:w="1260" w:type="dxa"/>
            <w:tcBorders>
              <w:top w:val="single" w:color="auto" w:sz="4" w:space="0"/>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比例（%）</w:t>
            </w:r>
          </w:p>
        </w:tc>
      </w:tr>
      <w:tr>
        <w:tblPrEx>
          <w:tblCellMar>
            <w:top w:w="0" w:type="dxa"/>
            <w:left w:w="108" w:type="dxa"/>
            <w:bottom w:w="0" w:type="dxa"/>
            <w:right w:w="108" w:type="dxa"/>
          </w:tblCellMar>
        </w:tblPrEx>
        <w:trPr>
          <w:trHeight w:val="288" w:hRule="atLeast"/>
        </w:trPr>
        <w:tc>
          <w:tcPr>
            <w:tcW w:w="143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阔叶林</w:t>
            </w:r>
          </w:p>
        </w:tc>
        <w:tc>
          <w:tcPr>
            <w:tcW w:w="1843"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9.45</w:t>
            </w:r>
          </w:p>
        </w:tc>
        <w:tc>
          <w:tcPr>
            <w:tcW w:w="1704"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2.76</w:t>
            </w:r>
          </w:p>
        </w:tc>
        <w:tc>
          <w:tcPr>
            <w:tcW w:w="164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26.08</w:t>
            </w:r>
          </w:p>
        </w:tc>
        <w:tc>
          <w:tcPr>
            <w:tcW w:w="12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0.95</w:t>
            </w:r>
          </w:p>
        </w:tc>
      </w:tr>
      <w:tr>
        <w:tblPrEx>
          <w:tblCellMar>
            <w:top w:w="0" w:type="dxa"/>
            <w:left w:w="108" w:type="dxa"/>
            <w:bottom w:w="0" w:type="dxa"/>
            <w:right w:w="108" w:type="dxa"/>
          </w:tblCellMar>
        </w:tblPrEx>
        <w:trPr>
          <w:trHeight w:val="288" w:hRule="atLeast"/>
        </w:trPr>
        <w:tc>
          <w:tcPr>
            <w:tcW w:w="143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针叶林</w:t>
            </w:r>
          </w:p>
        </w:tc>
        <w:tc>
          <w:tcPr>
            <w:tcW w:w="1843"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621.51</w:t>
            </w:r>
          </w:p>
        </w:tc>
        <w:tc>
          <w:tcPr>
            <w:tcW w:w="1704"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2.39</w:t>
            </w:r>
          </w:p>
        </w:tc>
        <w:tc>
          <w:tcPr>
            <w:tcW w:w="164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1485.41</w:t>
            </w:r>
          </w:p>
        </w:tc>
        <w:tc>
          <w:tcPr>
            <w:tcW w:w="12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54.09</w:t>
            </w:r>
          </w:p>
        </w:tc>
      </w:tr>
      <w:tr>
        <w:tblPrEx>
          <w:tblCellMar>
            <w:top w:w="0" w:type="dxa"/>
            <w:left w:w="108" w:type="dxa"/>
            <w:bottom w:w="0" w:type="dxa"/>
            <w:right w:w="108" w:type="dxa"/>
          </w:tblCellMar>
        </w:tblPrEx>
        <w:trPr>
          <w:trHeight w:val="288" w:hRule="atLeast"/>
        </w:trPr>
        <w:tc>
          <w:tcPr>
            <w:tcW w:w="143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阔叶灌丛</w:t>
            </w:r>
          </w:p>
        </w:tc>
        <w:tc>
          <w:tcPr>
            <w:tcW w:w="1843"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60.86</w:t>
            </w:r>
          </w:p>
        </w:tc>
        <w:tc>
          <w:tcPr>
            <w:tcW w:w="1704"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1.82</w:t>
            </w:r>
          </w:p>
        </w:tc>
        <w:tc>
          <w:tcPr>
            <w:tcW w:w="164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110.77</w:t>
            </w:r>
          </w:p>
        </w:tc>
        <w:tc>
          <w:tcPr>
            <w:tcW w:w="12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4.03</w:t>
            </w:r>
          </w:p>
        </w:tc>
      </w:tr>
      <w:tr>
        <w:tblPrEx>
          <w:tblCellMar>
            <w:top w:w="0" w:type="dxa"/>
            <w:left w:w="108" w:type="dxa"/>
            <w:bottom w:w="0" w:type="dxa"/>
            <w:right w:w="108" w:type="dxa"/>
          </w:tblCellMar>
        </w:tblPrEx>
        <w:trPr>
          <w:trHeight w:val="288" w:hRule="atLeast"/>
        </w:trPr>
        <w:tc>
          <w:tcPr>
            <w:tcW w:w="143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草丛</w:t>
            </w:r>
          </w:p>
        </w:tc>
        <w:tc>
          <w:tcPr>
            <w:tcW w:w="1843"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12.53</w:t>
            </w:r>
          </w:p>
        </w:tc>
        <w:tc>
          <w:tcPr>
            <w:tcW w:w="1704"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1.54</w:t>
            </w:r>
          </w:p>
        </w:tc>
        <w:tc>
          <w:tcPr>
            <w:tcW w:w="164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19.30</w:t>
            </w:r>
          </w:p>
        </w:tc>
        <w:tc>
          <w:tcPr>
            <w:tcW w:w="12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0.70</w:t>
            </w:r>
          </w:p>
        </w:tc>
      </w:tr>
      <w:tr>
        <w:tblPrEx>
          <w:tblCellMar>
            <w:top w:w="0" w:type="dxa"/>
            <w:left w:w="108" w:type="dxa"/>
            <w:bottom w:w="0" w:type="dxa"/>
            <w:right w:w="108" w:type="dxa"/>
          </w:tblCellMar>
        </w:tblPrEx>
        <w:trPr>
          <w:trHeight w:val="288" w:hRule="atLeast"/>
        </w:trPr>
        <w:tc>
          <w:tcPr>
            <w:tcW w:w="143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湖泊</w:t>
            </w:r>
          </w:p>
        </w:tc>
        <w:tc>
          <w:tcPr>
            <w:tcW w:w="1843"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3.4</w:t>
            </w:r>
          </w:p>
        </w:tc>
        <w:tc>
          <w:tcPr>
            <w:tcW w:w="1704"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0.75</w:t>
            </w:r>
          </w:p>
        </w:tc>
        <w:tc>
          <w:tcPr>
            <w:tcW w:w="164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2.55</w:t>
            </w:r>
          </w:p>
        </w:tc>
        <w:tc>
          <w:tcPr>
            <w:tcW w:w="12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0.09</w:t>
            </w:r>
          </w:p>
        </w:tc>
      </w:tr>
      <w:tr>
        <w:tblPrEx>
          <w:tblCellMar>
            <w:top w:w="0" w:type="dxa"/>
            <w:left w:w="108" w:type="dxa"/>
            <w:bottom w:w="0" w:type="dxa"/>
            <w:right w:w="108" w:type="dxa"/>
          </w:tblCellMar>
        </w:tblPrEx>
        <w:trPr>
          <w:trHeight w:val="288" w:hRule="atLeast"/>
        </w:trPr>
        <w:tc>
          <w:tcPr>
            <w:tcW w:w="143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河流</w:t>
            </w:r>
          </w:p>
        </w:tc>
        <w:tc>
          <w:tcPr>
            <w:tcW w:w="1843"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2.79</w:t>
            </w:r>
          </w:p>
        </w:tc>
        <w:tc>
          <w:tcPr>
            <w:tcW w:w="1704"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0.75</w:t>
            </w:r>
          </w:p>
        </w:tc>
        <w:tc>
          <w:tcPr>
            <w:tcW w:w="164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2.09</w:t>
            </w:r>
          </w:p>
        </w:tc>
        <w:tc>
          <w:tcPr>
            <w:tcW w:w="12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0.08</w:t>
            </w:r>
          </w:p>
        </w:tc>
      </w:tr>
      <w:tr>
        <w:tblPrEx>
          <w:tblCellMar>
            <w:top w:w="0" w:type="dxa"/>
            <w:left w:w="108" w:type="dxa"/>
            <w:bottom w:w="0" w:type="dxa"/>
            <w:right w:w="108" w:type="dxa"/>
          </w:tblCellMar>
        </w:tblPrEx>
        <w:trPr>
          <w:trHeight w:val="288" w:hRule="atLeast"/>
        </w:trPr>
        <w:tc>
          <w:tcPr>
            <w:tcW w:w="143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耕地</w:t>
            </w:r>
          </w:p>
        </w:tc>
        <w:tc>
          <w:tcPr>
            <w:tcW w:w="1843"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183.29</w:t>
            </w:r>
          </w:p>
        </w:tc>
        <w:tc>
          <w:tcPr>
            <w:tcW w:w="1704"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6</w:t>
            </w:r>
          </w:p>
        </w:tc>
        <w:tc>
          <w:tcPr>
            <w:tcW w:w="164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1099.74</w:t>
            </w:r>
          </w:p>
        </w:tc>
        <w:tc>
          <w:tcPr>
            <w:tcW w:w="12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40.05</w:t>
            </w:r>
          </w:p>
        </w:tc>
      </w:tr>
      <w:tr>
        <w:tblPrEx>
          <w:tblCellMar>
            <w:top w:w="0" w:type="dxa"/>
            <w:left w:w="108" w:type="dxa"/>
            <w:bottom w:w="0" w:type="dxa"/>
            <w:right w:w="108" w:type="dxa"/>
          </w:tblCellMar>
        </w:tblPrEx>
        <w:trPr>
          <w:trHeight w:val="288" w:hRule="atLeast"/>
        </w:trPr>
        <w:tc>
          <w:tcPr>
            <w:tcW w:w="143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居住地</w:t>
            </w:r>
          </w:p>
        </w:tc>
        <w:tc>
          <w:tcPr>
            <w:tcW w:w="1843"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18.47</w:t>
            </w:r>
          </w:p>
        </w:tc>
        <w:tc>
          <w:tcPr>
            <w:tcW w:w="1704"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164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12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88" w:hRule="atLeast"/>
        </w:trPr>
        <w:tc>
          <w:tcPr>
            <w:tcW w:w="143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工矿交通</w:t>
            </w:r>
          </w:p>
        </w:tc>
        <w:tc>
          <w:tcPr>
            <w:tcW w:w="1843"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16.81</w:t>
            </w:r>
          </w:p>
        </w:tc>
        <w:tc>
          <w:tcPr>
            <w:tcW w:w="1704"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164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12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88" w:hRule="atLeast"/>
        </w:trPr>
        <w:tc>
          <w:tcPr>
            <w:tcW w:w="143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合计</w:t>
            </w:r>
          </w:p>
        </w:tc>
        <w:tc>
          <w:tcPr>
            <w:tcW w:w="1843"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929.1</w:t>
            </w:r>
          </w:p>
        </w:tc>
        <w:tc>
          <w:tcPr>
            <w:tcW w:w="1704"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164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2745.93</w:t>
            </w:r>
          </w:p>
        </w:tc>
        <w:tc>
          <w:tcPr>
            <w:tcW w:w="126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100</w:t>
            </w:r>
          </w:p>
        </w:tc>
      </w:tr>
    </w:tbl>
    <w:p>
      <w:pPr>
        <w:pStyle w:val="5"/>
        <w:rPr>
          <w:rFonts w:ascii="Times New Roman" w:hAnsi="Times New Roman"/>
        </w:rPr>
      </w:pPr>
      <w:r>
        <w:rPr>
          <w:rFonts w:ascii="Times New Roman" w:hAnsi="Times New Roman"/>
        </w:rPr>
        <w:t>植物多样性</w:t>
      </w:r>
    </w:p>
    <w:p>
      <w:pPr>
        <w:ind w:firstLine="480"/>
        <w:rPr>
          <w:rFonts w:ascii="Times New Roman" w:hAnsi="Times New Roman" w:eastAsiaTheme="minorEastAsia"/>
        </w:rPr>
      </w:pPr>
      <w:r>
        <w:rPr>
          <w:rFonts w:ascii="Times New Roman" w:hAnsi="Times New Roman" w:eastAsiaTheme="minorEastAsia"/>
        </w:rPr>
        <w:t>物种多样性作为度量群落结构、功能和环境资源的重要数量指标，受多种因素的影响，土壤条件、水分状况、纬度梯度、海拔梯度以及不同演替阶段等综合环境条件变化对群落物种多样性都会产生影响。本次评价对各个样地的生物多样性分乔木层、灌木层、草本层进行定量描述，计算结果见下</w:t>
      </w:r>
      <w:r>
        <w:rPr>
          <w:rFonts w:ascii="Times New Roman" w:hAnsi="Times New Roman" w:eastAsiaTheme="minorEastAsia"/>
        </w:rPr>
        <w:fldChar w:fldCharType="begin"/>
      </w:r>
      <w:r>
        <w:rPr>
          <w:rFonts w:ascii="Times New Roman" w:hAnsi="Times New Roman" w:eastAsiaTheme="minorEastAsia"/>
        </w:rPr>
        <w:instrText xml:space="preserve"> REF _Ref162019313 \h  \* MERGEFORMAT </w:instrText>
      </w:r>
      <w:r>
        <w:rPr>
          <w:rFonts w:ascii="Times New Roman" w:hAnsi="Times New Roman" w:eastAsiaTheme="minorEastAsia"/>
        </w:rPr>
        <w:fldChar w:fldCharType="separate"/>
      </w:r>
      <w:r>
        <w:rPr>
          <w:rFonts w:ascii="Times New Roman" w:hAnsi="Times New Roman"/>
        </w:rPr>
        <w:t>表 5</w:t>
      </w:r>
      <w:r>
        <w:rPr>
          <w:rFonts w:ascii="Times New Roman" w:hAnsi="Times New Roman"/>
        </w:rPr>
        <w:noBreakHyphen/>
      </w:r>
      <w:r>
        <w:rPr>
          <w:rFonts w:ascii="Times New Roman" w:hAnsi="Times New Roman"/>
        </w:rPr>
        <w:t>31</w:t>
      </w:r>
      <w:r>
        <w:rPr>
          <w:rFonts w:ascii="Times New Roman" w:hAnsi="Times New Roman" w:eastAsiaTheme="minorEastAsia"/>
        </w:rPr>
        <w:fldChar w:fldCharType="end"/>
      </w:r>
      <w:r>
        <w:rPr>
          <w:rFonts w:ascii="Times New Roman" w:hAnsi="Times New Roman" w:eastAsiaTheme="minorEastAsia"/>
        </w:rPr>
        <w:t>。</w:t>
      </w:r>
    </w:p>
    <w:p>
      <w:pPr>
        <w:pStyle w:val="37"/>
        <w:spacing w:line="240" w:lineRule="auto"/>
        <w:rPr>
          <w:rFonts w:ascii="Times New Roman" w:hAnsi="Times New Roman" w:cs="Times New Roman"/>
        </w:rPr>
      </w:pPr>
      <w:bookmarkStart w:id="169" w:name="_Ref16201931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31</w:t>
      </w:r>
      <w:r>
        <w:rPr>
          <w:rFonts w:ascii="Times New Roman" w:hAnsi="Times New Roman" w:cs="Times New Roman"/>
        </w:rPr>
        <w:fldChar w:fldCharType="end"/>
      </w:r>
      <w:bookmarkEnd w:id="169"/>
      <w:r>
        <w:rPr>
          <w:rFonts w:ascii="Times New Roman" w:hAnsi="Times New Roman" w:cs="Times New Roman"/>
        </w:rPr>
        <w:t>评价区植物群落物种丰富度和物种多样性</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2693"/>
        <w:gridCol w:w="2126"/>
        <w:gridCol w:w="2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ind w:firstLine="0" w:firstLineChars="0"/>
              <w:jc w:val="center"/>
              <w:rPr>
                <w:rFonts w:ascii="Times New Roman" w:hAnsi="Times New Roman" w:eastAsiaTheme="minorEastAsia"/>
                <w:sz w:val="21"/>
                <w:szCs w:val="21"/>
              </w:rPr>
            </w:pPr>
            <w:r>
              <w:rPr>
                <w:rFonts w:ascii="Times New Roman" w:hAnsi="Times New Roman" w:eastAsiaTheme="minorEastAsia"/>
                <w:sz w:val="21"/>
                <w:szCs w:val="21"/>
              </w:rPr>
              <w:t>类型</w:t>
            </w:r>
          </w:p>
        </w:tc>
        <w:tc>
          <w:tcPr>
            <w:tcW w:w="2693" w:type="dxa"/>
            <w:vAlign w:val="center"/>
          </w:tcPr>
          <w:p>
            <w:pPr>
              <w:ind w:firstLine="0" w:firstLineChars="0"/>
              <w:jc w:val="center"/>
              <w:rPr>
                <w:rFonts w:ascii="Times New Roman" w:hAnsi="Times New Roman" w:eastAsiaTheme="minorEastAsia"/>
                <w:sz w:val="21"/>
                <w:szCs w:val="21"/>
              </w:rPr>
            </w:pPr>
            <w:r>
              <w:rPr>
                <w:rFonts w:ascii="Times New Roman" w:hAnsi="Times New Roman" w:eastAsiaTheme="minorEastAsia"/>
                <w:sz w:val="21"/>
                <w:szCs w:val="21"/>
              </w:rPr>
              <w:t>Shannon−Wiener 指数（H）</w:t>
            </w:r>
          </w:p>
        </w:tc>
        <w:tc>
          <w:tcPr>
            <w:tcW w:w="2126" w:type="dxa"/>
            <w:vAlign w:val="center"/>
          </w:tcPr>
          <w:p>
            <w:pPr>
              <w:ind w:firstLine="0" w:firstLineChars="0"/>
              <w:jc w:val="center"/>
              <w:rPr>
                <w:rFonts w:ascii="Times New Roman" w:hAnsi="Times New Roman" w:eastAsiaTheme="minorEastAsia"/>
                <w:sz w:val="21"/>
                <w:szCs w:val="21"/>
              </w:rPr>
            </w:pPr>
            <w:r>
              <w:rPr>
                <w:rFonts w:ascii="Times New Roman" w:hAnsi="Times New Roman" w:eastAsiaTheme="minorEastAsia"/>
                <w:sz w:val="21"/>
                <w:szCs w:val="21"/>
              </w:rPr>
              <w:t>Simpson 指数（D）</w:t>
            </w:r>
          </w:p>
        </w:tc>
        <w:tc>
          <w:tcPr>
            <w:tcW w:w="2602" w:type="dxa"/>
            <w:vAlign w:val="center"/>
          </w:tcPr>
          <w:p>
            <w:pPr>
              <w:ind w:firstLine="0" w:firstLineChars="0"/>
              <w:jc w:val="center"/>
              <w:rPr>
                <w:rFonts w:ascii="Times New Roman" w:hAnsi="Times New Roman" w:eastAsiaTheme="minorEastAsia"/>
                <w:sz w:val="21"/>
                <w:szCs w:val="21"/>
              </w:rPr>
            </w:pPr>
            <w:r>
              <w:rPr>
                <w:rFonts w:ascii="Times New Roman" w:hAnsi="Times New Roman" w:eastAsiaTheme="minorEastAsia"/>
                <w:sz w:val="21"/>
                <w:szCs w:val="21"/>
              </w:rPr>
              <w:t>Pielou 均匀度指数（J）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ind w:firstLine="0" w:firstLineChars="0"/>
              <w:jc w:val="center"/>
              <w:rPr>
                <w:rFonts w:ascii="Times New Roman" w:hAnsi="Times New Roman" w:eastAsiaTheme="minorEastAsia"/>
                <w:sz w:val="21"/>
                <w:szCs w:val="21"/>
              </w:rPr>
            </w:pPr>
            <w:r>
              <w:rPr>
                <w:rFonts w:ascii="Times New Roman" w:hAnsi="Times New Roman" w:eastAsiaTheme="minorEastAsia"/>
                <w:sz w:val="21"/>
                <w:szCs w:val="21"/>
              </w:rPr>
              <w:t>乔木层</w:t>
            </w:r>
          </w:p>
        </w:tc>
        <w:tc>
          <w:tcPr>
            <w:tcW w:w="2693" w:type="dxa"/>
            <w:vAlign w:val="center"/>
          </w:tcPr>
          <w:p>
            <w:pPr>
              <w:ind w:firstLine="0" w:firstLineChars="0"/>
              <w:jc w:val="center"/>
              <w:rPr>
                <w:rFonts w:ascii="Times New Roman" w:hAnsi="Times New Roman" w:eastAsiaTheme="minorEastAsia"/>
                <w:sz w:val="21"/>
                <w:szCs w:val="21"/>
              </w:rPr>
            </w:pPr>
            <w:r>
              <w:rPr>
                <w:rFonts w:ascii="Times New Roman" w:hAnsi="Times New Roman" w:eastAsiaTheme="minorEastAsia"/>
                <w:sz w:val="21"/>
                <w:szCs w:val="21"/>
              </w:rPr>
              <w:t>2.37</w:t>
            </w:r>
          </w:p>
        </w:tc>
        <w:tc>
          <w:tcPr>
            <w:tcW w:w="2126" w:type="dxa"/>
            <w:vAlign w:val="center"/>
          </w:tcPr>
          <w:p>
            <w:pPr>
              <w:ind w:firstLine="0" w:firstLineChars="0"/>
              <w:jc w:val="center"/>
              <w:rPr>
                <w:rFonts w:ascii="Times New Roman" w:hAnsi="Times New Roman" w:eastAsiaTheme="minorEastAsia"/>
                <w:sz w:val="21"/>
                <w:szCs w:val="21"/>
              </w:rPr>
            </w:pPr>
            <w:r>
              <w:rPr>
                <w:rFonts w:ascii="Times New Roman" w:hAnsi="Times New Roman"/>
                <w:sz w:val="22"/>
                <w:szCs w:val="22"/>
              </w:rPr>
              <w:t>0.92</w:t>
            </w:r>
          </w:p>
        </w:tc>
        <w:tc>
          <w:tcPr>
            <w:tcW w:w="2602" w:type="dxa"/>
            <w:vAlign w:val="center"/>
          </w:tcPr>
          <w:p>
            <w:pPr>
              <w:ind w:firstLine="0" w:firstLineChars="0"/>
              <w:jc w:val="center"/>
              <w:rPr>
                <w:rFonts w:ascii="Times New Roman" w:hAnsi="Times New Roman" w:eastAsiaTheme="minorEastAsia"/>
                <w:sz w:val="21"/>
                <w:szCs w:val="21"/>
              </w:rPr>
            </w:pPr>
            <w:r>
              <w:rPr>
                <w:rFonts w:ascii="Times New Roman" w:hAnsi="Times New Roman"/>
                <w:sz w:val="22"/>
                <w:szCs w:val="22"/>
              </w:rPr>
              <w:t xml:space="preserve">0.89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ind w:firstLine="0" w:firstLineChars="0"/>
              <w:jc w:val="center"/>
              <w:rPr>
                <w:rFonts w:ascii="Times New Roman" w:hAnsi="Times New Roman" w:eastAsiaTheme="minorEastAsia"/>
                <w:sz w:val="21"/>
                <w:szCs w:val="21"/>
              </w:rPr>
            </w:pPr>
            <w:r>
              <w:rPr>
                <w:rFonts w:ascii="Times New Roman" w:hAnsi="Times New Roman" w:eastAsiaTheme="minorEastAsia"/>
                <w:sz w:val="21"/>
                <w:szCs w:val="21"/>
              </w:rPr>
              <w:t>灌木层</w:t>
            </w:r>
          </w:p>
        </w:tc>
        <w:tc>
          <w:tcPr>
            <w:tcW w:w="2693" w:type="dxa"/>
            <w:vAlign w:val="center"/>
          </w:tcPr>
          <w:p>
            <w:pPr>
              <w:ind w:firstLine="0" w:firstLineChars="0"/>
              <w:jc w:val="center"/>
              <w:rPr>
                <w:rFonts w:ascii="Times New Roman" w:hAnsi="Times New Roman" w:eastAsiaTheme="minorEastAsia"/>
                <w:sz w:val="21"/>
                <w:szCs w:val="21"/>
              </w:rPr>
            </w:pPr>
            <w:r>
              <w:rPr>
                <w:rFonts w:ascii="Times New Roman" w:hAnsi="Times New Roman" w:eastAsiaTheme="minorEastAsia"/>
                <w:sz w:val="21"/>
                <w:szCs w:val="21"/>
              </w:rPr>
              <w:t>2.81</w:t>
            </w:r>
          </w:p>
        </w:tc>
        <w:tc>
          <w:tcPr>
            <w:tcW w:w="2126" w:type="dxa"/>
            <w:vAlign w:val="center"/>
          </w:tcPr>
          <w:p>
            <w:pPr>
              <w:ind w:firstLine="0" w:firstLineChars="0"/>
              <w:jc w:val="center"/>
              <w:rPr>
                <w:rFonts w:ascii="Times New Roman" w:hAnsi="Times New Roman" w:eastAsiaTheme="minorEastAsia"/>
                <w:sz w:val="21"/>
                <w:szCs w:val="21"/>
              </w:rPr>
            </w:pPr>
            <w:r>
              <w:rPr>
                <w:rFonts w:ascii="Times New Roman" w:hAnsi="Times New Roman"/>
                <w:sz w:val="22"/>
                <w:szCs w:val="22"/>
              </w:rPr>
              <w:t>0.92</w:t>
            </w:r>
          </w:p>
        </w:tc>
        <w:tc>
          <w:tcPr>
            <w:tcW w:w="2602" w:type="dxa"/>
            <w:vAlign w:val="center"/>
          </w:tcPr>
          <w:p>
            <w:pPr>
              <w:ind w:firstLine="0" w:firstLineChars="0"/>
              <w:jc w:val="center"/>
              <w:rPr>
                <w:rFonts w:ascii="Times New Roman" w:hAnsi="Times New Roman" w:eastAsiaTheme="minorEastAsia"/>
                <w:sz w:val="21"/>
                <w:szCs w:val="21"/>
              </w:rPr>
            </w:pPr>
            <w:r>
              <w:rPr>
                <w:rFonts w:ascii="Times New Roman" w:hAnsi="Times New Roman"/>
                <w:sz w:val="22"/>
                <w:szCs w:val="22"/>
              </w:rPr>
              <w:t xml:space="preserve">0.92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ind w:firstLine="0" w:firstLineChars="0"/>
              <w:jc w:val="center"/>
              <w:rPr>
                <w:rFonts w:ascii="Times New Roman" w:hAnsi="Times New Roman" w:eastAsiaTheme="minorEastAsia"/>
                <w:sz w:val="21"/>
                <w:szCs w:val="21"/>
              </w:rPr>
            </w:pPr>
            <w:r>
              <w:rPr>
                <w:rFonts w:ascii="Times New Roman" w:hAnsi="Times New Roman" w:eastAsiaTheme="minorEastAsia"/>
                <w:sz w:val="21"/>
                <w:szCs w:val="21"/>
              </w:rPr>
              <w:t>草本层</w:t>
            </w:r>
          </w:p>
        </w:tc>
        <w:tc>
          <w:tcPr>
            <w:tcW w:w="2693" w:type="dxa"/>
            <w:vAlign w:val="center"/>
          </w:tcPr>
          <w:p>
            <w:pPr>
              <w:ind w:firstLine="0" w:firstLineChars="0"/>
              <w:jc w:val="center"/>
              <w:rPr>
                <w:rFonts w:ascii="Times New Roman" w:hAnsi="Times New Roman" w:eastAsiaTheme="minorEastAsia"/>
                <w:sz w:val="21"/>
                <w:szCs w:val="21"/>
              </w:rPr>
            </w:pPr>
            <w:r>
              <w:rPr>
                <w:rFonts w:ascii="Times New Roman" w:hAnsi="Times New Roman" w:eastAsiaTheme="minorEastAsia"/>
                <w:sz w:val="21"/>
                <w:szCs w:val="21"/>
              </w:rPr>
              <w:t>3.21</w:t>
            </w:r>
          </w:p>
        </w:tc>
        <w:tc>
          <w:tcPr>
            <w:tcW w:w="2126" w:type="dxa"/>
            <w:vAlign w:val="center"/>
          </w:tcPr>
          <w:p>
            <w:pPr>
              <w:ind w:firstLine="0" w:firstLineChars="0"/>
              <w:jc w:val="center"/>
              <w:rPr>
                <w:rFonts w:ascii="Times New Roman" w:hAnsi="Times New Roman" w:eastAsiaTheme="minorEastAsia"/>
                <w:sz w:val="21"/>
                <w:szCs w:val="21"/>
              </w:rPr>
            </w:pPr>
            <w:r>
              <w:rPr>
                <w:rFonts w:ascii="Times New Roman" w:hAnsi="Times New Roman"/>
                <w:sz w:val="22"/>
                <w:szCs w:val="22"/>
              </w:rPr>
              <w:t>0.95</w:t>
            </w:r>
          </w:p>
        </w:tc>
        <w:tc>
          <w:tcPr>
            <w:tcW w:w="2602" w:type="dxa"/>
            <w:vAlign w:val="center"/>
          </w:tcPr>
          <w:p>
            <w:pPr>
              <w:ind w:firstLine="0" w:firstLineChars="0"/>
              <w:jc w:val="center"/>
              <w:rPr>
                <w:rFonts w:ascii="Times New Roman" w:hAnsi="Times New Roman" w:eastAsiaTheme="minorEastAsia"/>
                <w:sz w:val="21"/>
                <w:szCs w:val="21"/>
              </w:rPr>
            </w:pPr>
            <w:r>
              <w:rPr>
                <w:rFonts w:ascii="Times New Roman" w:hAnsi="Times New Roman"/>
                <w:sz w:val="22"/>
                <w:szCs w:val="22"/>
              </w:rPr>
              <w:t xml:space="preserve">0.95 </w:t>
            </w:r>
          </w:p>
        </w:tc>
      </w:tr>
    </w:tbl>
    <w:p>
      <w:pPr>
        <w:ind w:firstLine="480"/>
        <w:rPr>
          <w:rFonts w:ascii="Times New Roman" w:hAnsi="Times New Roman" w:eastAsiaTheme="minorEastAsia"/>
        </w:rPr>
      </w:pPr>
    </w:p>
    <w:p>
      <w:pPr>
        <w:ind w:firstLine="480"/>
        <w:rPr>
          <w:rFonts w:ascii="Times New Roman" w:hAnsi="Times New Roman" w:eastAsiaTheme="minorEastAsia"/>
        </w:rPr>
      </w:pPr>
      <w:r>
        <w:rPr>
          <w:rFonts w:ascii="Times New Roman" w:hAnsi="Times New Roman" w:eastAsiaTheme="minorEastAsia"/>
        </w:rPr>
        <w:t>根据上表可以看出，乔灌草不同层片的物种多样性指数差别较大，乔木层、灌木层、草本层各层的物种数分别为2.37、2.81、3.21，乔木层和灌木层的物种数接近整个样地物种总数的54%左右。Shannon</w:t>
      </w:r>
      <w:r>
        <w:rPr>
          <w:rFonts w:ascii="Times New Roman" w:hAnsi="Times New Roman" w:eastAsia="MS Gothic"/>
        </w:rPr>
        <w:t>−</w:t>
      </w:r>
      <w:r>
        <w:rPr>
          <w:rFonts w:ascii="Times New Roman" w:hAnsi="Times New Roman" w:eastAsiaTheme="minorEastAsia"/>
        </w:rPr>
        <w:t>Wiener 指数（H）表现为草本层＞灌木层＞乔木层，Simpson 指数（D）表现为草本层＞灌木层＞乔木层，Pielou 均匀度指数（J）、Margalef 丰富度指数（M）表现为草本层＞灌木层＞乔木。由此可看出，群落物种多样性在很大程度上取决于草本。总体表现为草本层＞灌木层＞乔木。</w:t>
      </w:r>
    </w:p>
    <w:p>
      <w:pPr>
        <w:pStyle w:val="5"/>
        <w:rPr>
          <w:rFonts w:ascii="Times New Roman" w:hAnsi="Times New Roman"/>
        </w:rPr>
      </w:pPr>
      <w:r>
        <w:rPr>
          <w:rFonts w:ascii="Times New Roman" w:hAnsi="Times New Roman"/>
        </w:rPr>
        <w:t>重要野生植物</w:t>
      </w:r>
    </w:p>
    <w:p>
      <w:pPr>
        <w:ind w:firstLine="480"/>
        <w:jc w:val="both"/>
        <w:rPr>
          <w:rFonts w:ascii="Times New Roman" w:hAnsi="Times New Roman"/>
        </w:rPr>
        <w:sectPr>
          <w:pgSz w:w="11906" w:h="16838"/>
          <w:pgMar w:top="1440" w:right="1800" w:bottom="1440" w:left="1800" w:header="851" w:footer="992" w:gutter="0"/>
          <w:cols w:space="425" w:num="1"/>
          <w:docGrid w:type="lines" w:linePitch="312" w:charSpace="0"/>
        </w:sectPr>
      </w:pPr>
      <w:r>
        <w:rPr>
          <w:rFonts w:ascii="Times New Roman" w:hAnsi="Times New Roman"/>
        </w:rPr>
        <w:t>根据现场调查和文献资料，本项目调查范围内分布有《中国生物多样性红色名录》中特有种，即马尾松（</w:t>
      </w:r>
      <w:r>
        <w:rPr>
          <w:rFonts w:ascii="Times New Roman" w:hAnsi="Times New Roman"/>
          <w:i/>
        </w:rPr>
        <w:t>Pinus massoniana</w:t>
      </w:r>
      <w:r>
        <w:rPr>
          <w:rFonts w:ascii="Times New Roman" w:hAnsi="Times New Roman"/>
        </w:rPr>
        <w:t>）、柏木（</w:t>
      </w:r>
      <w:r>
        <w:rPr>
          <w:rFonts w:ascii="Times New Roman" w:hAnsi="Times New Roman"/>
          <w:i/>
        </w:rPr>
        <w:t>Cupressus funebris</w:t>
      </w:r>
      <w:r>
        <w:rPr>
          <w:rFonts w:ascii="Times New Roman" w:hAnsi="Times New Roman"/>
        </w:rPr>
        <w:t>）贯众（</w:t>
      </w:r>
      <w:r>
        <w:rPr>
          <w:rFonts w:ascii="Times New Roman" w:hAnsi="Times New Roman"/>
          <w:i/>
        </w:rPr>
        <w:t>Cyrtomium fortunei</w:t>
      </w:r>
      <w:r>
        <w:rPr>
          <w:rFonts w:ascii="Times New Roman" w:hAnsi="Times New Roman"/>
        </w:rPr>
        <w:t>）、直角荚蒾（</w:t>
      </w:r>
      <w:r>
        <w:rPr>
          <w:rFonts w:ascii="Times New Roman" w:hAnsi="Times New Roman"/>
          <w:i/>
        </w:rPr>
        <w:t>Viburnum foetidum var. rectangulatum</w:t>
      </w:r>
      <w:r>
        <w:rPr>
          <w:rFonts w:ascii="Times New Roman" w:hAnsi="Times New Roman"/>
        </w:rPr>
        <w:t>）、火棘（</w:t>
      </w:r>
      <w:r>
        <w:rPr>
          <w:rFonts w:ascii="Times New Roman" w:hAnsi="Times New Roman"/>
          <w:i/>
        </w:rPr>
        <w:t>Pyracantha fortuneana</w:t>
      </w:r>
      <w:r>
        <w:rPr>
          <w:rFonts w:ascii="Times New Roman" w:hAnsi="Times New Roman"/>
        </w:rPr>
        <w:t>）、乌泡子（</w:t>
      </w:r>
      <w:r>
        <w:rPr>
          <w:rFonts w:ascii="Times New Roman" w:hAnsi="Times New Roman"/>
          <w:i/>
        </w:rPr>
        <w:t>Rubus parkeri Hance</w:t>
      </w:r>
      <w:r>
        <w:rPr>
          <w:rFonts w:ascii="Times New Roman" w:hAnsi="Times New Roman"/>
        </w:rPr>
        <w:t>）、节节草（</w:t>
      </w:r>
      <w:r>
        <w:rPr>
          <w:rFonts w:ascii="Times New Roman" w:hAnsi="Times New Roman"/>
          <w:i/>
        </w:rPr>
        <w:t>Commelina diffusa</w:t>
      </w:r>
      <w:r>
        <w:rPr>
          <w:rFonts w:ascii="Times New Roman" w:hAnsi="Times New Roman"/>
        </w:rPr>
        <w:t>）等19种，均为无危等级。评价范围内特有种统计见</w:t>
      </w:r>
      <w:r>
        <w:rPr>
          <w:rFonts w:ascii="Times New Roman" w:hAnsi="Times New Roman"/>
        </w:rPr>
        <w:fldChar w:fldCharType="begin"/>
      </w:r>
      <w:r>
        <w:rPr>
          <w:rFonts w:ascii="Times New Roman" w:hAnsi="Times New Roman"/>
        </w:rPr>
        <w:instrText xml:space="preserve"> REF _Ref162015054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32</w:t>
      </w:r>
      <w:r>
        <w:rPr>
          <w:rFonts w:ascii="Times New Roman" w:hAnsi="Times New Roman"/>
        </w:rPr>
        <w:fldChar w:fldCharType="end"/>
      </w:r>
      <w:r>
        <w:rPr>
          <w:rFonts w:ascii="Times New Roman" w:hAnsi="Times New Roman"/>
        </w:rPr>
        <w:t>，重要物种适宜生境分布见附图25。</w:t>
      </w:r>
    </w:p>
    <w:p>
      <w:pPr>
        <w:pStyle w:val="37"/>
        <w:spacing w:line="240" w:lineRule="auto"/>
        <w:rPr>
          <w:rFonts w:ascii="Times New Roman" w:hAnsi="Times New Roman" w:cs="Times New Roman"/>
        </w:rPr>
      </w:pPr>
      <w:bookmarkStart w:id="170" w:name="_Ref162015054"/>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32</w:t>
      </w:r>
      <w:r>
        <w:rPr>
          <w:rFonts w:ascii="Times New Roman" w:hAnsi="Times New Roman" w:cs="Times New Roman"/>
        </w:rPr>
        <w:fldChar w:fldCharType="end"/>
      </w:r>
      <w:bookmarkEnd w:id="170"/>
      <w:r>
        <w:rPr>
          <w:rFonts w:ascii="Times New Roman" w:hAnsi="Times New Roman" w:cs="Times New Roman"/>
        </w:rPr>
        <w:t>评价范围内特有种统计表</w:t>
      </w:r>
    </w:p>
    <w:tbl>
      <w:tblPr>
        <w:tblStyle w:val="28"/>
        <w:tblW w:w="5062" w:type="pct"/>
        <w:tblInd w:w="-176" w:type="dxa"/>
        <w:tblLayout w:type="fixed"/>
        <w:tblCellMar>
          <w:top w:w="0" w:type="dxa"/>
          <w:left w:w="108" w:type="dxa"/>
          <w:bottom w:w="0" w:type="dxa"/>
          <w:right w:w="108" w:type="dxa"/>
        </w:tblCellMar>
      </w:tblPr>
      <w:tblGrid>
        <w:gridCol w:w="724"/>
        <w:gridCol w:w="1407"/>
        <w:gridCol w:w="3967"/>
        <w:gridCol w:w="1134"/>
        <w:gridCol w:w="1134"/>
        <w:gridCol w:w="1134"/>
        <w:gridCol w:w="2267"/>
        <w:gridCol w:w="1134"/>
        <w:gridCol w:w="1449"/>
      </w:tblGrid>
      <w:tr>
        <w:tblPrEx>
          <w:tblCellMar>
            <w:top w:w="0" w:type="dxa"/>
            <w:left w:w="108" w:type="dxa"/>
            <w:bottom w:w="0" w:type="dxa"/>
            <w:right w:w="108" w:type="dxa"/>
          </w:tblCellMar>
        </w:tblPrEx>
        <w:trPr>
          <w:trHeight w:val="288" w:hRule="atLeast"/>
        </w:trPr>
        <w:tc>
          <w:tcPr>
            <w:tcW w:w="25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序号</w:t>
            </w:r>
          </w:p>
        </w:tc>
        <w:tc>
          <w:tcPr>
            <w:tcW w:w="490"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物种名称</w:t>
            </w:r>
          </w:p>
        </w:tc>
        <w:tc>
          <w:tcPr>
            <w:tcW w:w="1382"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学名</w:t>
            </w:r>
          </w:p>
        </w:tc>
        <w:tc>
          <w:tcPr>
            <w:tcW w:w="39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濒危等级</w:t>
            </w:r>
          </w:p>
        </w:tc>
        <w:tc>
          <w:tcPr>
            <w:tcW w:w="39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特有种（是/否）</w:t>
            </w:r>
          </w:p>
        </w:tc>
        <w:tc>
          <w:tcPr>
            <w:tcW w:w="39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极小种群野生植物(是/否)</w:t>
            </w:r>
          </w:p>
        </w:tc>
        <w:tc>
          <w:tcPr>
            <w:tcW w:w="790"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分布区域</w:t>
            </w:r>
          </w:p>
        </w:tc>
        <w:tc>
          <w:tcPr>
            <w:tcW w:w="39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资料来源</w:t>
            </w:r>
          </w:p>
        </w:tc>
        <w:tc>
          <w:tcPr>
            <w:tcW w:w="50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工程占用情况(是/否)</w:t>
            </w:r>
          </w:p>
        </w:tc>
      </w:tr>
      <w:tr>
        <w:tblPrEx>
          <w:tblCellMar>
            <w:top w:w="0" w:type="dxa"/>
            <w:left w:w="108" w:type="dxa"/>
            <w:bottom w:w="0" w:type="dxa"/>
            <w:right w:w="108" w:type="dxa"/>
          </w:tblCellMar>
        </w:tblPrEx>
        <w:trPr>
          <w:trHeight w:val="288"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w:t>
            </w:r>
          </w:p>
        </w:tc>
        <w:tc>
          <w:tcPr>
            <w:tcW w:w="49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马尾松</w:t>
            </w:r>
          </w:p>
        </w:tc>
        <w:tc>
          <w:tcPr>
            <w:tcW w:w="138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i/>
                <w:kern w:val="0"/>
                <w:sz w:val="21"/>
                <w:szCs w:val="21"/>
              </w:rPr>
            </w:pPr>
            <w:r>
              <w:rPr>
                <w:rFonts w:ascii="Times New Roman" w:hAnsi="Times New Roman"/>
                <w:i/>
                <w:kern w:val="0"/>
                <w:sz w:val="21"/>
                <w:szCs w:val="21"/>
              </w:rPr>
              <w:t>Pinus massoniana</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评价区片状生布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调查</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r>
      <w:tr>
        <w:tblPrEx>
          <w:tblCellMar>
            <w:top w:w="0" w:type="dxa"/>
            <w:left w:w="108" w:type="dxa"/>
            <w:bottom w:w="0" w:type="dxa"/>
            <w:right w:w="108" w:type="dxa"/>
          </w:tblCellMar>
        </w:tblPrEx>
        <w:trPr>
          <w:trHeight w:val="341"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2</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柏木</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iCs/>
                <w:kern w:val="0"/>
                <w:sz w:val="21"/>
                <w:szCs w:val="21"/>
              </w:rPr>
            </w:pPr>
            <w:r>
              <w:rPr>
                <w:rFonts w:ascii="Times New Roman" w:hAnsi="Times New Roman"/>
                <w:i/>
                <w:iCs/>
                <w:kern w:val="0"/>
                <w:sz w:val="21"/>
                <w:szCs w:val="21"/>
              </w:rPr>
              <w:t>Cupressus funebris</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评价区片状生布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调查</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r>
      <w:tr>
        <w:tblPrEx>
          <w:tblCellMar>
            <w:top w:w="0" w:type="dxa"/>
            <w:left w:w="108" w:type="dxa"/>
            <w:bottom w:w="0" w:type="dxa"/>
            <w:right w:w="108" w:type="dxa"/>
          </w:tblCellMar>
        </w:tblPrEx>
        <w:trPr>
          <w:trHeight w:val="275"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3</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贯众</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iCs/>
                <w:kern w:val="0"/>
                <w:sz w:val="21"/>
                <w:szCs w:val="21"/>
              </w:rPr>
            </w:pPr>
            <w:r>
              <w:rPr>
                <w:rFonts w:ascii="Times New Roman" w:hAnsi="Times New Roman"/>
                <w:i/>
                <w:iCs/>
                <w:kern w:val="0"/>
                <w:sz w:val="21"/>
                <w:szCs w:val="21"/>
              </w:rPr>
              <w:t>Cyrtomium fortunei</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评价区散生分布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调查</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r>
      <w:tr>
        <w:tblPrEx>
          <w:tblCellMar>
            <w:top w:w="0" w:type="dxa"/>
            <w:left w:w="108" w:type="dxa"/>
            <w:bottom w:w="0" w:type="dxa"/>
            <w:right w:w="108" w:type="dxa"/>
          </w:tblCellMar>
        </w:tblPrEx>
        <w:trPr>
          <w:trHeight w:val="288"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4</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直角荚蒾</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kern w:val="0"/>
                <w:sz w:val="21"/>
                <w:szCs w:val="21"/>
              </w:rPr>
            </w:pPr>
            <w:r>
              <w:rPr>
                <w:rFonts w:ascii="Times New Roman" w:hAnsi="Times New Roman"/>
                <w:i/>
                <w:kern w:val="0"/>
                <w:sz w:val="21"/>
                <w:szCs w:val="21"/>
              </w:rPr>
              <w:t>Viburnum foetidumvar.rectangulatum</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评价区散生分布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调查</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r>
      <w:tr>
        <w:tblPrEx>
          <w:tblCellMar>
            <w:top w:w="0" w:type="dxa"/>
            <w:left w:w="108" w:type="dxa"/>
            <w:bottom w:w="0" w:type="dxa"/>
            <w:right w:w="108" w:type="dxa"/>
          </w:tblCellMar>
        </w:tblPrEx>
        <w:trPr>
          <w:trHeight w:val="171"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5</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火棘</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kern w:val="0"/>
                <w:sz w:val="21"/>
                <w:szCs w:val="21"/>
              </w:rPr>
            </w:pPr>
            <w:r>
              <w:rPr>
                <w:rFonts w:ascii="Times New Roman" w:hAnsi="Times New Roman"/>
                <w:i/>
                <w:kern w:val="0"/>
                <w:sz w:val="21"/>
                <w:szCs w:val="21"/>
              </w:rPr>
              <w:t>Pyracantha fortuneana</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评价区散生分布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调查</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r>
      <w:tr>
        <w:tblPrEx>
          <w:tblCellMar>
            <w:top w:w="0" w:type="dxa"/>
            <w:left w:w="108" w:type="dxa"/>
            <w:bottom w:w="0" w:type="dxa"/>
            <w:right w:w="108" w:type="dxa"/>
          </w:tblCellMar>
        </w:tblPrEx>
        <w:trPr>
          <w:trHeight w:val="288"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6</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乌泡子</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iCs/>
                <w:kern w:val="0"/>
                <w:sz w:val="21"/>
                <w:szCs w:val="21"/>
              </w:rPr>
            </w:pPr>
            <w:r>
              <w:rPr>
                <w:rFonts w:ascii="Times New Roman" w:hAnsi="Times New Roman"/>
                <w:i/>
                <w:iCs/>
                <w:kern w:val="0"/>
                <w:sz w:val="21"/>
                <w:szCs w:val="21"/>
              </w:rPr>
              <w:t xml:space="preserve">Rubus parkeri </w:t>
            </w:r>
            <w:r>
              <w:rPr>
                <w:rFonts w:ascii="Times New Roman" w:hAnsi="Times New Roman"/>
                <w:i/>
                <w:kern w:val="0"/>
                <w:sz w:val="21"/>
                <w:szCs w:val="21"/>
              </w:rPr>
              <w:t>Hance.</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评价区散生分布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调查</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r>
      <w:tr>
        <w:tblPrEx>
          <w:tblCellMar>
            <w:top w:w="0" w:type="dxa"/>
            <w:left w:w="108" w:type="dxa"/>
            <w:bottom w:w="0" w:type="dxa"/>
            <w:right w:w="108" w:type="dxa"/>
          </w:tblCellMar>
        </w:tblPrEx>
        <w:trPr>
          <w:trHeight w:val="288"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7</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节节草</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kern w:val="0"/>
                <w:sz w:val="21"/>
                <w:szCs w:val="21"/>
              </w:rPr>
            </w:pPr>
            <w:r>
              <w:rPr>
                <w:rFonts w:ascii="Times New Roman" w:hAnsi="Times New Roman"/>
                <w:i/>
                <w:kern w:val="0"/>
                <w:sz w:val="21"/>
                <w:szCs w:val="21"/>
              </w:rPr>
              <w:t>Commelina diffusa</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评价区散生分布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调查</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r>
      <w:tr>
        <w:tblPrEx>
          <w:tblCellMar>
            <w:top w:w="0" w:type="dxa"/>
            <w:left w:w="108" w:type="dxa"/>
            <w:bottom w:w="0" w:type="dxa"/>
            <w:right w:w="108" w:type="dxa"/>
          </w:tblCellMar>
        </w:tblPrEx>
        <w:trPr>
          <w:trHeight w:val="441"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8</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桤木</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kern w:val="0"/>
                <w:sz w:val="21"/>
                <w:szCs w:val="21"/>
              </w:rPr>
            </w:pPr>
            <w:r>
              <w:rPr>
                <w:rFonts w:ascii="Times New Roman" w:hAnsi="Times New Roman"/>
                <w:i/>
                <w:kern w:val="0"/>
                <w:sz w:val="21"/>
                <w:szCs w:val="21"/>
              </w:rPr>
              <w:t>Alnus cremastogyne</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在柏木林、竹林林缘分布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调查</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r>
      <w:tr>
        <w:tblPrEx>
          <w:tblCellMar>
            <w:top w:w="0" w:type="dxa"/>
            <w:left w:w="108" w:type="dxa"/>
            <w:bottom w:w="0" w:type="dxa"/>
            <w:right w:w="108" w:type="dxa"/>
          </w:tblCellMar>
        </w:tblPrEx>
        <w:trPr>
          <w:trHeight w:val="288"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9</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格药柃</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kern w:val="0"/>
                <w:sz w:val="21"/>
                <w:szCs w:val="21"/>
              </w:rPr>
            </w:pPr>
            <w:r>
              <w:rPr>
                <w:rFonts w:ascii="Times New Roman" w:hAnsi="Times New Roman"/>
                <w:i/>
                <w:kern w:val="0"/>
                <w:sz w:val="21"/>
                <w:szCs w:val="21"/>
              </w:rPr>
              <w:t>Eurya muricata</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评价区散生分布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调查</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r>
      <w:tr>
        <w:tblPrEx>
          <w:tblCellMar>
            <w:top w:w="0" w:type="dxa"/>
            <w:left w:w="108" w:type="dxa"/>
            <w:bottom w:w="0" w:type="dxa"/>
            <w:right w:w="108" w:type="dxa"/>
          </w:tblCellMar>
        </w:tblPrEx>
        <w:trPr>
          <w:trHeight w:val="288"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10</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川莓</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kern w:val="0"/>
                <w:sz w:val="21"/>
                <w:szCs w:val="21"/>
              </w:rPr>
            </w:pPr>
            <w:r>
              <w:rPr>
                <w:rFonts w:ascii="Times New Roman" w:hAnsi="Times New Roman"/>
                <w:i/>
                <w:kern w:val="0"/>
                <w:sz w:val="21"/>
                <w:szCs w:val="21"/>
              </w:rPr>
              <w:t>Rubus setchuenensis</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评价区林缘散生分布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调查</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r>
      <w:tr>
        <w:tblPrEx>
          <w:tblCellMar>
            <w:top w:w="0" w:type="dxa"/>
            <w:left w:w="108" w:type="dxa"/>
            <w:bottom w:w="0" w:type="dxa"/>
            <w:right w:w="108" w:type="dxa"/>
          </w:tblCellMar>
        </w:tblPrEx>
        <w:trPr>
          <w:trHeight w:val="288"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11</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过路黄</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kern w:val="0"/>
                <w:sz w:val="21"/>
                <w:szCs w:val="21"/>
              </w:rPr>
            </w:pPr>
            <w:r>
              <w:rPr>
                <w:rFonts w:ascii="Times New Roman" w:hAnsi="Times New Roman"/>
                <w:i/>
                <w:kern w:val="0"/>
                <w:sz w:val="21"/>
                <w:szCs w:val="21"/>
              </w:rPr>
              <w:t>Lysimachia christiniae</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评价区散生分布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调查</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r>
      <w:tr>
        <w:tblPrEx>
          <w:tblCellMar>
            <w:top w:w="0" w:type="dxa"/>
            <w:left w:w="108" w:type="dxa"/>
            <w:bottom w:w="0" w:type="dxa"/>
            <w:right w:w="108" w:type="dxa"/>
          </w:tblCellMar>
        </w:tblPrEx>
        <w:trPr>
          <w:trHeight w:val="288"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12</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藤黄檀</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kern w:val="0"/>
                <w:sz w:val="21"/>
                <w:szCs w:val="21"/>
              </w:rPr>
            </w:pPr>
            <w:r>
              <w:rPr>
                <w:rFonts w:ascii="Times New Roman" w:hAnsi="Times New Roman"/>
                <w:i/>
                <w:kern w:val="0"/>
                <w:sz w:val="21"/>
                <w:szCs w:val="21"/>
              </w:rPr>
              <w:t>Dalbergia hancei</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评价区散生分布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调查</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r>
      <w:tr>
        <w:tblPrEx>
          <w:tblCellMar>
            <w:top w:w="0" w:type="dxa"/>
            <w:left w:w="108" w:type="dxa"/>
            <w:bottom w:w="0" w:type="dxa"/>
            <w:right w:w="108" w:type="dxa"/>
          </w:tblCellMar>
        </w:tblPrEx>
        <w:trPr>
          <w:trHeight w:val="288"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13</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细叶满江红</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kern w:val="0"/>
                <w:sz w:val="21"/>
                <w:szCs w:val="21"/>
              </w:rPr>
            </w:pPr>
            <w:r>
              <w:rPr>
                <w:rFonts w:ascii="Times New Roman" w:hAnsi="Times New Roman"/>
                <w:i/>
                <w:kern w:val="0"/>
                <w:sz w:val="21"/>
                <w:szCs w:val="21"/>
              </w:rPr>
              <w:t>Azolla filiculoides Lam</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评价区散生分布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文献资料</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r>
      <w:tr>
        <w:tblPrEx>
          <w:tblCellMar>
            <w:top w:w="0" w:type="dxa"/>
            <w:left w:w="108" w:type="dxa"/>
            <w:bottom w:w="0" w:type="dxa"/>
            <w:right w:w="108" w:type="dxa"/>
          </w:tblCellMar>
        </w:tblPrEx>
        <w:trPr>
          <w:trHeight w:val="288"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14</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川鄂连蕊茶</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kern w:val="0"/>
                <w:sz w:val="21"/>
                <w:szCs w:val="21"/>
              </w:rPr>
            </w:pPr>
            <w:r>
              <w:rPr>
                <w:rFonts w:ascii="Times New Roman" w:hAnsi="Times New Roman"/>
                <w:i/>
                <w:kern w:val="0"/>
                <w:sz w:val="21"/>
                <w:szCs w:val="21"/>
              </w:rPr>
              <w:t>Camellia rosthorniana H. T. Chang et Xu</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评价区散生分布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文献资料</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r>
      <w:tr>
        <w:tblPrEx>
          <w:tblCellMar>
            <w:top w:w="0" w:type="dxa"/>
            <w:left w:w="108" w:type="dxa"/>
            <w:bottom w:w="0" w:type="dxa"/>
            <w:right w:w="108" w:type="dxa"/>
          </w:tblCellMar>
        </w:tblPrEx>
        <w:trPr>
          <w:trHeight w:val="288"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15</w:t>
            </w:r>
          </w:p>
        </w:tc>
        <w:tc>
          <w:tcPr>
            <w:tcW w:w="49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密花荚蒾</w:t>
            </w:r>
          </w:p>
        </w:tc>
        <w:tc>
          <w:tcPr>
            <w:tcW w:w="138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i/>
                <w:kern w:val="0"/>
                <w:sz w:val="21"/>
                <w:szCs w:val="21"/>
              </w:rPr>
            </w:pPr>
            <w:r>
              <w:rPr>
                <w:rFonts w:ascii="Times New Roman" w:hAnsi="Times New Roman"/>
                <w:i/>
                <w:kern w:val="0"/>
                <w:sz w:val="21"/>
                <w:szCs w:val="21"/>
              </w:rPr>
              <w:t>Viburnum congestum Rehd.</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评价区散生分布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文献资料</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r>
      <w:tr>
        <w:tblPrEx>
          <w:tblCellMar>
            <w:top w:w="0" w:type="dxa"/>
            <w:left w:w="108" w:type="dxa"/>
            <w:bottom w:w="0" w:type="dxa"/>
            <w:right w:w="108" w:type="dxa"/>
          </w:tblCellMar>
        </w:tblPrEx>
        <w:trPr>
          <w:trHeight w:val="288"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16</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香叶子</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kern w:val="0"/>
                <w:sz w:val="21"/>
                <w:szCs w:val="21"/>
              </w:rPr>
            </w:pPr>
            <w:r>
              <w:rPr>
                <w:rFonts w:ascii="Times New Roman" w:hAnsi="Times New Roman"/>
                <w:i/>
                <w:kern w:val="0"/>
                <w:sz w:val="21"/>
                <w:szCs w:val="21"/>
              </w:rPr>
              <w:t>Lindera fragrans</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评价区散生分布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文献资料</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r>
      <w:tr>
        <w:tblPrEx>
          <w:tblCellMar>
            <w:top w:w="0" w:type="dxa"/>
            <w:left w:w="108" w:type="dxa"/>
            <w:bottom w:w="0" w:type="dxa"/>
            <w:right w:w="108" w:type="dxa"/>
          </w:tblCellMar>
        </w:tblPrEx>
        <w:trPr>
          <w:trHeight w:val="288"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17</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大红泡</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kern w:val="0"/>
                <w:sz w:val="21"/>
                <w:szCs w:val="21"/>
              </w:rPr>
            </w:pPr>
            <w:r>
              <w:rPr>
                <w:rFonts w:ascii="Times New Roman" w:hAnsi="Times New Roman"/>
                <w:i/>
                <w:kern w:val="0"/>
                <w:sz w:val="21"/>
                <w:szCs w:val="21"/>
              </w:rPr>
              <w:t>Rubus eustephanos</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评价区林缘散生分布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文献资料</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r>
      <w:tr>
        <w:tblPrEx>
          <w:tblCellMar>
            <w:top w:w="0" w:type="dxa"/>
            <w:left w:w="108" w:type="dxa"/>
            <w:bottom w:w="0" w:type="dxa"/>
            <w:right w:w="108" w:type="dxa"/>
          </w:tblCellMar>
        </w:tblPrEx>
        <w:trPr>
          <w:trHeight w:val="288"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18</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钝叶蔷薇</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kern w:val="0"/>
                <w:sz w:val="21"/>
                <w:szCs w:val="21"/>
              </w:rPr>
            </w:pPr>
            <w:r>
              <w:rPr>
                <w:rFonts w:ascii="Times New Roman" w:hAnsi="Times New Roman"/>
                <w:i/>
                <w:kern w:val="0"/>
                <w:sz w:val="21"/>
                <w:szCs w:val="21"/>
              </w:rPr>
              <w:t>Rosa sertata</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评价区零星分布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文献资料</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r>
      <w:tr>
        <w:tblPrEx>
          <w:tblCellMar>
            <w:top w:w="0" w:type="dxa"/>
            <w:left w:w="108" w:type="dxa"/>
            <w:bottom w:w="0" w:type="dxa"/>
            <w:right w:w="108" w:type="dxa"/>
          </w:tblCellMar>
        </w:tblPrEx>
        <w:trPr>
          <w:trHeight w:val="288"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19</w:t>
            </w:r>
          </w:p>
        </w:tc>
        <w:tc>
          <w:tcPr>
            <w:tcW w:w="4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中华绣线菊</w:t>
            </w:r>
          </w:p>
        </w:tc>
        <w:tc>
          <w:tcPr>
            <w:tcW w:w="138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i/>
                <w:kern w:val="0"/>
                <w:sz w:val="21"/>
                <w:szCs w:val="21"/>
              </w:rPr>
            </w:pPr>
            <w:r>
              <w:rPr>
                <w:rFonts w:ascii="Times New Roman" w:hAnsi="Times New Roman"/>
                <w:i/>
                <w:kern w:val="0"/>
                <w:sz w:val="21"/>
                <w:szCs w:val="21"/>
              </w:rPr>
              <w:t>Spiraea chinensis</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LC</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是</w:t>
            </w:r>
          </w:p>
        </w:tc>
        <w:tc>
          <w:tcPr>
            <w:tcW w:w="39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c>
          <w:tcPr>
            <w:tcW w:w="79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评价区散生分布</w:t>
            </w:r>
          </w:p>
        </w:tc>
        <w:tc>
          <w:tcPr>
            <w:tcW w:w="39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文献资料</w:t>
            </w:r>
          </w:p>
        </w:tc>
        <w:tc>
          <w:tcPr>
            <w:tcW w:w="50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否</w:t>
            </w:r>
          </w:p>
        </w:tc>
      </w:tr>
    </w:tbl>
    <w:p>
      <w:pPr>
        <w:ind w:firstLine="480"/>
        <w:jc w:val="both"/>
        <w:rPr>
          <w:rFonts w:ascii="Times New Roman" w:hAnsi="Times New Roman"/>
        </w:rPr>
        <w:sectPr>
          <w:pgSz w:w="16838" w:h="11906" w:orient="landscape"/>
          <w:pgMar w:top="1800" w:right="1440" w:bottom="1800" w:left="1440" w:header="851" w:footer="992" w:gutter="0"/>
          <w:cols w:space="425" w:num="1"/>
          <w:docGrid w:type="lines" w:linePitch="326" w:charSpace="0"/>
        </w:sectPr>
      </w:pPr>
    </w:p>
    <w:p>
      <w:pPr>
        <w:pStyle w:val="5"/>
        <w:rPr>
          <w:rFonts w:ascii="Times New Roman" w:hAnsi="Times New Roman"/>
        </w:rPr>
      </w:pPr>
      <w:r>
        <w:rPr>
          <w:rFonts w:ascii="Times New Roman" w:hAnsi="Times New Roman"/>
        </w:rPr>
        <w:t>古树名木</w:t>
      </w:r>
    </w:p>
    <w:p>
      <w:pPr>
        <w:ind w:firstLine="480"/>
        <w:rPr>
          <w:rFonts w:ascii="Times New Roman" w:hAnsi="Times New Roman"/>
        </w:rPr>
      </w:pPr>
      <w:r>
        <w:rPr>
          <w:rFonts w:ascii="Times New Roman" w:hAnsi="Times New Roman"/>
        </w:rPr>
        <w:t>经与宣汉县林业保护管理中心调查核实，本项目宣探集气支线途径五道口村时，在管道东侧约133m有一棵树龄为208年的柏树；宣探集气干线途径铁尖村时，管道东侧约125m，有一棵树龄为318年的柏树。具体信息统计见</w:t>
      </w:r>
      <w:r>
        <w:rPr>
          <w:rFonts w:ascii="Times New Roman" w:hAnsi="Times New Roman"/>
        </w:rPr>
        <w:fldChar w:fldCharType="begin"/>
      </w:r>
      <w:r>
        <w:rPr>
          <w:rFonts w:ascii="Times New Roman" w:hAnsi="Times New Roman"/>
        </w:rPr>
        <w:instrText xml:space="preserve"> REF _Ref162081619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33</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71" w:name="_Ref16208161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33</w:t>
      </w:r>
      <w:r>
        <w:rPr>
          <w:rFonts w:ascii="Times New Roman" w:hAnsi="Times New Roman" w:cs="Times New Roman"/>
        </w:rPr>
        <w:fldChar w:fldCharType="end"/>
      </w:r>
      <w:bookmarkEnd w:id="171"/>
      <w:r>
        <w:rPr>
          <w:rFonts w:ascii="Times New Roman" w:hAnsi="Times New Roman" w:cs="Times New Roman"/>
        </w:rPr>
        <w:t>本项目周边古树调查统计表</w:t>
      </w:r>
    </w:p>
    <w:tbl>
      <w:tblPr>
        <w:tblStyle w:val="28"/>
        <w:tblW w:w="58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7"/>
        <w:gridCol w:w="1366"/>
        <w:gridCol w:w="771"/>
        <w:gridCol w:w="663"/>
        <w:gridCol w:w="1321"/>
        <w:gridCol w:w="801"/>
        <w:gridCol w:w="958"/>
        <w:gridCol w:w="958"/>
        <w:gridCol w:w="942"/>
        <w:gridCol w:w="9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1" w:type="pct"/>
            <w:vAlign w:val="center"/>
          </w:tcPr>
          <w:p>
            <w:pPr>
              <w:pStyle w:val="39"/>
              <w:rPr>
                <w:rFonts w:ascii="Times New Roman" w:hAnsi="Times New Roman"/>
              </w:rPr>
            </w:pPr>
            <w:r>
              <w:rPr>
                <w:rFonts w:ascii="Times New Roman" w:hAnsi="Times New Roman"/>
              </w:rPr>
              <w:t>树种</w:t>
            </w:r>
          </w:p>
        </w:tc>
        <w:tc>
          <w:tcPr>
            <w:tcW w:w="680" w:type="pct"/>
            <w:vAlign w:val="center"/>
          </w:tcPr>
          <w:p>
            <w:pPr>
              <w:pStyle w:val="39"/>
              <w:rPr>
                <w:rFonts w:ascii="Times New Roman" w:hAnsi="Times New Roman"/>
              </w:rPr>
            </w:pPr>
            <w:r>
              <w:rPr>
                <w:rFonts w:ascii="Times New Roman" w:hAnsi="Times New Roman"/>
              </w:rPr>
              <w:t>编号</w:t>
            </w:r>
          </w:p>
        </w:tc>
        <w:tc>
          <w:tcPr>
            <w:tcW w:w="384" w:type="pct"/>
            <w:vAlign w:val="center"/>
          </w:tcPr>
          <w:p>
            <w:pPr>
              <w:pStyle w:val="39"/>
              <w:rPr>
                <w:rFonts w:ascii="Times New Roman" w:hAnsi="Times New Roman"/>
              </w:rPr>
            </w:pPr>
            <w:r>
              <w:rPr>
                <w:rFonts w:ascii="Times New Roman" w:hAnsi="Times New Roman"/>
              </w:rPr>
              <w:t>树龄</w:t>
            </w:r>
          </w:p>
        </w:tc>
        <w:tc>
          <w:tcPr>
            <w:tcW w:w="330" w:type="pct"/>
            <w:vAlign w:val="center"/>
          </w:tcPr>
          <w:p>
            <w:pPr>
              <w:pStyle w:val="39"/>
              <w:rPr>
                <w:rFonts w:ascii="Times New Roman" w:hAnsi="Times New Roman"/>
              </w:rPr>
            </w:pPr>
            <w:r>
              <w:rPr>
                <w:rFonts w:ascii="Times New Roman" w:hAnsi="Times New Roman"/>
              </w:rPr>
              <w:t>保护级别</w:t>
            </w:r>
          </w:p>
        </w:tc>
        <w:tc>
          <w:tcPr>
            <w:tcW w:w="658" w:type="pct"/>
            <w:vAlign w:val="center"/>
          </w:tcPr>
          <w:p>
            <w:pPr>
              <w:pStyle w:val="39"/>
              <w:rPr>
                <w:rFonts w:ascii="Times New Roman" w:hAnsi="Times New Roman"/>
              </w:rPr>
            </w:pPr>
            <w:r>
              <w:rPr>
                <w:rFonts w:ascii="Times New Roman" w:hAnsi="Times New Roman"/>
              </w:rPr>
              <w:t>经纬度</w:t>
            </w:r>
          </w:p>
        </w:tc>
        <w:tc>
          <w:tcPr>
            <w:tcW w:w="399" w:type="pct"/>
            <w:vAlign w:val="center"/>
          </w:tcPr>
          <w:p>
            <w:pPr>
              <w:pStyle w:val="39"/>
              <w:rPr>
                <w:rFonts w:ascii="Times New Roman" w:hAnsi="Times New Roman"/>
              </w:rPr>
            </w:pPr>
            <w:r>
              <w:rPr>
                <w:rFonts w:ascii="Times New Roman" w:hAnsi="Times New Roman"/>
              </w:rPr>
              <w:t>海拔（m）</w:t>
            </w:r>
          </w:p>
        </w:tc>
        <w:tc>
          <w:tcPr>
            <w:tcW w:w="477" w:type="pct"/>
            <w:vAlign w:val="center"/>
          </w:tcPr>
          <w:p>
            <w:pPr>
              <w:pStyle w:val="39"/>
              <w:rPr>
                <w:rFonts w:ascii="Times New Roman" w:hAnsi="Times New Roman"/>
              </w:rPr>
            </w:pPr>
            <w:r>
              <w:rPr>
                <w:rFonts w:ascii="Times New Roman" w:hAnsi="Times New Roman"/>
              </w:rPr>
              <w:t>生长状况</w:t>
            </w:r>
          </w:p>
        </w:tc>
        <w:tc>
          <w:tcPr>
            <w:tcW w:w="477" w:type="pct"/>
            <w:vAlign w:val="center"/>
          </w:tcPr>
          <w:p>
            <w:pPr>
              <w:pStyle w:val="39"/>
              <w:rPr>
                <w:rFonts w:ascii="Times New Roman" w:hAnsi="Times New Roman"/>
              </w:rPr>
            </w:pPr>
            <w:r>
              <w:rPr>
                <w:rFonts w:ascii="Times New Roman" w:hAnsi="Times New Roman"/>
              </w:rPr>
              <w:t>地理位置</w:t>
            </w:r>
          </w:p>
        </w:tc>
        <w:tc>
          <w:tcPr>
            <w:tcW w:w="469" w:type="pct"/>
            <w:vAlign w:val="center"/>
          </w:tcPr>
          <w:p>
            <w:pPr>
              <w:pStyle w:val="39"/>
              <w:rPr>
                <w:rFonts w:ascii="Times New Roman" w:hAnsi="Times New Roman"/>
              </w:rPr>
            </w:pPr>
            <w:r>
              <w:rPr>
                <w:rFonts w:ascii="Times New Roman" w:hAnsi="Times New Roman"/>
              </w:rPr>
              <w:t>工程占用情况</w:t>
            </w:r>
          </w:p>
        </w:tc>
        <w:tc>
          <w:tcPr>
            <w:tcW w:w="466" w:type="pct"/>
            <w:vAlign w:val="center"/>
          </w:tcPr>
          <w:p>
            <w:pPr>
              <w:pStyle w:val="39"/>
              <w:rPr>
                <w:rFonts w:ascii="Times New Roman" w:hAnsi="Times New Roman"/>
              </w:rPr>
            </w:pPr>
            <w:r>
              <w:rPr>
                <w:rFonts w:ascii="Times New Roman" w:hAnsi="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1" w:type="pct"/>
            <w:vAlign w:val="center"/>
          </w:tcPr>
          <w:p>
            <w:pPr>
              <w:pStyle w:val="39"/>
              <w:rPr>
                <w:rFonts w:ascii="Times New Roman" w:hAnsi="Times New Roman"/>
              </w:rPr>
            </w:pPr>
            <w:r>
              <w:rPr>
                <w:rFonts w:ascii="Times New Roman" w:hAnsi="Times New Roman"/>
              </w:rPr>
              <w:t>柏树（</w:t>
            </w:r>
            <w:r>
              <w:rPr>
                <w:rFonts w:ascii="Times New Roman" w:hAnsi="Times New Roman"/>
                <w:i/>
              </w:rPr>
              <w:t>Cupressus funebris</w:t>
            </w:r>
            <w:r>
              <w:rPr>
                <w:rFonts w:ascii="Times New Roman" w:hAnsi="Times New Roman"/>
              </w:rPr>
              <w:t>）</w:t>
            </w:r>
          </w:p>
        </w:tc>
        <w:tc>
          <w:tcPr>
            <w:tcW w:w="680" w:type="pct"/>
            <w:vAlign w:val="center"/>
          </w:tcPr>
          <w:p>
            <w:pPr>
              <w:pStyle w:val="39"/>
              <w:rPr>
                <w:rFonts w:ascii="Times New Roman" w:hAnsi="Times New Roman"/>
              </w:rPr>
            </w:pPr>
            <w:r>
              <w:rPr>
                <w:rFonts w:ascii="Times New Roman" w:hAnsi="Times New Roman"/>
              </w:rPr>
              <w:t>5117200020</w:t>
            </w:r>
          </w:p>
        </w:tc>
        <w:tc>
          <w:tcPr>
            <w:tcW w:w="384" w:type="pct"/>
            <w:vAlign w:val="center"/>
          </w:tcPr>
          <w:p>
            <w:pPr>
              <w:pStyle w:val="39"/>
              <w:rPr>
                <w:rFonts w:ascii="Times New Roman" w:hAnsi="Times New Roman"/>
              </w:rPr>
            </w:pPr>
            <w:r>
              <w:rPr>
                <w:rFonts w:ascii="Times New Roman" w:hAnsi="Times New Roman"/>
              </w:rPr>
              <w:t>208年</w:t>
            </w:r>
          </w:p>
        </w:tc>
        <w:tc>
          <w:tcPr>
            <w:tcW w:w="330" w:type="pct"/>
            <w:vAlign w:val="center"/>
          </w:tcPr>
          <w:p>
            <w:pPr>
              <w:pStyle w:val="39"/>
              <w:rPr>
                <w:rFonts w:ascii="Times New Roman" w:hAnsi="Times New Roman"/>
              </w:rPr>
            </w:pPr>
            <w:r>
              <w:rPr>
                <w:rFonts w:ascii="Times New Roman" w:hAnsi="Times New Roman"/>
              </w:rPr>
              <w:t>三级</w:t>
            </w:r>
          </w:p>
        </w:tc>
        <w:tc>
          <w:tcPr>
            <w:tcW w:w="658" w:type="pct"/>
            <w:vAlign w:val="center"/>
          </w:tcPr>
          <w:p>
            <w:pPr>
              <w:pStyle w:val="39"/>
              <w:rPr>
                <w:rFonts w:ascii="Times New Roman" w:hAnsi="Times New Roman"/>
              </w:rPr>
            </w:pPr>
            <w:r>
              <w:rPr>
                <w:rFonts w:ascii="Times New Roman" w:hAnsi="Times New Roman"/>
              </w:rPr>
              <w:t>E107.84758°</w:t>
            </w:r>
          </w:p>
          <w:p>
            <w:pPr>
              <w:pStyle w:val="39"/>
              <w:rPr>
                <w:rFonts w:ascii="Times New Roman" w:hAnsi="Times New Roman"/>
              </w:rPr>
            </w:pPr>
            <w:r>
              <w:rPr>
                <w:rFonts w:ascii="Times New Roman" w:hAnsi="Times New Roman"/>
              </w:rPr>
              <w:t>N31.44204°</w:t>
            </w:r>
          </w:p>
        </w:tc>
        <w:tc>
          <w:tcPr>
            <w:tcW w:w="399" w:type="pct"/>
            <w:vAlign w:val="center"/>
          </w:tcPr>
          <w:p>
            <w:pPr>
              <w:pStyle w:val="39"/>
              <w:rPr>
                <w:rFonts w:ascii="Times New Roman" w:hAnsi="Times New Roman"/>
              </w:rPr>
            </w:pPr>
            <w:r>
              <w:rPr>
                <w:rFonts w:ascii="Times New Roman" w:hAnsi="Times New Roman"/>
              </w:rPr>
              <w:t>617</w:t>
            </w:r>
          </w:p>
        </w:tc>
        <w:tc>
          <w:tcPr>
            <w:tcW w:w="477" w:type="pct"/>
            <w:vAlign w:val="center"/>
          </w:tcPr>
          <w:p>
            <w:pPr>
              <w:pStyle w:val="39"/>
              <w:rPr>
                <w:rFonts w:ascii="Times New Roman" w:hAnsi="Times New Roman"/>
              </w:rPr>
            </w:pPr>
            <w:r>
              <w:rPr>
                <w:rFonts w:ascii="Times New Roman" w:hAnsi="Times New Roman"/>
              </w:rPr>
              <w:t>长势优良</w:t>
            </w:r>
          </w:p>
        </w:tc>
        <w:tc>
          <w:tcPr>
            <w:tcW w:w="477" w:type="pct"/>
            <w:vAlign w:val="center"/>
          </w:tcPr>
          <w:p>
            <w:pPr>
              <w:pStyle w:val="39"/>
              <w:rPr>
                <w:rFonts w:ascii="Times New Roman" w:hAnsi="Times New Roman"/>
              </w:rPr>
            </w:pPr>
            <w:r>
              <w:rPr>
                <w:rFonts w:ascii="Times New Roman" w:hAnsi="Times New Roman"/>
              </w:rPr>
              <w:t>清溪镇五道口村</w:t>
            </w:r>
          </w:p>
        </w:tc>
        <w:tc>
          <w:tcPr>
            <w:tcW w:w="469" w:type="pct"/>
            <w:vAlign w:val="center"/>
          </w:tcPr>
          <w:p>
            <w:pPr>
              <w:pStyle w:val="39"/>
              <w:rPr>
                <w:rFonts w:ascii="Times New Roman" w:hAnsi="Times New Roman"/>
              </w:rPr>
            </w:pPr>
            <w:r>
              <w:rPr>
                <w:rFonts w:ascii="Times New Roman" w:hAnsi="Times New Roman"/>
              </w:rPr>
              <w:t>否</w:t>
            </w:r>
          </w:p>
        </w:tc>
        <w:tc>
          <w:tcPr>
            <w:tcW w:w="466" w:type="pct"/>
            <w:vAlign w:val="center"/>
          </w:tcPr>
          <w:p>
            <w:pPr>
              <w:pStyle w:val="39"/>
              <w:rPr>
                <w:rFonts w:ascii="Times New Roman" w:hAnsi="Times New Roman"/>
              </w:rPr>
            </w:pPr>
            <w:r>
              <w:rPr>
                <w:rFonts w:ascii="Times New Roman" w:hAnsi="Times New Roman"/>
              </w:rPr>
              <w:t>管道东侧约133m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1" w:type="pct"/>
            <w:vAlign w:val="center"/>
          </w:tcPr>
          <w:p>
            <w:pPr>
              <w:pStyle w:val="39"/>
              <w:rPr>
                <w:rFonts w:ascii="Times New Roman" w:hAnsi="Times New Roman"/>
              </w:rPr>
            </w:pPr>
            <w:r>
              <w:rPr>
                <w:rFonts w:ascii="Times New Roman" w:hAnsi="Times New Roman"/>
              </w:rPr>
              <w:t>柏树（</w:t>
            </w:r>
            <w:r>
              <w:rPr>
                <w:rFonts w:ascii="Times New Roman" w:hAnsi="Times New Roman"/>
                <w:i/>
              </w:rPr>
              <w:t>Cupressus funebris</w:t>
            </w:r>
            <w:r>
              <w:rPr>
                <w:rFonts w:ascii="Times New Roman" w:hAnsi="Times New Roman"/>
              </w:rPr>
              <w:t>）</w:t>
            </w:r>
          </w:p>
        </w:tc>
        <w:tc>
          <w:tcPr>
            <w:tcW w:w="680" w:type="pct"/>
            <w:vAlign w:val="center"/>
          </w:tcPr>
          <w:p>
            <w:pPr>
              <w:pStyle w:val="39"/>
              <w:rPr>
                <w:rFonts w:ascii="Times New Roman" w:hAnsi="Times New Roman"/>
              </w:rPr>
            </w:pPr>
            <w:r>
              <w:rPr>
                <w:rFonts w:ascii="Times New Roman" w:hAnsi="Times New Roman"/>
              </w:rPr>
              <w:t>51172200356</w:t>
            </w:r>
          </w:p>
        </w:tc>
        <w:tc>
          <w:tcPr>
            <w:tcW w:w="384" w:type="pct"/>
            <w:vAlign w:val="center"/>
          </w:tcPr>
          <w:p>
            <w:pPr>
              <w:pStyle w:val="39"/>
              <w:rPr>
                <w:rFonts w:ascii="Times New Roman" w:hAnsi="Times New Roman"/>
              </w:rPr>
            </w:pPr>
            <w:r>
              <w:rPr>
                <w:rFonts w:ascii="Times New Roman" w:hAnsi="Times New Roman"/>
              </w:rPr>
              <w:t>318年</w:t>
            </w:r>
          </w:p>
        </w:tc>
        <w:tc>
          <w:tcPr>
            <w:tcW w:w="330" w:type="pct"/>
            <w:vAlign w:val="center"/>
          </w:tcPr>
          <w:p>
            <w:pPr>
              <w:pStyle w:val="39"/>
              <w:rPr>
                <w:rFonts w:ascii="Times New Roman" w:hAnsi="Times New Roman"/>
              </w:rPr>
            </w:pPr>
            <w:r>
              <w:rPr>
                <w:rFonts w:ascii="Times New Roman" w:hAnsi="Times New Roman"/>
              </w:rPr>
              <w:t>二级</w:t>
            </w:r>
          </w:p>
        </w:tc>
        <w:tc>
          <w:tcPr>
            <w:tcW w:w="658" w:type="pct"/>
            <w:vAlign w:val="center"/>
          </w:tcPr>
          <w:p>
            <w:pPr>
              <w:pStyle w:val="39"/>
              <w:rPr>
                <w:rFonts w:ascii="Times New Roman" w:hAnsi="Times New Roman"/>
              </w:rPr>
            </w:pPr>
            <w:r>
              <w:rPr>
                <w:rFonts w:ascii="Times New Roman" w:hAnsi="Times New Roman"/>
              </w:rPr>
              <w:t>E107.80562°</w:t>
            </w:r>
          </w:p>
          <w:p>
            <w:pPr>
              <w:pStyle w:val="39"/>
              <w:rPr>
                <w:rFonts w:ascii="Times New Roman" w:hAnsi="Times New Roman"/>
              </w:rPr>
            </w:pPr>
            <w:r>
              <w:rPr>
                <w:rFonts w:ascii="Times New Roman" w:hAnsi="Times New Roman"/>
              </w:rPr>
              <w:t>N31.49523°</w:t>
            </w:r>
          </w:p>
        </w:tc>
        <w:tc>
          <w:tcPr>
            <w:tcW w:w="399" w:type="pct"/>
            <w:vAlign w:val="center"/>
          </w:tcPr>
          <w:p>
            <w:pPr>
              <w:pStyle w:val="39"/>
              <w:rPr>
                <w:rFonts w:ascii="Times New Roman" w:hAnsi="Times New Roman"/>
              </w:rPr>
            </w:pPr>
            <w:r>
              <w:rPr>
                <w:rFonts w:ascii="Times New Roman" w:hAnsi="Times New Roman"/>
              </w:rPr>
              <w:t>915</w:t>
            </w:r>
          </w:p>
        </w:tc>
        <w:tc>
          <w:tcPr>
            <w:tcW w:w="477" w:type="pct"/>
            <w:vAlign w:val="center"/>
          </w:tcPr>
          <w:p>
            <w:pPr>
              <w:pStyle w:val="39"/>
              <w:rPr>
                <w:rFonts w:ascii="Times New Roman" w:hAnsi="Times New Roman"/>
              </w:rPr>
            </w:pPr>
            <w:r>
              <w:rPr>
                <w:rFonts w:ascii="Times New Roman" w:hAnsi="Times New Roman"/>
              </w:rPr>
              <w:t>长势良好</w:t>
            </w:r>
          </w:p>
        </w:tc>
        <w:tc>
          <w:tcPr>
            <w:tcW w:w="477" w:type="pct"/>
            <w:vAlign w:val="center"/>
          </w:tcPr>
          <w:p>
            <w:pPr>
              <w:pStyle w:val="39"/>
              <w:rPr>
                <w:rFonts w:ascii="Times New Roman" w:hAnsi="Times New Roman"/>
              </w:rPr>
            </w:pPr>
            <w:r>
              <w:rPr>
                <w:rFonts w:ascii="Times New Roman" w:hAnsi="Times New Roman"/>
              </w:rPr>
              <w:t>老君乡铁尖村</w:t>
            </w:r>
          </w:p>
        </w:tc>
        <w:tc>
          <w:tcPr>
            <w:tcW w:w="469" w:type="pct"/>
            <w:vAlign w:val="center"/>
          </w:tcPr>
          <w:p>
            <w:pPr>
              <w:pStyle w:val="39"/>
              <w:rPr>
                <w:rFonts w:ascii="Times New Roman" w:hAnsi="Times New Roman"/>
              </w:rPr>
            </w:pPr>
            <w:r>
              <w:rPr>
                <w:rFonts w:ascii="Times New Roman" w:hAnsi="Times New Roman"/>
              </w:rPr>
              <w:t>否</w:t>
            </w:r>
          </w:p>
        </w:tc>
        <w:tc>
          <w:tcPr>
            <w:tcW w:w="466" w:type="pct"/>
            <w:vAlign w:val="center"/>
          </w:tcPr>
          <w:p>
            <w:pPr>
              <w:pStyle w:val="39"/>
              <w:rPr>
                <w:rFonts w:ascii="Times New Roman" w:hAnsi="Times New Roman"/>
              </w:rPr>
            </w:pPr>
            <w:r>
              <w:rPr>
                <w:rFonts w:ascii="Times New Roman" w:hAnsi="Times New Roman"/>
              </w:rPr>
              <w:t>管道东侧约125m</w:t>
            </w:r>
          </w:p>
        </w:tc>
      </w:tr>
    </w:tbl>
    <w:p>
      <w:pPr>
        <w:ind w:firstLine="480"/>
        <w:rPr>
          <w:rFonts w:ascii="Times New Roman" w:hAnsi="Times New Roman"/>
        </w:rPr>
      </w:pPr>
    </w:p>
    <w:tbl>
      <w:tblPr>
        <w:tblStyle w:val="28"/>
        <w:tblW w:w="0" w:type="auto"/>
        <w:tblInd w:w="0" w:type="dxa"/>
        <w:tblLayout w:type="autofit"/>
        <w:tblCellMar>
          <w:top w:w="0" w:type="dxa"/>
          <w:left w:w="108" w:type="dxa"/>
          <w:bottom w:w="0" w:type="dxa"/>
          <w:right w:w="108" w:type="dxa"/>
        </w:tblCellMar>
      </w:tblPr>
      <w:tblGrid>
        <w:gridCol w:w="4261"/>
        <w:gridCol w:w="4261"/>
      </w:tblGrid>
      <w:tr>
        <w:tblPrEx>
          <w:tblCellMar>
            <w:top w:w="0" w:type="dxa"/>
            <w:left w:w="108" w:type="dxa"/>
            <w:bottom w:w="0" w:type="dxa"/>
            <w:right w:w="108" w:type="dxa"/>
          </w:tblCellMar>
        </w:tblPrEx>
        <w:tc>
          <w:tcPr>
            <w:tcW w:w="4261" w:type="dxa"/>
          </w:tcPr>
          <w:p>
            <w:pPr>
              <w:ind w:firstLine="0" w:firstLineChars="0"/>
              <w:rPr>
                <w:rFonts w:ascii="Times New Roman" w:hAnsi="Times New Roman"/>
              </w:rPr>
            </w:pPr>
            <w:r>
              <w:rPr>
                <w:rFonts w:ascii="Times New Roman" w:hAnsi="Times New Roman"/>
              </w:rPr>
              <w:drawing>
                <wp:inline distT="0" distB="0" distL="0" distR="0">
                  <wp:extent cx="2520315" cy="3352800"/>
                  <wp:effectExtent l="0" t="0" r="0" b="0"/>
                  <wp:docPr id="25" name="图片 25" descr="D:\0、2023年\23、四川达州\4、Photographs\古树名木现场照片\五道口村\91f5e08299b7ba61b746a415c2b1f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D:\0、2023年\23、四川达州\4、Photographs\古树名木现场照片\五道口村\91f5e08299b7ba61b746a415c2b1f28.jpg"/>
                          <pic:cNvPicPr>
                            <a:picLocks noChangeAspect="1" noChangeArrowheads="1"/>
                          </pic:cNvPicPr>
                        </pic:nvPicPr>
                        <pic:blipFill>
                          <a:blip r:embed="rId98" cstate="email"/>
                          <a:srcRect b="10204"/>
                          <a:stretch>
                            <a:fillRect/>
                          </a:stretch>
                        </pic:blipFill>
                        <pic:spPr>
                          <a:xfrm>
                            <a:off x="0" y="0"/>
                            <a:ext cx="2521511" cy="3353866"/>
                          </a:xfrm>
                          <a:prstGeom prst="rect">
                            <a:avLst/>
                          </a:prstGeom>
                          <a:noFill/>
                          <a:ln>
                            <a:noFill/>
                          </a:ln>
                        </pic:spPr>
                      </pic:pic>
                    </a:graphicData>
                  </a:graphic>
                </wp:inline>
              </w:drawing>
            </w:r>
          </w:p>
        </w:tc>
        <w:tc>
          <w:tcPr>
            <w:tcW w:w="4261" w:type="dxa"/>
          </w:tcPr>
          <w:p>
            <w:pPr>
              <w:ind w:firstLine="0" w:firstLineChars="0"/>
              <w:rPr>
                <w:rFonts w:ascii="Times New Roman" w:hAnsi="Times New Roman"/>
              </w:rPr>
            </w:pPr>
            <w:r>
              <w:rPr>
                <w:rFonts w:ascii="Times New Roman" w:hAnsi="Times New Roman"/>
              </w:rPr>
              <w:drawing>
                <wp:inline distT="0" distB="0" distL="0" distR="0">
                  <wp:extent cx="2519680" cy="3360420"/>
                  <wp:effectExtent l="0" t="0" r="0" b="0"/>
                  <wp:docPr id="26" name="图片 26" descr="D:\0、2023年\23、四川达州\4、Photographs\古树名木现场照片\铁尖村\2177e83f2252a9146ea3cecfee28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0、2023年\23、四川达州\4、Photographs\古树名木现场照片\铁尖村\2177e83f2252a9146ea3cecfee28e11.jpg"/>
                          <pic:cNvPicPr>
                            <a:picLocks noChangeAspect="1" noChangeArrowheads="1"/>
                          </pic:cNvPicPr>
                        </pic:nvPicPr>
                        <pic:blipFill>
                          <a:blip r:embed="rId99" cstate="email"/>
                          <a:srcRect/>
                          <a:stretch>
                            <a:fillRect/>
                          </a:stretch>
                        </pic:blipFill>
                        <pic:spPr>
                          <a:xfrm>
                            <a:off x="0" y="0"/>
                            <a:ext cx="2520000" cy="3360656"/>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4261" w:type="dxa"/>
          </w:tcPr>
          <w:p>
            <w:pPr>
              <w:spacing w:line="240" w:lineRule="auto"/>
              <w:ind w:firstLine="0" w:firstLineChars="0"/>
              <w:jc w:val="center"/>
              <w:rPr>
                <w:rFonts w:ascii="Times New Roman" w:hAnsi="Times New Roman"/>
                <w:sz w:val="21"/>
                <w:szCs w:val="21"/>
              </w:rPr>
            </w:pPr>
            <w:r>
              <w:rPr>
                <w:rFonts w:ascii="Times New Roman" w:hAnsi="Times New Roman"/>
                <w:sz w:val="21"/>
                <w:szCs w:val="21"/>
              </w:rPr>
              <w:t>五道口村古树</w:t>
            </w:r>
          </w:p>
        </w:tc>
        <w:tc>
          <w:tcPr>
            <w:tcW w:w="4261" w:type="dxa"/>
          </w:tcPr>
          <w:p>
            <w:pPr>
              <w:spacing w:line="240" w:lineRule="auto"/>
              <w:ind w:firstLine="0" w:firstLineChars="0"/>
              <w:jc w:val="center"/>
              <w:rPr>
                <w:rFonts w:ascii="Times New Roman" w:hAnsi="Times New Roman"/>
                <w:sz w:val="21"/>
                <w:szCs w:val="21"/>
              </w:rPr>
            </w:pPr>
            <w:r>
              <w:rPr>
                <w:rFonts w:ascii="Times New Roman" w:hAnsi="Times New Roman"/>
                <w:sz w:val="21"/>
                <w:szCs w:val="21"/>
              </w:rPr>
              <w:t>铁尖村古树</w:t>
            </w:r>
          </w:p>
        </w:tc>
      </w:tr>
    </w:tbl>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t xml:space="preserve"> 古树现场照片</w:t>
      </w:r>
    </w:p>
    <w:p>
      <w:pPr>
        <w:pStyle w:val="5"/>
        <w:rPr>
          <w:rFonts w:ascii="Times New Roman" w:hAnsi="Times New Roman"/>
        </w:rPr>
      </w:pPr>
      <w:r>
        <w:rPr>
          <w:rFonts w:ascii="Times New Roman" w:hAnsi="Times New Roman"/>
        </w:rPr>
        <w:t>公益林</w:t>
      </w:r>
    </w:p>
    <w:p>
      <w:pPr>
        <w:ind w:firstLine="480"/>
        <w:rPr>
          <w:rFonts w:ascii="Times New Roman" w:hAnsi="Times New Roman"/>
        </w:rPr>
      </w:pPr>
      <w:r>
        <w:rPr>
          <w:rFonts w:ascii="Times New Roman" w:hAnsi="Times New Roman"/>
        </w:rPr>
        <w:t>根据现场调查和宣汉县自然资源局调研核实，本项目输气管道及阀室周边分布有国家级公益林，主要树种为马尾松、柏木、栓皮栎等，评价范围内公益林面积约为195.38hm</w:t>
      </w:r>
      <w:r>
        <w:rPr>
          <w:rFonts w:ascii="Times New Roman" w:hAnsi="Times New Roman"/>
          <w:vertAlign w:val="superscript"/>
        </w:rPr>
        <w:t>2</w:t>
      </w:r>
      <w:r>
        <w:rPr>
          <w:rFonts w:ascii="Times New Roman" w:hAnsi="Times New Roman"/>
        </w:rPr>
        <w:t>。管道累积穿越长度约为3.43km，宣探清管站放空区占用公益林面积约为90m</w:t>
      </w:r>
      <w:r>
        <w:rPr>
          <w:rFonts w:ascii="Times New Roman" w:hAnsi="Times New Roman"/>
          <w:vertAlign w:val="superscript"/>
        </w:rPr>
        <w:t>2</w:t>
      </w:r>
      <w:r>
        <w:rPr>
          <w:rFonts w:ascii="Times New Roman" w:hAnsi="Times New Roman"/>
        </w:rPr>
        <w:t>。本项目与公益林位置关系示意见附图10。</w:t>
      </w:r>
    </w:p>
    <w:p>
      <w:pPr>
        <w:pStyle w:val="5"/>
        <w:rPr>
          <w:rFonts w:ascii="Times New Roman" w:hAnsi="Times New Roman"/>
        </w:rPr>
      </w:pPr>
      <w:r>
        <w:rPr>
          <w:rFonts w:ascii="Times New Roman" w:hAnsi="Times New Roman"/>
        </w:rPr>
        <w:t>天然林</w:t>
      </w:r>
    </w:p>
    <w:p>
      <w:pPr>
        <w:ind w:firstLine="480"/>
        <w:rPr>
          <w:rFonts w:ascii="Times New Roman" w:hAnsi="Times New Roman"/>
        </w:rPr>
      </w:pPr>
      <w:r>
        <w:rPr>
          <w:rFonts w:ascii="Times New Roman" w:hAnsi="Times New Roman"/>
        </w:rPr>
        <w:t>根据现场调查和宣汉县自然资源局调研核实，本项目输气管道及阀室周边分布有天然林，主要树种为马尾松、柏木、栓皮栎等，管道累积穿越长度约为1.87km，评价范围内天然林面积约为120.51 hm</w:t>
      </w:r>
      <w:r>
        <w:rPr>
          <w:rFonts w:ascii="Times New Roman" w:hAnsi="Times New Roman"/>
          <w:vertAlign w:val="superscript"/>
        </w:rPr>
        <w:t>2</w:t>
      </w:r>
      <w:r>
        <w:rPr>
          <w:rFonts w:ascii="Times New Roman" w:hAnsi="Times New Roman"/>
        </w:rPr>
        <w:t>。本项目与天然林位置关系示意见附图10。</w:t>
      </w:r>
    </w:p>
    <w:p>
      <w:pPr>
        <w:pStyle w:val="4"/>
        <w:rPr>
          <w:rFonts w:ascii="Times New Roman" w:hAnsi="Times New Roman" w:cs="Times New Roman"/>
        </w:rPr>
      </w:pPr>
      <w:r>
        <w:rPr>
          <w:rFonts w:ascii="Times New Roman" w:hAnsi="Times New Roman" w:cs="Times New Roman"/>
        </w:rPr>
        <w:t>陆生野生动物现状调查</w:t>
      </w:r>
    </w:p>
    <w:p>
      <w:pPr>
        <w:ind w:firstLine="480"/>
        <w:rPr>
          <w:rFonts w:ascii="Times New Roman" w:hAnsi="Times New Roman"/>
        </w:rPr>
      </w:pPr>
      <w:r>
        <w:rPr>
          <w:rFonts w:ascii="Times New Roman" w:hAnsi="Times New Roman"/>
        </w:rPr>
        <w:t>根据现场调查、访问当地居民和查阅相关资料，确认在评价区域共有陆生脊椎动物22目52科95种，其中，两栖动物1目3科6种，爬行动物1目4科8种，鸟类14目35科61种，哺乳类6目10科20种，它们在各个大类群中的分布见</w:t>
      </w:r>
      <w:r>
        <w:rPr>
          <w:rFonts w:ascii="Times New Roman" w:hAnsi="Times New Roman"/>
        </w:rPr>
        <w:fldChar w:fldCharType="begin"/>
      </w:r>
      <w:r>
        <w:rPr>
          <w:rFonts w:ascii="Times New Roman" w:hAnsi="Times New Roman"/>
        </w:rPr>
        <w:instrText xml:space="preserve"> REF _Ref162077961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34</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脊椎动物中，两栖爬行类和哺乳类的物种数量较少，鸟类的物种数量相对较多，也比较容易观察到。因评价区域施工占地区的范围多有农居、道路、耕作影响，干扰较大，因此动物多样性总体不高。</w:t>
      </w:r>
    </w:p>
    <w:p>
      <w:pPr>
        <w:pStyle w:val="37"/>
        <w:rPr>
          <w:rFonts w:ascii="Times New Roman" w:hAnsi="Times New Roman" w:cs="Times New Roman"/>
        </w:rPr>
      </w:pPr>
      <w:bookmarkStart w:id="172" w:name="_Ref16207796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34</w:t>
      </w:r>
      <w:r>
        <w:rPr>
          <w:rFonts w:ascii="Times New Roman" w:hAnsi="Times New Roman" w:cs="Times New Roman"/>
        </w:rPr>
        <w:fldChar w:fldCharType="end"/>
      </w:r>
      <w:bookmarkEnd w:id="172"/>
      <w:r>
        <w:rPr>
          <w:rFonts w:ascii="Times New Roman" w:hAnsi="Times New Roman" w:cs="Times New Roman"/>
        </w:rPr>
        <w:t xml:space="preserve"> 评价区陆生脊椎动物物种组成</w:t>
      </w:r>
    </w:p>
    <w:tbl>
      <w:tblPr>
        <w:tblStyle w:val="2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353"/>
        <w:gridCol w:w="852"/>
        <w:gridCol w:w="782"/>
        <w:gridCol w:w="1133"/>
        <w:gridCol w:w="440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94" w:type="pct"/>
            <w:vAlign w:val="center"/>
          </w:tcPr>
          <w:p>
            <w:pPr>
              <w:spacing w:line="240" w:lineRule="auto"/>
              <w:ind w:firstLine="0" w:firstLineChars="0"/>
              <w:rPr>
                <w:rFonts w:ascii="Times New Roman" w:hAnsi="Times New Roman"/>
                <w:szCs w:val="21"/>
              </w:rPr>
            </w:pPr>
            <w:r>
              <w:rPr>
                <w:rFonts w:ascii="Times New Roman" w:hAnsi="Times New Roman"/>
                <w:sz w:val="21"/>
                <w:szCs w:val="21"/>
              </w:rPr>
              <w:t>类群</w:t>
            </w:r>
          </w:p>
        </w:tc>
        <w:tc>
          <w:tcPr>
            <w:tcW w:w="500"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目数</w:t>
            </w:r>
          </w:p>
        </w:tc>
        <w:tc>
          <w:tcPr>
            <w:tcW w:w="459"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科数</w:t>
            </w:r>
          </w:p>
        </w:tc>
        <w:tc>
          <w:tcPr>
            <w:tcW w:w="665"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物种数</w:t>
            </w:r>
          </w:p>
        </w:tc>
        <w:tc>
          <w:tcPr>
            <w:tcW w:w="2582"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数据来源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94" w:type="pct"/>
            <w:vAlign w:val="center"/>
          </w:tcPr>
          <w:p>
            <w:pPr>
              <w:spacing w:line="240" w:lineRule="auto"/>
              <w:ind w:firstLine="0" w:firstLineChars="0"/>
              <w:rPr>
                <w:rFonts w:ascii="Times New Roman" w:hAnsi="Times New Roman"/>
                <w:szCs w:val="21"/>
              </w:rPr>
            </w:pPr>
            <w:r>
              <w:rPr>
                <w:rFonts w:ascii="Times New Roman" w:hAnsi="Times New Roman"/>
                <w:sz w:val="21"/>
                <w:szCs w:val="21"/>
              </w:rPr>
              <w:t>两栖类</w:t>
            </w:r>
          </w:p>
        </w:tc>
        <w:tc>
          <w:tcPr>
            <w:tcW w:w="500"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1</w:t>
            </w:r>
          </w:p>
        </w:tc>
        <w:tc>
          <w:tcPr>
            <w:tcW w:w="459"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3</w:t>
            </w:r>
          </w:p>
        </w:tc>
        <w:tc>
          <w:tcPr>
            <w:tcW w:w="665"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6</w:t>
            </w:r>
          </w:p>
        </w:tc>
        <w:tc>
          <w:tcPr>
            <w:tcW w:w="2582" w:type="pct"/>
            <w:vAlign w:val="center"/>
          </w:tcPr>
          <w:p>
            <w:pPr>
              <w:spacing w:line="240" w:lineRule="auto"/>
              <w:ind w:firstLine="0" w:firstLineChars="0"/>
              <w:rPr>
                <w:rFonts w:ascii="Times New Roman" w:hAnsi="Times New Roman"/>
                <w:szCs w:val="21"/>
              </w:rPr>
            </w:pPr>
            <w:r>
              <w:rPr>
                <w:rFonts w:ascii="Times New Roman" w:hAnsi="Times New Roman"/>
                <w:sz w:val="21"/>
                <w:szCs w:val="21"/>
              </w:rPr>
              <w:t>野外观察实体、访问、查阅资料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94" w:type="pct"/>
            <w:vAlign w:val="center"/>
          </w:tcPr>
          <w:p>
            <w:pPr>
              <w:spacing w:line="240" w:lineRule="auto"/>
              <w:ind w:firstLine="0" w:firstLineChars="0"/>
              <w:rPr>
                <w:rFonts w:ascii="Times New Roman" w:hAnsi="Times New Roman"/>
                <w:szCs w:val="21"/>
              </w:rPr>
            </w:pPr>
            <w:r>
              <w:rPr>
                <w:rFonts w:ascii="Times New Roman" w:hAnsi="Times New Roman"/>
                <w:sz w:val="21"/>
                <w:szCs w:val="21"/>
              </w:rPr>
              <w:t>爬行类</w:t>
            </w:r>
          </w:p>
        </w:tc>
        <w:tc>
          <w:tcPr>
            <w:tcW w:w="500"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1</w:t>
            </w:r>
          </w:p>
        </w:tc>
        <w:tc>
          <w:tcPr>
            <w:tcW w:w="459"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4</w:t>
            </w:r>
          </w:p>
        </w:tc>
        <w:tc>
          <w:tcPr>
            <w:tcW w:w="665"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8</w:t>
            </w:r>
          </w:p>
        </w:tc>
        <w:tc>
          <w:tcPr>
            <w:tcW w:w="2582" w:type="pct"/>
            <w:vAlign w:val="center"/>
          </w:tcPr>
          <w:p>
            <w:pPr>
              <w:spacing w:line="240" w:lineRule="auto"/>
              <w:ind w:firstLine="0" w:firstLineChars="0"/>
              <w:rPr>
                <w:rFonts w:ascii="Times New Roman" w:hAnsi="Times New Roman"/>
                <w:szCs w:val="21"/>
              </w:rPr>
            </w:pPr>
            <w:r>
              <w:rPr>
                <w:rFonts w:ascii="Times New Roman" w:hAnsi="Times New Roman"/>
                <w:sz w:val="21"/>
                <w:szCs w:val="21"/>
              </w:rPr>
              <w:t>野外观察实体、访问、查阅资料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94" w:type="pct"/>
            <w:vAlign w:val="center"/>
          </w:tcPr>
          <w:p>
            <w:pPr>
              <w:spacing w:line="240" w:lineRule="auto"/>
              <w:ind w:firstLine="0" w:firstLineChars="0"/>
              <w:rPr>
                <w:rFonts w:ascii="Times New Roman" w:hAnsi="Times New Roman"/>
                <w:szCs w:val="21"/>
              </w:rPr>
            </w:pPr>
            <w:r>
              <w:rPr>
                <w:rFonts w:ascii="Times New Roman" w:hAnsi="Times New Roman"/>
                <w:sz w:val="21"/>
                <w:szCs w:val="21"/>
              </w:rPr>
              <w:t>鸟类</w:t>
            </w:r>
          </w:p>
        </w:tc>
        <w:tc>
          <w:tcPr>
            <w:tcW w:w="500"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14</w:t>
            </w:r>
          </w:p>
        </w:tc>
        <w:tc>
          <w:tcPr>
            <w:tcW w:w="459"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35</w:t>
            </w:r>
          </w:p>
        </w:tc>
        <w:tc>
          <w:tcPr>
            <w:tcW w:w="665"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61</w:t>
            </w:r>
          </w:p>
        </w:tc>
        <w:tc>
          <w:tcPr>
            <w:tcW w:w="2582" w:type="pct"/>
            <w:vAlign w:val="center"/>
          </w:tcPr>
          <w:p>
            <w:pPr>
              <w:spacing w:line="240" w:lineRule="auto"/>
              <w:ind w:firstLine="0" w:firstLineChars="0"/>
              <w:rPr>
                <w:rFonts w:ascii="Times New Roman" w:hAnsi="Times New Roman"/>
                <w:szCs w:val="21"/>
              </w:rPr>
            </w:pPr>
            <w:r>
              <w:rPr>
                <w:rFonts w:ascii="Times New Roman" w:hAnsi="Times New Roman"/>
                <w:sz w:val="21"/>
                <w:szCs w:val="21"/>
              </w:rPr>
              <w:t>野外观察实体和鸣声、访问、查阅资料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94" w:type="pct"/>
            <w:vAlign w:val="center"/>
          </w:tcPr>
          <w:p>
            <w:pPr>
              <w:spacing w:line="240" w:lineRule="auto"/>
              <w:ind w:firstLine="0" w:firstLineChars="0"/>
              <w:rPr>
                <w:rFonts w:ascii="Times New Roman" w:hAnsi="Times New Roman"/>
                <w:szCs w:val="21"/>
              </w:rPr>
            </w:pPr>
            <w:r>
              <w:rPr>
                <w:rFonts w:ascii="Times New Roman" w:hAnsi="Times New Roman"/>
                <w:sz w:val="21"/>
                <w:szCs w:val="21"/>
              </w:rPr>
              <w:t>哺乳类</w:t>
            </w:r>
          </w:p>
        </w:tc>
        <w:tc>
          <w:tcPr>
            <w:tcW w:w="500"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6</w:t>
            </w:r>
          </w:p>
        </w:tc>
        <w:tc>
          <w:tcPr>
            <w:tcW w:w="459"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10</w:t>
            </w:r>
          </w:p>
        </w:tc>
        <w:tc>
          <w:tcPr>
            <w:tcW w:w="665"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20</w:t>
            </w:r>
          </w:p>
        </w:tc>
        <w:tc>
          <w:tcPr>
            <w:tcW w:w="2582" w:type="pct"/>
            <w:vAlign w:val="center"/>
          </w:tcPr>
          <w:p>
            <w:pPr>
              <w:spacing w:line="240" w:lineRule="auto"/>
              <w:ind w:firstLine="0" w:firstLineChars="0"/>
              <w:rPr>
                <w:rFonts w:ascii="Times New Roman" w:hAnsi="Times New Roman"/>
                <w:szCs w:val="21"/>
              </w:rPr>
            </w:pPr>
            <w:r>
              <w:rPr>
                <w:rFonts w:ascii="Times New Roman" w:hAnsi="Times New Roman"/>
                <w:sz w:val="21"/>
                <w:szCs w:val="21"/>
              </w:rPr>
              <w:t>野外调查实体及活动痕迹，访问、查阅资料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94" w:type="pct"/>
            <w:vAlign w:val="center"/>
          </w:tcPr>
          <w:p>
            <w:pPr>
              <w:spacing w:line="240" w:lineRule="auto"/>
              <w:ind w:firstLine="0" w:firstLineChars="0"/>
              <w:rPr>
                <w:rFonts w:ascii="Times New Roman" w:hAnsi="Times New Roman"/>
                <w:szCs w:val="21"/>
              </w:rPr>
            </w:pPr>
            <w:r>
              <w:rPr>
                <w:rFonts w:ascii="Times New Roman" w:hAnsi="Times New Roman"/>
                <w:sz w:val="21"/>
                <w:szCs w:val="21"/>
              </w:rPr>
              <w:t>合计</w:t>
            </w:r>
          </w:p>
        </w:tc>
        <w:tc>
          <w:tcPr>
            <w:tcW w:w="500"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22</w:t>
            </w:r>
          </w:p>
        </w:tc>
        <w:tc>
          <w:tcPr>
            <w:tcW w:w="459"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52</w:t>
            </w:r>
          </w:p>
        </w:tc>
        <w:tc>
          <w:tcPr>
            <w:tcW w:w="665"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95</w:t>
            </w:r>
          </w:p>
        </w:tc>
        <w:tc>
          <w:tcPr>
            <w:tcW w:w="2582" w:type="pct"/>
            <w:vAlign w:val="center"/>
          </w:tcPr>
          <w:p>
            <w:pPr>
              <w:spacing w:line="240" w:lineRule="auto"/>
              <w:ind w:firstLine="0" w:firstLineChars="0"/>
              <w:jc w:val="center"/>
              <w:rPr>
                <w:rFonts w:ascii="Times New Roman" w:hAnsi="Times New Roman"/>
                <w:szCs w:val="21"/>
              </w:rPr>
            </w:pPr>
            <w:r>
              <w:rPr>
                <w:rFonts w:ascii="Times New Roman" w:hAnsi="Times New Roman"/>
                <w:sz w:val="21"/>
                <w:szCs w:val="21"/>
              </w:rPr>
              <w:t>------</w:t>
            </w:r>
          </w:p>
        </w:tc>
      </w:tr>
    </w:tbl>
    <w:p>
      <w:pPr>
        <w:ind w:firstLine="482"/>
        <w:rPr>
          <w:rFonts w:ascii="Times New Roman" w:hAnsi="Times New Roman"/>
          <w:b/>
        </w:rPr>
      </w:pPr>
    </w:p>
    <w:p>
      <w:pPr>
        <w:pStyle w:val="5"/>
        <w:rPr>
          <w:rFonts w:ascii="Times New Roman" w:hAnsi="Times New Roman"/>
        </w:rPr>
      </w:pPr>
      <w:r>
        <w:rPr>
          <w:rFonts w:ascii="Times New Roman" w:hAnsi="Times New Roman"/>
        </w:rPr>
        <w:t>两栖动物</w:t>
      </w:r>
    </w:p>
    <w:p>
      <w:pPr>
        <w:ind w:firstLine="315" w:firstLineChars="150"/>
        <w:jc w:val="both"/>
        <w:rPr>
          <w:rFonts w:ascii="Times New Roman" w:hAnsi="Times New Roman"/>
          <w:sz w:val="21"/>
          <w:szCs w:val="22"/>
        </w:rPr>
      </w:pPr>
      <w:r>
        <w:rPr>
          <w:rFonts w:ascii="Times New Roman" w:hAnsi="Times New Roman"/>
          <w:sz w:val="21"/>
          <w:szCs w:val="22"/>
        </w:rPr>
        <w:t>（1）物种和区系组成</w:t>
      </w:r>
    </w:p>
    <w:p>
      <w:pPr>
        <w:ind w:firstLine="480"/>
        <w:jc w:val="both"/>
        <w:rPr>
          <w:rFonts w:ascii="Times New Roman" w:hAnsi="Times New Roman"/>
        </w:rPr>
      </w:pPr>
      <w:r>
        <w:rPr>
          <w:rFonts w:ascii="Times New Roman" w:hAnsi="Times New Roman"/>
        </w:rPr>
        <w:t>评价区的两栖类包括华西蟾蜍（</w:t>
      </w:r>
      <w:r>
        <w:rPr>
          <w:rFonts w:ascii="Times New Roman" w:hAnsi="Times New Roman"/>
          <w:i/>
        </w:rPr>
        <w:t>Bufo andrewsi</w:t>
      </w:r>
      <w:r>
        <w:rPr>
          <w:rFonts w:ascii="Times New Roman" w:hAnsi="Times New Roman"/>
        </w:rPr>
        <w:t>）、峨眉林蛙（</w:t>
      </w:r>
      <w:r>
        <w:rPr>
          <w:rFonts w:ascii="Times New Roman" w:hAnsi="Times New Roman"/>
          <w:i/>
          <w:iCs/>
        </w:rPr>
        <w:t>Rana omeinensis</w:t>
      </w:r>
      <w:r>
        <w:rPr>
          <w:rFonts w:ascii="Times New Roman" w:hAnsi="Times New Roman"/>
        </w:rPr>
        <w:t>）、黑斑侧褶蛙（</w:t>
      </w:r>
      <w:r>
        <w:rPr>
          <w:rFonts w:ascii="Times New Roman" w:hAnsi="Times New Roman"/>
          <w:i/>
        </w:rPr>
        <w:t>Pelophylax nigromaculata</w:t>
      </w:r>
      <w:r>
        <w:rPr>
          <w:rFonts w:ascii="Times New Roman" w:hAnsi="Times New Roman"/>
        </w:rPr>
        <w:t>）、沼水蛙（</w:t>
      </w:r>
      <w:r>
        <w:rPr>
          <w:rFonts w:ascii="Times New Roman" w:hAnsi="Times New Roman"/>
          <w:i/>
        </w:rPr>
        <w:t>Hylarana guentheri</w:t>
      </w:r>
      <w:r>
        <w:rPr>
          <w:rFonts w:ascii="Times New Roman" w:hAnsi="Times New Roman"/>
        </w:rPr>
        <w:t>）、绿臭蛙（</w:t>
      </w:r>
      <w:r>
        <w:rPr>
          <w:rFonts w:ascii="Times New Roman" w:hAnsi="Times New Roman"/>
          <w:i/>
        </w:rPr>
        <w:t>Odorrana margaratae</w:t>
      </w:r>
      <w:r>
        <w:rPr>
          <w:rFonts w:ascii="Times New Roman" w:hAnsi="Times New Roman"/>
        </w:rPr>
        <w:t>）和饰纹姬蛙（</w:t>
      </w:r>
      <w:r>
        <w:rPr>
          <w:rFonts w:ascii="Times New Roman" w:hAnsi="Times New Roman"/>
          <w:i/>
        </w:rPr>
        <w:t>Microhyla ornata</w:t>
      </w:r>
      <w:r>
        <w:rPr>
          <w:rFonts w:ascii="Times New Roman" w:hAnsi="Times New Roman"/>
        </w:rPr>
        <w:t>）共6种。名录见附表2评价区两栖动物名录。</w:t>
      </w:r>
    </w:p>
    <w:p>
      <w:pPr>
        <w:ind w:firstLine="480"/>
        <w:jc w:val="both"/>
        <w:rPr>
          <w:rFonts w:ascii="Times New Roman" w:hAnsi="Times New Roman"/>
        </w:rPr>
      </w:pPr>
      <w:r>
        <w:rPr>
          <w:rFonts w:ascii="Times New Roman" w:hAnsi="Times New Roman"/>
        </w:rPr>
        <w:t>从区系组成看，东洋界5种，古北界1种。从分布型来看，饰纹姬蛙属东洋型，黑斑侧褶蛙属于季风型，绿臭蛙、沼水蛙、峨眉林蛙和华西蟾蜍属于东洋型。</w:t>
      </w:r>
    </w:p>
    <w:p>
      <w:pPr>
        <w:ind w:firstLine="360" w:firstLineChars="150"/>
        <w:jc w:val="both"/>
        <w:rPr>
          <w:rFonts w:ascii="Times New Roman" w:hAnsi="Times New Roman"/>
        </w:rPr>
      </w:pPr>
      <w:r>
        <w:rPr>
          <w:rFonts w:ascii="Times New Roman" w:hAnsi="Times New Roman"/>
        </w:rPr>
        <w:t>（2）整个评价区域内两栖类的生态类型及分布</w:t>
      </w:r>
    </w:p>
    <w:p>
      <w:pPr>
        <w:spacing w:after="120"/>
        <w:ind w:firstLine="480"/>
        <w:jc w:val="both"/>
        <w:rPr>
          <w:rFonts w:ascii="Times New Roman" w:hAnsi="Times New Roman"/>
        </w:rPr>
      </w:pPr>
      <w:r>
        <w:rPr>
          <w:rFonts w:ascii="Times New Roman" w:hAnsi="Times New Roman"/>
        </w:rPr>
        <w:t>评价区施工区所在位置的河流隶属于渠江水系的州河上游前河河段。评价区的农田民居、水塘和河滩等，均是本次评价区内两栖类适宜的栖息环境。根据《中国动物志两栖纲》的记述，本次评价区两栖类的生态分布类型为陆栖类型中的林栖静水繁殖型和穴栖静水繁殖型，水栖类型的溪流类型和静水类型。</w:t>
      </w:r>
    </w:p>
    <w:p>
      <w:pPr>
        <w:adjustRightInd w:val="0"/>
        <w:snapToGrid w:val="0"/>
        <w:ind w:firstLine="480"/>
        <w:jc w:val="both"/>
        <w:rPr>
          <w:rFonts w:ascii="Times New Roman" w:hAnsi="Times New Roman"/>
        </w:rPr>
      </w:pPr>
      <w:r>
        <w:rPr>
          <w:rFonts w:ascii="Times New Roman" w:hAnsi="Times New Roman"/>
        </w:rPr>
        <w:t>评价区内两栖类的生态类型及分布具体情况见下</w:t>
      </w:r>
      <w:r>
        <w:rPr>
          <w:rFonts w:ascii="Times New Roman" w:hAnsi="Times New Roman"/>
        </w:rPr>
        <w:fldChar w:fldCharType="begin"/>
      </w:r>
      <w:r>
        <w:rPr>
          <w:rFonts w:ascii="Times New Roman" w:hAnsi="Times New Roman"/>
        </w:rPr>
        <w:instrText xml:space="preserve"> REF _Ref162078513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35</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73" w:name="_Ref16207851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35</w:t>
      </w:r>
      <w:r>
        <w:rPr>
          <w:rFonts w:ascii="Times New Roman" w:hAnsi="Times New Roman" w:cs="Times New Roman"/>
        </w:rPr>
        <w:fldChar w:fldCharType="end"/>
      </w:r>
      <w:bookmarkEnd w:id="173"/>
      <w:r>
        <w:rPr>
          <w:rFonts w:ascii="Times New Roman" w:hAnsi="Times New Roman" w:cs="Times New Roman"/>
        </w:rPr>
        <w:t>评价区域两栖类分布</w:t>
      </w:r>
    </w:p>
    <w:tbl>
      <w:tblPr>
        <w:tblStyle w:val="28"/>
        <w:tblW w:w="97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
        <w:gridCol w:w="1125"/>
        <w:gridCol w:w="1129"/>
        <w:gridCol w:w="5548"/>
        <w:gridCol w:w="685"/>
        <w:gridCol w:w="7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600" w:type="dxa"/>
            <w:gridSpan w:val="2"/>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生态类型</w:t>
            </w:r>
          </w:p>
        </w:tc>
        <w:tc>
          <w:tcPr>
            <w:tcW w:w="1129" w:type="dxa"/>
            <w:shd w:val="clear" w:color="auto" w:fill="auto"/>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物种</w:t>
            </w:r>
          </w:p>
        </w:tc>
        <w:tc>
          <w:tcPr>
            <w:tcW w:w="5548" w:type="dxa"/>
            <w:shd w:val="clear" w:color="auto" w:fill="auto"/>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生态分布及生活习性</w:t>
            </w:r>
          </w:p>
        </w:tc>
        <w:tc>
          <w:tcPr>
            <w:tcW w:w="685" w:type="dxa"/>
          </w:tcPr>
          <w:p>
            <w:pPr>
              <w:spacing w:line="240" w:lineRule="auto"/>
              <w:ind w:firstLine="0" w:firstLineChars="0"/>
              <w:jc w:val="center"/>
              <w:rPr>
                <w:rFonts w:ascii="Times New Roman" w:hAnsi="Times New Roman"/>
                <w:sz w:val="21"/>
                <w:szCs w:val="21"/>
              </w:rPr>
            </w:pPr>
            <w:r>
              <w:rPr>
                <w:rFonts w:ascii="Times New Roman" w:hAnsi="Times New Roman"/>
                <w:sz w:val="21"/>
                <w:szCs w:val="21"/>
              </w:rPr>
              <w:t>种群数量</w:t>
            </w:r>
          </w:p>
        </w:tc>
        <w:tc>
          <w:tcPr>
            <w:tcW w:w="774" w:type="dxa"/>
            <w:shd w:val="clear" w:color="auto" w:fill="auto"/>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数据</w:t>
            </w:r>
          </w:p>
          <w:p>
            <w:pPr>
              <w:spacing w:line="240" w:lineRule="auto"/>
              <w:ind w:firstLine="0" w:firstLineChars="0"/>
              <w:jc w:val="center"/>
              <w:rPr>
                <w:rFonts w:ascii="Times New Roman" w:hAnsi="Times New Roman"/>
                <w:sz w:val="21"/>
                <w:szCs w:val="21"/>
              </w:rPr>
            </w:pPr>
            <w:r>
              <w:rPr>
                <w:rFonts w:ascii="Times New Roman" w:hAnsi="Times New Roman"/>
                <w:sz w:val="21"/>
                <w:szCs w:val="21"/>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75" w:type="dxa"/>
            <w:vMerge w:val="restart"/>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陆栖类型</w:t>
            </w:r>
          </w:p>
        </w:tc>
        <w:tc>
          <w:tcPr>
            <w:tcW w:w="1125"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林栖静水繁殖型</w:t>
            </w:r>
          </w:p>
        </w:tc>
        <w:tc>
          <w:tcPr>
            <w:tcW w:w="1129" w:type="dxa"/>
            <w:shd w:val="clear" w:color="auto" w:fill="auto"/>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峨眉林蛙</w:t>
            </w:r>
          </w:p>
        </w:tc>
        <w:tc>
          <w:tcPr>
            <w:tcW w:w="5548" w:type="dxa"/>
            <w:shd w:val="clear" w:color="auto" w:fill="auto"/>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繁殖期到静水塘内产卵，成蛙营陆栖生活，多在林间草丛中活动，觅食昆虫和小动物。</w:t>
            </w:r>
          </w:p>
        </w:tc>
        <w:tc>
          <w:tcPr>
            <w:tcW w:w="685" w:type="dxa"/>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w:t>
            </w:r>
          </w:p>
        </w:tc>
        <w:tc>
          <w:tcPr>
            <w:tcW w:w="774" w:type="dxa"/>
            <w:shd w:val="clear" w:color="auto" w:fill="auto"/>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调查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75" w:type="dxa"/>
            <w:vMerge w:val="continue"/>
            <w:vAlign w:val="center"/>
          </w:tcPr>
          <w:p>
            <w:pPr>
              <w:spacing w:line="240" w:lineRule="auto"/>
              <w:ind w:firstLine="0" w:firstLineChars="0"/>
              <w:jc w:val="both"/>
              <w:rPr>
                <w:rFonts w:ascii="Times New Roman" w:hAnsi="Times New Roman"/>
                <w:sz w:val="21"/>
                <w:szCs w:val="21"/>
              </w:rPr>
            </w:pPr>
          </w:p>
        </w:tc>
        <w:tc>
          <w:tcPr>
            <w:tcW w:w="1125"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穴栖静水繁殖型</w:t>
            </w:r>
          </w:p>
        </w:tc>
        <w:tc>
          <w:tcPr>
            <w:tcW w:w="1129" w:type="dxa"/>
            <w:shd w:val="clear" w:color="auto" w:fill="auto"/>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华西蟾蜍</w:t>
            </w:r>
          </w:p>
        </w:tc>
        <w:tc>
          <w:tcPr>
            <w:tcW w:w="5548" w:type="dxa"/>
            <w:shd w:val="clear" w:color="auto" w:fill="auto"/>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评价区多种生态环境的草丛间或石下。成体多在夜间黄昏后出外活动，以多种昆虫及其他小动物为食。</w:t>
            </w:r>
          </w:p>
        </w:tc>
        <w:tc>
          <w:tcPr>
            <w:tcW w:w="685" w:type="dxa"/>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w:t>
            </w:r>
          </w:p>
        </w:tc>
        <w:tc>
          <w:tcPr>
            <w:tcW w:w="774" w:type="dxa"/>
            <w:shd w:val="clear" w:color="auto" w:fill="auto"/>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调查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75" w:type="dxa"/>
            <w:vMerge w:val="restart"/>
            <w:vAlign w:val="center"/>
          </w:tcPr>
          <w:p>
            <w:pPr>
              <w:spacing w:line="240" w:lineRule="auto"/>
              <w:ind w:firstLine="0" w:firstLineChars="0"/>
              <w:jc w:val="both"/>
              <w:rPr>
                <w:rFonts w:ascii="Times New Roman" w:hAnsi="Times New Roman"/>
                <w:sz w:val="21"/>
                <w:szCs w:val="21"/>
              </w:rPr>
            </w:pPr>
            <w:r>
              <w:rPr>
                <w:rFonts w:ascii="Times New Roman" w:hAnsi="Times New Roman"/>
                <w:bCs/>
                <w:sz w:val="21"/>
                <w:szCs w:val="21"/>
              </w:rPr>
              <w:t>水栖类型</w:t>
            </w:r>
          </w:p>
        </w:tc>
        <w:tc>
          <w:tcPr>
            <w:tcW w:w="1125" w:type="dxa"/>
            <w:vMerge w:val="restart"/>
            <w:vAlign w:val="center"/>
          </w:tcPr>
          <w:p>
            <w:pPr>
              <w:spacing w:line="240" w:lineRule="auto"/>
              <w:ind w:firstLine="0" w:firstLineChars="0"/>
              <w:jc w:val="both"/>
              <w:rPr>
                <w:rFonts w:ascii="Times New Roman" w:hAnsi="Times New Roman"/>
                <w:sz w:val="21"/>
                <w:szCs w:val="21"/>
              </w:rPr>
            </w:pPr>
            <w:r>
              <w:rPr>
                <w:rFonts w:ascii="Times New Roman" w:hAnsi="Times New Roman"/>
                <w:bCs/>
                <w:sz w:val="21"/>
                <w:szCs w:val="21"/>
              </w:rPr>
              <w:t>静水类型</w:t>
            </w:r>
          </w:p>
        </w:tc>
        <w:tc>
          <w:tcPr>
            <w:tcW w:w="1129" w:type="dxa"/>
            <w:shd w:val="clear" w:color="auto" w:fill="auto"/>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饰纹姬蛙</w:t>
            </w:r>
          </w:p>
        </w:tc>
        <w:tc>
          <w:tcPr>
            <w:tcW w:w="5548" w:type="dxa"/>
            <w:shd w:val="clear" w:color="auto" w:fill="auto"/>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海拔500～700m的水田、水坑、水沟的泥窝或土穴内，或在水域附近的草丛中。</w:t>
            </w:r>
          </w:p>
        </w:tc>
        <w:tc>
          <w:tcPr>
            <w:tcW w:w="685" w:type="dxa"/>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w:t>
            </w:r>
          </w:p>
        </w:tc>
        <w:tc>
          <w:tcPr>
            <w:tcW w:w="774" w:type="dxa"/>
            <w:shd w:val="clear" w:color="auto" w:fill="auto"/>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调查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75" w:type="dxa"/>
            <w:vMerge w:val="continue"/>
            <w:vAlign w:val="center"/>
          </w:tcPr>
          <w:p>
            <w:pPr>
              <w:spacing w:line="240" w:lineRule="auto"/>
              <w:ind w:firstLine="0" w:firstLineChars="0"/>
              <w:jc w:val="both"/>
              <w:rPr>
                <w:rFonts w:ascii="Times New Roman" w:hAnsi="Times New Roman"/>
                <w:bCs/>
                <w:sz w:val="21"/>
                <w:szCs w:val="21"/>
              </w:rPr>
            </w:pPr>
          </w:p>
        </w:tc>
        <w:tc>
          <w:tcPr>
            <w:tcW w:w="1125" w:type="dxa"/>
            <w:vMerge w:val="continue"/>
            <w:vAlign w:val="center"/>
          </w:tcPr>
          <w:p>
            <w:pPr>
              <w:spacing w:line="240" w:lineRule="auto"/>
              <w:ind w:firstLine="0" w:firstLineChars="0"/>
              <w:jc w:val="both"/>
              <w:rPr>
                <w:rFonts w:ascii="Times New Roman" w:hAnsi="Times New Roman"/>
                <w:bCs/>
                <w:sz w:val="21"/>
                <w:szCs w:val="21"/>
              </w:rPr>
            </w:pPr>
          </w:p>
        </w:tc>
        <w:tc>
          <w:tcPr>
            <w:tcW w:w="1129" w:type="dxa"/>
            <w:shd w:val="clear" w:color="auto" w:fill="auto"/>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黑斑侧褶蛙</w:t>
            </w:r>
          </w:p>
        </w:tc>
        <w:tc>
          <w:tcPr>
            <w:tcW w:w="5548" w:type="dxa"/>
            <w:shd w:val="clear" w:color="auto" w:fill="auto"/>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广泛生活在水田、池塘、河流及海拔1000m以下的山地。卵和蝌蚪均在静水环境中生活，幼体变态后登陆营陆栖生活。</w:t>
            </w:r>
          </w:p>
        </w:tc>
        <w:tc>
          <w:tcPr>
            <w:tcW w:w="685" w:type="dxa"/>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w:t>
            </w:r>
          </w:p>
        </w:tc>
        <w:tc>
          <w:tcPr>
            <w:tcW w:w="774" w:type="dxa"/>
            <w:shd w:val="clear" w:color="auto" w:fill="auto"/>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调查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75" w:type="dxa"/>
            <w:vMerge w:val="continue"/>
            <w:vAlign w:val="center"/>
          </w:tcPr>
          <w:p>
            <w:pPr>
              <w:spacing w:line="240" w:lineRule="auto"/>
              <w:ind w:firstLine="0" w:firstLineChars="0"/>
              <w:jc w:val="both"/>
              <w:rPr>
                <w:rFonts w:ascii="Times New Roman" w:hAnsi="Times New Roman"/>
                <w:bCs/>
                <w:sz w:val="21"/>
                <w:szCs w:val="21"/>
              </w:rPr>
            </w:pPr>
          </w:p>
        </w:tc>
        <w:tc>
          <w:tcPr>
            <w:tcW w:w="1125" w:type="dxa"/>
            <w:vMerge w:val="continue"/>
            <w:vAlign w:val="center"/>
          </w:tcPr>
          <w:p>
            <w:pPr>
              <w:spacing w:line="240" w:lineRule="auto"/>
              <w:ind w:firstLine="0" w:firstLineChars="0"/>
              <w:jc w:val="both"/>
              <w:rPr>
                <w:rFonts w:ascii="Times New Roman" w:hAnsi="Times New Roman"/>
                <w:bCs/>
                <w:sz w:val="21"/>
                <w:szCs w:val="21"/>
              </w:rPr>
            </w:pPr>
          </w:p>
        </w:tc>
        <w:tc>
          <w:tcPr>
            <w:tcW w:w="1129" w:type="dxa"/>
            <w:shd w:val="clear" w:color="auto" w:fill="auto"/>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沼水蛙</w:t>
            </w:r>
          </w:p>
        </w:tc>
        <w:tc>
          <w:tcPr>
            <w:tcW w:w="5548" w:type="dxa"/>
            <w:shd w:val="clear" w:color="auto" w:fill="auto"/>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生活在海拔500～1100m的稻田、池塘或水坑内，常隐蔽在水生植物丛间、土洞或杂草中。</w:t>
            </w:r>
          </w:p>
        </w:tc>
        <w:tc>
          <w:tcPr>
            <w:tcW w:w="685" w:type="dxa"/>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w:t>
            </w:r>
          </w:p>
        </w:tc>
        <w:tc>
          <w:tcPr>
            <w:tcW w:w="774" w:type="dxa"/>
            <w:shd w:val="clear" w:color="auto" w:fill="auto"/>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调查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75" w:type="dxa"/>
            <w:vMerge w:val="continue"/>
            <w:vAlign w:val="center"/>
          </w:tcPr>
          <w:p>
            <w:pPr>
              <w:spacing w:line="240" w:lineRule="auto"/>
              <w:ind w:firstLine="0" w:firstLineChars="0"/>
              <w:jc w:val="both"/>
              <w:rPr>
                <w:rFonts w:ascii="Times New Roman" w:hAnsi="Times New Roman"/>
                <w:bCs/>
                <w:sz w:val="21"/>
                <w:szCs w:val="21"/>
              </w:rPr>
            </w:pPr>
          </w:p>
        </w:tc>
        <w:tc>
          <w:tcPr>
            <w:tcW w:w="1125" w:type="dxa"/>
            <w:vAlign w:val="center"/>
          </w:tcPr>
          <w:p>
            <w:pPr>
              <w:spacing w:line="240" w:lineRule="auto"/>
              <w:ind w:firstLine="0" w:firstLineChars="0"/>
              <w:jc w:val="both"/>
              <w:rPr>
                <w:rFonts w:ascii="Times New Roman" w:hAnsi="Times New Roman"/>
                <w:bCs/>
                <w:sz w:val="21"/>
                <w:szCs w:val="21"/>
              </w:rPr>
            </w:pPr>
            <w:r>
              <w:rPr>
                <w:rFonts w:ascii="Times New Roman" w:hAnsi="Times New Roman"/>
                <w:bCs/>
                <w:sz w:val="21"/>
                <w:szCs w:val="21"/>
              </w:rPr>
              <w:t>溪流类型</w:t>
            </w:r>
          </w:p>
        </w:tc>
        <w:tc>
          <w:tcPr>
            <w:tcW w:w="1129" w:type="dxa"/>
            <w:shd w:val="clear" w:color="auto" w:fill="auto"/>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绿臭蛙</w:t>
            </w:r>
          </w:p>
        </w:tc>
        <w:tc>
          <w:tcPr>
            <w:tcW w:w="5548" w:type="dxa"/>
            <w:shd w:val="clear" w:color="auto" w:fill="auto"/>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生活在山区流溪内。溪内石头甚多，水质清澈，流速湍急。溪两岸多为巨石和陡峭岩壁，其间乔木、灌丛和杂草繁茂。成蛙多蹲在山涧湍急溪段并长有苔藓、蕨类等植物的巨石或崖壁上。</w:t>
            </w:r>
          </w:p>
        </w:tc>
        <w:tc>
          <w:tcPr>
            <w:tcW w:w="685" w:type="dxa"/>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w:t>
            </w:r>
          </w:p>
        </w:tc>
        <w:tc>
          <w:tcPr>
            <w:tcW w:w="774" w:type="dxa"/>
            <w:shd w:val="clear" w:color="auto" w:fill="auto"/>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调查</w:t>
            </w:r>
          </w:p>
        </w:tc>
      </w:tr>
    </w:tbl>
    <w:p>
      <w:pPr>
        <w:spacing w:line="240" w:lineRule="auto"/>
        <w:ind w:firstLine="420"/>
        <w:jc w:val="both"/>
        <w:rPr>
          <w:rFonts w:ascii="Times New Roman" w:hAnsi="Times New Roman"/>
          <w:sz w:val="21"/>
          <w:szCs w:val="21"/>
        </w:rPr>
      </w:pPr>
      <w:r>
        <w:rPr>
          <w:rFonts w:ascii="Times New Roman" w:hAnsi="Times New Roman"/>
          <w:sz w:val="21"/>
          <w:szCs w:val="21"/>
        </w:rPr>
        <w:t>注：种群数量  +：数量稀少   ++：数量较少   +++：数量多</w:t>
      </w:r>
    </w:p>
    <w:p>
      <w:pPr>
        <w:pStyle w:val="5"/>
        <w:rPr>
          <w:rFonts w:ascii="Times New Roman" w:hAnsi="Times New Roman"/>
        </w:rPr>
      </w:pPr>
      <w:bookmarkStart w:id="174" w:name="_Toc415765629"/>
      <w:bookmarkStart w:id="175" w:name="_Toc306784696"/>
      <w:bookmarkStart w:id="176" w:name="_Toc306784038"/>
      <w:bookmarkStart w:id="177" w:name="_Toc245699445"/>
      <w:r>
        <w:rPr>
          <w:rFonts w:ascii="Times New Roman" w:hAnsi="Times New Roman"/>
        </w:rPr>
        <w:t>爬行动物</w:t>
      </w:r>
      <w:bookmarkEnd w:id="174"/>
      <w:bookmarkEnd w:id="175"/>
      <w:bookmarkEnd w:id="176"/>
      <w:bookmarkEnd w:id="177"/>
    </w:p>
    <w:p>
      <w:pPr>
        <w:ind w:firstLine="360" w:firstLineChars="150"/>
        <w:jc w:val="both"/>
        <w:rPr>
          <w:rFonts w:ascii="Times New Roman" w:hAnsi="Times New Roman"/>
        </w:rPr>
      </w:pPr>
      <w:r>
        <w:rPr>
          <w:rFonts w:ascii="Times New Roman" w:hAnsi="Times New Roman"/>
        </w:rPr>
        <w:t>（1）物种及区系组成</w:t>
      </w:r>
    </w:p>
    <w:p>
      <w:pPr>
        <w:ind w:firstLine="480"/>
        <w:jc w:val="both"/>
        <w:rPr>
          <w:rFonts w:ascii="Times New Roman" w:hAnsi="Times New Roman"/>
        </w:rPr>
      </w:pPr>
      <w:r>
        <w:rPr>
          <w:rFonts w:ascii="Times New Roman" w:hAnsi="Times New Roman"/>
        </w:rPr>
        <w:t>评价区的爬行类包括蹼趾壁虎（</w:t>
      </w:r>
      <w:r>
        <w:rPr>
          <w:rFonts w:ascii="Times New Roman" w:hAnsi="Times New Roman"/>
          <w:i/>
        </w:rPr>
        <w:t>Gekko subpalmatus</w:t>
      </w:r>
      <w:r>
        <w:rPr>
          <w:rFonts w:ascii="Times New Roman" w:hAnsi="Times New Roman"/>
        </w:rPr>
        <w:t>）、北草蜥（</w:t>
      </w:r>
      <w:r>
        <w:rPr>
          <w:rFonts w:ascii="Times New Roman" w:hAnsi="Times New Roman"/>
          <w:i/>
        </w:rPr>
        <w:t>Takydromus septentrionalis</w:t>
      </w:r>
      <w:r>
        <w:rPr>
          <w:rFonts w:ascii="Times New Roman" w:hAnsi="Times New Roman"/>
        </w:rPr>
        <w:t>）、铜蜒蜥（</w:t>
      </w:r>
      <w:r>
        <w:rPr>
          <w:rFonts w:ascii="Times New Roman" w:hAnsi="Times New Roman"/>
          <w:i/>
        </w:rPr>
        <w:t>Sphenomorphus indicum</w:t>
      </w:r>
      <w:r>
        <w:rPr>
          <w:rFonts w:ascii="Times New Roman" w:hAnsi="Times New Roman"/>
        </w:rPr>
        <w:t>）、黑眉锦蛇（</w:t>
      </w:r>
      <w:r>
        <w:rPr>
          <w:rFonts w:ascii="Times New Roman" w:hAnsi="Times New Roman"/>
          <w:i/>
        </w:rPr>
        <w:t>Elaphe taeniura</w:t>
      </w:r>
      <w:r>
        <w:rPr>
          <w:rFonts w:ascii="Times New Roman" w:hAnsi="Times New Roman"/>
        </w:rPr>
        <w:t>）、翠青蛇（</w:t>
      </w:r>
      <w:r>
        <w:rPr>
          <w:rFonts w:ascii="Times New Roman" w:hAnsi="Times New Roman"/>
          <w:i/>
        </w:rPr>
        <w:t>Cydophiops major</w:t>
      </w:r>
      <w:r>
        <w:rPr>
          <w:rFonts w:ascii="Times New Roman" w:hAnsi="Times New Roman"/>
        </w:rPr>
        <w:t>）、赤链蛇（</w:t>
      </w:r>
      <w:r>
        <w:rPr>
          <w:rFonts w:ascii="Times New Roman" w:hAnsi="Times New Roman"/>
          <w:i/>
        </w:rPr>
        <w:t>Dinodon rufozonatum</w:t>
      </w:r>
      <w:r>
        <w:rPr>
          <w:rFonts w:ascii="Times New Roman" w:hAnsi="Times New Roman"/>
        </w:rPr>
        <w:t>）、王锦蛇（</w:t>
      </w:r>
      <w:r>
        <w:rPr>
          <w:rFonts w:ascii="Times New Roman" w:hAnsi="Times New Roman"/>
          <w:i/>
        </w:rPr>
        <w:t>Elaphe carinata</w:t>
      </w:r>
      <w:r>
        <w:rPr>
          <w:rFonts w:ascii="Times New Roman" w:hAnsi="Times New Roman"/>
        </w:rPr>
        <w:t>）和乌梢蛇（</w:t>
      </w:r>
      <w:r>
        <w:rPr>
          <w:rFonts w:ascii="Times New Roman" w:hAnsi="Times New Roman"/>
          <w:i/>
        </w:rPr>
        <w:t>Zaocys dhumnades</w:t>
      </w:r>
      <w:r>
        <w:rPr>
          <w:rFonts w:ascii="Times New Roman" w:hAnsi="Times New Roman"/>
        </w:rPr>
        <w:t>）共8种。名录见附表3评价区爬行动物名录。</w:t>
      </w:r>
    </w:p>
    <w:p>
      <w:pPr>
        <w:ind w:firstLine="480"/>
        <w:jc w:val="both"/>
        <w:rPr>
          <w:rFonts w:ascii="Times New Roman" w:hAnsi="Times New Roman"/>
        </w:rPr>
      </w:pPr>
      <w:r>
        <w:rPr>
          <w:rFonts w:ascii="Times New Roman" w:hAnsi="Times New Roman"/>
        </w:rPr>
        <w:t>从动物区系来看，古北界2种，东洋界6种。从分布型来看，北草蜥和赤链蛇属于季风型，铜蜓蜥、黑眉锦蛇和乌梢蛇属于东洋型，蹼趾壁虎、翠青蛇和王锦蛇属于南中国型。</w:t>
      </w:r>
    </w:p>
    <w:p>
      <w:pPr>
        <w:ind w:firstLine="480"/>
        <w:jc w:val="both"/>
        <w:rPr>
          <w:rFonts w:ascii="Times New Roman" w:hAnsi="Times New Roman"/>
        </w:rPr>
      </w:pPr>
      <w:r>
        <w:rPr>
          <w:rFonts w:ascii="Times New Roman" w:hAnsi="Times New Roman"/>
        </w:rPr>
        <w:t>（2）评价区域内爬行类的生态类型及分布</w:t>
      </w:r>
    </w:p>
    <w:p>
      <w:pPr>
        <w:tabs>
          <w:tab w:val="left" w:pos="425"/>
        </w:tabs>
        <w:ind w:firstLine="480"/>
        <w:jc w:val="both"/>
        <w:rPr>
          <w:rFonts w:ascii="Times New Roman" w:hAnsi="Times New Roman"/>
        </w:rPr>
      </w:pPr>
      <w:r>
        <w:rPr>
          <w:rFonts w:ascii="Times New Roman" w:hAnsi="Times New Roman"/>
        </w:rPr>
        <w:t>根据《四川爬行类原色图鉴》记述，评价区爬行类的生态类型有陆栖类型和水栖类型2种。评价区内爬行类动物全部属于陆栖类型有地上类型。评价区爬行类的具体生态类型及其分布情况见下</w:t>
      </w:r>
      <w:r>
        <w:rPr>
          <w:rFonts w:ascii="Times New Roman" w:hAnsi="Times New Roman"/>
        </w:rPr>
        <w:fldChar w:fldCharType="begin"/>
      </w:r>
      <w:r>
        <w:rPr>
          <w:rFonts w:ascii="Times New Roman" w:hAnsi="Times New Roman"/>
        </w:rPr>
        <w:instrText xml:space="preserve"> REF _Ref162078566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36</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78" w:name="_Ref16207856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36</w:t>
      </w:r>
      <w:r>
        <w:rPr>
          <w:rFonts w:ascii="Times New Roman" w:hAnsi="Times New Roman" w:cs="Times New Roman"/>
        </w:rPr>
        <w:fldChar w:fldCharType="end"/>
      </w:r>
      <w:bookmarkEnd w:id="178"/>
      <w:r>
        <w:rPr>
          <w:rFonts w:ascii="Times New Roman" w:hAnsi="Times New Roman" w:cs="Times New Roman"/>
        </w:rPr>
        <w:t>评价区爬行动物生态类型及分布情况</w:t>
      </w:r>
    </w:p>
    <w:tbl>
      <w:tblPr>
        <w:tblStyle w:val="28"/>
        <w:tblW w:w="9464"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702"/>
        <w:gridCol w:w="741"/>
        <w:gridCol w:w="1217"/>
        <w:gridCol w:w="4615"/>
        <w:gridCol w:w="1065"/>
        <w:gridCol w:w="112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blHeader/>
          <w:jc w:val="center"/>
        </w:trPr>
        <w:tc>
          <w:tcPr>
            <w:tcW w:w="1443" w:type="dxa"/>
            <w:gridSpan w:val="2"/>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生态类型</w:t>
            </w:r>
          </w:p>
        </w:tc>
        <w:tc>
          <w:tcPr>
            <w:tcW w:w="1217"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物种</w:t>
            </w:r>
          </w:p>
        </w:tc>
        <w:tc>
          <w:tcPr>
            <w:tcW w:w="4615"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生态分布及生活习性</w:t>
            </w:r>
          </w:p>
        </w:tc>
        <w:tc>
          <w:tcPr>
            <w:tcW w:w="1065" w:type="dxa"/>
          </w:tcPr>
          <w:p>
            <w:pPr>
              <w:spacing w:line="320" w:lineRule="exact"/>
              <w:ind w:firstLine="0" w:firstLineChars="0"/>
              <w:jc w:val="center"/>
              <w:rPr>
                <w:rFonts w:ascii="Times New Roman" w:hAnsi="Times New Roman"/>
                <w:sz w:val="21"/>
                <w:szCs w:val="21"/>
              </w:rPr>
            </w:pPr>
            <w:r>
              <w:rPr>
                <w:rFonts w:ascii="Times New Roman" w:hAnsi="Times New Roman"/>
                <w:sz w:val="21"/>
                <w:szCs w:val="21"/>
              </w:rPr>
              <w:t>种群数量</w:t>
            </w:r>
          </w:p>
        </w:tc>
        <w:tc>
          <w:tcPr>
            <w:tcW w:w="1124"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数据来源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702" w:type="dxa"/>
            <w:vMerge w:val="restart"/>
            <w:tcBorders>
              <w:right w:val="single" w:color="auto" w:sz="4" w:space="0"/>
            </w:tcBorders>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陆栖</w:t>
            </w:r>
          </w:p>
          <w:p>
            <w:pPr>
              <w:spacing w:line="320" w:lineRule="exact"/>
              <w:ind w:firstLine="0" w:firstLineChars="0"/>
              <w:jc w:val="center"/>
              <w:rPr>
                <w:rFonts w:ascii="Times New Roman" w:hAnsi="Times New Roman"/>
                <w:sz w:val="21"/>
                <w:szCs w:val="21"/>
              </w:rPr>
            </w:pPr>
            <w:r>
              <w:rPr>
                <w:rFonts w:ascii="Times New Roman" w:hAnsi="Times New Roman"/>
                <w:sz w:val="21"/>
                <w:szCs w:val="21"/>
              </w:rPr>
              <w:t>类型</w:t>
            </w:r>
          </w:p>
        </w:tc>
        <w:tc>
          <w:tcPr>
            <w:tcW w:w="741" w:type="dxa"/>
            <w:vMerge w:val="restart"/>
            <w:tcBorders>
              <w:left w:val="single" w:color="auto" w:sz="4" w:space="0"/>
            </w:tcBorders>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地上</w:t>
            </w:r>
          </w:p>
          <w:p>
            <w:pPr>
              <w:spacing w:line="320" w:lineRule="exact"/>
              <w:ind w:firstLine="0" w:firstLineChars="0"/>
              <w:jc w:val="center"/>
              <w:rPr>
                <w:rFonts w:ascii="Times New Roman" w:hAnsi="Times New Roman"/>
                <w:sz w:val="21"/>
                <w:szCs w:val="21"/>
              </w:rPr>
            </w:pPr>
            <w:r>
              <w:rPr>
                <w:rFonts w:ascii="Times New Roman" w:hAnsi="Times New Roman"/>
                <w:sz w:val="21"/>
                <w:szCs w:val="21"/>
              </w:rPr>
              <w:t>类型</w:t>
            </w:r>
          </w:p>
          <w:p>
            <w:pPr>
              <w:spacing w:line="320" w:lineRule="exact"/>
              <w:ind w:firstLine="0" w:firstLineChars="0"/>
              <w:jc w:val="center"/>
              <w:rPr>
                <w:rFonts w:ascii="Times New Roman" w:hAnsi="Times New Roman"/>
                <w:sz w:val="21"/>
                <w:szCs w:val="21"/>
              </w:rPr>
            </w:pPr>
          </w:p>
          <w:p>
            <w:pPr>
              <w:spacing w:line="320" w:lineRule="exact"/>
              <w:ind w:firstLine="0" w:firstLineChars="0"/>
              <w:jc w:val="center"/>
              <w:rPr>
                <w:rFonts w:ascii="Times New Roman" w:hAnsi="Times New Roman"/>
                <w:sz w:val="21"/>
                <w:szCs w:val="21"/>
              </w:rPr>
            </w:pPr>
          </w:p>
          <w:p>
            <w:pPr>
              <w:spacing w:line="320" w:lineRule="exact"/>
              <w:ind w:firstLine="0" w:firstLineChars="0"/>
              <w:jc w:val="center"/>
              <w:rPr>
                <w:rFonts w:ascii="Times New Roman" w:hAnsi="Times New Roman"/>
                <w:sz w:val="21"/>
                <w:szCs w:val="21"/>
              </w:rPr>
            </w:pPr>
          </w:p>
          <w:p>
            <w:pPr>
              <w:spacing w:line="320" w:lineRule="exact"/>
              <w:ind w:firstLine="0" w:firstLineChars="0"/>
              <w:jc w:val="center"/>
              <w:rPr>
                <w:rFonts w:ascii="Times New Roman" w:hAnsi="Times New Roman"/>
                <w:sz w:val="21"/>
                <w:szCs w:val="21"/>
              </w:rPr>
            </w:pPr>
          </w:p>
          <w:p>
            <w:pPr>
              <w:spacing w:line="320" w:lineRule="exact"/>
              <w:ind w:firstLine="0" w:firstLineChars="0"/>
              <w:jc w:val="center"/>
              <w:rPr>
                <w:rFonts w:ascii="Times New Roman" w:hAnsi="Times New Roman"/>
                <w:sz w:val="21"/>
                <w:szCs w:val="21"/>
              </w:rPr>
            </w:pPr>
          </w:p>
          <w:p>
            <w:pPr>
              <w:spacing w:line="320" w:lineRule="exact"/>
              <w:ind w:firstLine="0" w:firstLineChars="0"/>
              <w:jc w:val="center"/>
              <w:rPr>
                <w:rFonts w:ascii="Times New Roman" w:hAnsi="Times New Roman"/>
                <w:sz w:val="21"/>
                <w:szCs w:val="21"/>
              </w:rPr>
            </w:pPr>
          </w:p>
          <w:p>
            <w:pPr>
              <w:spacing w:line="320" w:lineRule="exact"/>
              <w:ind w:firstLine="0" w:firstLineChars="0"/>
              <w:jc w:val="center"/>
              <w:rPr>
                <w:rFonts w:ascii="Times New Roman" w:hAnsi="Times New Roman"/>
                <w:sz w:val="21"/>
                <w:szCs w:val="21"/>
              </w:rPr>
            </w:pPr>
          </w:p>
        </w:tc>
        <w:tc>
          <w:tcPr>
            <w:tcW w:w="1217"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蹼趾壁虎</w:t>
            </w:r>
          </w:p>
        </w:tc>
        <w:tc>
          <w:tcPr>
            <w:tcW w:w="4615"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评价区灌丛和草丛，食小型昆虫，</w:t>
            </w:r>
            <w:r>
              <w:fldChar w:fldCharType="begin"/>
            </w:r>
            <w:r>
              <w:instrText xml:space="preserve"> HYPERLINK "http://baike.baidu.com/view/36833.htm" \t "_blank" </w:instrText>
            </w:r>
            <w:r>
              <w:fldChar w:fldCharType="separate"/>
            </w:r>
            <w:r>
              <w:rPr>
                <w:rFonts w:ascii="Times New Roman" w:hAnsi="Times New Roman"/>
                <w:sz w:val="21"/>
                <w:szCs w:val="21"/>
              </w:rPr>
              <w:t>海拔</w:t>
            </w:r>
            <w:r>
              <w:rPr>
                <w:rFonts w:ascii="Times New Roman" w:hAnsi="Times New Roman"/>
                <w:sz w:val="21"/>
                <w:szCs w:val="21"/>
              </w:rPr>
              <w:fldChar w:fldCharType="end"/>
            </w:r>
            <w:r>
              <w:rPr>
                <w:rFonts w:ascii="Times New Roman" w:hAnsi="Times New Roman"/>
                <w:sz w:val="21"/>
                <w:szCs w:val="21"/>
              </w:rPr>
              <w:t>500-1100m左右</w:t>
            </w:r>
          </w:p>
        </w:tc>
        <w:tc>
          <w:tcPr>
            <w:tcW w:w="1065"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w:t>
            </w:r>
          </w:p>
        </w:tc>
        <w:tc>
          <w:tcPr>
            <w:tcW w:w="1124"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调查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702" w:type="dxa"/>
            <w:vMerge w:val="continue"/>
            <w:tcBorders>
              <w:right w:val="single" w:color="auto" w:sz="4" w:space="0"/>
            </w:tcBorders>
            <w:vAlign w:val="center"/>
          </w:tcPr>
          <w:p>
            <w:pPr>
              <w:spacing w:line="320" w:lineRule="exact"/>
              <w:ind w:firstLine="0" w:firstLineChars="0"/>
              <w:jc w:val="both"/>
              <w:rPr>
                <w:rFonts w:ascii="Times New Roman" w:hAnsi="Times New Roman"/>
                <w:sz w:val="21"/>
                <w:szCs w:val="21"/>
              </w:rPr>
            </w:pPr>
          </w:p>
        </w:tc>
        <w:tc>
          <w:tcPr>
            <w:tcW w:w="741" w:type="dxa"/>
            <w:vMerge w:val="continue"/>
            <w:tcBorders>
              <w:left w:val="single" w:color="auto" w:sz="4" w:space="0"/>
            </w:tcBorders>
            <w:vAlign w:val="center"/>
          </w:tcPr>
          <w:p>
            <w:pPr>
              <w:spacing w:line="320" w:lineRule="exact"/>
              <w:ind w:firstLine="0" w:firstLineChars="0"/>
              <w:jc w:val="both"/>
              <w:rPr>
                <w:rFonts w:ascii="Times New Roman" w:hAnsi="Times New Roman"/>
                <w:sz w:val="21"/>
                <w:szCs w:val="21"/>
              </w:rPr>
            </w:pPr>
          </w:p>
        </w:tc>
        <w:tc>
          <w:tcPr>
            <w:tcW w:w="1217"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铜蜓蜥</w:t>
            </w:r>
          </w:p>
        </w:tc>
        <w:tc>
          <w:tcPr>
            <w:tcW w:w="4615"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评价区乱石堆、村落旁土石缝隙间。</w:t>
            </w:r>
            <w:r>
              <w:rPr>
                <w:rFonts w:ascii="Times New Roman" w:hAnsi="Times New Roman"/>
              </w:rPr>
              <w:fldChar w:fldCharType="begin"/>
            </w:r>
            <w:r>
              <w:rPr>
                <w:rFonts w:ascii="Times New Roman" w:hAnsi="Times New Roman"/>
              </w:rPr>
              <w:instrText xml:space="preserve">HYPERLINK "http://baike.baidu.com/view/36833.htm" \t "_blank"</w:instrText>
            </w:r>
            <w:r>
              <w:rPr>
                <w:rFonts w:ascii="Times New Roman" w:hAnsi="Times New Roman"/>
              </w:rPr>
              <w:fldChar w:fldCharType="separate"/>
            </w:r>
            <w:r>
              <w:rPr>
                <w:rFonts w:ascii="Times New Roman" w:hAnsi="Times New Roman"/>
                <w:sz w:val="21"/>
                <w:szCs w:val="21"/>
              </w:rPr>
              <w:t>海拔</w:t>
            </w:r>
            <w:r>
              <w:rPr>
                <w:rFonts w:ascii="Times New Roman" w:hAnsi="Times New Roman"/>
                <w:sz w:val="21"/>
                <w:szCs w:val="21"/>
              </w:rPr>
              <w:fldChar w:fldCharType="end"/>
            </w:r>
            <w:r>
              <w:rPr>
                <w:rFonts w:ascii="Times New Roman" w:hAnsi="Times New Roman"/>
                <w:sz w:val="21"/>
                <w:szCs w:val="21"/>
              </w:rPr>
              <w:t>1200m以下。</w:t>
            </w:r>
          </w:p>
        </w:tc>
        <w:tc>
          <w:tcPr>
            <w:tcW w:w="1065"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w:t>
            </w:r>
          </w:p>
        </w:tc>
        <w:tc>
          <w:tcPr>
            <w:tcW w:w="1124"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调查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9" w:hRule="atLeast"/>
          <w:jc w:val="center"/>
        </w:trPr>
        <w:tc>
          <w:tcPr>
            <w:tcW w:w="702" w:type="dxa"/>
            <w:vMerge w:val="continue"/>
            <w:tcBorders>
              <w:right w:val="single" w:color="auto" w:sz="4" w:space="0"/>
            </w:tcBorders>
            <w:vAlign w:val="center"/>
          </w:tcPr>
          <w:p>
            <w:pPr>
              <w:spacing w:line="320" w:lineRule="exact"/>
              <w:ind w:firstLine="0" w:firstLineChars="0"/>
              <w:jc w:val="both"/>
              <w:rPr>
                <w:rFonts w:ascii="Times New Roman" w:hAnsi="Times New Roman"/>
                <w:sz w:val="21"/>
                <w:szCs w:val="21"/>
              </w:rPr>
            </w:pPr>
          </w:p>
        </w:tc>
        <w:tc>
          <w:tcPr>
            <w:tcW w:w="741" w:type="dxa"/>
            <w:vMerge w:val="continue"/>
            <w:tcBorders>
              <w:left w:val="single" w:color="auto" w:sz="4" w:space="0"/>
            </w:tcBorders>
            <w:vAlign w:val="center"/>
          </w:tcPr>
          <w:p>
            <w:pPr>
              <w:spacing w:line="320" w:lineRule="exact"/>
              <w:ind w:firstLine="0" w:firstLineChars="0"/>
              <w:jc w:val="both"/>
              <w:rPr>
                <w:rFonts w:ascii="Times New Roman" w:hAnsi="Times New Roman"/>
                <w:sz w:val="21"/>
                <w:szCs w:val="21"/>
              </w:rPr>
            </w:pPr>
          </w:p>
        </w:tc>
        <w:tc>
          <w:tcPr>
            <w:tcW w:w="1217"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黑眉锦蛇</w:t>
            </w:r>
          </w:p>
        </w:tc>
        <w:tc>
          <w:tcPr>
            <w:tcW w:w="4615"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评价区森林、灌丛和农田等多种生境中，食啮齿类</w:t>
            </w:r>
            <w:r>
              <w:rPr>
                <w:rFonts w:ascii="Times New Roman" w:hAnsi="Times New Roman"/>
              </w:rPr>
              <w:fldChar w:fldCharType="begin"/>
            </w:r>
            <w:r>
              <w:rPr>
                <w:rFonts w:ascii="Times New Roman" w:hAnsi="Times New Roman"/>
              </w:rPr>
              <w:instrText xml:space="preserve">HYPERLINK "http://baike.baidu.com/view/7866.htm" \t "_blank"</w:instrText>
            </w:r>
            <w:r>
              <w:rPr>
                <w:rFonts w:ascii="Times New Roman" w:hAnsi="Times New Roman"/>
              </w:rPr>
              <w:fldChar w:fldCharType="separate"/>
            </w:r>
            <w:r>
              <w:rPr>
                <w:rFonts w:ascii="Times New Roman" w:hAnsi="Times New Roman"/>
                <w:sz w:val="21"/>
                <w:szCs w:val="21"/>
              </w:rPr>
              <w:t>动物</w:t>
            </w:r>
            <w:r>
              <w:rPr>
                <w:rFonts w:ascii="Times New Roman" w:hAnsi="Times New Roman"/>
                <w:sz w:val="21"/>
                <w:szCs w:val="21"/>
              </w:rPr>
              <w:fldChar w:fldCharType="end"/>
            </w:r>
            <w:r>
              <w:rPr>
                <w:rFonts w:ascii="Times New Roman" w:hAnsi="Times New Roman"/>
                <w:sz w:val="21"/>
                <w:szCs w:val="21"/>
              </w:rPr>
              <w:t>,</w:t>
            </w:r>
            <w:r>
              <w:fldChar w:fldCharType="begin"/>
            </w:r>
            <w:r>
              <w:instrText xml:space="preserve"> HYPERLINK "http://baike.baidu.com/view/13702.htm" \t "_blank" </w:instrText>
            </w:r>
            <w:r>
              <w:fldChar w:fldCharType="separate"/>
            </w:r>
            <w:r>
              <w:rPr>
                <w:rFonts w:ascii="Times New Roman" w:hAnsi="Times New Roman"/>
                <w:sz w:val="21"/>
                <w:szCs w:val="21"/>
              </w:rPr>
              <w:t>鸟类</w:t>
            </w:r>
            <w:r>
              <w:rPr>
                <w:rFonts w:ascii="Times New Roman" w:hAnsi="Times New Roman"/>
                <w:sz w:val="21"/>
                <w:szCs w:val="21"/>
              </w:rPr>
              <w:fldChar w:fldCharType="end"/>
            </w:r>
            <w:r>
              <w:rPr>
                <w:rFonts w:ascii="Times New Roman" w:hAnsi="Times New Roman"/>
                <w:sz w:val="21"/>
                <w:szCs w:val="21"/>
              </w:rPr>
              <w:t>,蛙等，</w:t>
            </w:r>
            <w:r>
              <w:rPr>
                <w:rFonts w:ascii="Times New Roman" w:hAnsi="Times New Roman"/>
              </w:rPr>
              <w:fldChar w:fldCharType="begin"/>
            </w:r>
            <w:r>
              <w:rPr>
                <w:rFonts w:ascii="Times New Roman" w:hAnsi="Times New Roman"/>
              </w:rPr>
              <w:instrText xml:space="preserve">HYPERLINK "http://baike.baidu.com/view/36833.htm" \t "_blank"</w:instrText>
            </w:r>
            <w:r>
              <w:rPr>
                <w:rFonts w:ascii="Times New Roman" w:hAnsi="Times New Roman"/>
              </w:rPr>
              <w:fldChar w:fldCharType="separate"/>
            </w:r>
            <w:r>
              <w:rPr>
                <w:rFonts w:ascii="Times New Roman" w:hAnsi="Times New Roman"/>
                <w:sz w:val="21"/>
                <w:szCs w:val="21"/>
              </w:rPr>
              <w:t>海拔</w:t>
            </w:r>
            <w:r>
              <w:rPr>
                <w:rFonts w:ascii="Times New Roman" w:hAnsi="Times New Roman"/>
                <w:sz w:val="21"/>
                <w:szCs w:val="21"/>
              </w:rPr>
              <w:fldChar w:fldCharType="end"/>
            </w:r>
            <w:r>
              <w:rPr>
                <w:rFonts w:ascii="Times New Roman" w:hAnsi="Times New Roman"/>
                <w:sz w:val="21"/>
                <w:szCs w:val="21"/>
              </w:rPr>
              <w:t>1500m以下。</w:t>
            </w:r>
          </w:p>
        </w:tc>
        <w:tc>
          <w:tcPr>
            <w:tcW w:w="1065"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w:t>
            </w:r>
          </w:p>
        </w:tc>
        <w:tc>
          <w:tcPr>
            <w:tcW w:w="1124"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调查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2" w:hRule="atLeast"/>
          <w:jc w:val="center"/>
        </w:trPr>
        <w:tc>
          <w:tcPr>
            <w:tcW w:w="702" w:type="dxa"/>
            <w:vMerge w:val="continue"/>
            <w:tcBorders>
              <w:right w:val="single" w:color="auto" w:sz="4" w:space="0"/>
            </w:tcBorders>
            <w:vAlign w:val="center"/>
          </w:tcPr>
          <w:p>
            <w:pPr>
              <w:spacing w:line="320" w:lineRule="exact"/>
              <w:ind w:firstLine="0" w:firstLineChars="0"/>
              <w:jc w:val="both"/>
              <w:rPr>
                <w:rFonts w:ascii="Times New Roman" w:hAnsi="Times New Roman"/>
                <w:sz w:val="21"/>
                <w:szCs w:val="21"/>
              </w:rPr>
            </w:pPr>
          </w:p>
        </w:tc>
        <w:tc>
          <w:tcPr>
            <w:tcW w:w="741" w:type="dxa"/>
            <w:vMerge w:val="continue"/>
            <w:tcBorders>
              <w:left w:val="single" w:color="auto" w:sz="4" w:space="0"/>
            </w:tcBorders>
            <w:vAlign w:val="center"/>
          </w:tcPr>
          <w:p>
            <w:pPr>
              <w:spacing w:line="320" w:lineRule="exact"/>
              <w:ind w:firstLine="0" w:firstLineChars="0"/>
              <w:jc w:val="both"/>
              <w:rPr>
                <w:rFonts w:ascii="Times New Roman" w:hAnsi="Times New Roman"/>
                <w:sz w:val="21"/>
                <w:szCs w:val="21"/>
              </w:rPr>
            </w:pPr>
          </w:p>
        </w:tc>
        <w:tc>
          <w:tcPr>
            <w:tcW w:w="1217"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北草蜥</w:t>
            </w:r>
          </w:p>
        </w:tc>
        <w:tc>
          <w:tcPr>
            <w:tcW w:w="4615"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评价区500-1000m左右的山坡以及生活在山地草丛中，以昆虫为食</w:t>
            </w:r>
          </w:p>
        </w:tc>
        <w:tc>
          <w:tcPr>
            <w:tcW w:w="1065"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w:t>
            </w:r>
          </w:p>
        </w:tc>
        <w:tc>
          <w:tcPr>
            <w:tcW w:w="1124"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资料</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702" w:type="dxa"/>
            <w:vMerge w:val="continue"/>
            <w:tcBorders>
              <w:right w:val="single" w:color="auto" w:sz="4" w:space="0"/>
            </w:tcBorders>
            <w:vAlign w:val="center"/>
          </w:tcPr>
          <w:p>
            <w:pPr>
              <w:spacing w:line="320" w:lineRule="exact"/>
              <w:ind w:firstLine="0" w:firstLineChars="0"/>
              <w:jc w:val="both"/>
              <w:rPr>
                <w:rFonts w:ascii="Times New Roman" w:hAnsi="Times New Roman"/>
                <w:sz w:val="21"/>
                <w:szCs w:val="21"/>
              </w:rPr>
            </w:pPr>
          </w:p>
        </w:tc>
        <w:tc>
          <w:tcPr>
            <w:tcW w:w="741" w:type="dxa"/>
            <w:vMerge w:val="continue"/>
            <w:tcBorders>
              <w:left w:val="single" w:color="auto" w:sz="4" w:space="0"/>
            </w:tcBorders>
            <w:vAlign w:val="center"/>
          </w:tcPr>
          <w:p>
            <w:pPr>
              <w:spacing w:line="320" w:lineRule="exact"/>
              <w:ind w:firstLine="0" w:firstLineChars="0"/>
              <w:jc w:val="both"/>
              <w:rPr>
                <w:rFonts w:ascii="Times New Roman" w:hAnsi="Times New Roman"/>
                <w:sz w:val="21"/>
                <w:szCs w:val="21"/>
              </w:rPr>
            </w:pPr>
          </w:p>
        </w:tc>
        <w:tc>
          <w:tcPr>
            <w:tcW w:w="1217"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翠青蛇</w:t>
            </w:r>
          </w:p>
        </w:tc>
        <w:tc>
          <w:tcPr>
            <w:tcW w:w="4615"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评价区草木茂盛或荫蔽潮湿的环境中活动。以蚯蚓、蛙类及小昆虫为食。其栖息的海拔范围为500至1100m左右。</w:t>
            </w:r>
          </w:p>
        </w:tc>
        <w:tc>
          <w:tcPr>
            <w:tcW w:w="1065"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w:t>
            </w:r>
          </w:p>
        </w:tc>
        <w:tc>
          <w:tcPr>
            <w:tcW w:w="1124"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调查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702" w:type="dxa"/>
            <w:vMerge w:val="continue"/>
            <w:tcBorders>
              <w:right w:val="single" w:color="auto" w:sz="4" w:space="0"/>
            </w:tcBorders>
            <w:vAlign w:val="center"/>
          </w:tcPr>
          <w:p>
            <w:pPr>
              <w:spacing w:line="320" w:lineRule="exact"/>
              <w:ind w:firstLine="0" w:firstLineChars="0"/>
              <w:jc w:val="both"/>
              <w:rPr>
                <w:rFonts w:ascii="Times New Roman" w:hAnsi="Times New Roman"/>
                <w:sz w:val="21"/>
                <w:szCs w:val="21"/>
              </w:rPr>
            </w:pPr>
          </w:p>
        </w:tc>
        <w:tc>
          <w:tcPr>
            <w:tcW w:w="741" w:type="dxa"/>
            <w:vMerge w:val="continue"/>
            <w:tcBorders>
              <w:left w:val="single" w:color="auto" w:sz="4" w:space="0"/>
            </w:tcBorders>
            <w:vAlign w:val="center"/>
          </w:tcPr>
          <w:p>
            <w:pPr>
              <w:spacing w:line="320" w:lineRule="exact"/>
              <w:ind w:firstLine="0" w:firstLineChars="0"/>
              <w:jc w:val="both"/>
              <w:rPr>
                <w:rFonts w:ascii="Times New Roman" w:hAnsi="Times New Roman"/>
                <w:sz w:val="21"/>
                <w:szCs w:val="21"/>
              </w:rPr>
            </w:pPr>
          </w:p>
        </w:tc>
        <w:tc>
          <w:tcPr>
            <w:tcW w:w="1217"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乌梢蛇</w:t>
            </w:r>
          </w:p>
        </w:tc>
        <w:tc>
          <w:tcPr>
            <w:tcW w:w="4615"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评价区村落、农田及草丛中。以蛙类（主食）、蜥蜴、鱼类、鼠类等为食。其栖息的海拔范围为500至1200m左右。</w:t>
            </w:r>
          </w:p>
        </w:tc>
        <w:tc>
          <w:tcPr>
            <w:tcW w:w="1065"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w:t>
            </w:r>
          </w:p>
        </w:tc>
        <w:tc>
          <w:tcPr>
            <w:tcW w:w="1124"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访问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702" w:type="dxa"/>
            <w:vMerge w:val="continue"/>
            <w:tcBorders>
              <w:right w:val="single" w:color="auto" w:sz="4" w:space="0"/>
            </w:tcBorders>
            <w:vAlign w:val="center"/>
          </w:tcPr>
          <w:p>
            <w:pPr>
              <w:spacing w:line="320" w:lineRule="exact"/>
              <w:ind w:firstLine="0" w:firstLineChars="0"/>
              <w:jc w:val="both"/>
              <w:rPr>
                <w:rFonts w:ascii="Times New Roman" w:hAnsi="Times New Roman"/>
                <w:sz w:val="21"/>
                <w:szCs w:val="21"/>
              </w:rPr>
            </w:pPr>
          </w:p>
        </w:tc>
        <w:tc>
          <w:tcPr>
            <w:tcW w:w="741" w:type="dxa"/>
            <w:vMerge w:val="continue"/>
            <w:tcBorders>
              <w:left w:val="single" w:color="auto" w:sz="4" w:space="0"/>
            </w:tcBorders>
            <w:vAlign w:val="center"/>
          </w:tcPr>
          <w:p>
            <w:pPr>
              <w:spacing w:line="320" w:lineRule="exact"/>
              <w:ind w:firstLine="0" w:firstLineChars="0"/>
              <w:jc w:val="both"/>
              <w:rPr>
                <w:rFonts w:ascii="Times New Roman" w:hAnsi="Times New Roman"/>
                <w:sz w:val="21"/>
                <w:szCs w:val="21"/>
              </w:rPr>
            </w:pPr>
          </w:p>
        </w:tc>
        <w:tc>
          <w:tcPr>
            <w:tcW w:w="1217"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王锦蛇</w:t>
            </w:r>
          </w:p>
        </w:tc>
        <w:tc>
          <w:tcPr>
            <w:tcW w:w="4615"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评价区河边、田野均有栖息。其栖息的海拔范围为500～1200m左右。食啮齿类</w:t>
            </w:r>
            <w:r>
              <w:rPr>
                <w:rFonts w:ascii="Times New Roman" w:hAnsi="Times New Roman"/>
              </w:rPr>
              <w:fldChar w:fldCharType="begin"/>
            </w:r>
            <w:r>
              <w:rPr>
                <w:rFonts w:ascii="Times New Roman" w:hAnsi="Times New Roman"/>
              </w:rPr>
              <w:instrText xml:space="preserve">HYPERLINK "http://baike.baidu.com/view/7866.htm" \t "_blank"</w:instrText>
            </w:r>
            <w:r>
              <w:rPr>
                <w:rFonts w:ascii="Times New Roman" w:hAnsi="Times New Roman"/>
              </w:rPr>
              <w:fldChar w:fldCharType="separate"/>
            </w:r>
            <w:r>
              <w:rPr>
                <w:rFonts w:ascii="Times New Roman" w:hAnsi="Times New Roman"/>
                <w:sz w:val="21"/>
                <w:szCs w:val="21"/>
              </w:rPr>
              <w:t>动物</w:t>
            </w:r>
            <w:r>
              <w:rPr>
                <w:rFonts w:ascii="Times New Roman" w:hAnsi="Times New Roman"/>
                <w:sz w:val="21"/>
                <w:szCs w:val="21"/>
              </w:rPr>
              <w:fldChar w:fldCharType="end"/>
            </w:r>
            <w:r>
              <w:rPr>
                <w:rFonts w:ascii="Times New Roman" w:hAnsi="Times New Roman"/>
                <w:sz w:val="21"/>
                <w:szCs w:val="21"/>
              </w:rPr>
              <w:t>,</w:t>
            </w:r>
            <w:r>
              <w:fldChar w:fldCharType="begin"/>
            </w:r>
            <w:r>
              <w:instrText xml:space="preserve"> HYPERLINK "http://baike.baidu.com/view/13702.htm" \t "_blank" </w:instrText>
            </w:r>
            <w:r>
              <w:fldChar w:fldCharType="separate"/>
            </w:r>
            <w:r>
              <w:rPr>
                <w:rFonts w:ascii="Times New Roman" w:hAnsi="Times New Roman"/>
                <w:sz w:val="21"/>
                <w:szCs w:val="21"/>
              </w:rPr>
              <w:t>鸟类</w:t>
            </w:r>
            <w:r>
              <w:rPr>
                <w:rFonts w:ascii="Times New Roman" w:hAnsi="Times New Roman"/>
                <w:sz w:val="21"/>
                <w:szCs w:val="21"/>
              </w:rPr>
              <w:fldChar w:fldCharType="end"/>
            </w:r>
            <w:r>
              <w:rPr>
                <w:rFonts w:ascii="Times New Roman" w:hAnsi="Times New Roman"/>
                <w:sz w:val="21"/>
                <w:szCs w:val="21"/>
              </w:rPr>
              <w:t>,蛙,小型</w:t>
            </w:r>
            <w:r>
              <w:rPr>
                <w:rFonts w:ascii="Times New Roman" w:hAnsi="Times New Roman"/>
              </w:rPr>
              <w:fldChar w:fldCharType="begin"/>
            </w:r>
            <w:r>
              <w:rPr>
                <w:rFonts w:ascii="Times New Roman" w:hAnsi="Times New Roman"/>
              </w:rPr>
              <w:instrText xml:space="preserve">HYPERLINK "http://baike.baidu.com/view/16586.htm" \t "_blank"</w:instrText>
            </w:r>
            <w:r>
              <w:rPr>
                <w:rFonts w:ascii="Times New Roman" w:hAnsi="Times New Roman"/>
              </w:rPr>
              <w:fldChar w:fldCharType="separate"/>
            </w:r>
            <w:r>
              <w:rPr>
                <w:rFonts w:ascii="Times New Roman" w:hAnsi="Times New Roman"/>
                <w:sz w:val="21"/>
                <w:szCs w:val="21"/>
              </w:rPr>
              <w:t>蜥蜴</w:t>
            </w:r>
            <w:r>
              <w:rPr>
                <w:rFonts w:ascii="Times New Roman" w:hAnsi="Times New Roman"/>
                <w:sz w:val="21"/>
                <w:szCs w:val="21"/>
              </w:rPr>
              <w:fldChar w:fldCharType="end"/>
            </w:r>
            <w:r>
              <w:rPr>
                <w:rFonts w:ascii="Times New Roman" w:hAnsi="Times New Roman"/>
                <w:sz w:val="21"/>
                <w:szCs w:val="21"/>
              </w:rPr>
              <w:t>等。</w:t>
            </w:r>
          </w:p>
        </w:tc>
        <w:tc>
          <w:tcPr>
            <w:tcW w:w="1065"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w:t>
            </w:r>
          </w:p>
        </w:tc>
        <w:tc>
          <w:tcPr>
            <w:tcW w:w="1124"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调查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702" w:type="dxa"/>
            <w:vMerge w:val="continue"/>
            <w:tcBorders>
              <w:right w:val="single" w:color="auto" w:sz="4" w:space="0"/>
            </w:tcBorders>
            <w:vAlign w:val="center"/>
          </w:tcPr>
          <w:p>
            <w:pPr>
              <w:spacing w:line="320" w:lineRule="exact"/>
              <w:ind w:firstLine="0" w:firstLineChars="0"/>
              <w:jc w:val="both"/>
              <w:rPr>
                <w:rFonts w:ascii="Times New Roman" w:hAnsi="Times New Roman"/>
                <w:sz w:val="21"/>
                <w:szCs w:val="21"/>
              </w:rPr>
            </w:pPr>
          </w:p>
        </w:tc>
        <w:tc>
          <w:tcPr>
            <w:tcW w:w="741" w:type="dxa"/>
            <w:vMerge w:val="continue"/>
            <w:tcBorders>
              <w:left w:val="single" w:color="auto" w:sz="4" w:space="0"/>
            </w:tcBorders>
            <w:vAlign w:val="center"/>
          </w:tcPr>
          <w:p>
            <w:pPr>
              <w:spacing w:line="320" w:lineRule="exact"/>
              <w:ind w:firstLine="0" w:firstLineChars="0"/>
              <w:jc w:val="both"/>
              <w:rPr>
                <w:rFonts w:ascii="Times New Roman" w:hAnsi="Times New Roman"/>
                <w:sz w:val="21"/>
                <w:szCs w:val="21"/>
              </w:rPr>
            </w:pPr>
          </w:p>
        </w:tc>
        <w:tc>
          <w:tcPr>
            <w:tcW w:w="1217"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赤链蛇</w:t>
            </w:r>
          </w:p>
        </w:tc>
        <w:tc>
          <w:tcPr>
            <w:tcW w:w="4615" w:type="dxa"/>
            <w:vAlign w:val="center"/>
          </w:tcPr>
          <w:p>
            <w:pPr>
              <w:spacing w:line="320" w:lineRule="exact"/>
              <w:ind w:firstLine="0" w:firstLineChars="0"/>
              <w:jc w:val="both"/>
              <w:rPr>
                <w:rFonts w:ascii="Times New Roman" w:hAnsi="Times New Roman"/>
                <w:sz w:val="21"/>
                <w:szCs w:val="21"/>
              </w:rPr>
            </w:pPr>
            <w:r>
              <w:rPr>
                <w:rFonts w:ascii="Times New Roman" w:hAnsi="Times New Roman"/>
                <w:sz w:val="21"/>
                <w:szCs w:val="21"/>
              </w:rPr>
              <w:t>评价区田野、河边、丘陵及近水地带，并常出现于住宅周围，食蟾蜍、青蛙、蜥蜴、鱼类、老鼠、蛇、鸟、动物尸体等。其栖息的海拔范围为500～1000m左右。</w:t>
            </w:r>
          </w:p>
        </w:tc>
        <w:tc>
          <w:tcPr>
            <w:tcW w:w="1065"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w:t>
            </w:r>
          </w:p>
        </w:tc>
        <w:tc>
          <w:tcPr>
            <w:tcW w:w="1124" w:type="dxa"/>
            <w:vAlign w:val="center"/>
          </w:tcPr>
          <w:p>
            <w:pPr>
              <w:spacing w:line="320" w:lineRule="exact"/>
              <w:ind w:firstLine="0" w:firstLineChars="0"/>
              <w:jc w:val="center"/>
              <w:rPr>
                <w:rFonts w:ascii="Times New Roman" w:hAnsi="Times New Roman"/>
                <w:sz w:val="21"/>
                <w:szCs w:val="21"/>
              </w:rPr>
            </w:pPr>
            <w:r>
              <w:rPr>
                <w:rFonts w:ascii="Times New Roman" w:hAnsi="Times New Roman"/>
                <w:sz w:val="21"/>
                <w:szCs w:val="21"/>
              </w:rPr>
              <w:t>资料</w:t>
            </w:r>
          </w:p>
        </w:tc>
      </w:tr>
    </w:tbl>
    <w:p>
      <w:pPr>
        <w:spacing w:line="240" w:lineRule="auto"/>
        <w:ind w:firstLine="420"/>
        <w:jc w:val="both"/>
        <w:rPr>
          <w:rFonts w:ascii="Times New Roman" w:hAnsi="Times New Roman"/>
          <w:sz w:val="21"/>
          <w:szCs w:val="21"/>
        </w:rPr>
      </w:pPr>
      <w:r>
        <w:rPr>
          <w:rFonts w:ascii="Times New Roman" w:hAnsi="Times New Roman"/>
          <w:sz w:val="21"/>
          <w:szCs w:val="21"/>
        </w:rPr>
        <w:t>注：种群数量  +：数量稀少   ++：数量较少   +++：数量多</w:t>
      </w:r>
    </w:p>
    <w:p>
      <w:pPr>
        <w:pStyle w:val="5"/>
        <w:rPr>
          <w:rFonts w:ascii="Times New Roman" w:hAnsi="Times New Roman"/>
        </w:rPr>
      </w:pPr>
      <w:bookmarkStart w:id="179" w:name="_Toc306784039"/>
      <w:bookmarkStart w:id="180" w:name="_Toc245699446"/>
      <w:bookmarkStart w:id="181" w:name="_Toc306784697"/>
      <w:bookmarkStart w:id="182" w:name="_Toc415765630"/>
      <w:r>
        <w:rPr>
          <w:rFonts w:ascii="Times New Roman" w:hAnsi="Times New Roman"/>
        </w:rPr>
        <w:t>鸟类</w:t>
      </w:r>
      <w:bookmarkEnd w:id="179"/>
      <w:bookmarkEnd w:id="180"/>
      <w:bookmarkEnd w:id="181"/>
      <w:bookmarkEnd w:id="182"/>
      <w:r>
        <w:rPr>
          <w:rFonts w:ascii="Times New Roman" w:hAnsi="Times New Roman"/>
        </w:rPr>
        <w:t>动物</w:t>
      </w:r>
    </w:p>
    <w:p>
      <w:pPr>
        <w:ind w:firstLine="360" w:firstLineChars="150"/>
        <w:jc w:val="both"/>
        <w:rPr>
          <w:rFonts w:ascii="Times New Roman" w:hAnsi="Times New Roman"/>
        </w:rPr>
      </w:pPr>
      <w:r>
        <w:rPr>
          <w:rFonts w:ascii="Times New Roman" w:hAnsi="Times New Roman"/>
        </w:rPr>
        <w:t>（1）物种组成、居留类型及区系分析</w:t>
      </w:r>
    </w:p>
    <w:p>
      <w:pPr>
        <w:ind w:firstLine="480"/>
        <w:jc w:val="both"/>
        <w:rPr>
          <w:rFonts w:ascii="Times New Roman" w:hAnsi="Times New Roman"/>
        </w:rPr>
      </w:pPr>
      <w:r>
        <w:rPr>
          <w:rFonts w:ascii="Times New Roman" w:hAnsi="Times New Roman"/>
        </w:rPr>
        <w:t>评价区鸟类共计14目35科61种，见附录4。从鸟类目级分类阶元看，</w:t>
      </w:r>
      <w:r>
        <w:rPr>
          <w:rFonts w:ascii="Times New Roman" w:hAnsi="Times New Roman"/>
          <w:bCs/>
        </w:rPr>
        <w:t>调查评价区</w:t>
      </w:r>
      <w:r>
        <w:rPr>
          <w:rFonts w:ascii="Times New Roman" w:hAnsi="Times New Roman"/>
        </w:rPr>
        <w:t>内鸟类以雀形目占优势，含21科38种，占</w:t>
      </w:r>
      <w:r>
        <w:rPr>
          <w:rFonts w:ascii="Times New Roman" w:hAnsi="Times New Roman"/>
          <w:bCs/>
        </w:rPr>
        <w:t>评价区</w:t>
      </w:r>
      <w:r>
        <w:rPr>
          <w:rFonts w:ascii="Times New Roman" w:hAnsi="Times New Roman"/>
        </w:rPr>
        <w:t>内鸟类科总数的60.00 %，占总种数的62.30 %。而非雀形目14科23种，占</w:t>
      </w:r>
      <w:r>
        <w:rPr>
          <w:rFonts w:ascii="Times New Roman" w:hAnsi="Times New Roman"/>
          <w:bCs/>
        </w:rPr>
        <w:t>评价区</w:t>
      </w:r>
      <w:r>
        <w:rPr>
          <w:rFonts w:ascii="Times New Roman" w:hAnsi="Times New Roman"/>
        </w:rPr>
        <w:t>内鸟类科总数的40.00 %，占总种数的37.70%。</w:t>
      </w:r>
    </w:p>
    <w:p>
      <w:pPr>
        <w:ind w:firstLine="480"/>
        <w:jc w:val="both"/>
        <w:rPr>
          <w:rFonts w:ascii="Times New Roman" w:hAnsi="Times New Roman"/>
        </w:rPr>
      </w:pPr>
      <w:r>
        <w:rPr>
          <w:rFonts w:ascii="Times New Roman" w:hAnsi="Times New Roman"/>
        </w:rPr>
        <w:t>从居留类型看，</w:t>
      </w:r>
      <w:r>
        <w:rPr>
          <w:rFonts w:ascii="Times New Roman" w:hAnsi="Times New Roman"/>
          <w:bCs/>
        </w:rPr>
        <w:t>评价区</w:t>
      </w:r>
      <w:r>
        <w:rPr>
          <w:rFonts w:ascii="Times New Roman" w:hAnsi="Times New Roman"/>
        </w:rPr>
        <w:t>内有留鸟30种，占鸟类总数的49.18 %；夏候鸟20种，约占32.79 %；冬候鸟7种，约占11.48 %；旅鸟4种，占6.56 %。</w:t>
      </w:r>
    </w:p>
    <w:p>
      <w:pPr>
        <w:ind w:firstLine="480"/>
        <w:jc w:val="both"/>
        <w:rPr>
          <w:rFonts w:ascii="Times New Roman" w:hAnsi="Times New Roman"/>
        </w:rPr>
      </w:pPr>
      <w:r>
        <w:rPr>
          <w:rFonts w:ascii="Times New Roman" w:hAnsi="Times New Roman"/>
        </w:rPr>
        <w:t>从区系及分布型来看，评价区内已确定的61种鸟类中属古北界的有22种，占评价区内鸟类总数的36.07 %；属东洋界的有31种，占评价区内鸟类总数的50.82 %；属广布种的有8种，占评价区内鸟类总数的13.11 %。从分布型看，其中种类较多的有东洋型22种、不易归类型8种、古北型10种和南中国型5种，其它分布型详见</w:t>
      </w:r>
      <w:r>
        <w:rPr>
          <w:rFonts w:ascii="Times New Roman" w:hAnsi="Times New Roman"/>
        </w:rPr>
        <w:fldChar w:fldCharType="begin"/>
      </w:r>
      <w:r>
        <w:rPr>
          <w:rFonts w:ascii="Times New Roman" w:hAnsi="Times New Roman"/>
        </w:rPr>
        <w:instrText xml:space="preserve"> REF _Ref162078607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37</w:t>
      </w:r>
      <w:r>
        <w:rPr>
          <w:rFonts w:ascii="Times New Roman" w:hAnsi="Times New Roman"/>
        </w:rPr>
        <w:fldChar w:fldCharType="end"/>
      </w:r>
      <w:r>
        <w:rPr>
          <w:rFonts w:ascii="Times New Roman" w:hAnsi="Times New Roman"/>
        </w:rPr>
        <w:t>。</w:t>
      </w:r>
    </w:p>
    <w:p>
      <w:pPr>
        <w:spacing w:line="240" w:lineRule="auto"/>
        <w:ind w:firstLine="2901" w:firstLineChars="1376"/>
        <w:jc w:val="both"/>
        <w:rPr>
          <w:rFonts w:ascii="Times New Roman" w:hAnsi="Times New Roman"/>
          <w:b/>
          <w:sz w:val="21"/>
          <w:szCs w:val="21"/>
        </w:rPr>
      </w:pPr>
    </w:p>
    <w:p>
      <w:pPr>
        <w:ind w:firstLine="0" w:firstLineChars="0"/>
        <w:jc w:val="center"/>
        <w:rPr>
          <w:rFonts w:ascii="Times New Roman" w:hAnsi="Times New Roman"/>
          <w:b/>
        </w:rPr>
      </w:pPr>
      <w:bookmarkStart w:id="183" w:name="_Ref162078607"/>
      <w:r>
        <w:rPr>
          <w:rFonts w:ascii="Times New Roman" w:hAnsi="Times New Roman"/>
        </w:rPr>
        <w:t xml:space="preserve">表 </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5</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表 \* ARABIC \s 1 </w:instrText>
      </w:r>
      <w:r>
        <w:rPr>
          <w:rFonts w:ascii="Times New Roman" w:hAnsi="Times New Roman"/>
        </w:rPr>
        <w:fldChar w:fldCharType="separate"/>
      </w:r>
      <w:r>
        <w:rPr>
          <w:rFonts w:ascii="Times New Roman" w:hAnsi="Times New Roman"/>
        </w:rPr>
        <w:t>37</w:t>
      </w:r>
      <w:r>
        <w:rPr>
          <w:rFonts w:ascii="Times New Roman" w:hAnsi="Times New Roman"/>
        </w:rPr>
        <w:fldChar w:fldCharType="end"/>
      </w:r>
      <w:bookmarkEnd w:id="183"/>
      <w:r>
        <w:rPr>
          <w:rFonts w:ascii="Times New Roman" w:hAnsi="Times New Roman"/>
          <w:b/>
        </w:rPr>
        <w:t>评价区鸟类区系组成</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5"/>
        <w:gridCol w:w="3870"/>
        <w:gridCol w:w="1552"/>
        <w:gridCol w:w="15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6" w:type="pct"/>
          </w:tcPr>
          <w:p>
            <w:pPr>
              <w:spacing w:line="240" w:lineRule="auto"/>
              <w:ind w:firstLine="361" w:firstLineChars="0"/>
              <w:jc w:val="center"/>
              <w:rPr>
                <w:rFonts w:ascii="Times New Roman" w:hAnsi="Times New Roman"/>
                <w:b/>
                <w:sz w:val="21"/>
                <w:szCs w:val="21"/>
              </w:rPr>
            </w:pPr>
            <w:r>
              <w:rPr>
                <w:rFonts w:ascii="Times New Roman" w:hAnsi="Times New Roman"/>
                <w:b/>
                <w:sz w:val="21"/>
                <w:szCs w:val="21"/>
              </w:rPr>
              <w:t>区系</w:t>
            </w:r>
          </w:p>
        </w:tc>
        <w:tc>
          <w:tcPr>
            <w:tcW w:w="2269" w:type="pct"/>
            <w:vAlign w:val="center"/>
          </w:tcPr>
          <w:p>
            <w:pPr>
              <w:spacing w:line="240" w:lineRule="auto"/>
              <w:ind w:firstLine="361" w:firstLineChars="0"/>
              <w:jc w:val="center"/>
              <w:rPr>
                <w:rFonts w:ascii="Times New Roman" w:hAnsi="Times New Roman"/>
                <w:b/>
                <w:sz w:val="21"/>
                <w:szCs w:val="21"/>
              </w:rPr>
            </w:pPr>
            <w:r>
              <w:rPr>
                <w:rFonts w:ascii="Times New Roman" w:hAnsi="Times New Roman"/>
                <w:b/>
                <w:sz w:val="21"/>
                <w:szCs w:val="21"/>
              </w:rPr>
              <w:t>分布型</w:t>
            </w:r>
          </w:p>
        </w:tc>
        <w:tc>
          <w:tcPr>
            <w:tcW w:w="910" w:type="pct"/>
            <w:vAlign w:val="center"/>
          </w:tcPr>
          <w:p>
            <w:pPr>
              <w:spacing w:line="240" w:lineRule="auto"/>
              <w:ind w:firstLine="361" w:firstLineChars="0"/>
              <w:jc w:val="center"/>
              <w:rPr>
                <w:rFonts w:ascii="Times New Roman" w:hAnsi="Times New Roman"/>
                <w:b/>
                <w:sz w:val="21"/>
                <w:szCs w:val="21"/>
              </w:rPr>
            </w:pPr>
            <w:r>
              <w:rPr>
                <w:rFonts w:ascii="Times New Roman" w:hAnsi="Times New Roman"/>
                <w:b/>
                <w:sz w:val="21"/>
                <w:szCs w:val="21"/>
              </w:rPr>
              <w:t>物种数</w:t>
            </w:r>
          </w:p>
        </w:tc>
        <w:tc>
          <w:tcPr>
            <w:tcW w:w="912" w:type="pct"/>
            <w:vAlign w:val="center"/>
          </w:tcPr>
          <w:p>
            <w:pPr>
              <w:spacing w:line="240" w:lineRule="auto"/>
              <w:ind w:firstLine="361" w:firstLineChars="0"/>
              <w:jc w:val="center"/>
              <w:rPr>
                <w:rFonts w:ascii="Times New Roman" w:hAnsi="Times New Roman"/>
                <w:b/>
                <w:sz w:val="21"/>
                <w:szCs w:val="21"/>
              </w:rPr>
            </w:pPr>
            <w:r>
              <w:rPr>
                <w:rFonts w:ascii="Times New Roman" w:hAnsi="Times New Roman"/>
                <w:b/>
                <w:sz w:val="21"/>
                <w:szCs w:val="21"/>
              </w:rPr>
              <w:t>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6" w:type="pct"/>
            <w:vMerge w:val="restar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古北界</w:t>
            </w:r>
          </w:p>
        </w:tc>
        <w:tc>
          <w:tcPr>
            <w:tcW w:w="2269" w:type="pct"/>
            <w:vAlign w:val="center"/>
          </w:tcPr>
          <w:p>
            <w:pPr>
              <w:spacing w:line="240" w:lineRule="auto"/>
              <w:ind w:firstLine="360" w:firstLineChars="0"/>
              <w:jc w:val="center"/>
              <w:rPr>
                <w:rFonts w:ascii="Times New Roman" w:hAnsi="Times New Roman"/>
                <w:sz w:val="21"/>
                <w:szCs w:val="21"/>
              </w:rPr>
            </w:pPr>
            <w:r>
              <w:rPr>
                <w:rFonts w:ascii="Times New Roman" w:hAnsi="Times New Roman"/>
                <w:sz w:val="21"/>
                <w:szCs w:val="21"/>
              </w:rPr>
              <w:t>古北型U</w:t>
            </w:r>
          </w:p>
        </w:tc>
        <w:tc>
          <w:tcPr>
            <w:tcW w:w="910"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10</w:t>
            </w:r>
          </w:p>
        </w:tc>
        <w:tc>
          <w:tcPr>
            <w:tcW w:w="91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16.39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6" w:type="pct"/>
            <w:vMerge w:val="continue"/>
          </w:tcPr>
          <w:p>
            <w:pPr>
              <w:spacing w:line="240" w:lineRule="auto"/>
              <w:ind w:firstLine="360" w:firstLineChars="0"/>
              <w:jc w:val="center"/>
              <w:rPr>
                <w:rFonts w:ascii="Times New Roman" w:hAnsi="Times New Roman"/>
                <w:sz w:val="21"/>
                <w:szCs w:val="21"/>
              </w:rPr>
            </w:pPr>
          </w:p>
        </w:tc>
        <w:tc>
          <w:tcPr>
            <w:tcW w:w="2269" w:type="pct"/>
            <w:vAlign w:val="center"/>
          </w:tcPr>
          <w:p>
            <w:pPr>
              <w:spacing w:line="240" w:lineRule="auto"/>
              <w:ind w:firstLine="360" w:firstLineChars="0"/>
              <w:jc w:val="center"/>
              <w:rPr>
                <w:rFonts w:ascii="Times New Roman" w:hAnsi="Times New Roman"/>
                <w:sz w:val="21"/>
                <w:szCs w:val="21"/>
              </w:rPr>
            </w:pPr>
            <w:r>
              <w:rPr>
                <w:rFonts w:ascii="Times New Roman" w:hAnsi="Times New Roman"/>
                <w:sz w:val="21"/>
                <w:szCs w:val="21"/>
              </w:rPr>
              <w:t>全北型C</w:t>
            </w:r>
          </w:p>
        </w:tc>
        <w:tc>
          <w:tcPr>
            <w:tcW w:w="910"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3</w:t>
            </w:r>
          </w:p>
        </w:tc>
        <w:tc>
          <w:tcPr>
            <w:tcW w:w="91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4.92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6" w:type="pct"/>
            <w:vMerge w:val="continue"/>
          </w:tcPr>
          <w:p>
            <w:pPr>
              <w:spacing w:line="240" w:lineRule="auto"/>
              <w:ind w:firstLine="360" w:firstLineChars="0"/>
              <w:jc w:val="center"/>
              <w:rPr>
                <w:rFonts w:ascii="Times New Roman" w:hAnsi="Times New Roman"/>
                <w:sz w:val="21"/>
                <w:szCs w:val="21"/>
              </w:rPr>
            </w:pPr>
          </w:p>
        </w:tc>
        <w:tc>
          <w:tcPr>
            <w:tcW w:w="2269" w:type="pct"/>
            <w:vAlign w:val="center"/>
          </w:tcPr>
          <w:p>
            <w:pPr>
              <w:spacing w:line="240" w:lineRule="auto"/>
              <w:ind w:firstLine="360" w:firstLineChars="0"/>
              <w:jc w:val="center"/>
              <w:rPr>
                <w:rFonts w:ascii="Times New Roman" w:hAnsi="Times New Roman"/>
                <w:sz w:val="21"/>
                <w:szCs w:val="21"/>
              </w:rPr>
            </w:pPr>
            <w:r>
              <w:rPr>
                <w:rFonts w:ascii="Times New Roman" w:hAnsi="Times New Roman"/>
                <w:sz w:val="21"/>
                <w:szCs w:val="22"/>
              </w:rPr>
              <w:t>东北-华北型X</w:t>
            </w:r>
          </w:p>
        </w:tc>
        <w:tc>
          <w:tcPr>
            <w:tcW w:w="910"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1</w:t>
            </w:r>
          </w:p>
        </w:tc>
        <w:tc>
          <w:tcPr>
            <w:tcW w:w="91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6" w:type="pct"/>
            <w:vMerge w:val="continue"/>
          </w:tcPr>
          <w:p>
            <w:pPr>
              <w:spacing w:line="240" w:lineRule="auto"/>
              <w:ind w:firstLine="360" w:firstLineChars="0"/>
              <w:jc w:val="center"/>
              <w:rPr>
                <w:rFonts w:ascii="Times New Roman" w:hAnsi="Times New Roman"/>
                <w:sz w:val="21"/>
                <w:szCs w:val="21"/>
              </w:rPr>
            </w:pPr>
          </w:p>
        </w:tc>
        <w:tc>
          <w:tcPr>
            <w:tcW w:w="2269" w:type="pct"/>
            <w:vAlign w:val="center"/>
          </w:tcPr>
          <w:p>
            <w:pPr>
              <w:spacing w:line="240" w:lineRule="auto"/>
              <w:ind w:firstLine="360" w:firstLineChars="0"/>
              <w:jc w:val="center"/>
              <w:rPr>
                <w:rFonts w:ascii="Times New Roman" w:hAnsi="Times New Roman"/>
                <w:sz w:val="21"/>
                <w:szCs w:val="21"/>
              </w:rPr>
            </w:pPr>
            <w:r>
              <w:rPr>
                <w:rFonts w:ascii="Times New Roman" w:hAnsi="Times New Roman"/>
                <w:sz w:val="21"/>
                <w:szCs w:val="21"/>
              </w:rPr>
              <w:t>东北型M</w:t>
            </w:r>
          </w:p>
        </w:tc>
        <w:tc>
          <w:tcPr>
            <w:tcW w:w="910"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8</w:t>
            </w:r>
          </w:p>
        </w:tc>
        <w:tc>
          <w:tcPr>
            <w:tcW w:w="91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13.11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6" w:type="pct"/>
            <w:vMerge w:val="restar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东洋界</w:t>
            </w:r>
          </w:p>
        </w:tc>
        <w:tc>
          <w:tcPr>
            <w:tcW w:w="2269" w:type="pct"/>
            <w:vAlign w:val="center"/>
          </w:tcPr>
          <w:p>
            <w:pPr>
              <w:spacing w:line="240" w:lineRule="auto"/>
              <w:ind w:firstLine="360" w:firstLineChars="0"/>
              <w:jc w:val="center"/>
              <w:rPr>
                <w:rFonts w:ascii="Times New Roman" w:hAnsi="Times New Roman"/>
                <w:sz w:val="21"/>
                <w:szCs w:val="21"/>
              </w:rPr>
            </w:pPr>
            <w:r>
              <w:rPr>
                <w:rFonts w:ascii="Times New Roman" w:hAnsi="Times New Roman"/>
                <w:sz w:val="21"/>
                <w:szCs w:val="21"/>
              </w:rPr>
              <w:t>喜马拉雅-横断山型H</w:t>
            </w:r>
          </w:p>
        </w:tc>
        <w:tc>
          <w:tcPr>
            <w:tcW w:w="910"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4</w:t>
            </w:r>
          </w:p>
        </w:tc>
        <w:tc>
          <w:tcPr>
            <w:tcW w:w="91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6" w:type="pct"/>
            <w:vMerge w:val="continue"/>
          </w:tcPr>
          <w:p>
            <w:pPr>
              <w:spacing w:line="240" w:lineRule="auto"/>
              <w:ind w:firstLine="360" w:firstLineChars="0"/>
              <w:jc w:val="center"/>
              <w:rPr>
                <w:rFonts w:ascii="Times New Roman" w:hAnsi="Times New Roman"/>
                <w:sz w:val="21"/>
                <w:szCs w:val="21"/>
              </w:rPr>
            </w:pPr>
          </w:p>
        </w:tc>
        <w:tc>
          <w:tcPr>
            <w:tcW w:w="2269" w:type="pct"/>
            <w:vAlign w:val="center"/>
          </w:tcPr>
          <w:p>
            <w:pPr>
              <w:spacing w:line="240" w:lineRule="auto"/>
              <w:ind w:firstLine="360" w:firstLineChars="0"/>
              <w:jc w:val="center"/>
              <w:rPr>
                <w:rFonts w:ascii="Times New Roman" w:hAnsi="Times New Roman"/>
                <w:sz w:val="21"/>
                <w:szCs w:val="21"/>
              </w:rPr>
            </w:pPr>
            <w:r>
              <w:rPr>
                <w:rFonts w:ascii="Times New Roman" w:hAnsi="Times New Roman"/>
                <w:sz w:val="21"/>
                <w:szCs w:val="21"/>
              </w:rPr>
              <w:t>东洋型W</w:t>
            </w:r>
          </w:p>
        </w:tc>
        <w:tc>
          <w:tcPr>
            <w:tcW w:w="910"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22</w:t>
            </w:r>
          </w:p>
        </w:tc>
        <w:tc>
          <w:tcPr>
            <w:tcW w:w="91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36.07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6" w:type="pct"/>
            <w:vMerge w:val="continue"/>
          </w:tcPr>
          <w:p>
            <w:pPr>
              <w:spacing w:line="240" w:lineRule="auto"/>
              <w:ind w:firstLine="360" w:firstLineChars="0"/>
              <w:jc w:val="center"/>
              <w:rPr>
                <w:rFonts w:ascii="Times New Roman" w:hAnsi="Times New Roman"/>
                <w:sz w:val="21"/>
                <w:szCs w:val="21"/>
              </w:rPr>
            </w:pPr>
          </w:p>
        </w:tc>
        <w:tc>
          <w:tcPr>
            <w:tcW w:w="2269" w:type="pct"/>
            <w:vAlign w:val="center"/>
          </w:tcPr>
          <w:p>
            <w:pPr>
              <w:spacing w:line="240" w:lineRule="auto"/>
              <w:ind w:firstLine="360" w:firstLineChars="0"/>
              <w:jc w:val="center"/>
              <w:rPr>
                <w:rFonts w:ascii="Times New Roman" w:hAnsi="Times New Roman"/>
                <w:sz w:val="21"/>
                <w:szCs w:val="21"/>
              </w:rPr>
            </w:pPr>
            <w:r>
              <w:rPr>
                <w:rFonts w:ascii="Times New Roman" w:hAnsi="Times New Roman"/>
                <w:sz w:val="21"/>
                <w:szCs w:val="21"/>
              </w:rPr>
              <w:t>南中国型S</w:t>
            </w:r>
          </w:p>
        </w:tc>
        <w:tc>
          <w:tcPr>
            <w:tcW w:w="910"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5</w:t>
            </w:r>
          </w:p>
        </w:tc>
        <w:tc>
          <w:tcPr>
            <w:tcW w:w="91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8.20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6" w:type="pct"/>
          </w:tcPr>
          <w:p>
            <w:pPr>
              <w:spacing w:line="240" w:lineRule="auto"/>
              <w:ind w:firstLine="0" w:firstLineChars="0"/>
              <w:jc w:val="center"/>
              <w:rPr>
                <w:rFonts w:ascii="Times New Roman" w:hAnsi="Times New Roman"/>
                <w:sz w:val="21"/>
                <w:szCs w:val="21"/>
              </w:rPr>
            </w:pPr>
            <w:r>
              <w:rPr>
                <w:rFonts w:ascii="Times New Roman" w:hAnsi="Times New Roman"/>
                <w:sz w:val="21"/>
                <w:szCs w:val="21"/>
              </w:rPr>
              <w:t>广布种</w:t>
            </w:r>
          </w:p>
        </w:tc>
        <w:tc>
          <w:tcPr>
            <w:tcW w:w="2269" w:type="pct"/>
            <w:vAlign w:val="center"/>
          </w:tcPr>
          <w:p>
            <w:pPr>
              <w:spacing w:line="240" w:lineRule="auto"/>
              <w:ind w:firstLine="360" w:firstLineChars="0"/>
              <w:jc w:val="center"/>
              <w:rPr>
                <w:rFonts w:ascii="Times New Roman" w:hAnsi="Times New Roman"/>
                <w:sz w:val="21"/>
                <w:szCs w:val="21"/>
              </w:rPr>
            </w:pPr>
            <w:r>
              <w:rPr>
                <w:rFonts w:ascii="Times New Roman" w:hAnsi="Times New Roman"/>
                <w:sz w:val="21"/>
                <w:szCs w:val="21"/>
              </w:rPr>
              <w:t>不易归类型O</w:t>
            </w:r>
          </w:p>
        </w:tc>
        <w:tc>
          <w:tcPr>
            <w:tcW w:w="910"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8</w:t>
            </w:r>
          </w:p>
        </w:tc>
        <w:tc>
          <w:tcPr>
            <w:tcW w:w="912"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13.11</w:t>
            </w:r>
          </w:p>
        </w:tc>
      </w:tr>
    </w:tbl>
    <w:p>
      <w:pPr>
        <w:ind w:firstLine="315" w:firstLineChars="150"/>
        <w:jc w:val="both"/>
        <w:rPr>
          <w:rFonts w:ascii="Times New Roman" w:hAnsi="Times New Roman"/>
          <w:sz w:val="21"/>
          <w:szCs w:val="22"/>
        </w:rPr>
      </w:pPr>
    </w:p>
    <w:p>
      <w:pPr>
        <w:ind w:firstLine="360" w:firstLineChars="150"/>
        <w:jc w:val="both"/>
        <w:rPr>
          <w:rFonts w:ascii="Times New Roman" w:hAnsi="Times New Roman"/>
        </w:rPr>
      </w:pPr>
      <w:r>
        <w:rPr>
          <w:rFonts w:ascii="Times New Roman" w:hAnsi="Times New Roman"/>
        </w:rPr>
        <w:t>（2）评价区域鸟类的生态分布</w:t>
      </w:r>
    </w:p>
    <w:p>
      <w:pPr>
        <w:tabs>
          <w:tab w:val="left" w:pos="0"/>
        </w:tabs>
        <w:ind w:firstLine="480" w:firstLineChars="0"/>
        <w:jc w:val="both"/>
        <w:rPr>
          <w:rFonts w:ascii="Times New Roman" w:hAnsi="Times New Roman"/>
        </w:rPr>
      </w:pPr>
      <w:r>
        <w:rPr>
          <w:rFonts w:ascii="Times New Roman" w:hAnsi="Times New Roman"/>
        </w:rPr>
        <w:t>根据调</w:t>
      </w:r>
      <w:r>
        <w:rPr>
          <w:rFonts w:ascii="Times New Roman" w:hAnsi="Times New Roman"/>
          <w:bCs/>
        </w:rPr>
        <w:t>查评价区</w:t>
      </w:r>
      <w:r>
        <w:rPr>
          <w:rFonts w:ascii="Times New Roman" w:hAnsi="Times New Roman"/>
        </w:rPr>
        <w:t>内生境特点及鸟类的生活习性，</w:t>
      </w:r>
      <w:r>
        <w:rPr>
          <w:rFonts w:ascii="Times New Roman" w:hAnsi="Times New Roman"/>
          <w:bCs/>
        </w:rPr>
        <w:t>评价区</w:t>
      </w:r>
      <w:r>
        <w:rPr>
          <w:rFonts w:ascii="Times New Roman" w:hAnsi="Times New Roman"/>
        </w:rPr>
        <w:t>内的鸟类可以划分为以下4种类型：</w:t>
      </w:r>
    </w:p>
    <w:p>
      <w:pPr>
        <w:tabs>
          <w:tab w:val="left" w:pos="0"/>
        </w:tabs>
        <w:ind w:firstLine="480" w:firstLineChars="0"/>
        <w:jc w:val="both"/>
        <w:rPr>
          <w:rFonts w:ascii="Times New Roman" w:hAnsi="Times New Roman"/>
          <w:bCs/>
        </w:rPr>
      </w:pPr>
      <w:r>
        <w:rPr>
          <w:rFonts w:ascii="Times New Roman" w:hAnsi="Times New Roman"/>
          <w:bCs/>
        </w:rPr>
        <w:t>湿地环境类型：主要是指栖息于评价区内前河及其两侧的小溪沟、静水池塘内或附近水田活动</w:t>
      </w:r>
      <w:r>
        <w:rPr>
          <w:rFonts w:ascii="Times New Roman" w:hAnsi="Times New Roman"/>
        </w:rPr>
        <w:t>的鸟类。如池鹭（</w:t>
      </w:r>
      <w:r>
        <w:rPr>
          <w:rFonts w:ascii="Times New Roman" w:hAnsi="Times New Roman"/>
          <w:i/>
          <w:iCs/>
        </w:rPr>
        <w:t>Ardeola bacchus</w:t>
      </w:r>
      <w:r>
        <w:rPr>
          <w:rFonts w:ascii="Times New Roman" w:hAnsi="Times New Roman"/>
        </w:rPr>
        <w:t>）、白鹭（</w:t>
      </w:r>
      <w:r>
        <w:rPr>
          <w:rFonts w:ascii="Times New Roman" w:hAnsi="Times New Roman"/>
          <w:i/>
        </w:rPr>
        <w:t>Egretta garzetta</w:t>
      </w:r>
      <w:r>
        <w:rPr>
          <w:rFonts w:ascii="Times New Roman" w:hAnsi="Times New Roman"/>
        </w:rPr>
        <w:t>）、夜鹭（</w:t>
      </w:r>
      <w:r>
        <w:rPr>
          <w:rFonts w:ascii="Times New Roman" w:hAnsi="Times New Roman"/>
          <w:i/>
        </w:rPr>
        <w:t>Ardea cinerea</w:t>
      </w:r>
      <w:r>
        <w:rPr>
          <w:rFonts w:ascii="Times New Roman" w:hAnsi="Times New Roman"/>
        </w:rPr>
        <w:t>）、白胸苦恶鸟（</w:t>
      </w:r>
      <w:r>
        <w:rPr>
          <w:rFonts w:ascii="Times New Roman" w:hAnsi="Times New Roman"/>
          <w:i/>
        </w:rPr>
        <w:t>Amaurornis phoenicurus</w:t>
      </w:r>
      <w:r>
        <w:rPr>
          <w:rFonts w:ascii="Times New Roman" w:hAnsi="Times New Roman"/>
        </w:rPr>
        <w:t>）、普通翠鸟（</w:t>
      </w:r>
      <w:r>
        <w:rPr>
          <w:rFonts w:ascii="Times New Roman" w:hAnsi="Times New Roman"/>
          <w:i/>
        </w:rPr>
        <w:t>Alcedo atthis</w:t>
      </w:r>
      <w:r>
        <w:rPr>
          <w:rFonts w:ascii="Times New Roman" w:hAnsi="Times New Roman"/>
        </w:rPr>
        <w:t>）、丘鹬（</w:t>
      </w:r>
      <w:r>
        <w:rPr>
          <w:rFonts w:ascii="Times New Roman" w:hAnsi="Times New Roman"/>
          <w:i/>
        </w:rPr>
        <w:t>Scolopax rusticola</w:t>
      </w:r>
      <w:r>
        <w:rPr>
          <w:rFonts w:ascii="Times New Roman" w:hAnsi="Times New Roman"/>
        </w:rPr>
        <w:t>）、白顶溪鸲（</w:t>
      </w:r>
      <w:r>
        <w:rPr>
          <w:rFonts w:ascii="Times New Roman" w:hAnsi="Times New Roman"/>
          <w:i/>
        </w:rPr>
        <w:t>Chaimarrornis leucocephalus</w:t>
      </w:r>
      <w:r>
        <w:rPr>
          <w:rFonts w:ascii="Times New Roman" w:hAnsi="Times New Roman"/>
        </w:rPr>
        <w:t>）和红尾水鸲（</w:t>
      </w:r>
      <w:r>
        <w:rPr>
          <w:rFonts w:ascii="Times New Roman" w:hAnsi="Times New Roman"/>
          <w:i/>
        </w:rPr>
        <w:t>Rhyacornis fuliginosus</w:t>
      </w:r>
      <w:r>
        <w:rPr>
          <w:rFonts w:ascii="Times New Roman" w:hAnsi="Times New Roman"/>
        </w:rPr>
        <w:t>）等。</w:t>
      </w:r>
    </w:p>
    <w:p>
      <w:pPr>
        <w:tabs>
          <w:tab w:val="left" w:pos="0"/>
        </w:tabs>
        <w:ind w:firstLine="480" w:firstLineChars="0"/>
        <w:jc w:val="both"/>
        <w:rPr>
          <w:rFonts w:ascii="Times New Roman" w:hAnsi="Times New Roman"/>
        </w:rPr>
      </w:pPr>
      <w:r>
        <w:rPr>
          <w:rFonts w:ascii="Times New Roman" w:hAnsi="Times New Roman"/>
        </w:rPr>
        <w:t>农耕区和居民点：在评价区指当地民居及周围的农田等生境，这类生境占面积较大。其中常见的鸟类有鹊鸲（</w:t>
      </w:r>
      <w:r>
        <w:rPr>
          <w:rFonts w:ascii="Times New Roman" w:hAnsi="Times New Roman"/>
          <w:i/>
        </w:rPr>
        <w:t>Copsychus saularis</w:t>
      </w:r>
      <w:r>
        <w:rPr>
          <w:rFonts w:ascii="Times New Roman" w:hAnsi="Times New Roman"/>
        </w:rPr>
        <w:t>）、乌鸫（</w:t>
      </w:r>
      <w:r>
        <w:rPr>
          <w:rFonts w:ascii="Times New Roman" w:hAnsi="Times New Roman"/>
          <w:i/>
        </w:rPr>
        <w:t>Turdus merula</w:t>
      </w:r>
      <w:r>
        <w:rPr>
          <w:rFonts w:ascii="Times New Roman" w:hAnsi="Times New Roman"/>
        </w:rPr>
        <w:t>）、金翅雀（</w:t>
      </w:r>
      <w:r>
        <w:rPr>
          <w:rFonts w:ascii="Times New Roman" w:hAnsi="Times New Roman"/>
          <w:i/>
        </w:rPr>
        <w:t>Carduelis  sinica</w:t>
      </w:r>
      <w:r>
        <w:rPr>
          <w:rFonts w:ascii="Times New Roman" w:hAnsi="Times New Roman"/>
        </w:rPr>
        <w:t>）、白腰文鸟（</w:t>
      </w:r>
      <w:r>
        <w:rPr>
          <w:rFonts w:ascii="Times New Roman" w:hAnsi="Times New Roman"/>
          <w:i/>
        </w:rPr>
        <w:t>Lonchura  striata</w:t>
      </w:r>
      <w:r>
        <w:rPr>
          <w:rFonts w:ascii="Times New Roman" w:hAnsi="Times New Roman"/>
        </w:rPr>
        <w:t>）、家燕（</w:t>
      </w:r>
      <w:r>
        <w:rPr>
          <w:rFonts w:ascii="Times New Roman" w:hAnsi="Times New Roman"/>
          <w:i/>
          <w:iCs/>
        </w:rPr>
        <w:t>Hirundo rustica</w:t>
      </w:r>
      <w:r>
        <w:rPr>
          <w:rFonts w:ascii="Times New Roman" w:hAnsi="Times New Roman"/>
        </w:rPr>
        <w:t>）、金腰燕（</w:t>
      </w:r>
      <w:r>
        <w:rPr>
          <w:rFonts w:ascii="Times New Roman" w:hAnsi="Times New Roman"/>
          <w:i/>
        </w:rPr>
        <w:t>Hirundo daurica</w:t>
      </w:r>
      <w:r>
        <w:rPr>
          <w:rFonts w:ascii="Times New Roman" w:hAnsi="Times New Roman"/>
        </w:rPr>
        <w:t>）、松鸦（</w:t>
      </w:r>
      <w:r>
        <w:rPr>
          <w:rFonts w:ascii="Times New Roman" w:hAnsi="Times New Roman"/>
          <w:i/>
        </w:rPr>
        <w:t>Garrulus glandarius</w:t>
      </w:r>
      <w:r>
        <w:rPr>
          <w:rFonts w:ascii="Times New Roman" w:hAnsi="Times New Roman"/>
        </w:rPr>
        <w:t>）和白胸苦恶鸟（</w:t>
      </w:r>
      <w:r>
        <w:rPr>
          <w:rFonts w:ascii="Times New Roman" w:hAnsi="Times New Roman"/>
          <w:i/>
        </w:rPr>
        <w:t>Amaurornis phoenicurus</w:t>
      </w:r>
      <w:r>
        <w:rPr>
          <w:rFonts w:ascii="Times New Roman" w:hAnsi="Times New Roman"/>
        </w:rPr>
        <w:t>）等。</w:t>
      </w:r>
    </w:p>
    <w:p>
      <w:pPr>
        <w:tabs>
          <w:tab w:val="left" w:pos="0"/>
        </w:tabs>
        <w:ind w:firstLine="480" w:firstLineChars="0"/>
        <w:jc w:val="both"/>
        <w:rPr>
          <w:rFonts w:ascii="Times New Roman" w:hAnsi="Times New Roman"/>
        </w:rPr>
      </w:pPr>
      <w:r>
        <w:rPr>
          <w:rFonts w:ascii="Times New Roman" w:hAnsi="Times New Roman"/>
          <w:bCs/>
        </w:rPr>
        <w:t>灌丛类型：</w:t>
      </w:r>
      <w:r>
        <w:rPr>
          <w:rFonts w:ascii="Times New Roman" w:hAnsi="Times New Roman"/>
        </w:rPr>
        <w:t>是指评价区内各类次生灌丛生境中的鸟类。如环颈雉（</w:t>
      </w:r>
      <w:r>
        <w:rPr>
          <w:rFonts w:ascii="Times New Roman" w:hAnsi="Times New Roman"/>
          <w:i/>
        </w:rPr>
        <w:t>Phasianus colchicus</w:t>
      </w:r>
      <w:r>
        <w:rPr>
          <w:rFonts w:ascii="Times New Roman" w:hAnsi="Times New Roman"/>
        </w:rPr>
        <w:t>）、灰胸竹鸡（</w:t>
      </w:r>
      <w:r>
        <w:rPr>
          <w:rFonts w:ascii="Times New Roman" w:hAnsi="Times New Roman"/>
          <w:i/>
        </w:rPr>
        <w:t>Bambusicola thoracica</w:t>
      </w:r>
      <w:r>
        <w:rPr>
          <w:rFonts w:ascii="Times New Roman" w:hAnsi="Times New Roman"/>
        </w:rPr>
        <w:t>）、山斑鸠（</w:t>
      </w:r>
      <w:r>
        <w:rPr>
          <w:rFonts w:ascii="Times New Roman" w:hAnsi="Times New Roman"/>
          <w:i/>
        </w:rPr>
        <w:t>Streptopelia  orientalis</w:t>
      </w:r>
      <w:r>
        <w:rPr>
          <w:rFonts w:ascii="Times New Roman" w:hAnsi="Times New Roman"/>
        </w:rPr>
        <w:t>）、珠颈斑鸠（</w:t>
      </w:r>
      <w:r>
        <w:rPr>
          <w:rFonts w:ascii="Times New Roman" w:hAnsi="Times New Roman"/>
          <w:i/>
        </w:rPr>
        <w:t>Streptopelia chinensis</w:t>
      </w:r>
      <w:r>
        <w:rPr>
          <w:rFonts w:ascii="Times New Roman" w:hAnsi="Times New Roman"/>
        </w:rPr>
        <w:t>）、戴胜（</w:t>
      </w:r>
      <w:r>
        <w:rPr>
          <w:rFonts w:ascii="Times New Roman" w:hAnsi="Times New Roman"/>
          <w:i/>
        </w:rPr>
        <w:t>Upupa epops</w:t>
      </w:r>
      <w:r>
        <w:rPr>
          <w:rFonts w:ascii="Times New Roman" w:hAnsi="Times New Roman"/>
        </w:rPr>
        <w:t>）、领雀嘴鹎（</w:t>
      </w:r>
      <w:r>
        <w:rPr>
          <w:rFonts w:ascii="Times New Roman" w:hAnsi="Times New Roman"/>
          <w:i/>
        </w:rPr>
        <w:t>Spizixos  semitorques</w:t>
      </w:r>
      <w:r>
        <w:rPr>
          <w:rFonts w:ascii="Times New Roman" w:hAnsi="Times New Roman"/>
        </w:rPr>
        <w:t>）、黄臀鹎（</w:t>
      </w:r>
      <w:r>
        <w:rPr>
          <w:rFonts w:ascii="Times New Roman" w:hAnsi="Times New Roman"/>
          <w:i/>
        </w:rPr>
        <w:t>Pycnonotus xanthorrhous</w:t>
      </w:r>
      <w:r>
        <w:rPr>
          <w:rFonts w:ascii="Times New Roman" w:hAnsi="Times New Roman"/>
        </w:rPr>
        <w:t>）、白颊噪鹛（</w:t>
      </w:r>
      <w:r>
        <w:rPr>
          <w:rFonts w:ascii="Times New Roman" w:hAnsi="Times New Roman"/>
          <w:i/>
        </w:rPr>
        <w:t>Garrulax sannio</w:t>
      </w:r>
      <w:r>
        <w:rPr>
          <w:rFonts w:ascii="Times New Roman" w:hAnsi="Times New Roman"/>
        </w:rPr>
        <w:t>）、棕头鸦雀（</w:t>
      </w:r>
      <w:r>
        <w:rPr>
          <w:rFonts w:ascii="Times New Roman" w:hAnsi="Times New Roman"/>
          <w:i/>
          <w:iCs/>
        </w:rPr>
        <w:t>Paradoxornis webbianus</w:t>
      </w:r>
      <w:r>
        <w:rPr>
          <w:rFonts w:ascii="Times New Roman" w:hAnsi="Times New Roman"/>
        </w:rPr>
        <w:t>）等。</w:t>
      </w:r>
    </w:p>
    <w:p>
      <w:pPr>
        <w:adjustRightInd w:val="0"/>
        <w:snapToGrid w:val="0"/>
        <w:ind w:firstLine="480"/>
        <w:jc w:val="both"/>
        <w:rPr>
          <w:rFonts w:ascii="Times New Roman" w:hAnsi="Times New Roman"/>
        </w:rPr>
      </w:pPr>
      <w:r>
        <w:rPr>
          <w:rFonts w:ascii="Times New Roman" w:hAnsi="Times New Roman"/>
          <w:bCs/>
        </w:rPr>
        <w:t>森林类型：</w:t>
      </w:r>
      <w:r>
        <w:rPr>
          <w:rFonts w:ascii="Times New Roman" w:hAnsi="Times New Roman"/>
        </w:rPr>
        <w:t>是指常分布在评价区次生阔叶林和针叶林中的鸟类。如四声杜鹃（</w:t>
      </w:r>
      <w:r>
        <w:rPr>
          <w:rFonts w:ascii="Times New Roman" w:hAnsi="Times New Roman"/>
          <w:i/>
        </w:rPr>
        <w:t>Cuculus micropterus</w:t>
      </w:r>
      <w:r>
        <w:rPr>
          <w:rFonts w:ascii="Times New Roman" w:hAnsi="Times New Roman"/>
        </w:rPr>
        <w:t>）、大杜鹃（</w:t>
      </w:r>
      <w:r>
        <w:rPr>
          <w:rFonts w:ascii="Times New Roman" w:hAnsi="Times New Roman"/>
          <w:i/>
        </w:rPr>
        <w:t>Cuculus canorus</w:t>
      </w:r>
      <w:r>
        <w:rPr>
          <w:rFonts w:ascii="Times New Roman" w:hAnsi="Times New Roman"/>
        </w:rPr>
        <w:t>）、灰头绿啄木鸟（</w:t>
      </w:r>
      <w:r>
        <w:rPr>
          <w:rFonts w:ascii="Times New Roman" w:hAnsi="Times New Roman"/>
          <w:i/>
        </w:rPr>
        <w:t>Picus canus</w:t>
      </w:r>
      <w:r>
        <w:rPr>
          <w:rFonts w:ascii="Times New Roman" w:hAnsi="Times New Roman"/>
        </w:rPr>
        <w:t>）、灰山椒鸟（</w:t>
      </w:r>
      <w:r>
        <w:rPr>
          <w:rFonts w:ascii="Times New Roman" w:hAnsi="Times New Roman"/>
          <w:i/>
        </w:rPr>
        <w:t>Pericrocotus divaricatur</w:t>
      </w:r>
      <w:r>
        <w:rPr>
          <w:rFonts w:ascii="Times New Roman" w:hAnsi="Times New Roman"/>
        </w:rPr>
        <w:t>）、长尾山椒鸟（</w:t>
      </w:r>
      <w:r>
        <w:rPr>
          <w:rFonts w:ascii="Times New Roman" w:hAnsi="Times New Roman"/>
          <w:i/>
        </w:rPr>
        <w:t>Pericrocotus ethologus</w:t>
      </w:r>
      <w:r>
        <w:rPr>
          <w:rFonts w:ascii="Times New Roman" w:hAnsi="Times New Roman"/>
        </w:rPr>
        <w:t>）、红嘴蓝鹊（</w:t>
      </w:r>
      <w:r>
        <w:rPr>
          <w:rFonts w:ascii="Times New Roman" w:hAnsi="Times New Roman"/>
          <w:i/>
        </w:rPr>
        <w:t>Urocissa erythrorhyncha</w:t>
      </w:r>
      <w:r>
        <w:rPr>
          <w:rFonts w:ascii="Times New Roman" w:hAnsi="Times New Roman"/>
        </w:rPr>
        <w:t>）和暗绿柳莺（</w:t>
      </w:r>
      <w:r>
        <w:rPr>
          <w:rFonts w:ascii="Times New Roman" w:hAnsi="Times New Roman"/>
          <w:i/>
        </w:rPr>
        <w:t>Phylloscopus  trochiloides</w:t>
      </w:r>
      <w:r>
        <w:rPr>
          <w:rFonts w:ascii="Times New Roman" w:hAnsi="Times New Roman"/>
        </w:rPr>
        <w:t>）等。评价区的保护鸟类大多分布于评价区森林环境的上部。</w:t>
      </w:r>
    </w:p>
    <w:p>
      <w:pPr>
        <w:pStyle w:val="5"/>
        <w:rPr>
          <w:rFonts w:ascii="Times New Roman" w:hAnsi="Times New Roman"/>
        </w:rPr>
      </w:pPr>
      <w:r>
        <w:rPr>
          <w:rFonts w:ascii="Times New Roman" w:hAnsi="Times New Roman"/>
        </w:rPr>
        <w:t>哺乳类动物</w:t>
      </w:r>
    </w:p>
    <w:p>
      <w:pPr>
        <w:ind w:firstLine="480"/>
        <w:jc w:val="both"/>
        <w:rPr>
          <w:rFonts w:ascii="Times New Roman" w:hAnsi="Times New Roman"/>
        </w:rPr>
      </w:pPr>
      <w:r>
        <w:rPr>
          <w:rFonts w:ascii="Times New Roman" w:hAnsi="Times New Roman"/>
          <w:bCs/>
        </w:rPr>
        <w:t>（1）</w:t>
      </w:r>
      <w:r>
        <w:rPr>
          <w:rFonts w:ascii="Times New Roman" w:hAnsi="Times New Roman"/>
        </w:rPr>
        <w:t>物种及区系组成</w:t>
      </w:r>
    </w:p>
    <w:p>
      <w:pPr>
        <w:ind w:firstLine="480"/>
        <w:jc w:val="both"/>
        <w:rPr>
          <w:rFonts w:ascii="Times New Roman" w:hAnsi="Times New Roman"/>
        </w:rPr>
      </w:pPr>
      <w:r>
        <w:rPr>
          <w:rFonts w:ascii="Times New Roman" w:hAnsi="Times New Roman"/>
        </w:rPr>
        <w:t>评价区有哺乳类6目10科20种。其中啮齿目最多，有11种；其次是食肉目有4种，食虫目2种，食虫目、翼手目、偶蹄目和兔形目各1种。见附录5评价区哺乳类动物的名录。</w:t>
      </w:r>
    </w:p>
    <w:p>
      <w:pPr>
        <w:ind w:firstLine="480" w:firstLineChars="0"/>
        <w:jc w:val="both"/>
        <w:rPr>
          <w:rFonts w:ascii="Times New Roman" w:hAnsi="Times New Roman"/>
        </w:rPr>
      </w:pPr>
      <w:r>
        <w:rPr>
          <w:rFonts w:ascii="Times New Roman" w:hAnsi="Times New Roman"/>
        </w:rPr>
        <w:t>评价区哺乳类兼具东洋界和古北界成分，主要以东洋界成分占优势；其中属东洋界的11种，古北界成分有6种、广布种3种，分别占评价区内哺乳类总种数的55 %、30 %和15 %。</w:t>
      </w:r>
    </w:p>
    <w:p>
      <w:pPr>
        <w:ind w:firstLine="480"/>
        <w:jc w:val="both"/>
        <w:rPr>
          <w:rFonts w:ascii="Times New Roman" w:hAnsi="Times New Roman"/>
          <w:b/>
          <w:sz w:val="21"/>
          <w:szCs w:val="21"/>
        </w:rPr>
      </w:pPr>
      <w:r>
        <w:rPr>
          <w:rFonts w:ascii="Times New Roman" w:hAnsi="Times New Roman"/>
        </w:rPr>
        <w:t>按张荣祖（1999）对哺乳类分布型的划分，评价区内哺乳类有6种分布型，以东洋界的东洋型、南中国型和古北界的古北型占主要，评价区哺乳类动物区系组成见</w:t>
      </w:r>
      <w:r>
        <w:rPr>
          <w:rFonts w:ascii="Times New Roman" w:hAnsi="Times New Roman"/>
        </w:rPr>
        <w:fldChar w:fldCharType="begin"/>
      </w:r>
      <w:r>
        <w:rPr>
          <w:rFonts w:ascii="Times New Roman" w:hAnsi="Times New Roman"/>
        </w:rPr>
        <w:instrText xml:space="preserve"> REF _Ref162078652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38</w:t>
      </w:r>
      <w:r>
        <w:rPr>
          <w:rFonts w:ascii="Times New Roman" w:hAnsi="Times New Roman"/>
        </w:rPr>
        <w:fldChar w:fldCharType="end"/>
      </w:r>
      <w:r>
        <w:rPr>
          <w:rFonts w:ascii="Times New Roman" w:hAnsi="Times New Roman"/>
        </w:rPr>
        <w:t>。</w:t>
      </w:r>
    </w:p>
    <w:p>
      <w:pPr>
        <w:ind w:firstLine="0" w:firstLineChars="0"/>
        <w:jc w:val="center"/>
        <w:rPr>
          <w:rFonts w:ascii="Times New Roman" w:hAnsi="Times New Roman"/>
          <w:b/>
        </w:rPr>
      </w:pPr>
      <w:bookmarkStart w:id="184" w:name="_Ref162078652"/>
      <w:r>
        <w:rPr>
          <w:rFonts w:ascii="Times New Roman" w:hAnsi="Times New Roman"/>
        </w:rPr>
        <w:t xml:space="preserve">表 </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5</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表 \* ARABIC \s 1 </w:instrText>
      </w:r>
      <w:r>
        <w:rPr>
          <w:rFonts w:ascii="Times New Roman" w:hAnsi="Times New Roman"/>
        </w:rPr>
        <w:fldChar w:fldCharType="separate"/>
      </w:r>
      <w:r>
        <w:rPr>
          <w:rFonts w:ascii="Times New Roman" w:hAnsi="Times New Roman"/>
        </w:rPr>
        <w:t>38</w:t>
      </w:r>
      <w:r>
        <w:rPr>
          <w:rFonts w:ascii="Times New Roman" w:hAnsi="Times New Roman"/>
        </w:rPr>
        <w:fldChar w:fldCharType="end"/>
      </w:r>
      <w:bookmarkEnd w:id="184"/>
      <w:r>
        <w:rPr>
          <w:rFonts w:ascii="Times New Roman" w:hAnsi="Times New Roman"/>
          <w:b/>
        </w:rPr>
        <w:t>评价区哺乳类动物区系组成</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7"/>
        <w:gridCol w:w="3087"/>
        <w:gridCol w:w="2204"/>
        <w:gridCol w:w="17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区系</w:t>
            </w:r>
          </w:p>
        </w:tc>
        <w:tc>
          <w:tcPr>
            <w:tcW w:w="1811" w:type="pct"/>
            <w:vAlign w:val="center"/>
          </w:tcPr>
          <w:p>
            <w:pPr>
              <w:spacing w:line="240" w:lineRule="auto"/>
              <w:ind w:firstLine="361" w:firstLineChars="0"/>
              <w:jc w:val="center"/>
              <w:rPr>
                <w:rFonts w:ascii="Times New Roman" w:hAnsi="Times New Roman"/>
                <w:sz w:val="21"/>
                <w:szCs w:val="21"/>
              </w:rPr>
            </w:pPr>
            <w:r>
              <w:rPr>
                <w:rFonts w:ascii="Times New Roman" w:hAnsi="Times New Roman"/>
                <w:sz w:val="21"/>
                <w:szCs w:val="21"/>
              </w:rPr>
              <w:t>分布型</w:t>
            </w:r>
          </w:p>
        </w:tc>
        <w:tc>
          <w:tcPr>
            <w:tcW w:w="1293"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物种数</w:t>
            </w:r>
          </w:p>
        </w:tc>
        <w:tc>
          <w:tcPr>
            <w:tcW w:w="1035"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古北界</w:t>
            </w:r>
          </w:p>
        </w:tc>
        <w:tc>
          <w:tcPr>
            <w:tcW w:w="1811" w:type="pct"/>
            <w:vAlign w:val="center"/>
          </w:tcPr>
          <w:p>
            <w:pPr>
              <w:spacing w:line="240" w:lineRule="auto"/>
              <w:ind w:firstLine="360" w:firstLineChars="0"/>
              <w:jc w:val="center"/>
              <w:rPr>
                <w:rFonts w:ascii="Times New Roman" w:hAnsi="Times New Roman"/>
                <w:sz w:val="21"/>
                <w:szCs w:val="21"/>
              </w:rPr>
            </w:pPr>
            <w:r>
              <w:rPr>
                <w:rFonts w:ascii="Times New Roman" w:hAnsi="Times New Roman"/>
                <w:sz w:val="21"/>
                <w:szCs w:val="21"/>
              </w:rPr>
              <w:t>古北型U</w:t>
            </w:r>
          </w:p>
        </w:tc>
        <w:tc>
          <w:tcPr>
            <w:tcW w:w="1293"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6</w:t>
            </w:r>
          </w:p>
        </w:tc>
        <w:tc>
          <w:tcPr>
            <w:tcW w:w="1035"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restar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东洋界</w:t>
            </w:r>
          </w:p>
        </w:tc>
        <w:tc>
          <w:tcPr>
            <w:tcW w:w="1811" w:type="pct"/>
            <w:vAlign w:val="center"/>
          </w:tcPr>
          <w:p>
            <w:pPr>
              <w:spacing w:line="240" w:lineRule="auto"/>
              <w:ind w:firstLine="360" w:firstLineChars="0"/>
              <w:jc w:val="center"/>
              <w:rPr>
                <w:rFonts w:ascii="Times New Roman" w:hAnsi="Times New Roman"/>
                <w:sz w:val="21"/>
                <w:szCs w:val="21"/>
              </w:rPr>
            </w:pPr>
            <w:r>
              <w:rPr>
                <w:rFonts w:ascii="Times New Roman" w:hAnsi="Times New Roman"/>
                <w:sz w:val="21"/>
                <w:szCs w:val="21"/>
              </w:rPr>
              <w:t>东洋型W</w:t>
            </w:r>
          </w:p>
        </w:tc>
        <w:tc>
          <w:tcPr>
            <w:tcW w:w="1293"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7</w:t>
            </w:r>
          </w:p>
        </w:tc>
        <w:tc>
          <w:tcPr>
            <w:tcW w:w="1035"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vAlign w:val="center"/>
          </w:tcPr>
          <w:p>
            <w:pPr>
              <w:spacing w:line="240" w:lineRule="auto"/>
              <w:ind w:firstLine="360" w:firstLineChars="0"/>
              <w:jc w:val="center"/>
              <w:rPr>
                <w:rFonts w:ascii="Times New Roman" w:hAnsi="Times New Roman"/>
                <w:sz w:val="21"/>
                <w:szCs w:val="21"/>
              </w:rPr>
            </w:pPr>
          </w:p>
        </w:tc>
        <w:tc>
          <w:tcPr>
            <w:tcW w:w="1811" w:type="pct"/>
            <w:vAlign w:val="center"/>
          </w:tcPr>
          <w:p>
            <w:pPr>
              <w:spacing w:line="240" w:lineRule="auto"/>
              <w:ind w:firstLine="360" w:firstLineChars="0"/>
              <w:jc w:val="center"/>
              <w:rPr>
                <w:rFonts w:ascii="Times New Roman" w:hAnsi="Times New Roman"/>
                <w:sz w:val="21"/>
                <w:szCs w:val="21"/>
              </w:rPr>
            </w:pPr>
            <w:r>
              <w:rPr>
                <w:rFonts w:ascii="Times New Roman" w:hAnsi="Times New Roman"/>
                <w:sz w:val="21"/>
                <w:szCs w:val="21"/>
              </w:rPr>
              <w:t>南中国型S</w:t>
            </w:r>
          </w:p>
        </w:tc>
        <w:tc>
          <w:tcPr>
            <w:tcW w:w="1293"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3</w:t>
            </w:r>
          </w:p>
        </w:tc>
        <w:tc>
          <w:tcPr>
            <w:tcW w:w="1035"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Merge w:val="continue"/>
            <w:vAlign w:val="center"/>
          </w:tcPr>
          <w:p>
            <w:pPr>
              <w:spacing w:line="240" w:lineRule="auto"/>
              <w:ind w:firstLine="360" w:firstLineChars="0"/>
              <w:jc w:val="center"/>
              <w:rPr>
                <w:rFonts w:ascii="Times New Roman" w:hAnsi="Times New Roman"/>
                <w:sz w:val="21"/>
                <w:szCs w:val="21"/>
              </w:rPr>
            </w:pPr>
          </w:p>
        </w:tc>
        <w:tc>
          <w:tcPr>
            <w:tcW w:w="1811" w:type="pct"/>
            <w:vAlign w:val="center"/>
          </w:tcPr>
          <w:p>
            <w:pPr>
              <w:spacing w:line="240" w:lineRule="auto"/>
              <w:ind w:firstLine="360" w:firstLineChars="0"/>
              <w:jc w:val="center"/>
              <w:rPr>
                <w:rFonts w:ascii="Times New Roman" w:hAnsi="Times New Roman"/>
                <w:sz w:val="21"/>
                <w:szCs w:val="21"/>
              </w:rPr>
            </w:pPr>
            <w:r>
              <w:rPr>
                <w:rFonts w:ascii="Times New Roman" w:hAnsi="Times New Roman"/>
                <w:sz w:val="21"/>
                <w:szCs w:val="21"/>
              </w:rPr>
              <w:t>喜马拉雅横断山区型H</w:t>
            </w:r>
          </w:p>
        </w:tc>
        <w:tc>
          <w:tcPr>
            <w:tcW w:w="1293"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1</w:t>
            </w:r>
          </w:p>
        </w:tc>
        <w:tc>
          <w:tcPr>
            <w:tcW w:w="1035"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广布种</w:t>
            </w:r>
          </w:p>
        </w:tc>
        <w:tc>
          <w:tcPr>
            <w:tcW w:w="1811" w:type="pct"/>
            <w:vAlign w:val="center"/>
          </w:tcPr>
          <w:p>
            <w:pPr>
              <w:spacing w:line="240" w:lineRule="auto"/>
              <w:ind w:firstLine="360" w:firstLineChars="0"/>
              <w:jc w:val="center"/>
              <w:rPr>
                <w:rFonts w:ascii="Times New Roman" w:hAnsi="Times New Roman"/>
                <w:sz w:val="21"/>
                <w:szCs w:val="21"/>
              </w:rPr>
            </w:pPr>
            <w:r>
              <w:rPr>
                <w:rFonts w:ascii="Times New Roman" w:hAnsi="Times New Roman"/>
                <w:sz w:val="21"/>
                <w:szCs w:val="21"/>
              </w:rPr>
              <w:t>广布型O</w:t>
            </w:r>
          </w:p>
        </w:tc>
        <w:tc>
          <w:tcPr>
            <w:tcW w:w="1293"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3</w:t>
            </w:r>
          </w:p>
        </w:tc>
        <w:tc>
          <w:tcPr>
            <w:tcW w:w="1035"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15</w:t>
            </w:r>
          </w:p>
        </w:tc>
      </w:tr>
    </w:tbl>
    <w:p>
      <w:pPr>
        <w:autoSpaceDE w:val="0"/>
        <w:autoSpaceDN w:val="0"/>
        <w:adjustRightInd w:val="0"/>
        <w:spacing w:before="312" w:beforeLines="100"/>
        <w:ind w:firstLine="0" w:firstLineChars="0"/>
        <w:jc w:val="both"/>
        <w:rPr>
          <w:rFonts w:ascii="Times New Roman" w:hAnsi="Times New Roman"/>
          <w:bCs/>
        </w:rPr>
      </w:pPr>
      <w:r>
        <w:rPr>
          <w:rFonts w:ascii="Times New Roman" w:hAnsi="Times New Roman"/>
          <w:bCs/>
        </w:rPr>
        <w:t>（2）评价区哺乳类的生态分布</w:t>
      </w:r>
    </w:p>
    <w:p>
      <w:pPr>
        <w:tabs>
          <w:tab w:val="left" w:pos="0"/>
        </w:tabs>
        <w:ind w:firstLine="480" w:firstLineChars="0"/>
        <w:jc w:val="both"/>
        <w:rPr>
          <w:rFonts w:ascii="Times New Roman" w:hAnsi="Times New Roman"/>
        </w:rPr>
      </w:pPr>
      <w:r>
        <w:rPr>
          <w:rFonts w:ascii="Times New Roman" w:hAnsi="Times New Roman"/>
        </w:rPr>
        <w:t>根据评价区土地利用类型特点，将评价区哺乳类分布的生境划分为以下3种类型：</w:t>
      </w:r>
    </w:p>
    <w:p>
      <w:pPr>
        <w:tabs>
          <w:tab w:val="left" w:pos="0"/>
        </w:tabs>
        <w:ind w:firstLine="480" w:firstLineChars="0"/>
        <w:jc w:val="both"/>
        <w:rPr>
          <w:rFonts w:ascii="Times New Roman" w:hAnsi="Times New Roman"/>
        </w:rPr>
      </w:pPr>
      <w:r>
        <w:rPr>
          <w:rFonts w:ascii="Times New Roman" w:hAnsi="Times New Roman"/>
          <w:b/>
          <w:bCs/>
        </w:rPr>
        <w:t>农耕区和居民点</w:t>
      </w:r>
      <w:r>
        <w:rPr>
          <w:rFonts w:ascii="Times New Roman" w:hAnsi="Times New Roman"/>
        </w:rPr>
        <w:t>：评价区内民居及周围的农田等生境，主要分布的动物为啮齿类和翼手类，比如四川短尾鼩（</w:t>
      </w:r>
      <w:r>
        <w:rPr>
          <w:rFonts w:ascii="Times New Roman" w:hAnsi="Times New Roman"/>
          <w:i/>
          <w:iCs/>
        </w:rPr>
        <w:t>Anourosorex squamipes</w:t>
      </w:r>
      <w:r>
        <w:rPr>
          <w:rFonts w:ascii="Times New Roman" w:hAnsi="Times New Roman"/>
        </w:rPr>
        <w:t>）、普通伏翼（</w:t>
      </w:r>
      <w:r>
        <w:rPr>
          <w:rFonts w:ascii="Times New Roman" w:hAnsi="Times New Roman"/>
          <w:i/>
        </w:rPr>
        <w:t>Pipistrellus pipistrellus</w:t>
      </w:r>
      <w:r>
        <w:rPr>
          <w:rFonts w:ascii="Times New Roman" w:hAnsi="Times New Roman"/>
        </w:rPr>
        <w:t>）、褐家鼠（</w:t>
      </w:r>
      <w:r>
        <w:rPr>
          <w:rFonts w:ascii="Times New Roman" w:hAnsi="Times New Roman"/>
          <w:i/>
        </w:rPr>
        <w:t>Rattus norvegicus</w:t>
      </w:r>
      <w:r>
        <w:rPr>
          <w:rFonts w:ascii="Times New Roman" w:hAnsi="Times New Roman"/>
        </w:rPr>
        <w:t>）、黄胸鼠（</w:t>
      </w:r>
      <w:r>
        <w:rPr>
          <w:rFonts w:ascii="Times New Roman" w:hAnsi="Times New Roman"/>
          <w:i/>
        </w:rPr>
        <w:t>Rattus flavipectus</w:t>
      </w:r>
      <w:r>
        <w:rPr>
          <w:rFonts w:ascii="Times New Roman" w:hAnsi="Times New Roman"/>
        </w:rPr>
        <w:t>）、小家鼠（</w:t>
      </w:r>
      <w:r>
        <w:rPr>
          <w:rFonts w:ascii="Times New Roman" w:hAnsi="Times New Roman"/>
          <w:i/>
        </w:rPr>
        <w:t>Mus musculus</w:t>
      </w:r>
      <w:r>
        <w:rPr>
          <w:rFonts w:ascii="Times New Roman" w:hAnsi="Times New Roman"/>
        </w:rPr>
        <w:t>）和黑线姬鼠（</w:t>
      </w:r>
      <w:r>
        <w:rPr>
          <w:rFonts w:ascii="Times New Roman" w:hAnsi="Times New Roman"/>
          <w:i/>
        </w:rPr>
        <w:t>Apodemus agrarius</w:t>
      </w:r>
      <w:r>
        <w:rPr>
          <w:rFonts w:ascii="Times New Roman" w:hAnsi="Times New Roman"/>
        </w:rPr>
        <w:t>）等。</w:t>
      </w:r>
    </w:p>
    <w:p>
      <w:pPr>
        <w:adjustRightInd w:val="0"/>
        <w:snapToGrid w:val="0"/>
        <w:ind w:firstLine="482"/>
        <w:jc w:val="both"/>
        <w:rPr>
          <w:rFonts w:ascii="Times New Roman" w:hAnsi="Times New Roman"/>
        </w:rPr>
      </w:pPr>
      <w:r>
        <w:rPr>
          <w:rFonts w:ascii="Times New Roman" w:hAnsi="Times New Roman"/>
          <w:b/>
          <w:bCs/>
        </w:rPr>
        <w:t>灌丛生境</w:t>
      </w:r>
      <w:r>
        <w:rPr>
          <w:rFonts w:ascii="Times New Roman" w:hAnsi="Times New Roman"/>
        </w:rPr>
        <w:t>：以河谷两岸的次生灌丛为主要生境。分布的哺乳类主要还是以小型物种为主，比如社鼠（</w:t>
      </w:r>
      <w:r>
        <w:rPr>
          <w:rFonts w:ascii="Times New Roman" w:hAnsi="Times New Roman"/>
          <w:i/>
        </w:rPr>
        <w:t>Niviventer confucianus</w:t>
      </w:r>
      <w:r>
        <w:rPr>
          <w:rFonts w:ascii="Times New Roman" w:hAnsi="Times New Roman"/>
        </w:rPr>
        <w:t>）、针毛鼠（</w:t>
      </w:r>
      <w:r>
        <w:rPr>
          <w:rFonts w:ascii="Times New Roman" w:hAnsi="Times New Roman"/>
          <w:i/>
        </w:rPr>
        <w:t>Niviventer fulvescens</w:t>
      </w:r>
      <w:r>
        <w:rPr>
          <w:rFonts w:ascii="Times New Roman" w:hAnsi="Times New Roman"/>
        </w:rPr>
        <w:t>）、灰麝鼩（</w:t>
      </w:r>
      <w:r>
        <w:rPr>
          <w:rFonts w:ascii="Times New Roman" w:hAnsi="Times New Roman"/>
          <w:i/>
          <w:iCs/>
        </w:rPr>
        <w:t>Crocidura attenuata</w:t>
      </w:r>
      <w:r>
        <w:rPr>
          <w:rFonts w:ascii="Times New Roman" w:hAnsi="Times New Roman"/>
        </w:rPr>
        <w:t>）等，偶见草兔（</w:t>
      </w:r>
      <w:r>
        <w:rPr>
          <w:rFonts w:ascii="Times New Roman" w:hAnsi="Times New Roman"/>
          <w:i/>
        </w:rPr>
        <w:t>Lepus capensis</w:t>
      </w:r>
      <w:r>
        <w:rPr>
          <w:rFonts w:ascii="Times New Roman" w:hAnsi="Times New Roman"/>
        </w:rPr>
        <w:t>）。</w:t>
      </w:r>
    </w:p>
    <w:p>
      <w:pPr>
        <w:tabs>
          <w:tab w:val="left" w:pos="0"/>
        </w:tabs>
        <w:ind w:firstLine="480" w:firstLineChars="0"/>
        <w:jc w:val="both"/>
        <w:rPr>
          <w:rFonts w:ascii="Times New Roman" w:hAnsi="Times New Roman"/>
        </w:rPr>
      </w:pPr>
      <w:r>
        <w:rPr>
          <w:rFonts w:ascii="Times New Roman" w:hAnsi="Times New Roman"/>
          <w:b/>
          <w:bCs/>
        </w:rPr>
        <w:t>森林生境</w:t>
      </w:r>
      <w:r>
        <w:rPr>
          <w:rFonts w:ascii="Times New Roman" w:hAnsi="Times New Roman"/>
        </w:rPr>
        <w:t>：指评价区的森林环境，分布于其中的哺乳类主要有黄鼬（</w:t>
      </w:r>
      <w:r>
        <w:rPr>
          <w:rFonts w:ascii="Times New Roman" w:hAnsi="Times New Roman"/>
          <w:i/>
          <w:iCs/>
        </w:rPr>
        <w:t>Mustela sibirica</w:t>
      </w:r>
      <w:r>
        <w:rPr>
          <w:rFonts w:ascii="Times New Roman" w:hAnsi="Times New Roman"/>
        </w:rPr>
        <w:t>）、猪獾（</w:t>
      </w:r>
      <w:r>
        <w:rPr>
          <w:rFonts w:ascii="Times New Roman" w:hAnsi="Times New Roman"/>
          <w:i/>
        </w:rPr>
        <w:t>Arctonyx collaris</w:t>
      </w:r>
      <w:r>
        <w:rPr>
          <w:rFonts w:ascii="Times New Roman" w:hAnsi="Times New Roman"/>
        </w:rPr>
        <w:t>）、狗獾（</w:t>
      </w:r>
      <w:r>
        <w:rPr>
          <w:rFonts w:ascii="Times New Roman" w:hAnsi="Times New Roman"/>
          <w:i/>
          <w:iCs/>
        </w:rPr>
        <w:t>Meles meles</w:t>
      </w:r>
      <w:r>
        <w:rPr>
          <w:rFonts w:ascii="Times New Roman" w:hAnsi="Times New Roman"/>
        </w:rPr>
        <w:t>）、果子狸（</w:t>
      </w:r>
      <w:r>
        <w:rPr>
          <w:rFonts w:ascii="Times New Roman" w:hAnsi="Times New Roman"/>
          <w:i/>
        </w:rPr>
        <w:t>Paguma larvata</w:t>
      </w:r>
      <w:r>
        <w:rPr>
          <w:rFonts w:ascii="Times New Roman" w:hAnsi="Times New Roman"/>
        </w:rPr>
        <w:t>）、野猪（</w:t>
      </w:r>
      <w:r>
        <w:rPr>
          <w:rFonts w:ascii="Times New Roman" w:hAnsi="Times New Roman"/>
          <w:i/>
        </w:rPr>
        <w:t>Sus scrofa</w:t>
      </w:r>
      <w:r>
        <w:rPr>
          <w:rFonts w:ascii="Times New Roman" w:hAnsi="Times New Roman"/>
        </w:rPr>
        <w:t>）、赤腹松鼠（</w:t>
      </w:r>
      <w:r>
        <w:rPr>
          <w:rFonts w:ascii="Times New Roman" w:hAnsi="Times New Roman"/>
          <w:i/>
        </w:rPr>
        <w:t>Callosciurus erythraeus</w:t>
      </w:r>
      <w:r>
        <w:rPr>
          <w:rFonts w:ascii="Times New Roman" w:hAnsi="Times New Roman"/>
        </w:rPr>
        <w:t>）等。</w:t>
      </w:r>
    </w:p>
    <w:p>
      <w:pPr>
        <w:pStyle w:val="5"/>
        <w:rPr>
          <w:rFonts w:ascii="Times New Roman" w:hAnsi="Times New Roman"/>
        </w:rPr>
      </w:pPr>
      <w:bookmarkStart w:id="185" w:name="_Toc415765632"/>
      <w:r>
        <w:rPr>
          <w:rFonts w:ascii="Times New Roman" w:hAnsi="Times New Roman"/>
        </w:rPr>
        <w:t>国家重点保护野生动物</w:t>
      </w:r>
      <w:bookmarkEnd w:id="185"/>
    </w:p>
    <w:p>
      <w:pPr>
        <w:ind w:firstLine="480"/>
        <w:jc w:val="both"/>
        <w:rPr>
          <w:rFonts w:ascii="Times New Roman" w:hAnsi="Times New Roman"/>
        </w:rPr>
      </w:pPr>
      <w:r>
        <w:rPr>
          <w:rFonts w:ascii="Times New Roman" w:hAnsi="Times New Roman"/>
        </w:rPr>
        <w:t>经实地调查、访问并结合相关历史资料确认，评价区内有国家Ⅱ级重点保护野生动物2种，均为鸟类动物；即雀鹰（</w:t>
      </w:r>
      <w:r>
        <w:rPr>
          <w:rFonts w:ascii="Times New Roman" w:hAnsi="Times New Roman"/>
          <w:i/>
          <w:iCs/>
        </w:rPr>
        <w:t>Accipiter nisus</w:t>
      </w:r>
      <w:r>
        <w:rPr>
          <w:rFonts w:ascii="Times New Roman" w:hAnsi="Times New Roman"/>
        </w:rPr>
        <w:t>）和斑头鸺鹠（</w:t>
      </w:r>
      <w:r>
        <w:rPr>
          <w:rFonts w:ascii="Times New Roman" w:hAnsi="Times New Roman"/>
          <w:i/>
          <w:iCs/>
        </w:rPr>
        <w:t>Glaucidium cuculoides</w:t>
      </w:r>
      <w:r>
        <w:rPr>
          <w:rFonts w:ascii="Times New Roman" w:hAnsi="Times New Roman"/>
        </w:rPr>
        <w:t>）。另外，有四川省级保护鸟类2种，小鸊鷉（</w:t>
      </w:r>
      <w:r>
        <w:rPr>
          <w:rFonts w:ascii="Times New Roman" w:hAnsi="Times New Roman"/>
          <w:i/>
          <w:iCs/>
        </w:rPr>
        <w:t>Tachybaptus ruficollis</w:t>
      </w:r>
      <w:r>
        <w:rPr>
          <w:rFonts w:ascii="Times New Roman" w:hAnsi="Times New Roman"/>
        </w:rPr>
        <w:t>）和鹰鹃（</w:t>
      </w:r>
      <w:r>
        <w:rPr>
          <w:rFonts w:ascii="Times New Roman" w:hAnsi="Times New Roman"/>
          <w:i/>
          <w:iCs/>
        </w:rPr>
        <w:t>Cuculus sparverioides</w:t>
      </w:r>
      <w:r>
        <w:rPr>
          <w:rFonts w:ascii="Times New Roman" w:hAnsi="Times New Roman"/>
        </w:rPr>
        <w:t>）见</w:t>
      </w:r>
      <w:r>
        <w:rPr>
          <w:rFonts w:ascii="Times New Roman" w:hAnsi="Times New Roman"/>
        </w:rPr>
        <w:fldChar w:fldCharType="begin"/>
      </w:r>
      <w:r>
        <w:rPr>
          <w:rFonts w:ascii="Times New Roman" w:hAnsi="Times New Roman"/>
        </w:rPr>
        <w:instrText xml:space="preserve"> REF _Ref162078669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39</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86" w:name="_Ref16207866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39</w:t>
      </w:r>
      <w:r>
        <w:rPr>
          <w:rFonts w:ascii="Times New Roman" w:hAnsi="Times New Roman" w:cs="Times New Roman"/>
        </w:rPr>
        <w:fldChar w:fldCharType="end"/>
      </w:r>
      <w:bookmarkEnd w:id="186"/>
      <w:r>
        <w:rPr>
          <w:rFonts w:ascii="Times New Roman" w:hAnsi="Times New Roman" w:cs="Times New Roman"/>
        </w:rPr>
        <w:t>评价区国家重点保护鸟类的生态分布及生物学习性</w:t>
      </w:r>
    </w:p>
    <w:tbl>
      <w:tblPr>
        <w:tblStyle w:val="28"/>
        <w:tblW w:w="8884" w:type="dxa"/>
        <w:tblInd w:w="-176"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51"/>
        <w:gridCol w:w="816"/>
        <w:gridCol w:w="1537"/>
        <w:gridCol w:w="4372"/>
        <w:gridCol w:w="742"/>
        <w:gridCol w:w="766"/>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651"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种名</w:t>
            </w:r>
          </w:p>
        </w:tc>
        <w:tc>
          <w:tcPr>
            <w:tcW w:w="816"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保护</w:t>
            </w:r>
          </w:p>
          <w:p>
            <w:pPr>
              <w:spacing w:line="240" w:lineRule="auto"/>
              <w:ind w:firstLine="0" w:firstLineChars="0"/>
              <w:jc w:val="both"/>
              <w:rPr>
                <w:rFonts w:ascii="Times New Roman" w:hAnsi="Times New Roman"/>
                <w:sz w:val="21"/>
                <w:szCs w:val="21"/>
              </w:rPr>
            </w:pPr>
            <w:r>
              <w:rPr>
                <w:rFonts w:ascii="Times New Roman" w:hAnsi="Times New Roman"/>
                <w:sz w:val="21"/>
                <w:szCs w:val="21"/>
              </w:rPr>
              <w:t>级别</w:t>
            </w:r>
          </w:p>
        </w:tc>
        <w:tc>
          <w:tcPr>
            <w:tcW w:w="1537"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主要分布范围及栖息环境</w:t>
            </w:r>
          </w:p>
        </w:tc>
        <w:tc>
          <w:tcPr>
            <w:tcW w:w="4372"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生物生态学习性</w:t>
            </w:r>
          </w:p>
        </w:tc>
        <w:tc>
          <w:tcPr>
            <w:tcW w:w="742"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种群数量</w:t>
            </w:r>
          </w:p>
        </w:tc>
        <w:tc>
          <w:tcPr>
            <w:tcW w:w="766"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数据来源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651"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雀鹰</w:t>
            </w:r>
          </w:p>
        </w:tc>
        <w:tc>
          <w:tcPr>
            <w:tcW w:w="816"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II</w:t>
            </w:r>
          </w:p>
        </w:tc>
        <w:tc>
          <w:tcPr>
            <w:tcW w:w="1537"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偶见于森林区飞过</w:t>
            </w:r>
          </w:p>
        </w:tc>
        <w:tc>
          <w:tcPr>
            <w:tcW w:w="4372"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留鸟，猎食在白天，主要在空中搜寻，搜寻地面上的老鼠、蛙、蜥蜴、松鼠、蛇、小鸟、蝗虫、蚱蜢等。有时则站立于悬崖岩石的高处，或站在树顶和电线杆上等候，等猎物出现时猛扑而食。</w:t>
            </w:r>
          </w:p>
        </w:tc>
        <w:tc>
          <w:tcPr>
            <w:tcW w:w="742"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少，偶见</w:t>
            </w:r>
          </w:p>
        </w:tc>
        <w:tc>
          <w:tcPr>
            <w:tcW w:w="766"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资料和访问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651"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斑头鸺鹠</w:t>
            </w:r>
          </w:p>
        </w:tc>
        <w:tc>
          <w:tcPr>
            <w:tcW w:w="816"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II</w:t>
            </w:r>
          </w:p>
        </w:tc>
        <w:tc>
          <w:tcPr>
            <w:tcW w:w="1537"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在调查时听见其鸣叫声</w:t>
            </w:r>
          </w:p>
        </w:tc>
        <w:tc>
          <w:tcPr>
            <w:tcW w:w="4372"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留鸟，夜行性，白天多躲藏在树上浓密的枝叶丛间，晚上才开始活动和鸣叫。主要以鼠类、</w:t>
            </w:r>
            <w:r>
              <w:fldChar w:fldCharType="begin"/>
            </w:r>
            <w:r>
              <w:instrText xml:space="preserve"> HYPERLINK "http://baike.baidu.com/subview/53900/6695339.htm" \t "_blank" </w:instrText>
            </w:r>
            <w:r>
              <w:fldChar w:fldCharType="separate"/>
            </w:r>
            <w:r>
              <w:rPr>
                <w:rFonts w:ascii="Times New Roman" w:hAnsi="Times New Roman"/>
                <w:sz w:val="21"/>
                <w:szCs w:val="21"/>
              </w:rPr>
              <w:t>甲虫</w:t>
            </w:r>
            <w:r>
              <w:rPr>
                <w:rFonts w:ascii="Times New Roman" w:hAnsi="Times New Roman"/>
                <w:sz w:val="21"/>
                <w:szCs w:val="21"/>
              </w:rPr>
              <w:fldChar w:fldCharType="end"/>
            </w:r>
            <w:r>
              <w:rPr>
                <w:rFonts w:ascii="Times New Roman" w:hAnsi="Times New Roman"/>
                <w:sz w:val="21"/>
                <w:szCs w:val="21"/>
              </w:rPr>
              <w:t>、蝗虫、</w:t>
            </w:r>
            <w:r>
              <w:fldChar w:fldCharType="begin"/>
            </w:r>
            <w:r>
              <w:instrText xml:space="preserve"> HYPERLINK "http://baike.baidu.com/view/84995.htm" \t "_blank" </w:instrText>
            </w:r>
            <w:r>
              <w:fldChar w:fldCharType="separate"/>
            </w:r>
            <w:r>
              <w:rPr>
                <w:rFonts w:ascii="Times New Roman" w:hAnsi="Times New Roman"/>
                <w:sz w:val="21"/>
                <w:szCs w:val="21"/>
              </w:rPr>
              <w:t>鞘翅目</w:t>
            </w:r>
            <w:r>
              <w:rPr>
                <w:rFonts w:ascii="Times New Roman" w:hAnsi="Times New Roman"/>
                <w:sz w:val="21"/>
                <w:szCs w:val="21"/>
              </w:rPr>
              <w:fldChar w:fldCharType="end"/>
            </w:r>
            <w:r>
              <w:rPr>
                <w:rFonts w:ascii="Times New Roman" w:hAnsi="Times New Roman"/>
                <w:sz w:val="21"/>
                <w:szCs w:val="21"/>
              </w:rPr>
              <w:t>昆虫为食。</w:t>
            </w:r>
          </w:p>
        </w:tc>
        <w:tc>
          <w:tcPr>
            <w:tcW w:w="742"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稀少，偶见</w:t>
            </w:r>
          </w:p>
        </w:tc>
        <w:tc>
          <w:tcPr>
            <w:tcW w:w="766" w:type="dxa"/>
            <w:vAlign w:val="center"/>
          </w:tcPr>
          <w:p>
            <w:pPr>
              <w:spacing w:line="240" w:lineRule="auto"/>
              <w:ind w:firstLine="0" w:firstLineChars="0"/>
              <w:jc w:val="both"/>
              <w:rPr>
                <w:rFonts w:ascii="Times New Roman" w:hAnsi="Times New Roman"/>
                <w:sz w:val="21"/>
                <w:szCs w:val="21"/>
              </w:rPr>
            </w:pPr>
            <w:r>
              <w:rPr>
                <w:rFonts w:ascii="Times New Roman" w:hAnsi="Times New Roman"/>
                <w:sz w:val="21"/>
                <w:szCs w:val="21"/>
              </w:rPr>
              <w:t>调查</w:t>
            </w:r>
          </w:p>
        </w:tc>
      </w:tr>
    </w:tbl>
    <w:p>
      <w:pPr>
        <w:spacing w:line="240" w:lineRule="auto"/>
        <w:ind w:firstLine="0" w:firstLineChars="0"/>
        <w:jc w:val="both"/>
        <w:rPr>
          <w:rFonts w:ascii="Times New Roman" w:hAnsi="Times New Roman"/>
          <w:sz w:val="21"/>
          <w:szCs w:val="22"/>
        </w:rPr>
      </w:pPr>
    </w:p>
    <w:p>
      <w:pPr>
        <w:pStyle w:val="5"/>
        <w:rPr>
          <w:rFonts w:ascii="Times New Roman" w:hAnsi="Times New Roman"/>
        </w:rPr>
      </w:pPr>
      <w:r>
        <w:rPr>
          <w:rFonts w:ascii="Times New Roman" w:hAnsi="Times New Roman"/>
        </w:rPr>
        <w:t>样线调查</w:t>
      </w:r>
    </w:p>
    <w:p>
      <w:pPr>
        <w:ind w:firstLine="480"/>
        <w:rPr>
          <w:rFonts w:ascii="Times New Roman" w:hAnsi="Times New Roman"/>
        </w:rPr>
      </w:pPr>
      <w:r>
        <w:rPr>
          <w:rFonts w:ascii="Times New Roman" w:hAnsi="Times New Roman"/>
        </w:rPr>
        <w:t>根据《环境影响评价技术导则 生态影响》（HJ19-2022），陆生生态评价等级为二级，现场调查应结合调查对象、地形地貌和实际情况，应合理确定样线数量或长度，以及评价范围内不同生境类型。本次评价基于上述原则，并结合评价范围内生境类型，共设置样线11余条，大多数样线穿越了不同的生境，使各类生境均有3条以上的调查样线，调查时间为2023年12月6-7日、12月17-19日、2024年3月21-22日，以保证样线的代表性。样线调查中，记录见到实体或痕迹的物种名、数量、海拔、生境类型，以及记录样线地理位置、小地名、经纬度、调查时间和调查人员等；同时还采用了访问法调查。样线调查统计表见附表2，调查样线分布图见附图24。</w:t>
      </w:r>
    </w:p>
    <w:p>
      <w:pPr>
        <w:ind w:firstLine="480"/>
        <w:rPr>
          <w:rFonts w:ascii="Times New Roman" w:hAnsi="Times New Roman"/>
        </w:rPr>
      </w:pPr>
      <w:r>
        <w:rPr>
          <w:rFonts w:ascii="Times New Roman" w:hAnsi="Times New Roman"/>
        </w:rPr>
        <w:t>对照国务院2021 年1月4日批准的《国家重点保护野生动物名录》，发现评价范围内有《国家重点保护野生动物名录（2021年）》中国家Ⅱ级重点保护动物雀鹰（</w:t>
      </w:r>
      <w:r>
        <w:rPr>
          <w:rFonts w:ascii="Times New Roman" w:hAnsi="Times New Roman"/>
          <w:i/>
          <w:iCs/>
        </w:rPr>
        <w:t>Accipiter nisus</w:t>
      </w:r>
      <w:r>
        <w:rPr>
          <w:rFonts w:ascii="Times New Roman" w:hAnsi="Times New Roman"/>
        </w:rPr>
        <w:t>）和斑头鸺鹠（</w:t>
      </w:r>
      <w:r>
        <w:rPr>
          <w:rFonts w:ascii="Times New Roman" w:hAnsi="Times New Roman"/>
          <w:i/>
          <w:iCs/>
        </w:rPr>
        <w:t>Glaucidium cuculoides</w:t>
      </w:r>
      <w:r>
        <w:rPr>
          <w:rFonts w:ascii="Times New Roman" w:hAnsi="Times New Roman"/>
        </w:rPr>
        <w:t>）；《四川省重点保护野生动物名录（陆生部分）》中保护鸟类小鸊鷉（</w:t>
      </w:r>
      <w:r>
        <w:rPr>
          <w:rFonts w:ascii="Times New Roman" w:hAnsi="Times New Roman"/>
          <w:i/>
          <w:iCs/>
        </w:rPr>
        <w:t>Tachybaptus ruficollis</w:t>
      </w:r>
      <w:r>
        <w:rPr>
          <w:rFonts w:ascii="Times New Roman" w:hAnsi="Times New Roman"/>
        </w:rPr>
        <w:t>）和鹰鹃（</w:t>
      </w:r>
      <w:r>
        <w:rPr>
          <w:rFonts w:ascii="Times New Roman" w:hAnsi="Times New Roman"/>
          <w:i/>
          <w:iCs/>
        </w:rPr>
        <w:t>Cuculus sparverioides</w:t>
      </w:r>
      <w:r>
        <w:rPr>
          <w:rFonts w:ascii="Times New Roman" w:hAnsi="Times New Roman"/>
        </w:rPr>
        <w:t>）；发现有《国家保护的有益的或者有重要经济、科学研究价值的陆生野生动物名录》中赤腹松鼠、白鹭、珠颈斑鸠、家燕、云雀、领雀嘴鹎、黄臀鹎、白头鹎、棕背伯劳、红嘴蓝鹊、喜鹊、白颊噪鹛、大山雀、绿背山雀、煤山雀、红头[长尾]山雀、小杜鹃、环颈雉等“三有”野生动物。</w:t>
      </w:r>
    </w:p>
    <w:p>
      <w:pPr>
        <w:ind w:firstLine="480"/>
        <w:rPr>
          <w:rFonts w:ascii="Times New Roman" w:hAnsi="Times New Roman"/>
        </w:rPr>
      </w:pPr>
    </w:p>
    <w:p>
      <w:pPr>
        <w:pStyle w:val="5"/>
        <w:rPr>
          <w:rFonts w:ascii="Times New Roman" w:hAnsi="Times New Roman"/>
        </w:rPr>
      </w:pPr>
      <w:r>
        <w:rPr>
          <w:rFonts w:ascii="Times New Roman" w:hAnsi="Times New Roman"/>
        </w:rPr>
        <w:t>重要生境</w:t>
      </w:r>
    </w:p>
    <w:p>
      <w:pPr>
        <w:ind w:firstLine="480"/>
        <w:rPr>
          <w:rFonts w:ascii="Times New Roman" w:hAnsi="Times New Roman"/>
        </w:rPr>
      </w:pPr>
      <w:r>
        <w:rPr>
          <w:rFonts w:ascii="Times New Roman" w:hAnsi="Times New Roman"/>
        </w:rPr>
        <w:t>生态评价范围内人类活动历史悠久，受人为强烈干扰，植被覆盖度为95.53%，植被以栽培植被为主，占评价范围的83.24%，天然林植被占评价范围的12.29%。森林植被以人工针叶林为主，占评价范围的66.76%。经现场调查，评价范围区域人类长期干扰，以栽培植被占主体，森林生境中人工林为主，不属于重要物种的天然集中分布区、栖息地等重要生境。</w:t>
      </w:r>
    </w:p>
    <w:p>
      <w:pPr>
        <w:ind w:firstLine="480"/>
        <w:rPr>
          <w:rFonts w:ascii="Times New Roman" w:hAnsi="Times New Roman"/>
        </w:rPr>
      </w:pPr>
      <w:r>
        <w:rPr>
          <w:rFonts w:ascii="Times New Roman" w:hAnsi="Times New Roman"/>
        </w:rPr>
        <w:t>项目所在地宣汉县位于四川盆地东北大巴山南麓，县域内动植物资源丰富。陆生脊椎动物活动范围大，尤其是一些重点保护的兽类、鸟类，评价范围可能与这些动物的巢域重叠，或者这些动物在迁移（鸟类）或觅食时会路过或短暂停歇于评价范围域。</w:t>
      </w:r>
    </w:p>
    <w:p>
      <w:pPr>
        <w:ind w:firstLine="480"/>
        <w:rPr>
          <w:rFonts w:ascii="Times New Roman" w:hAnsi="Times New Roman"/>
        </w:rPr>
      </w:pPr>
      <w:r>
        <w:rPr>
          <w:rFonts w:ascii="Times New Roman" w:hAnsi="Times New Roman"/>
        </w:rPr>
        <w:t>井场和阀室等站场工程占用领地、耕地，拟占地周边分布有灌草丛及柏木林、杉木林、竹林等人工林，可能会有蒙古兔、褐家鼠、黄胸鼠、黄鼬等兽类在此活动。站场工程占地面积很小，占用区域仅是这些适宜或潜在栖息地中的一小部分。</w:t>
      </w:r>
    </w:p>
    <w:p>
      <w:pPr>
        <w:ind w:firstLine="480"/>
        <w:rPr>
          <w:rFonts w:ascii="Times New Roman" w:hAnsi="Times New Roman"/>
        </w:rPr>
      </w:pPr>
      <w:r>
        <w:rPr>
          <w:rFonts w:ascii="Times New Roman" w:hAnsi="Times New Roman"/>
        </w:rPr>
        <w:t>管道工程将穿越农用地、灌草丛、马尾松林、柏木林、桤木林、栎类林、竹林、居民点、河流、河滩地等生境，为雀鹰 、斑头鸺鹠、小鸊鷉、鹰鹃等重要野生动物的适宜或潜在生境，还可能穿越两栖动物小布角蟾、中华蟾蜍、黑斑侧褶蛙、绿臭蛙、四川湍蛙的适宜生境。</w:t>
      </w:r>
    </w:p>
    <w:p>
      <w:pPr>
        <w:pStyle w:val="5"/>
        <w:rPr>
          <w:rFonts w:ascii="Times New Roman" w:hAnsi="Times New Roman"/>
        </w:rPr>
      </w:pPr>
      <w:r>
        <w:rPr>
          <w:rFonts w:ascii="Times New Roman" w:hAnsi="Times New Roman"/>
        </w:rPr>
        <w:t>迁徙通道</w:t>
      </w:r>
    </w:p>
    <w:p>
      <w:pPr>
        <w:ind w:firstLine="480"/>
        <w:rPr>
          <w:rFonts w:ascii="Times New Roman" w:hAnsi="Times New Roman"/>
        </w:rPr>
      </w:pPr>
      <w:r>
        <w:rPr>
          <w:rFonts w:ascii="Times New Roman" w:hAnsi="Times New Roman"/>
        </w:rPr>
        <w:t>根据四川省猛禽多样性及迁徙路线研究（梁敏仪，冉江洪，梁思琪，等.四川省猛禽多样性及迁徙路线[J].生物多样性，2016，24（12）：1408-1413.），四川省猛禽类的迁徙路线有“中亚-印度迁徙路线”和“东亚-澳大利亚迁徙路线”两条，前一路线经四川西部德格、石渠，后一路线的东部支线自川西北的岷山入川，经金堂、南充等县市、再经重庆、贵州至东南沿海及东南亚。本项目在地宣汉县未在两条猛禽迁徙路线上，达州市行政区域整体属于猛禽类物种丰富度较低区域。四川猛禽迁徙通道见</w:t>
      </w:r>
      <w:r>
        <w:rPr>
          <w:rFonts w:ascii="Times New Roman" w:hAnsi="Times New Roman"/>
        </w:rPr>
        <w:fldChar w:fldCharType="begin"/>
      </w:r>
      <w:r>
        <w:rPr>
          <w:rFonts w:ascii="Times New Roman" w:hAnsi="Times New Roman"/>
        </w:rPr>
        <w:instrText xml:space="preserve"> REF _Ref161129149 \h  \* MERGEFORMAT </w:instrText>
      </w:r>
      <w:r>
        <w:rPr>
          <w:rFonts w:ascii="Times New Roman" w:hAnsi="Times New Roman"/>
        </w:rPr>
        <w:fldChar w:fldCharType="separate"/>
      </w:r>
      <w:r>
        <w:rPr>
          <w:rFonts w:ascii="Times New Roman" w:hAnsi="Times New Roman"/>
        </w:rPr>
        <w:t>图 5</w:t>
      </w:r>
      <w:r>
        <w:rPr>
          <w:rFonts w:ascii="Times New Roman" w:hAnsi="Times New Roman"/>
        </w:rPr>
        <w:noBreakHyphen/>
      </w:r>
      <w:r>
        <w:rPr>
          <w:rFonts w:ascii="Times New Roman" w:hAnsi="Times New Roman"/>
        </w:rPr>
        <w:t>12</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drawing>
          <wp:inline distT="0" distB="0" distL="0" distR="0">
            <wp:extent cx="4151630" cy="2889885"/>
            <wp:effectExtent l="0" t="0" r="127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00" cstate="email"/>
                    <a:srcRect/>
                    <a:stretch>
                      <a:fillRect/>
                    </a:stretch>
                  </pic:blipFill>
                  <pic:spPr>
                    <a:xfrm>
                      <a:off x="0" y="0"/>
                      <a:ext cx="4151630" cy="2889885"/>
                    </a:xfrm>
                    <a:prstGeom prst="rect">
                      <a:avLst/>
                    </a:prstGeom>
                    <a:noFill/>
                  </pic:spPr>
                </pic:pic>
              </a:graphicData>
            </a:graphic>
          </wp:inline>
        </w:drawing>
      </w:r>
    </w:p>
    <w:p>
      <w:pPr>
        <w:pStyle w:val="37"/>
        <w:rPr>
          <w:rFonts w:ascii="Times New Roman" w:hAnsi="Times New Roman" w:cs="Times New Roman"/>
        </w:rPr>
      </w:pPr>
      <w:bookmarkStart w:id="187" w:name="_Ref161129149"/>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bookmarkEnd w:id="187"/>
      <w:r>
        <w:rPr>
          <w:rFonts w:ascii="Times New Roman" w:hAnsi="Times New Roman" w:cs="Times New Roman"/>
        </w:rPr>
        <w:t>四川猛禽迁徙通道示意图</w:t>
      </w:r>
    </w:p>
    <w:p>
      <w:pPr>
        <w:ind w:firstLine="480"/>
        <w:rPr>
          <w:rFonts w:ascii="Times New Roman" w:hAnsi="Times New Roman"/>
        </w:rPr>
      </w:pPr>
      <w:r>
        <w:rPr>
          <w:rFonts w:ascii="Times New Roman" w:hAnsi="Times New Roman"/>
        </w:rPr>
        <w:t>根据样线调查评价范围内具有迁徙习性的动物为一些迁徙性鸟类，如绿翅鸭、绿头鸭、夜鹭、大白鹭、普通鵟、白胸苦恶鸟、燕雀、金腰燕、家燕、丝光椋鸟等，这些迁徙性鸟类既有冬候鸟、夏候鸟，也有旅鸟。</w:t>
      </w:r>
    </w:p>
    <w:p>
      <w:pPr>
        <w:pStyle w:val="4"/>
        <w:rPr>
          <w:rFonts w:ascii="Times New Roman" w:hAnsi="Times New Roman" w:cs="Times New Roman"/>
        </w:rPr>
      </w:pPr>
      <w:r>
        <w:rPr>
          <w:rFonts w:ascii="Times New Roman" w:hAnsi="Times New Roman" w:cs="Times New Roman"/>
        </w:rPr>
        <w:t>水生生物资源现状调查</w:t>
      </w:r>
    </w:p>
    <w:p>
      <w:pPr>
        <w:ind w:firstLine="480"/>
        <w:rPr>
          <w:rFonts w:ascii="Times New Roman" w:hAnsi="Times New Roman"/>
        </w:rPr>
      </w:pPr>
      <w:r>
        <w:rPr>
          <w:rFonts w:ascii="Times New Roman" w:hAnsi="Times New Roman"/>
        </w:rPr>
        <w:t>根据宣汉县水生生物资料及嘉陵江水系相关水生生物调查资料，水生生物情况如下。</w:t>
      </w:r>
    </w:p>
    <w:p>
      <w:pPr>
        <w:pStyle w:val="5"/>
        <w:rPr>
          <w:rFonts w:ascii="Times New Roman" w:hAnsi="Times New Roman"/>
        </w:rPr>
      </w:pPr>
      <w:r>
        <w:rPr>
          <w:rFonts w:ascii="Times New Roman" w:hAnsi="Times New Roman"/>
        </w:rPr>
        <w:t>浮游植物</w:t>
      </w:r>
    </w:p>
    <w:p>
      <w:pPr>
        <w:ind w:firstLine="480"/>
        <w:rPr>
          <w:rFonts w:ascii="Times New Roman" w:hAnsi="Times New Roman"/>
        </w:rPr>
      </w:pPr>
      <w:r>
        <w:rPr>
          <w:rFonts w:ascii="Times New Roman" w:hAnsi="Times New Roman"/>
        </w:rPr>
        <w:t>根据区域水生调查资料及本次调查结果显示，共有水生藻类植物4门、19科、26属、50种。其中硅藻门种类最多33种，占采集到的总藻类数的66.0%；其次是绿藻门10种，占总数20.0%；蓝藻门6种，占总数12.0%；黄藻门种类最少，仅1科、1属、1种，占总数2.0%。</w:t>
      </w:r>
    </w:p>
    <w:p>
      <w:pPr>
        <w:pStyle w:val="5"/>
        <w:rPr>
          <w:rFonts w:ascii="Times New Roman" w:hAnsi="Times New Roman"/>
        </w:rPr>
      </w:pPr>
      <w:r>
        <w:rPr>
          <w:rFonts w:ascii="Times New Roman" w:hAnsi="Times New Roman"/>
        </w:rPr>
        <w:t>浮游动物</w:t>
      </w:r>
    </w:p>
    <w:p>
      <w:pPr>
        <w:ind w:firstLine="480"/>
        <w:rPr>
          <w:rFonts w:ascii="Times New Roman" w:hAnsi="Times New Roman"/>
        </w:rPr>
      </w:pPr>
      <w:r>
        <w:rPr>
          <w:rFonts w:ascii="Times New Roman" w:hAnsi="Times New Roman"/>
        </w:rPr>
        <w:t>经查阅相关资料，嘉陵江水系浮游动物的区系主要为原生动物（</w:t>
      </w:r>
      <w:r>
        <w:rPr>
          <w:rFonts w:ascii="Times New Roman" w:hAnsi="Times New Roman"/>
          <w:i/>
        </w:rPr>
        <w:t>Protozoan</w:t>
      </w:r>
      <w:r>
        <w:rPr>
          <w:rFonts w:ascii="Times New Roman" w:hAnsi="Times New Roman"/>
        </w:rPr>
        <w:t>）、轮虫（</w:t>
      </w:r>
      <w:r>
        <w:rPr>
          <w:rFonts w:ascii="Times New Roman" w:hAnsi="Times New Roman"/>
          <w:i/>
        </w:rPr>
        <w:t>Rotifer</w:t>
      </w:r>
      <w:r>
        <w:rPr>
          <w:rFonts w:ascii="Times New Roman" w:hAnsi="Times New Roman"/>
        </w:rPr>
        <w:t>）、枝角类（</w:t>
      </w:r>
      <w:r>
        <w:rPr>
          <w:rFonts w:ascii="Times New Roman" w:hAnsi="Times New Roman"/>
          <w:i/>
        </w:rPr>
        <w:t>Cladocera</w:t>
      </w:r>
      <w:r>
        <w:rPr>
          <w:rFonts w:ascii="Times New Roman" w:hAnsi="Times New Roman"/>
        </w:rPr>
        <w:t>）和桡足类（</w:t>
      </w:r>
      <w:r>
        <w:rPr>
          <w:rFonts w:ascii="Times New Roman" w:hAnsi="Times New Roman"/>
          <w:i/>
        </w:rPr>
        <w:t>Copepod</w:t>
      </w:r>
      <w:r>
        <w:rPr>
          <w:rFonts w:ascii="Times New Roman" w:hAnsi="Times New Roman"/>
        </w:rPr>
        <w:t>）4大类19种，以轮虫和枝角类为主。轮虫类主要有巨腕轮虫、角突臂尾轮虫、多肢轮虫、裂足轮虫等，枝角类主要有象鼻溞、盘肠溞、裸腹溞、秀体溞、溞状溞等，桡足类主要有剑水蚤、中镖水蚤等。</w:t>
      </w:r>
    </w:p>
    <w:p>
      <w:pPr>
        <w:pStyle w:val="5"/>
        <w:rPr>
          <w:rFonts w:ascii="Times New Roman" w:hAnsi="Times New Roman"/>
        </w:rPr>
      </w:pPr>
      <w:r>
        <w:rPr>
          <w:rFonts w:ascii="Times New Roman" w:hAnsi="Times New Roman"/>
        </w:rPr>
        <w:t>底栖无脊椎动物</w:t>
      </w:r>
    </w:p>
    <w:p>
      <w:pPr>
        <w:ind w:firstLine="480"/>
        <w:rPr>
          <w:rFonts w:ascii="Times New Roman" w:hAnsi="Times New Roman"/>
        </w:rPr>
      </w:pPr>
      <w:r>
        <w:rPr>
          <w:rFonts w:ascii="Times New Roman" w:hAnsi="Times New Roman"/>
        </w:rPr>
        <w:t>经查阅相关资料，底栖无脊椎动物的区系由节肢动物门和软体动物门组成，有15种，底栖动物多以喜清洁水体的节肢动物蜉蝣目、襀翅目、毛翅目的种类较多，同时软体动物中的螺类以及淡水壳菜等也比较丰富。昆虫纲中的常见种类包括：蜉蝣目的扁蜉、小蜉和小裳蜉；襀翅目的短尾石蝇和大石蝇；毛翅目的纹石蚕；鞘翅目的龙虱等。其中，以扁蜉和短尾石蝇为优势种，数量较多，分布广。</w:t>
      </w:r>
    </w:p>
    <w:p>
      <w:pPr>
        <w:pStyle w:val="5"/>
        <w:rPr>
          <w:rFonts w:ascii="Times New Roman" w:hAnsi="Times New Roman"/>
        </w:rPr>
      </w:pPr>
      <w:r>
        <w:rPr>
          <w:rFonts w:ascii="Times New Roman" w:hAnsi="Times New Roman"/>
        </w:rPr>
        <w:t>水生植物</w:t>
      </w:r>
    </w:p>
    <w:p>
      <w:pPr>
        <w:ind w:firstLine="480"/>
        <w:jc w:val="both"/>
        <w:rPr>
          <w:rFonts w:ascii="Times New Roman" w:hAnsi="Times New Roman"/>
        </w:rPr>
      </w:pPr>
      <w:r>
        <w:rPr>
          <w:rFonts w:ascii="Times New Roman" w:hAnsi="Times New Roman"/>
        </w:rPr>
        <w:t>根据现场调查及资料查阅，本项目穿越的清溪河段内没有大面积的水生植物，河流沿岸能见到常见的黑藻（</w:t>
      </w:r>
      <w:r>
        <w:rPr>
          <w:rFonts w:ascii="Times New Roman" w:hAnsi="Times New Roman"/>
          <w:i/>
        </w:rPr>
        <w:t>Hydrilla verticillata</w:t>
      </w:r>
      <w:r>
        <w:rPr>
          <w:rFonts w:ascii="Times New Roman" w:hAnsi="Times New Roman"/>
        </w:rPr>
        <w:t>）、凤眼莲（</w:t>
      </w:r>
      <w:r>
        <w:rPr>
          <w:rFonts w:ascii="Times New Roman" w:hAnsi="Times New Roman"/>
          <w:i/>
        </w:rPr>
        <w:t>Eichhornia crassipes</w:t>
      </w:r>
      <w:r>
        <w:rPr>
          <w:rFonts w:ascii="Times New Roman" w:hAnsi="Times New Roman"/>
        </w:rPr>
        <w:t>）、金鱼藻（Ceratophyllum demersum）、马来眼子菜（</w:t>
      </w:r>
      <w:r>
        <w:rPr>
          <w:rFonts w:ascii="Times New Roman" w:hAnsi="Times New Roman"/>
          <w:i/>
        </w:rPr>
        <w:t>Potamogeton wrightii Morong</w:t>
      </w:r>
      <w:r>
        <w:rPr>
          <w:rFonts w:ascii="Times New Roman" w:hAnsi="Times New Roman"/>
        </w:rPr>
        <w:t>）、苦草（</w:t>
      </w:r>
      <w:r>
        <w:rPr>
          <w:rFonts w:ascii="Times New Roman" w:hAnsi="Times New Roman"/>
          <w:i/>
        </w:rPr>
        <w:t>Vallismcnia spiralis</w:t>
      </w:r>
      <w:r>
        <w:rPr>
          <w:rFonts w:ascii="Times New Roman" w:hAnsi="Times New Roman"/>
        </w:rPr>
        <w:t>）、菹草（</w:t>
      </w:r>
      <w:r>
        <w:rPr>
          <w:rFonts w:ascii="Times New Roman" w:hAnsi="Times New Roman"/>
          <w:i/>
        </w:rPr>
        <w:t>Potrmogetoncrispu</w:t>
      </w:r>
      <w:r>
        <w:rPr>
          <w:rFonts w:ascii="Times New Roman" w:hAnsi="Times New Roman"/>
        </w:rPr>
        <w:t>s）、喜旱莲子草（</w:t>
      </w:r>
      <w:r>
        <w:rPr>
          <w:rFonts w:ascii="Times New Roman" w:hAnsi="Times New Roman"/>
          <w:i/>
        </w:rPr>
        <w:t>Alternanthera philoxeroides</w:t>
      </w:r>
      <w:r>
        <w:rPr>
          <w:rFonts w:ascii="Times New Roman" w:hAnsi="Times New Roman"/>
        </w:rPr>
        <w:t>）、慈姑（</w:t>
      </w:r>
      <w:r>
        <w:rPr>
          <w:rFonts w:ascii="Times New Roman" w:hAnsi="Times New Roman"/>
          <w:i/>
        </w:rPr>
        <w:t>Sagittaria trifolia</w:t>
      </w:r>
      <w:r>
        <w:rPr>
          <w:rFonts w:ascii="Times New Roman" w:hAnsi="Times New Roman"/>
        </w:rPr>
        <w:t>）、小茨藻（</w:t>
      </w:r>
      <w:r>
        <w:rPr>
          <w:rFonts w:ascii="Times New Roman" w:hAnsi="Times New Roman"/>
          <w:i/>
        </w:rPr>
        <w:t>Najas minor All</w:t>
      </w:r>
      <w:r>
        <w:rPr>
          <w:rFonts w:ascii="Times New Roman" w:hAnsi="Times New Roman"/>
        </w:rPr>
        <w:t>.）等。</w:t>
      </w:r>
    </w:p>
    <w:p>
      <w:pPr>
        <w:pStyle w:val="5"/>
        <w:rPr>
          <w:rFonts w:ascii="Times New Roman" w:hAnsi="Times New Roman"/>
        </w:rPr>
      </w:pPr>
      <w:r>
        <w:rPr>
          <w:rFonts w:ascii="Times New Roman" w:hAnsi="Times New Roman"/>
        </w:rPr>
        <w:t>鱼类</w:t>
      </w:r>
    </w:p>
    <w:p>
      <w:pPr>
        <w:ind w:firstLine="480"/>
        <w:rPr>
          <w:rFonts w:ascii="Times New Roman" w:hAnsi="Times New Roman"/>
        </w:rPr>
      </w:pPr>
      <w:r>
        <w:rPr>
          <w:rFonts w:ascii="Times New Roman" w:hAnsi="Times New Roman"/>
        </w:rPr>
        <w:t>（1）种类组成</w:t>
      </w:r>
    </w:p>
    <w:p>
      <w:pPr>
        <w:ind w:firstLine="480"/>
        <w:rPr>
          <w:rFonts w:ascii="Times New Roman" w:hAnsi="Times New Roman"/>
        </w:rPr>
      </w:pPr>
      <w:r>
        <w:rPr>
          <w:rFonts w:ascii="Times New Roman" w:hAnsi="Times New Roman"/>
        </w:rPr>
        <w:t>根据资料收集及走访当地渔民，本项目穿越的清溪河段未发现珍稀、濒危及特有鱼类。河段内总共有鱼类11种，隶属于2目3科10属。其中，鲤形目2科10种；鲇形目1科1种；占区域鱼类种数的86.04%。</w:t>
      </w:r>
    </w:p>
    <w:p>
      <w:pPr>
        <w:ind w:firstLine="480"/>
        <w:rPr>
          <w:rFonts w:ascii="Times New Roman" w:hAnsi="Times New Roman"/>
        </w:rPr>
      </w:pPr>
      <w:r>
        <w:rPr>
          <w:rFonts w:ascii="Times New Roman" w:hAnsi="Times New Roman"/>
        </w:rPr>
        <w:t>（2）珍稀濒危保护及特有鱼类</w:t>
      </w:r>
    </w:p>
    <w:p>
      <w:pPr>
        <w:ind w:firstLine="480"/>
        <w:rPr>
          <w:rFonts w:ascii="Times New Roman" w:hAnsi="Times New Roman"/>
        </w:rPr>
      </w:pPr>
      <w:r>
        <w:rPr>
          <w:rFonts w:ascii="Times New Roman" w:hAnsi="Times New Roman"/>
        </w:rPr>
        <w:t>根据历史资料记载，对比《国家重点保护野生动物名录》（2021版），评价范围内无珍稀濒危受保护及特有鱼类分布。</w:t>
      </w:r>
    </w:p>
    <w:p>
      <w:pPr>
        <w:ind w:firstLine="480"/>
        <w:rPr>
          <w:rFonts w:ascii="Times New Roman" w:hAnsi="Times New Roman"/>
        </w:rPr>
      </w:pPr>
      <w:r>
        <w:rPr>
          <w:rFonts w:ascii="Times New Roman" w:hAnsi="Times New Roman"/>
        </w:rPr>
        <w:t>3）鱼类“三场”</w:t>
      </w:r>
    </w:p>
    <w:p>
      <w:pPr>
        <w:ind w:firstLine="480"/>
        <w:rPr>
          <w:rFonts w:ascii="Times New Roman" w:hAnsi="Times New Roman"/>
        </w:rPr>
      </w:pPr>
      <w:r>
        <w:rPr>
          <w:rFonts w:ascii="Times New Roman" w:hAnsi="Times New Roman"/>
        </w:rPr>
        <w:t>根据资料记载及本次调查结果，本项穿越的清溪河段评价范围内无产卵场、越冬场、索饵场等鱼类重要生境分布。</w:t>
      </w:r>
    </w:p>
    <w:p>
      <w:pPr>
        <w:pStyle w:val="4"/>
        <w:rPr>
          <w:rFonts w:ascii="Times New Roman" w:hAnsi="Times New Roman" w:cs="Times New Roman"/>
        </w:rPr>
      </w:pPr>
      <w:r>
        <w:rPr>
          <w:rFonts w:ascii="Times New Roman" w:hAnsi="Times New Roman" w:cs="Times New Roman"/>
        </w:rPr>
        <w:t>永久基本农田调查</w:t>
      </w:r>
    </w:p>
    <w:p>
      <w:pPr>
        <w:ind w:firstLine="480"/>
        <w:rPr>
          <w:rFonts w:ascii="Times New Roman" w:hAnsi="Times New Roman"/>
        </w:rPr>
      </w:pPr>
      <w:r>
        <w:rPr>
          <w:rFonts w:ascii="Times New Roman" w:hAnsi="Times New Roman"/>
        </w:rPr>
        <w:t>经与宣汉县自然资源规划局国土空间规划股调查核实，本项目永久占地目前涉及占用永久基本农田，面积为27.8亩，在前期钻井工程项目中已办理了临时占地手续，待临时占地期满后进行永久占地的占用手续；管道施工时临时占用永久基本农田，占用面积约6.34hm</w:t>
      </w:r>
      <w:r>
        <w:rPr>
          <w:rFonts w:ascii="Times New Roman" w:hAnsi="Times New Roman"/>
          <w:vertAlign w:val="superscript"/>
        </w:rPr>
        <w:t>2</w:t>
      </w:r>
      <w:r>
        <w:rPr>
          <w:rFonts w:ascii="Times New Roman" w:hAnsi="Times New Roman"/>
        </w:rPr>
        <w:t>。本项目与永久基本农田的位置关系示意图见附图26。</w:t>
      </w:r>
    </w:p>
    <w:p>
      <w:pPr>
        <w:pStyle w:val="4"/>
        <w:rPr>
          <w:rFonts w:ascii="Times New Roman" w:hAnsi="Times New Roman" w:cs="Times New Roman"/>
        </w:rPr>
      </w:pPr>
      <w:r>
        <w:rPr>
          <w:rFonts w:ascii="Times New Roman" w:hAnsi="Times New Roman" w:cs="Times New Roman"/>
        </w:rPr>
        <w:t>土壤侵蚀现状</w:t>
      </w:r>
    </w:p>
    <w:p>
      <w:pPr>
        <w:ind w:firstLine="480"/>
        <w:rPr>
          <w:rFonts w:ascii="Times New Roman" w:hAnsi="Times New Roman"/>
        </w:rPr>
      </w:pPr>
      <w:r>
        <w:rPr>
          <w:rFonts w:ascii="Times New Roman" w:hAnsi="Times New Roman"/>
        </w:rPr>
        <w:t>土壤侵蚀分类依据《土壤侵蚀分类分级标准》（SL 190-2007）。本项目涉及的分类类型说明详见</w:t>
      </w:r>
      <w:r>
        <w:rPr>
          <w:rFonts w:ascii="Times New Roman" w:hAnsi="Times New Roman"/>
        </w:rPr>
        <w:fldChar w:fldCharType="begin"/>
      </w:r>
      <w:r>
        <w:rPr>
          <w:rFonts w:ascii="Times New Roman" w:hAnsi="Times New Roman"/>
        </w:rPr>
        <w:instrText xml:space="preserve"> REF _Ref152342919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40</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88" w:name="_Ref15234291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40</w:t>
      </w:r>
      <w:r>
        <w:rPr>
          <w:rFonts w:ascii="Times New Roman" w:hAnsi="Times New Roman" w:cs="Times New Roman"/>
        </w:rPr>
        <w:fldChar w:fldCharType="end"/>
      </w:r>
      <w:bookmarkEnd w:id="188"/>
      <w:r>
        <w:rPr>
          <w:rFonts w:ascii="Times New Roman" w:hAnsi="Times New Roman" w:cs="Times New Roman"/>
        </w:rPr>
        <w:t>土壤侵蚀类型说明</w:t>
      </w:r>
    </w:p>
    <w:tbl>
      <w:tblPr>
        <w:tblStyle w:val="28"/>
        <w:tblW w:w="83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9"/>
        <w:gridCol w:w="67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569" w:type="dxa"/>
          </w:tcPr>
          <w:p>
            <w:pPr>
              <w:pStyle w:val="39"/>
              <w:rPr>
                <w:rFonts w:ascii="Times New Roman" w:hAnsi="Times New Roman"/>
                <w:lang w:val="zh-CN"/>
              </w:rPr>
            </w:pPr>
            <w:r>
              <w:rPr>
                <w:rFonts w:ascii="Times New Roman" w:hAnsi="Times New Roman"/>
                <w:lang w:val="zh-CN"/>
              </w:rPr>
              <w:t>一级类型</w:t>
            </w:r>
          </w:p>
        </w:tc>
        <w:tc>
          <w:tcPr>
            <w:tcW w:w="6744" w:type="dxa"/>
          </w:tcPr>
          <w:p>
            <w:pPr>
              <w:pStyle w:val="39"/>
              <w:rPr>
                <w:rFonts w:ascii="Times New Roman" w:hAnsi="Times New Roman"/>
                <w:lang w:val="zh-CN"/>
              </w:rPr>
            </w:pPr>
            <w:r>
              <w:rPr>
                <w:rFonts w:ascii="Times New Roman" w:hAnsi="Times New Roman"/>
                <w:lang w:val="zh-CN"/>
              </w:rPr>
              <w:t>强度等级（二级类型）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9" w:type="dxa"/>
          </w:tcPr>
          <w:p>
            <w:pPr>
              <w:pStyle w:val="39"/>
              <w:rPr>
                <w:rFonts w:ascii="Times New Roman" w:hAnsi="Times New Roman"/>
                <w:lang w:val="zh-CN"/>
              </w:rPr>
            </w:pPr>
            <w:r>
              <w:rPr>
                <w:rFonts w:ascii="Times New Roman" w:hAnsi="Times New Roman"/>
                <w:lang w:val="zh-CN"/>
              </w:rPr>
              <w:t>1水力侵蚀</w:t>
            </w:r>
          </w:p>
        </w:tc>
        <w:tc>
          <w:tcPr>
            <w:tcW w:w="6744" w:type="dxa"/>
          </w:tcPr>
          <w:p>
            <w:pPr>
              <w:pStyle w:val="39"/>
              <w:rPr>
                <w:rFonts w:ascii="Times New Roman" w:hAnsi="Times New Roman"/>
                <w:lang w:val="zh-CN"/>
              </w:rPr>
            </w:pPr>
            <w:r>
              <w:rPr>
                <w:rFonts w:ascii="Times New Roman" w:hAnsi="Times New Roman"/>
                <w:lang w:val="zh-CN"/>
              </w:rPr>
              <w:t>11微度  12轻度  13中度  14强度  15极强度  16剧烈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9" w:type="dxa"/>
          </w:tcPr>
          <w:p>
            <w:pPr>
              <w:pStyle w:val="39"/>
              <w:rPr>
                <w:rFonts w:ascii="Times New Roman" w:hAnsi="Times New Roman"/>
                <w:lang w:val="zh-CN"/>
              </w:rPr>
            </w:pPr>
            <w:r>
              <w:rPr>
                <w:rFonts w:ascii="Times New Roman" w:hAnsi="Times New Roman"/>
                <w:lang w:val="zh-CN"/>
              </w:rPr>
              <w:t>2风力侵蚀</w:t>
            </w:r>
          </w:p>
        </w:tc>
        <w:tc>
          <w:tcPr>
            <w:tcW w:w="6744" w:type="dxa"/>
          </w:tcPr>
          <w:p>
            <w:pPr>
              <w:pStyle w:val="39"/>
              <w:rPr>
                <w:rFonts w:ascii="Times New Roman" w:hAnsi="Times New Roman"/>
                <w:lang w:val="zh-CN"/>
              </w:rPr>
            </w:pPr>
            <w:r>
              <w:rPr>
                <w:rFonts w:ascii="Times New Roman" w:hAnsi="Times New Roman"/>
                <w:lang w:val="zh-CN"/>
              </w:rPr>
              <w:t>21微度  22轻度  23中度  24强度  25极强度  26剧烈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9" w:type="dxa"/>
          </w:tcPr>
          <w:p>
            <w:pPr>
              <w:pStyle w:val="39"/>
              <w:rPr>
                <w:rFonts w:ascii="Times New Roman" w:hAnsi="Times New Roman"/>
                <w:lang w:val="zh-CN"/>
              </w:rPr>
            </w:pPr>
            <w:r>
              <w:rPr>
                <w:rFonts w:ascii="Times New Roman" w:hAnsi="Times New Roman"/>
                <w:lang w:val="zh-CN"/>
              </w:rPr>
              <w:t>3冻融侵蚀</w:t>
            </w:r>
          </w:p>
        </w:tc>
        <w:tc>
          <w:tcPr>
            <w:tcW w:w="6744" w:type="dxa"/>
          </w:tcPr>
          <w:p>
            <w:pPr>
              <w:pStyle w:val="39"/>
              <w:rPr>
                <w:rFonts w:ascii="Times New Roman" w:hAnsi="Times New Roman"/>
                <w:lang w:val="zh-CN"/>
              </w:rPr>
            </w:pPr>
            <w:r>
              <w:rPr>
                <w:rFonts w:ascii="Times New Roman" w:hAnsi="Times New Roman"/>
                <w:lang w:val="zh-CN"/>
              </w:rPr>
              <w:t>31微度  32轻度  33中度  34强度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1" w:hRule="atLeast"/>
          <w:jc w:val="center"/>
        </w:trPr>
        <w:tc>
          <w:tcPr>
            <w:tcW w:w="8313" w:type="dxa"/>
            <w:gridSpan w:val="2"/>
          </w:tcPr>
          <w:p>
            <w:pPr>
              <w:pStyle w:val="39"/>
              <w:rPr>
                <w:rFonts w:ascii="Times New Roman" w:hAnsi="Times New Roman"/>
                <w:lang w:val="zh-CN"/>
              </w:rPr>
            </w:pPr>
            <w:r>
              <w:rPr>
                <w:rFonts w:ascii="Times New Roman" w:hAnsi="Times New Roman"/>
                <w:lang w:val="zh-CN"/>
              </w:rPr>
              <w:t>注：</w:t>
            </w:r>
          </w:p>
          <w:p>
            <w:pPr>
              <w:pStyle w:val="39"/>
              <w:rPr>
                <w:rFonts w:ascii="Times New Roman" w:hAnsi="Times New Roman"/>
                <w:lang w:val="zh-CN"/>
              </w:rPr>
            </w:pPr>
            <w:r>
              <w:rPr>
                <w:rFonts w:ascii="Times New Roman" w:hAnsi="Times New Roman"/>
                <w:lang w:val="zh-CN"/>
              </w:rPr>
              <w:t>（1）水力侵蚀：指以地表水为主要侵蚀营力的土壤侵蚀类型。在降水、地表径流、地下径流作用下，土壤、土体或其它地面组成物质被破坏、搬运和沉积的过程。根据水力作用于地表物质形成不同的侵蚀形态，进一步分为溅蚀、片蚀、细沟侵蚀、浅沟侵蚀和切沟侵蚀等。</w:t>
            </w:r>
          </w:p>
          <w:p>
            <w:pPr>
              <w:pStyle w:val="39"/>
              <w:rPr>
                <w:rFonts w:ascii="Times New Roman" w:hAnsi="Times New Roman"/>
                <w:lang w:val="zh-CN"/>
              </w:rPr>
            </w:pPr>
            <w:r>
              <w:rPr>
                <w:rFonts w:ascii="Times New Roman" w:hAnsi="Times New Roman"/>
                <w:lang w:val="zh-CN"/>
              </w:rPr>
              <w:t>（2）风力侵蚀： 指以风为主要侵蚀营力的土壤侵蚀类型。包括在气流冲击作用下，土粒、沙粒或岩石碎屑脱离地表，被搬运和堆积的过程。由于风速和地表组成物质的大小及质量不同，风力对土、沙、石粒的吹移搬运出现扬失、跃移和滚动三种运动形式。</w:t>
            </w:r>
          </w:p>
          <w:p>
            <w:pPr>
              <w:pStyle w:val="39"/>
              <w:rPr>
                <w:rFonts w:ascii="Times New Roman" w:hAnsi="Times New Roman"/>
                <w:lang w:val="zh-CN"/>
              </w:rPr>
            </w:pPr>
            <w:r>
              <w:rPr>
                <w:rFonts w:ascii="Times New Roman" w:hAnsi="Times New Roman"/>
                <w:lang w:val="zh-CN"/>
              </w:rPr>
              <w:t>（3）冻融侵蚀：是由于土壤及其母质孔隙中或岩石裂缝中的水分在冻结时，体积膨胀，使裂隙随之加大、增多所导致整块土体或岩石发生碎裂，消融后其抗蚀稳定性大为降低，在重力作用下岩土顺坡向下方产生位移的现象。</w:t>
            </w:r>
          </w:p>
        </w:tc>
      </w:tr>
    </w:tbl>
    <w:p>
      <w:pPr>
        <w:ind w:firstLine="480"/>
        <w:rPr>
          <w:rFonts w:ascii="Times New Roman" w:hAnsi="Times New Roman"/>
        </w:rPr>
      </w:pPr>
      <w:r>
        <w:rPr>
          <w:rFonts w:ascii="Times New Roman" w:hAnsi="Times New Roman"/>
        </w:rPr>
        <w:t>本项目评价范围约为929.10hm</w:t>
      </w:r>
      <w:r>
        <w:rPr>
          <w:rFonts w:ascii="Times New Roman" w:hAnsi="Times New Roman"/>
          <w:vertAlign w:val="superscript"/>
        </w:rPr>
        <w:t>2</w:t>
      </w:r>
      <w:r>
        <w:rPr>
          <w:rFonts w:ascii="Times New Roman" w:hAnsi="Times New Roman"/>
        </w:rPr>
        <w:t>。评价范围内的土壤侵蚀类型主要为微度水力侵蚀、中度水力侵蚀、强度水力侵蚀、极强度水力侵蚀，其中微度水力侵蚀面积为453.52hm</w:t>
      </w:r>
      <w:r>
        <w:rPr>
          <w:rFonts w:ascii="Times New Roman" w:hAnsi="Times New Roman"/>
          <w:vertAlign w:val="superscript"/>
        </w:rPr>
        <w:t>2</w:t>
      </w:r>
      <w:r>
        <w:rPr>
          <w:rFonts w:ascii="Times New Roman" w:hAnsi="Times New Roman"/>
        </w:rPr>
        <w:t>，约占评价范围的48.81%；中度水力侵蚀的面积为213.69hm</w:t>
      </w:r>
      <w:r>
        <w:rPr>
          <w:rFonts w:ascii="Times New Roman" w:hAnsi="Times New Roman"/>
          <w:vertAlign w:val="superscript"/>
        </w:rPr>
        <w:t>2</w:t>
      </w:r>
      <w:r>
        <w:rPr>
          <w:rFonts w:ascii="Times New Roman" w:hAnsi="Times New Roman"/>
        </w:rPr>
        <w:t>，约占评价范围的23.00%；强度水力侵蚀的面积为224.81hm</w:t>
      </w:r>
      <w:r>
        <w:rPr>
          <w:rFonts w:ascii="Times New Roman" w:hAnsi="Times New Roman"/>
          <w:vertAlign w:val="superscript"/>
        </w:rPr>
        <w:t>2</w:t>
      </w:r>
      <w:r>
        <w:rPr>
          <w:rFonts w:ascii="Times New Roman" w:hAnsi="Times New Roman"/>
        </w:rPr>
        <w:t>，约占评价范围的24.2%；极强度水力侵蚀的面积为37.07hm</w:t>
      </w:r>
      <w:r>
        <w:rPr>
          <w:rFonts w:ascii="Times New Roman" w:hAnsi="Times New Roman"/>
          <w:vertAlign w:val="superscript"/>
        </w:rPr>
        <w:t>2</w:t>
      </w:r>
      <w:r>
        <w:rPr>
          <w:rFonts w:ascii="Times New Roman" w:hAnsi="Times New Roman"/>
        </w:rPr>
        <w:t>，约占评价范围的3.99%。评价范围内土壤侵蚀类型统计见</w:t>
      </w:r>
      <w:r>
        <w:rPr>
          <w:rFonts w:ascii="Times New Roman" w:hAnsi="Times New Roman"/>
        </w:rPr>
        <w:fldChar w:fldCharType="begin"/>
      </w:r>
      <w:r>
        <w:rPr>
          <w:rFonts w:ascii="Times New Roman" w:hAnsi="Times New Roman"/>
        </w:rPr>
        <w:instrText xml:space="preserve"> REF _Ref154563175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41</w:t>
      </w:r>
      <w:r>
        <w:rPr>
          <w:rFonts w:ascii="Times New Roman" w:hAnsi="Times New Roman"/>
        </w:rPr>
        <w:fldChar w:fldCharType="end"/>
      </w:r>
      <w:r>
        <w:rPr>
          <w:rFonts w:ascii="Times New Roman" w:hAnsi="Times New Roman"/>
        </w:rPr>
        <w:t>。土壤侵蚀类型分布情况见附图32。</w:t>
      </w:r>
    </w:p>
    <w:p>
      <w:pPr>
        <w:pStyle w:val="37"/>
        <w:rPr>
          <w:rFonts w:ascii="Times New Roman" w:hAnsi="Times New Roman" w:cs="Times New Roman"/>
        </w:rPr>
      </w:pPr>
      <w:bookmarkStart w:id="189" w:name="_Ref154563175"/>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41</w:t>
      </w:r>
      <w:r>
        <w:rPr>
          <w:rFonts w:ascii="Times New Roman" w:hAnsi="Times New Roman" w:cs="Times New Roman"/>
        </w:rPr>
        <w:fldChar w:fldCharType="end"/>
      </w:r>
      <w:bookmarkEnd w:id="189"/>
      <w:r>
        <w:rPr>
          <w:rFonts w:ascii="Times New Roman" w:hAnsi="Times New Roman" w:cs="Times New Roman"/>
        </w:rPr>
        <w:t>评价范围内土壤侵蚀类型统计</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0"/>
        <w:gridCol w:w="2125"/>
        <w:gridCol w:w="1418"/>
        <w:gridCol w:w="2316"/>
        <w:gridCol w:w="17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pct"/>
          </w:tcPr>
          <w:p>
            <w:pPr>
              <w:pStyle w:val="39"/>
              <w:rPr>
                <w:rFonts w:ascii="Times New Roman" w:hAnsi="Times New Roman"/>
              </w:rPr>
            </w:pPr>
            <w:r>
              <w:rPr>
                <w:rFonts w:ascii="Times New Roman" w:hAnsi="Times New Roman"/>
              </w:rPr>
              <w:t>序号</w:t>
            </w:r>
          </w:p>
        </w:tc>
        <w:tc>
          <w:tcPr>
            <w:tcW w:w="1247" w:type="pct"/>
            <w:vAlign w:val="center"/>
          </w:tcPr>
          <w:p>
            <w:pPr>
              <w:pStyle w:val="39"/>
              <w:rPr>
                <w:rFonts w:ascii="Times New Roman" w:hAnsi="Times New Roman"/>
              </w:rPr>
            </w:pPr>
            <w:r>
              <w:rPr>
                <w:rFonts w:ascii="Times New Roman" w:hAnsi="Times New Roman"/>
              </w:rPr>
              <w:t>类型</w:t>
            </w:r>
          </w:p>
        </w:tc>
        <w:tc>
          <w:tcPr>
            <w:tcW w:w="832" w:type="pct"/>
          </w:tcPr>
          <w:p>
            <w:pPr>
              <w:pStyle w:val="39"/>
              <w:rPr>
                <w:rFonts w:ascii="Times New Roman" w:hAnsi="Times New Roman"/>
              </w:rPr>
            </w:pPr>
            <w:r>
              <w:rPr>
                <w:rFonts w:ascii="Times New Roman" w:hAnsi="Times New Roman"/>
              </w:rPr>
              <w:t>代码</w:t>
            </w:r>
          </w:p>
        </w:tc>
        <w:tc>
          <w:tcPr>
            <w:tcW w:w="1359" w:type="pct"/>
          </w:tcPr>
          <w:p>
            <w:pPr>
              <w:pStyle w:val="39"/>
              <w:rPr>
                <w:rFonts w:ascii="Times New Roman" w:hAnsi="Times New Roman"/>
              </w:rPr>
            </w:pPr>
            <w:r>
              <w:rPr>
                <w:rFonts w:ascii="Times New Roman" w:hAnsi="Times New Roman"/>
              </w:rPr>
              <w:t>面积（hm</w:t>
            </w:r>
            <w:r>
              <w:rPr>
                <w:rFonts w:ascii="Times New Roman" w:hAnsi="Times New Roman"/>
                <w:vertAlign w:val="superscript"/>
              </w:rPr>
              <w:t>2</w:t>
            </w:r>
            <w:r>
              <w:rPr>
                <w:rFonts w:ascii="Times New Roman" w:hAnsi="Times New Roman"/>
              </w:rPr>
              <w:t>）</w:t>
            </w:r>
          </w:p>
        </w:tc>
        <w:tc>
          <w:tcPr>
            <w:tcW w:w="999" w:type="pct"/>
          </w:tcPr>
          <w:p>
            <w:pPr>
              <w:pStyle w:val="39"/>
              <w:rPr>
                <w:rFonts w:ascii="Times New Roman" w:hAnsi="Times New Roman"/>
              </w:rPr>
            </w:pPr>
            <w:r>
              <w:rPr>
                <w:rFonts w:ascii="Times New Roman" w:hAnsi="Times New Roman"/>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pct"/>
          </w:tcPr>
          <w:p>
            <w:pPr>
              <w:pStyle w:val="39"/>
              <w:rPr>
                <w:rFonts w:ascii="Times New Roman" w:hAnsi="Times New Roman"/>
              </w:rPr>
            </w:pPr>
            <w:r>
              <w:rPr>
                <w:rFonts w:ascii="Times New Roman" w:hAnsi="Times New Roman"/>
              </w:rPr>
              <w:t>1</w:t>
            </w:r>
          </w:p>
        </w:tc>
        <w:tc>
          <w:tcPr>
            <w:tcW w:w="1247" w:type="pct"/>
            <w:vAlign w:val="center"/>
          </w:tcPr>
          <w:p>
            <w:pPr>
              <w:pStyle w:val="39"/>
              <w:rPr>
                <w:rFonts w:ascii="Times New Roman" w:hAnsi="Times New Roman"/>
              </w:rPr>
            </w:pPr>
            <w:r>
              <w:rPr>
                <w:rFonts w:ascii="Times New Roman" w:hAnsi="Times New Roman"/>
              </w:rPr>
              <w:t>微度水力侵蚀</w:t>
            </w:r>
          </w:p>
        </w:tc>
        <w:tc>
          <w:tcPr>
            <w:tcW w:w="832" w:type="pct"/>
            <w:vAlign w:val="center"/>
          </w:tcPr>
          <w:p>
            <w:pPr>
              <w:pStyle w:val="39"/>
              <w:rPr>
                <w:rFonts w:ascii="Times New Roman" w:hAnsi="Times New Roman"/>
              </w:rPr>
            </w:pPr>
            <w:r>
              <w:rPr>
                <w:rFonts w:ascii="Times New Roman" w:hAnsi="Times New Roman"/>
              </w:rPr>
              <w:t>11</w:t>
            </w:r>
          </w:p>
        </w:tc>
        <w:tc>
          <w:tcPr>
            <w:tcW w:w="1359" w:type="pct"/>
            <w:vAlign w:val="center"/>
          </w:tcPr>
          <w:p>
            <w:pPr>
              <w:pStyle w:val="39"/>
              <w:rPr>
                <w:rFonts w:ascii="Times New Roman" w:hAnsi="Times New Roman"/>
              </w:rPr>
            </w:pPr>
            <w:r>
              <w:rPr>
                <w:rFonts w:ascii="Times New Roman" w:hAnsi="Times New Roman"/>
                <w:sz w:val="22"/>
                <w:szCs w:val="22"/>
              </w:rPr>
              <w:t>453.52</w:t>
            </w:r>
          </w:p>
        </w:tc>
        <w:tc>
          <w:tcPr>
            <w:tcW w:w="999" w:type="pct"/>
            <w:vAlign w:val="center"/>
          </w:tcPr>
          <w:p>
            <w:pPr>
              <w:pStyle w:val="39"/>
              <w:rPr>
                <w:rFonts w:ascii="Times New Roman" w:hAnsi="Times New Roman"/>
              </w:rPr>
            </w:pPr>
            <w:r>
              <w:rPr>
                <w:rFonts w:ascii="Times New Roman" w:hAnsi="Times New Roman"/>
                <w:sz w:val="22"/>
                <w:szCs w:val="22"/>
              </w:rPr>
              <w:t>48.81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pct"/>
          </w:tcPr>
          <w:p>
            <w:pPr>
              <w:pStyle w:val="39"/>
              <w:rPr>
                <w:rFonts w:ascii="Times New Roman" w:hAnsi="Times New Roman"/>
              </w:rPr>
            </w:pPr>
            <w:r>
              <w:rPr>
                <w:rFonts w:ascii="Times New Roman" w:hAnsi="Times New Roman"/>
              </w:rPr>
              <w:t>2</w:t>
            </w:r>
          </w:p>
        </w:tc>
        <w:tc>
          <w:tcPr>
            <w:tcW w:w="1247" w:type="pct"/>
            <w:vAlign w:val="center"/>
          </w:tcPr>
          <w:p>
            <w:pPr>
              <w:pStyle w:val="39"/>
              <w:rPr>
                <w:rFonts w:ascii="Times New Roman" w:hAnsi="Times New Roman"/>
              </w:rPr>
            </w:pPr>
            <w:r>
              <w:rPr>
                <w:rFonts w:ascii="Times New Roman" w:hAnsi="Times New Roman"/>
              </w:rPr>
              <w:t>中度水力你发</w:t>
            </w:r>
          </w:p>
        </w:tc>
        <w:tc>
          <w:tcPr>
            <w:tcW w:w="832" w:type="pct"/>
            <w:vAlign w:val="center"/>
          </w:tcPr>
          <w:p>
            <w:pPr>
              <w:pStyle w:val="39"/>
              <w:rPr>
                <w:rFonts w:ascii="Times New Roman" w:hAnsi="Times New Roman"/>
              </w:rPr>
            </w:pPr>
            <w:r>
              <w:rPr>
                <w:rFonts w:ascii="Times New Roman" w:hAnsi="Times New Roman"/>
              </w:rPr>
              <w:t>13</w:t>
            </w:r>
          </w:p>
        </w:tc>
        <w:tc>
          <w:tcPr>
            <w:tcW w:w="1359" w:type="pct"/>
            <w:vAlign w:val="center"/>
          </w:tcPr>
          <w:p>
            <w:pPr>
              <w:pStyle w:val="39"/>
              <w:rPr>
                <w:rFonts w:ascii="Times New Roman" w:hAnsi="Times New Roman"/>
              </w:rPr>
            </w:pPr>
            <w:r>
              <w:rPr>
                <w:rFonts w:ascii="Times New Roman" w:hAnsi="Times New Roman"/>
                <w:sz w:val="22"/>
                <w:szCs w:val="22"/>
              </w:rPr>
              <w:t>213.69</w:t>
            </w:r>
          </w:p>
        </w:tc>
        <w:tc>
          <w:tcPr>
            <w:tcW w:w="999" w:type="pct"/>
            <w:vAlign w:val="center"/>
          </w:tcPr>
          <w:p>
            <w:pPr>
              <w:pStyle w:val="39"/>
              <w:rPr>
                <w:rFonts w:ascii="Times New Roman" w:hAnsi="Times New Roman"/>
              </w:rPr>
            </w:pPr>
            <w:r>
              <w:rPr>
                <w:rFonts w:ascii="Times New Roman" w:hAnsi="Times New Roman"/>
                <w:sz w:val="22"/>
                <w:szCs w:val="22"/>
              </w:rPr>
              <w:t>23.00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pct"/>
          </w:tcPr>
          <w:p>
            <w:pPr>
              <w:pStyle w:val="39"/>
              <w:rPr>
                <w:rFonts w:ascii="Times New Roman" w:hAnsi="Times New Roman"/>
              </w:rPr>
            </w:pPr>
            <w:r>
              <w:rPr>
                <w:rFonts w:ascii="Times New Roman" w:hAnsi="Times New Roman"/>
              </w:rPr>
              <w:t>3</w:t>
            </w:r>
          </w:p>
        </w:tc>
        <w:tc>
          <w:tcPr>
            <w:tcW w:w="1247" w:type="pct"/>
            <w:vAlign w:val="center"/>
          </w:tcPr>
          <w:p>
            <w:pPr>
              <w:pStyle w:val="39"/>
              <w:rPr>
                <w:rFonts w:ascii="Times New Roman" w:hAnsi="Times New Roman"/>
              </w:rPr>
            </w:pPr>
            <w:r>
              <w:rPr>
                <w:rFonts w:ascii="Times New Roman" w:hAnsi="Times New Roman"/>
              </w:rPr>
              <w:t>强度水力侵蚀</w:t>
            </w:r>
          </w:p>
        </w:tc>
        <w:tc>
          <w:tcPr>
            <w:tcW w:w="832" w:type="pct"/>
            <w:vAlign w:val="center"/>
          </w:tcPr>
          <w:p>
            <w:pPr>
              <w:pStyle w:val="39"/>
              <w:rPr>
                <w:rFonts w:ascii="Times New Roman" w:hAnsi="Times New Roman"/>
              </w:rPr>
            </w:pPr>
            <w:r>
              <w:rPr>
                <w:rFonts w:ascii="Times New Roman" w:hAnsi="Times New Roman"/>
              </w:rPr>
              <w:t>14</w:t>
            </w:r>
          </w:p>
        </w:tc>
        <w:tc>
          <w:tcPr>
            <w:tcW w:w="1359" w:type="pct"/>
            <w:vAlign w:val="center"/>
          </w:tcPr>
          <w:p>
            <w:pPr>
              <w:pStyle w:val="39"/>
              <w:rPr>
                <w:rFonts w:ascii="Times New Roman" w:hAnsi="Times New Roman"/>
              </w:rPr>
            </w:pPr>
            <w:r>
              <w:rPr>
                <w:rFonts w:ascii="Times New Roman" w:hAnsi="Times New Roman"/>
                <w:sz w:val="22"/>
                <w:szCs w:val="22"/>
              </w:rPr>
              <w:t>224.81</w:t>
            </w:r>
          </w:p>
        </w:tc>
        <w:tc>
          <w:tcPr>
            <w:tcW w:w="999" w:type="pct"/>
            <w:vAlign w:val="center"/>
          </w:tcPr>
          <w:p>
            <w:pPr>
              <w:pStyle w:val="39"/>
              <w:rPr>
                <w:rFonts w:ascii="Times New Roman" w:hAnsi="Times New Roman"/>
              </w:rPr>
            </w:pPr>
            <w:r>
              <w:rPr>
                <w:rFonts w:ascii="Times New Roman" w:hAnsi="Times New Roman"/>
                <w:sz w:val="22"/>
                <w:szCs w:val="22"/>
              </w:rPr>
              <w:t>24.20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pct"/>
          </w:tcPr>
          <w:p>
            <w:pPr>
              <w:pStyle w:val="39"/>
              <w:rPr>
                <w:rFonts w:ascii="Times New Roman" w:hAnsi="Times New Roman"/>
              </w:rPr>
            </w:pPr>
            <w:r>
              <w:rPr>
                <w:rFonts w:ascii="Times New Roman" w:hAnsi="Times New Roman"/>
              </w:rPr>
              <w:t>4</w:t>
            </w:r>
          </w:p>
        </w:tc>
        <w:tc>
          <w:tcPr>
            <w:tcW w:w="1247" w:type="pct"/>
            <w:vAlign w:val="center"/>
          </w:tcPr>
          <w:p>
            <w:pPr>
              <w:pStyle w:val="39"/>
              <w:rPr>
                <w:rFonts w:ascii="Times New Roman" w:hAnsi="Times New Roman"/>
              </w:rPr>
            </w:pPr>
            <w:r>
              <w:rPr>
                <w:rFonts w:ascii="Times New Roman" w:hAnsi="Times New Roman"/>
              </w:rPr>
              <w:t>极强度水力侵蚀</w:t>
            </w:r>
          </w:p>
        </w:tc>
        <w:tc>
          <w:tcPr>
            <w:tcW w:w="832" w:type="pct"/>
            <w:vAlign w:val="center"/>
          </w:tcPr>
          <w:p>
            <w:pPr>
              <w:pStyle w:val="39"/>
              <w:rPr>
                <w:rFonts w:ascii="Times New Roman" w:hAnsi="Times New Roman"/>
              </w:rPr>
            </w:pPr>
            <w:r>
              <w:rPr>
                <w:rFonts w:ascii="Times New Roman" w:hAnsi="Times New Roman"/>
              </w:rPr>
              <w:t>15</w:t>
            </w:r>
          </w:p>
        </w:tc>
        <w:tc>
          <w:tcPr>
            <w:tcW w:w="1359" w:type="pct"/>
            <w:vAlign w:val="center"/>
          </w:tcPr>
          <w:p>
            <w:pPr>
              <w:pStyle w:val="39"/>
              <w:rPr>
                <w:rFonts w:ascii="Times New Roman" w:hAnsi="Times New Roman"/>
              </w:rPr>
            </w:pPr>
            <w:r>
              <w:rPr>
                <w:rFonts w:ascii="Times New Roman" w:hAnsi="Times New Roman"/>
                <w:sz w:val="22"/>
                <w:szCs w:val="22"/>
              </w:rPr>
              <w:t>37.07</w:t>
            </w:r>
          </w:p>
        </w:tc>
        <w:tc>
          <w:tcPr>
            <w:tcW w:w="999" w:type="pct"/>
            <w:vAlign w:val="center"/>
          </w:tcPr>
          <w:p>
            <w:pPr>
              <w:pStyle w:val="39"/>
              <w:rPr>
                <w:rFonts w:ascii="Times New Roman" w:hAnsi="Times New Roman"/>
              </w:rPr>
            </w:pPr>
            <w:r>
              <w:rPr>
                <w:rFonts w:ascii="Times New Roman" w:hAnsi="Times New Roman"/>
                <w:sz w:val="22"/>
                <w:szCs w:val="22"/>
              </w:rPr>
              <w:t>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pct"/>
          </w:tcPr>
          <w:p>
            <w:pPr>
              <w:pStyle w:val="39"/>
              <w:rPr>
                <w:rFonts w:ascii="Times New Roman" w:hAnsi="Times New Roman"/>
              </w:rPr>
            </w:pPr>
            <w:r>
              <w:rPr>
                <w:rFonts w:ascii="Times New Roman" w:hAnsi="Times New Roman"/>
              </w:rPr>
              <w:t>合计</w:t>
            </w:r>
          </w:p>
        </w:tc>
        <w:tc>
          <w:tcPr>
            <w:tcW w:w="1247" w:type="pct"/>
            <w:vAlign w:val="center"/>
          </w:tcPr>
          <w:p>
            <w:pPr>
              <w:pStyle w:val="39"/>
              <w:rPr>
                <w:rFonts w:ascii="Times New Roman" w:hAnsi="Times New Roman"/>
              </w:rPr>
            </w:pPr>
            <w:r>
              <w:rPr>
                <w:rFonts w:ascii="Times New Roman" w:hAnsi="Times New Roman"/>
              </w:rPr>
              <w:t>/</w:t>
            </w:r>
          </w:p>
        </w:tc>
        <w:tc>
          <w:tcPr>
            <w:tcW w:w="832" w:type="pct"/>
            <w:vAlign w:val="center"/>
          </w:tcPr>
          <w:p>
            <w:pPr>
              <w:pStyle w:val="39"/>
              <w:rPr>
                <w:rFonts w:ascii="Times New Roman" w:hAnsi="Times New Roman"/>
              </w:rPr>
            </w:pPr>
            <w:r>
              <w:rPr>
                <w:rFonts w:ascii="Times New Roman" w:hAnsi="Times New Roman"/>
              </w:rPr>
              <w:t>/</w:t>
            </w:r>
          </w:p>
        </w:tc>
        <w:tc>
          <w:tcPr>
            <w:tcW w:w="1359" w:type="pct"/>
            <w:vAlign w:val="center"/>
          </w:tcPr>
          <w:p>
            <w:pPr>
              <w:pStyle w:val="39"/>
              <w:rPr>
                <w:rFonts w:ascii="Times New Roman" w:hAnsi="Times New Roman"/>
              </w:rPr>
            </w:pPr>
            <w:r>
              <w:rPr>
                <w:rFonts w:ascii="Times New Roman" w:hAnsi="Times New Roman"/>
                <w:sz w:val="22"/>
                <w:szCs w:val="22"/>
              </w:rPr>
              <w:t>929.10</w:t>
            </w:r>
          </w:p>
        </w:tc>
        <w:tc>
          <w:tcPr>
            <w:tcW w:w="999" w:type="pct"/>
            <w:vAlign w:val="center"/>
          </w:tcPr>
          <w:p>
            <w:pPr>
              <w:pStyle w:val="39"/>
              <w:rPr>
                <w:rFonts w:ascii="Times New Roman" w:hAnsi="Times New Roman"/>
              </w:rPr>
            </w:pPr>
            <w:r>
              <w:rPr>
                <w:rFonts w:ascii="Times New Roman" w:hAnsi="Times New Roman"/>
                <w:sz w:val="22"/>
                <w:szCs w:val="22"/>
              </w:rPr>
              <w:t>100.00</w:t>
            </w:r>
          </w:p>
        </w:tc>
      </w:tr>
    </w:tbl>
    <w:p>
      <w:pPr>
        <w:ind w:firstLine="0" w:firstLineChars="0"/>
        <w:jc w:val="center"/>
        <w:rPr>
          <w:rFonts w:ascii="Times New Roman" w:hAnsi="Times New Roman"/>
        </w:rPr>
      </w:pPr>
    </w:p>
    <w:p>
      <w:pPr>
        <w:ind w:firstLine="0" w:firstLineChars="0"/>
        <w:jc w:val="center"/>
        <w:rPr>
          <w:rFonts w:ascii="Times New Roman" w:hAnsi="Times New Roman"/>
        </w:rPr>
      </w:pPr>
      <w:r>
        <w:rPr>
          <w:rFonts w:ascii="Times New Roman" w:hAnsi="Times New Roman"/>
        </w:rPr>
        <w:drawing>
          <wp:inline distT="0" distB="0" distL="0" distR="0">
            <wp:extent cx="4907280" cy="3028950"/>
            <wp:effectExtent l="0" t="0" r="26670" b="19050"/>
            <wp:docPr id="21" name="图表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pPr>
        <w:pStyle w:val="37"/>
        <w:ind w:firstLine="480"/>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13</w:t>
      </w:r>
      <w:r>
        <w:rPr>
          <w:rFonts w:ascii="Times New Roman" w:hAnsi="Times New Roman" w:cs="Times New Roman"/>
        </w:rPr>
        <w:fldChar w:fldCharType="end"/>
      </w:r>
      <w:r>
        <w:rPr>
          <w:rFonts w:ascii="Times New Roman" w:hAnsi="Times New Roman" w:cs="Times New Roman"/>
        </w:rPr>
        <w:t xml:space="preserve">  生态评价范围土壤侵蚀类型分布</w:t>
      </w:r>
    </w:p>
    <w:p>
      <w:pPr>
        <w:pStyle w:val="4"/>
        <w:rPr>
          <w:rFonts w:ascii="Times New Roman" w:hAnsi="Times New Roman" w:cs="Times New Roman"/>
        </w:rPr>
      </w:pPr>
      <w:r>
        <w:rPr>
          <w:rFonts w:ascii="Times New Roman" w:hAnsi="Times New Roman" w:cs="Times New Roman"/>
        </w:rPr>
        <w:t>景观格局现状</w:t>
      </w:r>
    </w:p>
    <w:p>
      <w:pPr>
        <w:ind w:firstLine="480"/>
        <w:rPr>
          <w:rFonts w:ascii="Times New Roman" w:hAnsi="Times New Roman"/>
        </w:rPr>
      </w:pPr>
      <w:r>
        <w:rPr>
          <w:rFonts w:ascii="Times New Roman" w:hAnsi="Times New Roman"/>
        </w:rPr>
        <w:t>项目区域以森林为基质，村庄、农田、工矿用地为斑块，河流、道路为廊道，形成了稳定的景观生态现状。</w:t>
      </w:r>
    </w:p>
    <w:p>
      <w:pPr>
        <w:ind w:firstLine="480"/>
        <w:rPr>
          <w:rFonts w:ascii="Times New Roman" w:hAnsi="Times New Roman"/>
        </w:rPr>
      </w:pPr>
      <w:r>
        <w:rPr>
          <w:rFonts w:ascii="Times New Roman" w:hAnsi="Times New Roman"/>
        </w:rPr>
        <w:t>（1）评价范围内斑块数分析</w:t>
      </w:r>
    </w:p>
    <w:p>
      <w:pPr>
        <w:ind w:firstLine="480"/>
        <w:rPr>
          <w:rFonts w:ascii="Times New Roman" w:hAnsi="Times New Roman"/>
        </w:rPr>
      </w:pPr>
      <w:r>
        <w:rPr>
          <w:rFonts w:ascii="Times New Roman" w:hAnsi="Times New Roman"/>
        </w:rPr>
        <w:t>根据遥感解译和现场调查结果，可将本评价范围内的斑块类型划分为水田、乔木林地、灌木林地、天然牧草地、工业用地、采矿用地、农村宅基地、公路用地、管道运输用地、河流水面、坑塘水面等11类，评价范围域景观格局见</w:t>
      </w:r>
      <w:r>
        <w:rPr>
          <w:rFonts w:ascii="Times New Roman" w:hAnsi="Times New Roman"/>
        </w:rPr>
        <w:fldChar w:fldCharType="begin"/>
      </w:r>
      <w:r>
        <w:rPr>
          <w:rFonts w:ascii="Times New Roman" w:hAnsi="Times New Roman"/>
        </w:rPr>
        <w:instrText xml:space="preserve"> REF _Ref152585640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42</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90" w:name="_Ref152585640"/>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42</w:t>
      </w:r>
      <w:r>
        <w:rPr>
          <w:rFonts w:ascii="Times New Roman" w:hAnsi="Times New Roman" w:cs="Times New Roman"/>
        </w:rPr>
        <w:fldChar w:fldCharType="end"/>
      </w:r>
      <w:bookmarkEnd w:id="190"/>
      <w:r>
        <w:rPr>
          <w:rFonts w:ascii="Times New Roman" w:hAnsi="Times New Roman" w:cs="Times New Roman"/>
        </w:rPr>
        <w:t>评价范围域景观格局一览表</w:t>
      </w:r>
    </w:p>
    <w:tbl>
      <w:tblPr>
        <w:tblStyle w:val="28"/>
        <w:tblW w:w="48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1"/>
        <w:gridCol w:w="881"/>
        <w:gridCol w:w="1134"/>
        <w:gridCol w:w="1133"/>
        <w:gridCol w:w="993"/>
        <w:gridCol w:w="1276"/>
        <w:gridCol w:w="13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925" w:type="pct"/>
            <w:noWrap/>
            <w:vAlign w:val="center"/>
          </w:tcPr>
          <w:p>
            <w:pPr>
              <w:pStyle w:val="39"/>
              <w:rPr>
                <w:rFonts w:ascii="Times New Roman" w:hAnsi="Times New Roman"/>
              </w:rPr>
            </w:pPr>
            <w:bookmarkStart w:id="191" w:name="_Hlk155355248"/>
            <w:r>
              <w:rPr>
                <w:rFonts w:ascii="Times New Roman" w:hAnsi="Times New Roman"/>
              </w:rPr>
              <w:t>斑块类型</w:t>
            </w:r>
          </w:p>
        </w:tc>
        <w:tc>
          <w:tcPr>
            <w:tcW w:w="529" w:type="pct"/>
            <w:noWrap/>
            <w:vAlign w:val="center"/>
          </w:tcPr>
          <w:p>
            <w:pPr>
              <w:pStyle w:val="39"/>
              <w:rPr>
                <w:rFonts w:ascii="Times New Roman" w:hAnsi="Times New Roman"/>
              </w:rPr>
            </w:pPr>
            <w:r>
              <w:rPr>
                <w:rFonts w:ascii="Times New Roman" w:hAnsi="Times New Roman"/>
              </w:rPr>
              <w:t>斑块数（个）</w:t>
            </w:r>
          </w:p>
        </w:tc>
        <w:tc>
          <w:tcPr>
            <w:tcW w:w="681" w:type="pct"/>
            <w:noWrap/>
            <w:vAlign w:val="center"/>
          </w:tcPr>
          <w:p>
            <w:pPr>
              <w:pStyle w:val="39"/>
              <w:rPr>
                <w:rFonts w:ascii="Times New Roman" w:hAnsi="Times New Roman"/>
              </w:rPr>
            </w:pPr>
            <w:r>
              <w:rPr>
                <w:rFonts w:ascii="Times New Roman" w:hAnsi="Times New Roman"/>
              </w:rPr>
              <w:t>斑块比例（%）</w:t>
            </w:r>
          </w:p>
        </w:tc>
        <w:tc>
          <w:tcPr>
            <w:tcW w:w="680" w:type="pct"/>
            <w:noWrap/>
            <w:vAlign w:val="center"/>
          </w:tcPr>
          <w:p>
            <w:pPr>
              <w:pStyle w:val="39"/>
              <w:rPr>
                <w:rFonts w:ascii="Times New Roman" w:hAnsi="Times New Roman"/>
              </w:rPr>
            </w:pPr>
            <w:r>
              <w:rPr>
                <w:rFonts w:ascii="Times New Roman" w:hAnsi="Times New Roman"/>
              </w:rPr>
              <w:t>面积（hm</w:t>
            </w:r>
            <w:r>
              <w:rPr>
                <w:rFonts w:ascii="Times New Roman" w:hAnsi="Times New Roman"/>
                <w:vertAlign w:val="superscript"/>
              </w:rPr>
              <w:t>2</w:t>
            </w:r>
            <w:r>
              <w:rPr>
                <w:rFonts w:ascii="Times New Roman" w:hAnsi="Times New Roman"/>
              </w:rPr>
              <w:t>）</w:t>
            </w:r>
          </w:p>
        </w:tc>
        <w:tc>
          <w:tcPr>
            <w:tcW w:w="596" w:type="pct"/>
            <w:noWrap/>
            <w:vAlign w:val="center"/>
          </w:tcPr>
          <w:p>
            <w:pPr>
              <w:pStyle w:val="39"/>
              <w:rPr>
                <w:rFonts w:ascii="Times New Roman" w:hAnsi="Times New Roman"/>
              </w:rPr>
            </w:pPr>
            <w:r>
              <w:rPr>
                <w:rFonts w:ascii="Times New Roman" w:hAnsi="Times New Roman"/>
              </w:rPr>
              <w:t>面积比例（%）</w:t>
            </w:r>
          </w:p>
        </w:tc>
        <w:tc>
          <w:tcPr>
            <w:tcW w:w="766" w:type="pct"/>
            <w:noWrap/>
            <w:vAlign w:val="center"/>
          </w:tcPr>
          <w:p>
            <w:pPr>
              <w:pStyle w:val="39"/>
              <w:rPr>
                <w:rFonts w:ascii="Times New Roman" w:hAnsi="Times New Roman"/>
              </w:rPr>
            </w:pPr>
            <w:r>
              <w:rPr>
                <w:rFonts w:ascii="Times New Roman" w:hAnsi="Times New Roman"/>
              </w:rPr>
              <w:t>斑块平均面积（hm</w:t>
            </w:r>
            <w:r>
              <w:rPr>
                <w:rFonts w:ascii="Times New Roman" w:hAnsi="Times New Roman"/>
                <w:vertAlign w:val="superscript"/>
              </w:rPr>
              <w:t>2</w:t>
            </w:r>
            <w:r>
              <w:rPr>
                <w:rFonts w:ascii="Times New Roman" w:hAnsi="Times New Roman"/>
              </w:rPr>
              <w:t>）</w:t>
            </w:r>
          </w:p>
        </w:tc>
        <w:tc>
          <w:tcPr>
            <w:tcW w:w="823" w:type="pct"/>
            <w:noWrap/>
            <w:vAlign w:val="center"/>
          </w:tcPr>
          <w:p>
            <w:pPr>
              <w:pStyle w:val="39"/>
              <w:rPr>
                <w:rFonts w:ascii="Times New Roman" w:hAnsi="Times New Roman"/>
              </w:rPr>
            </w:pPr>
            <w:r>
              <w:rPr>
                <w:rFonts w:ascii="Times New Roman" w:hAnsi="Times New Roman"/>
              </w:rPr>
              <w:t>破碎度</w:t>
            </w:r>
          </w:p>
          <w:p>
            <w:pPr>
              <w:pStyle w:val="39"/>
              <w:rPr>
                <w:rFonts w:ascii="Times New Roman" w:hAnsi="Times New Roman"/>
              </w:rPr>
            </w:pPr>
            <w:r>
              <w:rPr>
                <w:rFonts w:ascii="Times New Roman" w:hAnsi="Times New Roman"/>
              </w:rPr>
              <w:t>（块/hm</w:t>
            </w:r>
            <w:r>
              <w:rPr>
                <w:rFonts w:ascii="Times New Roman" w:hAnsi="Times New Roman"/>
                <w:vertAlign w:val="superscript"/>
              </w:rPr>
              <w:t>2</w:t>
            </w: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925" w:type="pct"/>
            <w:noWrap/>
            <w:vAlign w:val="center"/>
          </w:tcPr>
          <w:p>
            <w:pPr>
              <w:pStyle w:val="39"/>
              <w:rPr>
                <w:rFonts w:ascii="Times New Roman" w:hAnsi="Times New Roman"/>
              </w:rPr>
            </w:pPr>
            <w:r>
              <w:rPr>
                <w:rFonts w:ascii="Times New Roman" w:hAnsi="Times New Roman"/>
              </w:rPr>
              <w:t>水田</w:t>
            </w:r>
          </w:p>
        </w:tc>
        <w:tc>
          <w:tcPr>
            <w:tcW w:w="529" w:type="pct"/>
            <w:noWrap/>
            <w:vAlign w:val="center"/>
          </w:tcPr>
          <w:p>
            <w:pPr>
              <w:pStyle w:val="39"/>
              <w:rPr>
                <w:rFonts w:ascii="Times New Roman" w:hAnsi="Times New Roman"/>
              </w:rPr>
            </w:pPr>
            <w:r>
              <w:rPr>
                <w:rFonts w:ascii="Times New Roman" w:hAnsi="Times New Roman"/>
              </w:rPr>
              <w:t>25</w:t>
            </w:r>
          </w:p>
        </w:tc>
        <w:tc>
          <w:tcPr>
            <w:tcW w:w="681" w:type="pct"/>
            <w:noWrap/>
            <w:vAlign w:val="center"/>
          </w:tcPr>
          <w:p>
            <w:pPr>
              <w:pStyle w:val="39"/>
              <w:rPr>
                <w:rFonts w:ascii="Times New Roman" w:hAnsi="Times New Roman"/>
              </w:rPr>
            </w:pPr>
            <w:r>
              <w:rPr>
                <w:rFonts w:ascii="Times New Roman" w:hAnsi="Times New Roman"/>
              </w:rPr>
              <w:t>5.19</w:t>
            </w:r>
          </w:p>
        </w:tc>
        <w:tc>
          <w:tcPr>
            <w:tcW w:w="680" w:type="pct"/>
            <w:noWrap/>
            <w:vAlign w:val="center"/>
          </w:tcPr>
          <w:p>
            <w:pPr>
              <w:pStyle w:val="39"/>
              <w:rPr>
                <w:rFonts w:ascii="Times New Roman" w:hAnsi="Times New Roman"/>
              </w:rPr>
            </w:pPr>
            <w:r>
              <w:rPr>
                <w:rFonts w:ascii="Times New Roman" w:hAnsi="Times New Roman"/>
              </w:rPr>
              <w:t>37.00</w:t>
            </w:r>
          </w:p>
        </w:tc>
        <w:tc>
          <w:tcPr>
            <w:tcW w:w="596" w:type="pct"/>
            <w:noWrap/>
            <w:vAlign w:val="center"/>
          </w:tcPr>
          <w:p>
            <w:pPr>
              <w:pStyle w:val="39"/>
              <w:rPr>
                <w:rFonts w:ascii="Times New Roman" w:hAnsi="Times New Roman"/>
              </w:rPr>
            </w:pPr>
            <w:r>
              <w:rPr>
                <w:rFonts w:ascii="Times New Roman" w:hAnsi="Times New Roman"/>
              </w:rPr>
              <w:t>3.98</w:t>
            </w:r>
          </w:p>
        </w:tc>
        <w:tc>
          <w:tcPr>
            <w:tcW w:w="766" w:type="pct"/>
            <w:noWrap/>
            <w:vAlign w:val="center"/>
          </w:tcPr>
          <w:p>
            <w:pPr>
              <w:pStyle w:val="39"/>
              <w:rPr>
                <w:rFonts w:ascii="Times New Roman" w:hAnsi="Times New Roman"/>
              </w:rPr>
            </w:pPr>
            <w:r>
              <w:rPr>
                <w:rFonts w:ascii="Times New Roman" w:hAnsi="Times New Roman"/>
              </w:rPr>
              <w:t>1.48</w:t>
            </w:r>
          </w:p>
        </w:tc>
        <w:tc>
          <w:tcPr>
            <w:tcW w:w="823" w:type="pct"/>
            <w:noWrap/>
            <w:vAlign w:val="center"/>
          </w:tcPr>
          <w:p>
            <w:pPr>
              <w:pStyle w:val="39"/>
              <w:rPr>
                <w:rFonts w:ascii="Times New Roman" w:hAnsi="Times New Roman"/>
              </w:rPr>
            </w:pPr>
            <w:r>
              <w:rPr>
                <w:rFonts w:ascii="Times New Roman" w:hAnsi="Times New Roman"/>
              </w:rPr>
              <w:t>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925" w:type="pct"/>
            <w:noWrap/>
            <w:vAlign w:val="center"/>
          </w:tcPr>
          <w:p>
            <w:pPr>
              <w:pStyle w:val="39"/>
              <w:rPr>
                <w:rFonts w:ascii="Times New Roman" w:hAnsi="Times New Roman"/>
              </w:rPr>
            </w:pPr>
            <w:r>
              <w:rPr>
                <w:rFonts w:ascii="Times New Roman" w:hAnsi="Times New Roman"/>
              </w:rPr>
              <w:t>旱地</w:t>
            </w:r>
          </w:p>
        </w:tc>
        <w:tc>
          <w:tcPr>
            <w:tcW w:w="529" w:type="pct"/>
            <w:noWrap/>
            <w:vAlign w:val="center"/>
          </w:tcPr>
          <w:p>
            <w:pPr>
              <w:pStyle w:val="39"/>
              <w:rPr>
                <w:rFonts w:ascii="Times New Roman" w:hAnsi="Times New Roman"/>
              </w:rPr>
            </w:pPr>
            <w:r>
              <w:rPr>
                <w:rFonts w:ascii="Times New Roman" w:hAnsi="Times New Roman"/>
              </w:rPr>
              <w:t>124</w:t>
            </w:r>
          </w:p>
        </w:tc>
        <w:tc>
          <w:tcPr>
            <w:tcW w:w="681" w:type="pct"/>
            <w:noWrap/>
            <w:vAlign w:val="center"/>
          </w:tcPr>
          <w:p>
            <w:pPr>
              <w:pStyle w:val="39"/>
              <w:rPr>
                <w:rFonts w:ascii="Times New Roman" w:hAnsi="Times New Roman"/>
              </w:rPr>
            </w:pPr>
            <w:r>
              <w:rPr>
                <w:rFonts w:ascii="Times New Roman" w:hAnsi="Times New Roman"/>
              </w:rPr>
              <w:t>25.73</w:t>
            </w:r>
          </w:p>
        </w:tc>
        <w:tc>
          <w:tcPr>
            <w:tcW w:w="680" w:type="pct"/>
            <w:noWrap/>
            <w:vAlign w:val="center"/>
          </w:tcPr>
          <w:p>
            <w:pPr>
              <w:pStyle w:val="39"/>
              <w:rPr>
                <w:rFonts w:ascii="Times New Roman" w:hAnsi="Times New Roman"/>
              </w:rPr>
            </w:pPr>
            <w:r>
              <w:rPr>
                <w:rFonts w:ascii="Times New Roman" w:hAnsi="Times New Roman"/>
              </w:rPr>
              <w:t>146.29</w:t>
            </w:r>
          </w:p>
        </w:tc>
        <w:tc>
          <w:tcPr>
            <w:tcW w:w="596" w:type="pct"/>
            <w:noWrap/>
            <w:vAlign w:val="center"/>
          </w:tcPr>
          <w:p>
            <w:pPr>
              <w:pStyle w:val="39"/>
              <w:rPr>
                <w:rFonts w:ascii="Times New Roman" w:hAnsi="Times New Roman"/>
              </w:rPr>
            </w:pPr>
            <w:r>
              <w:rPr>
                <w:rFonts w:ascii="Times New Roman" w:hAnsi="Times New Roman"/>
              </w:rPr>
              <w:t>15.75</w:t>
            </w:r>
          </w:p>
        </w:tc>
        <w:tc>
          <w:tcPr>
            <w:tcW w:w="766" w:type="pct"/>
            <w:noWrap/>
            <w:vAlign w:val="center"/>
          </w:tcPr>
          <w:p>
            <w:pPr>
              <w:pStyle w:val="39"/>
              <w:rPr>
                <w:rFonts w:ascii="Times New Roman" w:hAnsi="Times New Roman"/>
              </w:rPr>
            </w:pPr>
            <w:r>
              <w:rPr>
                <w:rFonts w:ascii="Times New Roman" w:hAnsi="Times New Roman"/>
              </w:rPr>
              <w:t>1.18</w:t>
            </w:r>
          </w:p>
        </w:tc>
        <w:tc>
          <w:tcPr>
            <w:tcW w:w="823" w:type="pct"/>
            <w:noWrap/>
            <w:vAlign w:val="center"/>
          </w:tcPr>
          <w:p>
            <w:pPr>
              <w:pStyle w:val="39"/>
              <w:rPr>
                <w:rFonts w:ascii="Times New Roman" w:hAnsi="Times New Roman"/>
              </w:rPr>
            </w:pPr>
            <w:r>
              <w:rPr>
                <w:rFonts w:ascii="Times New Roman" w:hAnsi="Times New Roman"/>
              </w:rPr>
              <w:t>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925" w:type="pct"/>
            <w:noWrap/>
            <w:vAlign w:val="center"/>
          </w:tcPr>
          <w:p>
            <w:pPr>
              <w:pStyle w:val="39"/>
              <w:rPr>
                <w:rFonts w:ascii="Times New Roman" w:hAnsi="Times New Roman"/>
              </w:rPr>
            </w:pPr>
            <w:r>
              <w:rPr>
                <w:rFonts w:ascii="Times New Roman" w:hAnsi="Times New Roman"/>
              </w:rPr>
              <w:t>乔木林地</w:t>
            </w:r>
          </w:p>
        </w:tc>
        <w:tc>
          <w:tcPr>
            <w:tcW w:w="529" w:type="pct"/>
            <w:noWrap/>
            <w:vAlign w:val="center"/>
          </w:tcPr>
          <w:p>
            <w:pPr>
              <w:pStyle w:val="39"/>
              <w:rPr>
                <w:rFonts w:ascii="Times New Roman" w:hAnsi="Times New Roman"/>
              </w:rPr>
            </w:pPr>
            <w:r>
              <w:rPr>
                <w:rFonts w:ascii="Times New Roman" w:hAnsi="Times New Roman"/>
              </w:rPr>
              <w:t>92</w:t>
            </w:r>
          </w:p>
        </w:tc>
        <w:tc>
          <w:tcPr>
            <w:tcW w:w="681" w:type="pct"/>
            <w:noWrap/>
            <w:vAlign w:val="center"/>
          </w:tcPr>
          <w:p>
            <w:pPr>
              <w:pStyle w:val="39"/>
              <w:rPr>
                <w:rFonts w:ascii="Times New Roman" w:hAnsi="Times New Roman"/>
              </w:rPr>
            </w:pPr>
            <w:r>
              <w:rPr>
                <w:rFonts w:ascii="Times New Roman" w:hAnsi="Times New Roman"/>
              </w:rPr>
              <w:t>19.09</w:t>
            </w:r>
          </w:p>
        </w:tc>
        <w:tc>
          <w:tcPr>
            <w:tcW w:w="680" w:type="pct"/>
            <w:noWrap/>
            <w:vAlign w:val="center"/>
          </w:tcPr>
          <w:p>
            <w:pPr>
              <w:pStyle w:val="39"/>
              <w:rPr>
                <w:rFonts w:ascii="Times New Roman" w:hAnsi="Times New Roman"/>
              </w:rPr>
            </w:pPr>
            <w:r>
              <w:rPr>
                <w:rFonts w:ascii="Times New Roman" w:hAnsi="Times New Roman"/>
              </w:rPr>
              <w:t>630.96</w:t>
            </w:r>
          </w:p>
        </w:tc>
        <w:tc>
          <w:tcPr>
            <w:tcW w:w="596" w:type="pct"/>
            <w:noWrap/>
            <w:vAlign w:val="center"/>
          </w:tcPr>
          <w:p>
            <w:pPr>
              <w:pStyle w:val="39"/>
              <w:rPr>
                <w:rFonts w:ascii="Times New Roman" w:hAnsi="Times New Roman"/>
              </w:rPr>
            </w:pPr>
            <w:r>
              <w:rPr>
                <w:rFonts w:ascii="Times New Roman" w:hAnsi="Times New Roman"/>
              </w:rPr>
              <w:t>67.91</w:t>
            </w:r>
          </w:p>
        </w:tc>
        <w:tc>
          <w:tcPr>
            <w:tcW w:w="766" w:type="pct"/>
            <w:noWrap/>
            <w:vAlign w:val="center"/>
          </w:tcPr>
          <w:p>
            <w:pPr>
              <w:pStyle w:val="39"/>
              <w:rPr>
                <w:rFonts w:ascii="Times New Roman" w:hAnsi="Times New Roman"/>
              </w:rPr>
            </w:pPr>
            <w:r>
              <w:rPr>
                <w:rFonts w:ascii="Times New Roman" w:hAnsi="Times New Roman"/>
              </w:rPr>
              <w:t>6.86</w:t>
            </w:r>
          </w:p>
        </w:tc>
        <w:tc>
          <w:tcPr>
            <w:tcW w:w="823" w:type="pct"/>
            <w:noWrap/>
            <w:vAlign w:val="center"/>
          </w:tcPr>
          <w:p>
            <w:pPr>
              <w:pStyle w:val="39"/>
              <w:rPr>
                <w:rFonts w:ascii="Times New Roman" w:hAnsi="Times New Roman"/>
              </w:rPr>
            </w:pPr>
            <w:r>
              <w:rPr>
                <w:rFonts w:ascii="Times New Roman" w:hAnsi="Times New Roman"/>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925" w:type="pct"/>
            <w:noWrap/>
            <w:vAlign w:val="center"/>
          </w:tcPr>
          <w:p>
            <w:pPr>
              <w:pStyle w:val="39"/>
              <w:rPr>
                <w:rFonts w:ascii="Times New Roman" w:hAnsi="Times New Roman"/>
              </w:rPr>
            </w:pPr>
            <w:r>
              <w:rPr>
                <w:rFonts w:ascii="Times New Roman" w:hAnsi="Times New Roman"/>
              </w:rPr>
              <w:t>灌木林地</w:t>
            </w:r>
          </w:p>
        </w:tc>
        <w:tc>
          <w:tcPr>
            <w:tcW w:w="529" w:type="pct"/>
            <w:noWrap/>
            <w:vAlign w:val="center"/>
          </w:tcPr>
          <w:p>
            <w:pPr>
              <w:pStyle w:val="39"/>
              <w:rPr>
                <w:rFonts w:ascii="Times New Roman" w:hAnsi="Times New Roman"/>
              </w:rPr>
            </w:pPr>
            <w:r>
              <w:rPr>
                <w:rFonts w:ascii="Times New Roman" w:hAnsi="Times New Roman"/>
              </w:rPr>
              <w:t>6</w:t>
            </w:r>
          </w:p>
        </w:tc>
        <w:tc>
          <w:tcPr>
            <w:tcW w:w="681" w:type="pct"/>
            <w:noWrap/>
            <w:vAlign w:val="center"/>
          </w:tcPr>
          <w:p>
            <w:pPr>
              <w:pStyle w:val="39"/>
              <w:rPr>
                <w:rFonts w:ascii="Times New Roman" w:hAnsi="Times New Roman"/>
              </w:rPr>
            </w:pPr>
            <w:r>
              <w:rPr>
                <w:rFonts w:ascii="Times New Roman" w:hAnsi="Times New Roman"/>
              </w:rPr>
              <w:t>1.24</w:t>
            </w:r>
          </w:p>
        </w:tc>
        <w:tc>
          <w:tcPr>
            <w:tcW w:w="680" w:type="pct"/>
            <w:noWrap/>
            <w:vAlign w:val="center"/>
          </w:tcPr>
          <w:p>
            <w:pPr>
              <w:pStyle w:val="39"/>
              <w:rPr>
                <w:rFonts w:ascii="Times New Roman" w:hAnsi="Times New Roman"/>
              </w:rPr>
            </w:pPr>
            <w:r>
              <w:rPr>
                <w:rFonts w:ascii="Times New Roman" w:hAnsi="Times New Roman"/>
              </w:rPr>
              <w:t>60.86</w:t>
            </w:r>
          </w:p>
        </w:tc>
        <w:tc>
          <w:tcPr>
            <w:tcW w:w="596" w:type="pct"/>
            <w:noWrap/>
            <w:vAlign w:val="center"/>
          </w:tcPr>
          <w:p>
            <w:pPr>
              <w:pStyle w:val="39"/>
              <w:rPr>
                <w:rFonts w:ascii="Times New Roman" w:hAnsi="Times New Roman"/>
              </w:rPr>
            </w:pPr>
            <w:r>
              <w:rPr>
                <w:rFonts w:ascii="Times New Roman" w:hAnsi="Times New Roman"/>
              </w:rPr>
              <w:t>6.55</w:t>
            </w:r>
          </w:p>
        </w:tc>
        <w:tc>
          <w:tcPr>
            <w:tcW w:w="766" w:type="pct"/>
            <w:noWrap/>
            <w:vAlign w:val="center"/>
          </w:tcPr>
          <w:p>
            <w:pPr>
              <w:pStyle w:val="39"/>
              <w:rPr>
                <w:rFonts w:ascii="Times New Roman" w:hAnsi="Times New Roman"/>
              </w:rPr>
            </w:pPr>
            <w:r>
              <w:rPr>
                <w:rFonts w:ascii="Times New Roman" w:hAnsi="Times New Roman"/>
              </w:rPr>
              <w:t>10.14</w:t>
            </w:r>
          </w:p>
        </w:tc>
        <w:tc>
          <w:tcPr>
            <w:tcW w:w="823" w:type="pct"/>
            <w:noWrap/>
            <w:vAlign w:val="center"/>
          </w:tcPr>
          <w:p>
            <w:pPr>
              <w:pStyle w:val="39"/>
              <w:rPr>
                <w:rFonts w:ascii="Times New Roman" w:hAnsi="Times New Roman"/>
              </w:rPr>
            </w:pPr>
            <w:r>
              <w:rPr>
                <w:rFonts w:ascii="Times New Roman" w:hAnsi="Times New Roman"/>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925" w:type="pct"/>
            <w:noWrap/>
            <w:vAlign w:val="center"/>
          </w:tcPr>
          <w:p>
            <w:pPr>
              <w:pStyle w:val="39"/>
              <w:rPr>
                <w:rFonts w:ascii="Times New Roman" w:hAnsi="Times New Roman"/>
              </w:rPr>
            </w:pPr>
            <w:r>
              <w:rPr>
                <w:rFonts w:ascii="Times New Roman" w:hAnsi="Times New Roman"/>
              </w:rPr>
              <w:t>天然牧草地</w:t>
            </w:r>
          </w:p>
        </w:tc>
        <w:tc>
          <w:tcPr>
            <w:tcW w:w="529" w:type="pct"/>
            <w:noWrap/>
            <w:vAlign w:val="center"/>
          </w:tcPr>
          <w:p>
            <w:pPr>
              <w:pStyle w:val="39"/>
              <w:rPr>
                <w:rFonts w:ascii="Times New Roman" w:hAnsi="Times New Roman"/>
              </w:rPr>
            </w:pPr>
            <w:r>
              <w:rPr>
                <w:rFonts w:ascii="Times New Roman" w:hAnsi="Times New Roman"/>
              </w:rPr>
              <w:t>14</w:t>
            </w:r>
          </w:p>
        </w:tc>
        <w:tc>
          <w:tcPr>
            <w:tcW w:w="681" w:type="pct"/>
            <w:noWrap/>
            <w:vAlign w:val="center"/>
          </w:tcPr>
          <w:p>
            <w:pPr>
              <w:pStyle w:val="39"/>
              <w:rPr>
                <w:rFonts w:ascii="Times New Roman" w:hAnsi="Times New Roman"/>
              </w:rPr>
            </w:pPr>
            <w:r>
              <w:rPr>
                <w:rFonts w:ascii="Times New Roman" w:hAnsi="Times New Roman"/>
              </w:rPr>
              <w:t>2.90</w:t>
            </w:r>
          </w:p>
        </w:tc>
        <w:tc>
          <w:tcPr>
            <w:tcW w:w="680" w:type="pct"/>
            <w:noWrap/>
            <w:vAlign w:val="center"/>
          </w:tcPr>
          <w:p>
            <w:pPr>
              <w:pStyle w:val="39"/>
              <w:rPr>
                <w:rFonts w:ascii="Times New Roman" w:hAnsi="Times New Roman"/>
              </w:rPr>
            </w:pPr>
            <w:r>
              <w:rPr>
                <w:rFonts w:ascii="Times New Roman" w:hAnsi="Times New Roman"/>
              </w:rPr>
              <w:t>12.53</w:t>
            </w:r>
          </w:p>
        </w:tc>
        <w:tc>
          <w:tcPr>
            <w:tcW w:w="596" w:type="pct"/>
            <w:noWrap/>
            <w:vAlign w:val="center"/>
          </w:tcPr>
          <w:p>
            <w:pPr>
              <w:pStyle w:val="39"/>
              <w:rPr>
                <w:rFonts w:ascii="Times New Roman" w:hAnsi="Times New Roman"/>
              </w:rPr>
            </w:pPr>
            <w:r>
              <w:rPr>
                <w:rFonts w:ascii="Times New Roman" w:hAnsi="Times New Roman"/>
              </w:rPr>
              <w:t>1.35</w:t>
            </w:r>
          </w:p>
        </w:tc>
        <w:tc>
          <w:tcPr>
            <w:tcW w:w="766" w:type="pct"/>
            <w:noWrap/>
            <w:vAlign w:val="center"/>
          </w:tcPr>
          <w:p>
            <w:pPr>
              <w:pStyle w:val="39"/>
              <w:rPr>
                <w:rFonts w:ascii="Times New Roman" w:hAnsi="Times New Roman"/>
              </w:rPr>
            </w:pPr>
            <w:r>
              <w:rPr>
                <w:rFonts w:ascii="Times New Roman" w:hAnsi="Times New Roman"/>
              </w:rPr>
              <w:t>0.89</w:t>
            </w:r>
          </w:p>
        </w:tc>
        <w:tc>
          <w:tcPr>
            <w:tcW w:w="823" w:type="pct"/>
            <w:noWrap/>
            <w:vAlign w:val="center"/>
          </w:tcPr>
          <w:p>
            <w:pPr>
              <w:pStyle w:val="39"/>
              <w:rPr>
                <w:rFonts w:ascii="Times New Roman" w:hAnsi="Times New Roman"/>
              </w:rPr>
            </w:pPr>
            <w:r>
              <w:rPr>
                <w:rFonts w:ascii="Times New Roman" w:hAnsi="Times New Roman"/>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925" w:type="pct"/>
            <w:noWrap/>
            <w:vAlign w:val="center"/>
          </w:tcPr>
          <w:p>
            <w:pPr>
              <w:pStyle w:val="39"/>
              <w:rPr>
                <w:rFonts w:ascii="Times New Roman" w:hAnsi="Times New Roman"/>
              </w:rPr>
            </w:pPr>
            <w:r>
              <w:rPr>
                <w:rFonts w:ascii="Times New Roman" w:hAnsi="Times New Roman"/>
              </w:rPr>
              <w:t>工业用地</w:t>
            </w:r>
          </w:p>
        </w:tc>
        <w:tc>
          <w:tcPr>
            <w:tcW w:w="529" w:type="pct"/>
            <w:noWrap/>
            <w:vAlign w:val="center"/>
          </w:tcPr>
          <w:p>
            <w:pPr>
              <w:pStyle w:val="39"/>
              <w:rPr>
                <w:rFonts w:ascii="Times New Roman" w:hAnsi="Times New Roman"/>
              </w:rPr>
            </w:pPr>
            <w:r>
              <w:rPr>
                <w:rFonts w:ascii="Times New Roman" w:hAnsi="Times New Roman"/>
              </w:rPr>
              <w:t>2</w:t>
            </w:r>
          </w:p>
        </w:tc>
        <w:tc>
          <w:tcPr>
            <w:tcW w:w="681" w:type="pct"/>
            <w:noWrap/>
            <w:vAlign w:val="center"/>
          </w:tcPr>
          <w:p>
            <w:pPr>
              <w:pStyle w:val="39"/>
              <w:rPr>
                <w:rFonts w:ascii="Times New Roman" w:hAnsi="Times New Roman"/>
              </w:rPr>
            </w:pPr>
            <w:r>
              <w:rPr>
                <w:rFonts w:ascii="Times New Roman" w:hAnsi="Times New Roman"/>
              </w:rPr>
              <w:t>0.41</w:t>
            </w:r>
          </w:p>
        </w:tc>
        <w:tc>
          <w:tcPr>
            <w:tcW w:w="680" w:type="pct"/>
            <w:noWrap/>
            <w:vAlign w:val="center"/>
          </w:tcPr>
          <w:p>
            <w:pPr>
              <w:pStyle w:val="39"/>
              <w:rPr>
                <w:rFonts w:ascii="Times New Roman" w:hAnsi="Times New Roman"/>
              </w:rPr>
            </w:pPr>
            <w:r>
              <w:rPr>
                <w:rFonts w:ascii="Times New Roman" w:hAnsi="Times New Roman"/>
              </w:rPr>
              <w:t>1.67</w:t>
            </w:r>
          </w:p>
        </w:tc>
        <w:tc>
          <w:tcPr>
            <w:tcW w:w="596" w:type="pct"/>
            <w:noWrap/>
            <w:vAlign w:val="center"/>
          </w:tcPr>
          <w:p>
            <w:pPr>
              <w:pStyle w:val="39"/>
              <w:rPr>
                <w:rFonts w:ascii="Times New Roman" w:hAnsi="Times New Roman"/>
              </w:rPr>
            </w:pPr>
            <w:r>
              <w:rPr>
                <w:rFonts w:ascii="Times New Roman" w:hAnsi="Times New Roman"/>
              </w:rPr>
              <w:t>0.18</w:t>
            </w:r>
          </w:p>
        </w:tc>
        <w:tc>
          <w:tcPr>
            <w:tcW w:w="766" w:type="pct"/>
            <w:noWrap/>
            <w:vAlign w:val="center"/>
          </w:tcPr>
          <w:p>
            <w:pPr>
              <w:pStyle w:val="39"/>
              <w:rPr>
                <w:rFonts w:ascii="Times New Roman" w:hAnsi="Times New Roman"/>
              </w:rPr>
            </w:pPr>
            <w:r>
              <w:rPr>
                <w:rFonts w:ascii="Times New Roman" w:hAnsi="Times New Roman"/>
              </w:rPr>
              <w:t>0.84</w:t>
            </w:r>
          </w:p>
        </w:tc>
        <w:tc>
          <w:tcPr>
            <w:tcW w:w="823" w:type="pct"/>
            <w:noWrap/>
            <w:vAlign w:val="center"/>
          </w:tcPr>
          <w:p>
            <w:pPr>
              <w:pStyle w:val="39"/>
              <w:rPr>
                <w:rFonts w:ascii="Times New Roman" w:hAnsi="Times New Roman"/>
              </w:rPr>
            </w:pPr>
            <w:r>
              <w:rPr>
                <w:rFonts w:ascii="Times New Roman" w:hAnsi="Times New Roma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925" w:type="pct"/>
            <w:noWrap/>
            <w:vAlign w:val="center"/>
          </w:tcPr>
          <w:p>
            <w:pPr>
              <w:pStyle w:val="39"/>
              <w:rPr>
                <w:rFonts w:ascii="Times New Roman" w:hAnsi="Times New Roman"/>
              </w:rPr>
            </w:pPr>
            <w:r>
              <w:rPr>
                <w:rFonts w:ascii="Times New Roman" w:hAnsi="Times New Roman"/>
              </w:rPr>
              <w:t>采矿用地</w:t>
            </w:r>
          </w:p>
        </w:tc>
        <w:tc>
          <w:tcPr>
            <w:tcW w:w="529" w:type="pct"/>
            <w:noWrap/>
            <w:vAlign w:val="center"/>
          </w:tcPr>
          <w:p>
            <w:pPr>
              <w:pStyle w:val="39"/>
              <w:rPr>
                <w:rFonts w:ascii="Times New Roman" w:hAnsi="Times New Roman"/>
              </w:rPr>
            </w:pPr>
            <w:r>
              <w:rPr>
                <w:rFonts w:ascii="Times New Roman" w:hAnsi="Times New Roman"/>
              </w:rPr>
              <w:t>5</w:t>
            </w:r>
          </w:p>
        </w:tc>
        <w:tc>
          <w:tcPr>
            <w:tcW w:w="681" w:type="pct"/>
            <w:noWrap/>
            <w:vAlign w:val="center"/>
          </w:tcPr>
          <w:p>
            <w:pPr>
              <w:pStyle w:val="39"/>
              <w:rPr>
                <w:rFonts w:ascii="Times New Roman" w:hAnsi="Times New Roman"/>
              </w:rPr>
            </w:pPr>
            <w:r>
              <w:rPr>
                <w:rFonts w:ascii="Times New Roman" w:hAnsi="Times New Roman"/>
              </w:rPr>
              <w:t>1.04</w:t>
            </w:r>
          </w:p>
        </w:tc>
        <w:tc>
          <w:tcPr>
            <w:tcW w:w="680" w:type="pct"/>
            <w:noWrap/>
            <w:vAlign w:val="center"/>
          </w:tcPr>
          <w:p>
            <w:pPr>
              <w:pStyle w:val="39"/>
              <w:rPr>
                <w:rFonts w:ascii="Times New Roman" w:hAnsi="Times New Roman"/>
              </w:rPr>
            </w:pPr>
            <w:r>
              <w:rPr>
                <w:rFonts w:ascii="Times New Roman" w:hAnsi="Times New Roman"/>
              </w:rPr>
              <w:t>3.18</w:t>
            </w:r>
          </w:p>
        </w:tc>
        <w:tc>
          <w:tcPr>
            <w:tcW w:w="596" w:type="pct"/>
            <w:noWrap/>
            <w:vAlign w:val="center"/>
          </w:tcPr>
          <w:p>
            <w:pPr>
              <w:pStyle w:val="39"/>
              <w:rPr>
                <w:rFonts w:ascii="Times New Roman" w:hAnsi="Times New Roman"/>
              </w:rPr>
            </w:pPr>
            <w:r>
              <w:rPr>
                <w:rFonts w:ascii="Times New Roman" w:hAnsi="Times New Roman"/>
              </w:rPr>
              <w:t>0.34</w:t>
            </w:r>
          </w:p>
        </w:tc>
        <w:tc>
          <w:tcPr>
            <w:tcW w:w="766" w:type="pct"/>
            <w:noWrap/>
            <w:vAlign w:val="center"/>
          </w:tcPr>
          <w:p>
            <w:pPr>
              <w:pStyle w:val="39"/>
              <w:rPr>
                <w:rFonts w:ascii="Times New Roman" w:hAnsi="Times New Roman"/>
              </w:rPr>
            </w:pPr>
            <w:r>
              <w:rPr>
                <w:rFonts w:ascii="Times New Roman" w:hAnsi="Times New Roman"/>
              </w:rPr>
              <w:t>0.64</w:t>
            </w:r>
          </w:p>
        </w:tc>
        <w:tc>
          <w:tcPr>
            <w:tcW w:w="823" w:type="pct"/>
            <w:noWrap/>
            <w:vAlign w:val="center"/>
          </w:tcPr>
          <w:p>
            <w:pPr>
              <w:pStyle w:val="39"/>
              <w:rPr>
                <w:rFonts w:ascii="Times New Roman" w:hAnsi="Times New Roman"/>
              </w:rPr>
            </w:pPr>
            <w:r>
              <w:rPr>
                <w:rFonts w:ascii="Times New Roman" w:hAnsi="Times New Roman"/>
              </w:rPr>
              <w:t>1.57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925" w:type="pct"/>
            <w:noWrap/>
            <w:vAlign w:val="center"/>
          </w:tcPr>
          <w:p>
            <w:pPr>
              <w:pStyle w:val="39"/>
              <w:rPr>
                <w:rFonts w:ascii="Times New Roman" w:hAnsi="Times New Roman"/>
              </w:rPr>
            </w:pPr>
            <w:r>
              <w:rPr>
                <w:rFonts w:ascii="Times New Roman" w:hAnsi="Times New Roman"/>
              </w:rPr>
              <w:t>农村宅基地</w:t>
            </w:r>
          </w:p>
        </w:tc>
        <w:tc>
          <w:tcPr>
            <w:tcW w:w="529" w:type="pct"/>
            <w:noWrap/>
            <w:vAlign w:val="center"/>
          </w:tcPr>
          <w:p>
            <w:pPr>
              <w:pStyle w:val="39"/>
              <w:rPr>
                <w:rFonts w:ascii="Times New Roman" w:hAnsi="Times New Roman"/>
              </w:rPr>
            </w:pPr>
            <w:r>
              <w:rPr>
                <w:rFonts w:ascii="Times New Roman" w:hAnsi="Times New Roman"/>
              </w:rPr>
              <w:t>167</w:t>
            </w:r>
          </w:p>
        </w:tc>
        <w:tc>
          <w:tcPr>
            <w:tcW w:w="681" w:type="pct"/>
            <w:noWrap/>
            <w:vAlign w:val="center"/>
          </w:tcPr>
          <w:p>
            <w:pPr>
              <w:pStyle w:val="39"/>
              <w:rPr>
                <w:rFonts w:ascii="Times New Roman" w:hAnsi="Times New Roman"/>
              </w:rPr>
            </w:pPr>
            <w:r>
              <w:rPr>
                <w:rFonts w:ascii="Times New Roman" w:hAnsi="Times New Roman"/>
              </w:rPr>
              <w:t>34.65</w:t>
            </w:r>
          </w:p>
        </w:tc>
        <w:tc>
          <w:tcPr>
            <w:tcW w:w="680" w:type="pct"/>
            <w:noWrap/>
            <w:vAlign w:val="center"/>
          </w:tcPr>
          <w:p>
            <w:pPr>
              <w:pStyle w:val="39"/>
              <w:rPr>
                <w:rFonts w:ascii="Times New Roman" w:hAnsi="Times New Roman"/>
              </w:rPr>
            </w:pPr>
            <w:r>
              <w:rPr>
                <w:rFonts w:ascii="Times New Roman" w:hAnsi="Times New Roman"/>
              </w:rPr>
              <w:t>18.47</w:t>
            </w:r>
          </w:p>
        </w:tc>
        <w:tc>
          <w:tcPr>
            <w:tcW w:w="596" w:type="pct"/>
            <w:noWrap/>
            <w:vAlign w:val="center"/>
          </w:tcPr>
          <w:p>
            <w:pPr>
              <w:pStyle w:val="39"/>
              <w:rPr>
                <w:rFonts w:ascii="Times New Roman" w:hAnsi="Times New Roman"/>
              </w:rPr>
            </w:pPr>
            <w:r>
              <w:rPr>
                <w:rFonts w:ascii="Times New Roman" w:hAnsi="Times New Roman"/>
              </w:rPr>
              <w:t>1.99</w:t>
            </w:r>
          </w:p>
        </w:tc>
        <w:tc>
          <w:tcPr>
            <w:tcW w:w="766" w:type="pct"/>
            <w:noWrap/>
            <w:vAlign w:val="center"/>
          </w:tcPr>
          <w:p>
            <w:pPr>
              <w:pStyle w:val="39"/>
              <w:rPr>
                <w:rFonts w:ascii="Times New Roman" w:hAnsi="Times New Roman"/>
              </w:rPr>
            </w:pPr>
            <w:r>
              <w:rPr>
                <w:rFonts w:ascii="Times New Roman" w:hAnsi="Times New Roman"/>
              </w:rPr>
              <w:t>0.11</w:t>
            </w:r>
          </w:p>
        </w:tc>
        <w:tc>
          <w:tcPr>
            <w:tcW w:w="823" w:type="pct"/>
            <w:noWrap/>
            <w:vAlign w:val="center"/>
          </w:tcPr>
          <w:p>
            <w:pPr>
              <w:pStyle w:val="39"/>
              <w:rPr>
                <w:rFonts w:ascii="Times New Roman" w:hAnsi="Times New Roman"/>
              </w:rPr>
            </w:pPr>
            <w:r>
              <w:rPr>
                <w:rFonts w:ascii="Times New Roman" w:hAnsi="Times New Roman"/>
              </w:rPr>
              <w:t>9.04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925" w:type="pct"/>
            <w:noWrap/>
            <w:vAlign w:val="center"/>
          </w:tcPr>
          <w:p>
            <w:pPr>
              <w:pStyle w:val="39"/>
              <w:rPr>
                <w:rFonts w:ascii="Times New Roman" w:hAnsi="Times New Roman"/>
              </w:rPr>
            </w:pPr>
            <w:r>
              <w:rPr>
                <w:rFonts w:ascii="Times New Roman" w:hAnsi="Times New Roman"/>
              </w:rPr>
              <w:t>公路用地</w:t>
            </w:r>
          </w:p>
        </w:tc>
        <w:tc>
          <w:tcPr>
            <w:tcW w:w="529" w:type="pct"/>
            <w:noWrap/>
            <w:vAlign w:val="center"/>
          </w:tcPr>
          <w:p>
            <w:pPr>
              <w:pStyle w:val="39"/>
              <w:rPr>
                <w:rFonts w:ascii="Times New Roman" w:hAnsi="Times New Roman"/>
              </w:rPr>
            </w:pPr>
            <w:r>
              <w:rPr>
                <w:rFonts w:ascii="Times New Roman" w:hAnsi="Times New Roman"/>
              </w:rPr>
              <w:t>24</w:t>
            </w:r>
          </w:p>
        </w:tc>
        <w:tc>
          <w:tcPr>
            <w:tcW w:w="681" w:type="pct"/>
            <w:noWrap/>
            <w:vAlign w:val="center"/>
          </w:tcPr>
          <w:p>
            <w:pPr>
              <w:pStyle w:val="39"/>
              <w:rPr>
                <w:rFonts w:ascii="Times New Roman" w:hAnsi="Times New Roman"/>
              </w:rPr>
            </w:pPr>
            <w:r>
              <w:rPr>
                <w:rFonts w:ascii="Times New Roman" w:hAnsi="Times New Roman"/>
              </w:rPr>
              <w:t>4.98</w:t>
            </w:r>
          </w:p>
        </w:tc>
        <w:tc>
          <w:tcPr>
            <w:tcW w:w="680" w:type="pct"/>
            <w:noWrap/>
            <w:vAlign w:val="center"/>
          </w:tcPr>
          <w:p>
            <w:pPr>
              <w:pStyle w:val="39"/>
              <w:rPr>
                <w:rFonts w:ascii="Times New Roman" w:hAnsi="Times New Roman"/>
              </w:rPr>
            </w:pPr>
            <w:r>
              <w:rPr>
                <w:rFonts w:ascii="Times New Roman" w:hAnsi="Times New Roman"/>
              </w:rPr>
              <w:t>10.68</w:t>
            </w:r>
          </w:p>
        </w:tc>
        <w:tc>
          <w:tcPr>
            <w:tcW w:w="596" w:type="pct"/>
            <w:noWrap/>
            <w:vAlign w:val="center"/>
          </w:tcPr>
          <w:p>
            <w:pPr>
              <w:pStyle w:val="39"/>
              <w:rPr>
                <w:rFonts w:ascii="Times New Roman" w:hAnsi="Times New Roman"/>
              </w:rPr>
            </w:pPr>
            <w:r>
              <w:rPr>
                <w:rFonts w:ascii="Times New Roman" w:hAnsi="Times New Roman"/>
              </w:rPr>
              <w:t>1.15</w:t>
            </w:r>
          </w:p>
        </w:tc>
        <w:tc>
          <w:tcPr>
            <w:tcW w:w="766" w:type="pct"/>
            <w:noWrap/>
            <w:vAlign w:val="center"/>
          </w:tcPr>
          <w:p>
            <w:pPr>
              <w:pStyle w:val="39"/>
              <w:rPr>
                <w:rFonts w:ascii="Times New Roman" w:hAnsi="Times New Roman"/>
              </w:rPr>
            </w:pPr>
            <w:r>
              <w:rPr>
                <w:rFonts w:ascii="Times New Roman" w:hAnsi="Times New Roman"/>
              </w:rPr>
              <w:t>0.44</w:t>
            </w:r>
          </w:p>
        </w:tc>
        <w:tc>
          <w:tcPr>
            <w:tcW w:w="823" w:type="pct"/>
            <w:noWrap/>
            <w:vAlign w:val="center"/>
          </w:tcPr>
          <w:p>
            <w:pPr>
              <w:pStyle w:val="39"/>
              <w:rPr>
                <w:rFonts w:ascii="Times New Roman" w:hAnsi="Times New Roman"/>
              </w:rPr>
            </w:pPr>
            <w:r>
              <w:rPr>
                <w:rFonts w:ascii="Times New Roman" w:hAnsi="Times New Roman"/>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925" w:type="pct"/>
            <w:noWrap/>
            <w:vAlign w:val="center"/>
          </w:tcPr>
          <w:p>
            <w:pPr>
              <w:pStyle w:val="39"/>
              <w:rPr>
                <w:rFonts w:ascii="Times New Roman" w:hAnsi="Times New Roman"/>
              </w:rPr>
            </w:pPr>
            <w:r>
              <w:rPr>
                <w:rFonts w:ascii="Times New Roman" w:hAnsi="Times New Roman"/>
              </w:rPr>
              <w:t>管道运输用地</w:t>
            </w:r>
          </w:p>
        </w:tc>
        <w:tc>
          <w:tcPr>
            <w:tcW w:w="529" w:type="pct"/>
            <w:noWrap/>
            <w:vAlign w:val="center"/>
          </w:tcPr>
          <w:p>
            <w:pPr>
              <w:pStyle w:val="39"/>
              <w:rPr>
                <w:rFonts w:ascii="Times New Roman" w:hAnsi="Times New Roman"/>
              </w:rPr>
            </w:pPr>
            <w:r>
              <w:rPr>
                <w:rFonts w:ascii="Times New Roman" w:hAnsi="Times New Roman"/>
              </w:rPr>
              <w:t>2</w:t>
            </w:r>
          </w:p>
        </w:tc>
        <w:tc>
          <w:tcPr>
            <w:tcW w:w="681" w:type="pct"/>
            <w:noWrap/>
            <w:vAlign w:val="center"/>
          </w:tcPr>
          <w:p>
            <w:pPr>
              <w:pStyle w:val="39"/>
              <w:rPr>
                <w:rFonts w:ascii="Times New Roman" w:hAnsi="Times New Roman"/>
              </w:rPr>
            </w:pPr>
            <w:r>
              <w:rPr>
                <w:rFonts w:ascii="Times New Roman" w:hAnsi="Times New Roman"/>
              </w:rPr>
              <w:t>0.41</w:t>
            </w:r>
          </w:p>
        </w:tc>
        <w:tc>
          <w:tcPr>
            <w:tcW w:w="680" w:type="pct"/>
            <w:noWrap/>
            <w:vAlign w:val="center"/>
          </w:tcPr>
          <w:p>
            <w:pPr>
              <w:pStyle w:val="39"/>
              <w:rPr>
                <w:rFonts w:ascii="Times New Roman" w:hAnsi="Times New Roman"/>
              </w:rPr>
            </w:pPr>
            <w:r>
              <w:rPr>
                <w:rFonts w:ascii="Times New Roman" w:hAnsi="Times New Roman"/>
              </w:rPr>
              <w:t>1.28</w:t>
            </w:r>
          </w:p>
        </w:tc>
        <w:tc>
          <w:tcPr>
            <w:tcW w:w="596" w:type="pct"/>
            <w:noWrap/>
            <w:vAlign w:val="center"/>
          </w:tcPr>
          <w:p>
            <w:pPr>
              <w:pStyle w:val="39"/>
              <w:rPr>
                <w:rFonts w:ascii="Times New Roman" w:hAnsi="Times New Roman"/>
              </w:rPr>
            </w:pPr>
            <w:r>
              <w:rPr>
                <w:rFonts w:ascii="Times New Roman" w:hAnsi="Times New Roman"/>
              </w:rPr>
              <w:t>0.14</w:t>
            </w:r>
          </w:p>
        </w:tc>
        <w:tc>
          <w:tcPr>
            <w:tcW w:w="766" w:type="pct"/>
            <w:noWrap/>
            <w:vAlign w:val="center"/>
          </w:tcPr>
          <w:p>
            <w:pPr>
              <w:pStyle w:val="39"/>
              <w:rPr>
                <w:rFonts w:ascii="Times New Roman" w:hAnsi="Times New Roman"/>
              </w:rPr>
            </w:pPr>
            <w:r>
              <w:rPr>
                <w:rFonts w:ascii="Times New Roman" w:hAnsi="Times New Roman"/>
              </w:rPr>
              <w:t>0.64</w:t>
            </w:r>
          </w:p>
        </w:tc>
        <w:tc>
          <w:tcPr>
            <w:tcW w:w="823" w:type="pct"/>
            <w:noWrap/>
            <w:vAlign w:val="center"/>
          </w:tcPr>
          <w:p>
            <w:pPr>
              <w:pStyle w:val="39"/>
              <w:rPr>
                <w:rFonts w:ascii="Times New Roman" w:hAnsi="Times New Roman"/>
              </w:rPr>
            </w:pPr>
            <w:r>
              <w:rPr>
                <w:rFonts w:ascii="Times New Roman" w:hAnsi="Times New Roman"/>
              </w:rPr>
              <w:t>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925" w:type="pct"/>
            <w:noWrap/>
            <w:vAlign w:val="center"/>
          </w:tcPr>
          <w:p>
            <w:pPr>
              <w:pStyle w:val="39"/>
              <w:rPr>
                <w:rFonts w:ascii="Times New Roman" w:hAnsi="Times New Roman"/>
              </w:rPr>
            </w:pPr>
            <w:r>
              <w:rPr>
                <w:rFonts w:ascii="Times New Roman" w:hAnsi="Times New Roman"/>
                <w:sz w:val="22"/>
                <w:szCs w:val="22"/>
              </w:rPr>
              <w:t>河流水面</w:t>
            </w:r>
          </w:p>
        </w:tc>
        <w:tc>
          <w:tcPr>
            <w:tcW w:w="529" w:type="pct"/>
            <w:noWrap/>
            <w:vAlign w:val="center"/>
          </w:tcPr>
          <w:p>
            <w:pPr>
              <w:pStyle w:val="39"/>
              <w:rPr>
                <w:rFonts w:ascii="Times New Roman" w:hAnsi="Times New Roman"/>
              </w:rPr>
            </w:pPr>
            <w:r>
              <w:rPr>
                <w:rFonts w:ascii="Times New Roman" w:hAnsi="Times New Roman"/>
                <w:sz w:val="22"/>
                <w:szCs w:val="22"/>
              </w:rPr>
              <w:t>2</w:t>
            </w:r>
          </w:p>
        </w:tc>
        <w:tc>
          <w:tcPr>
            <w:tcW w:w="681" w:type="pct"/>
            <w:noWrap/>
            <w:vAlign w:val="center"/>
          </w:tcPr>
          <w:p>
            <w:pPr>
              <w:pStyle w:val="39"/>
              <w:rPr>
                <w:rFonts w:ascii="Times New Roman" w:hAnsi="Times New Roman"/>
              </w:rPr>
            </w:pPr>
            <w:r>
              <w:rPr>
                <w:rFonts w:ascii="Times New Roman" w:hAnsi="Times New Roman"/>
              </w:rPr>
              <w:t>0.41</w:t>
            </w:r>
          </w:p>
        </w:tc>
        <w:tc>
          <w:tcPr>
            <w:tcW w:w="680" w:type="pct"/>
            <w:noWrap/>
            <w:vAlign w:val="center"/>
          </w:tcPr>
          <w:p>
            <w:pPr>
              <w:pStyle w:val="39"/>
              <w:rPr>
                <w:rFonts w:ascii="Times New Roman" w:hAnsi="Times New Roman"/>
              </w:rPr>
            </w:pPr>
            <w:r>
              <w:rPr>
                <w:rFonts w:ascii="Times New Roman" w:hAnsi="Times New Roman"/>
                <w:sz w:val="22"/>
                <w:szCs w:val="22"/>
              </w:rPr>
              <w:t>2.79</w:t>
            </w:r>
          </w:p>
        </w:tc>
        <w:tc>
          <w:tcPr>
            <w:tcW w:w="596" w:type="pct"/>
            <w:noWrap/>
            <w:vAlign w:val="center"/>
          </w:tcPr>
          <w:p>
            <w:pPr>
              <w:pStyle w:val="39"/>
              <w:rPr>
                <w:rFonts w:ascii="Times New Roman" w:hAnsi="Times New Roman"/>
              </w:rPr>
            </w:pPr>
            <w:r>
              <w:rPr>
                <w:rFonts w:ascii="Times New Roman" w:hAnsi="Times New Roman"/>
              </w:rPr>
              <w:t>0.30</w:t>
            </w:r>
          </w:p>
        </w:tc>
        <w:tc>
          <w:tcPr>
            <w:tcW w:w="766" w:type="pct"/>
            <w:noWrap/>
            <w:vAlign w:val="center"/>
          </w:tcPr>
          <w:p>
            <w:pPr>
              <w:pStyle w:val="39"/>
              <w:rPr>
                <w:rFonts w:ascii="Times New Roman" w:hAnsi="Times New Roman"/>
              </w:rPr>
            </w:pPr>
            <w:r>
              <w:rPr>
                <w:rFonts w:ascii="Times New Roman" w:hAnsi="Times New Roman"/>
              </w:rPr>
              <w:t>1.40</w:t>
            </w:r>
          </w:p>
        </w:tc>
        <w:tc>
          <w:tcPr>
            <w:tcW w:w="823" w:type="pct"/>
            <w:noWrap/>
            <w:vAlign w:val="center"/>
          </w:tcPr>
          <w:p>
            <w:pPr>
              <w:pStyle w:val="39"/>
              <w:rPr>
                <w:rFonts w:ascii="Times New Roman" w:hAnsi="Times New Roman"/>
              </w:rPr>
            </w:pPr>
            <w:r>
              <w:rPr>
                <w:rFonts w:ascii="Times New Roman" w:hAnsi="Times New Roman"/>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925" w:type="pct"/>
            <w:noWrap/>
            <w:vAlign w:val="center"/>
          </w:tcPr>
          <w:p>
            <w:pPr>
              <w:pStyle w:val="39"/>
              <w:rPr>
                <w:rFonts w:ascii="Times New Roman" w:hAnsi="Times New Roman"/>
              </w:rPr>
            </w:pPr>
            <w:r>
              <w:rPr>
                <w:rFonts w:ascii="Times New Roman" w:hAnsi="Times New Roman"/>
                <w:sz w:val="22"/>
                <w:szCs w:val="22"/>
              </w:rPr>
              <w:t>坑塘水面</w:t>
            </w:r>
          </w:p>
        </w:tc>
        <w:tc>
          <w:tcPr>
            <w:tcW w:w="529" w:type="pct"/>
            <w:noWrap/>
            <w:vAlign w:val="center"/>
          </w:tcPr>
          <w:p>
            <w:pPr>
              <w:pStyle w:val="39"/>
              <w:rPr>
                <w:rFonts w:ascii="Times New Roman" w:hAnsi="Times New Roman"/>
              </w:rPr>
            </w:pPr>
            <w:r>
              <w:rPr>
                <w:rFonts w:ascii="Times New Roman" w:hAnsi="Times New Roman"/>
                <w:sz w:val="22"/>
                <w:szCs w:val="22"/>
              </w:rPr>
              <w:t>19</w:t>
            </w:r>
          </w:p>
        </w:tc>
        <w:tc>
          <w:tcPr>
            <w:tcW w:w="681" w:type="pct"/>
            <w:noWrap/>
            <w:vAlign w:val="center"/>
          </w:tcPr>
          <w:p>
            <w:pPr>
              <w:pStyle w:val="39"/>
              <w:rPr>
                <w:rFonts w:ascii="Times New Roman" w:hAnsi="Times New Roman"/>
              </w:rPr>
            </w:pPr>
            <w:r>
              <w:rPr>
                <w:rFonts w:ascii="Times New Roman" w:hAnsi="Times New Roman"/>
              </w:rPr>
              <w:t>3.94</w:t>
            </w:r>
          </w:p>
        </w:tc>
        <w:tc>
          <w:tcPr>
            <w:tcW w:w="680" w:type="pct"/>
            <w:noWrap/>
            <w:vAlign w:val="center"/>
          </w:tcPr>
          <w:p>
            <w:pPr>
              <w:pStyle w:val="39"/>
              <w:rPr>
                <w:rFonts w:ascii="Times New Roman" w:hAnsi="Times New Roman"/>
              </w:rPr>
            </w:pPr>
            <w:r>
              <w:rPr>
                <w:rFonts w:ascii="Times New Roman" w:hAnsi="Times New Roman"/>
                <w:sz w:val="22"/>
                <w:szCs w:val="22"/>
              </w:rPr>
              <w:t>3.40</w:t>
            </w:r>
          </w:p>
        </w:tc>
        <w:tc>
          <w:tcPr>
            <w:tcW w:w="596" w:type="pct"/>
            <w:noWrap/>
            <w:vAlign w:val="center"/>
          </w:tcPr>
          <w:p>
            <w:pPr>
              <w:pStyle w:val="39"/>
              <w:rPr>
                <w:rFonts w:ascii="Times New Roman" w:hAnsi="Times New Roman"/>
              </w:rPr>
            </w:pPr>
            <w:r>
              <w:rPr>
                <w:rFonts w:ascii="Times New Roman" w:hAnsi="Times New Roman"/>
              </w:rPr>
              <w:t>0.37</w:t>
            </w:r>
          </w:p>
        </w:tc>
        <w:tc>
          <w:tcPr>
            <w:tcW w:w="766" w:type="pct"/>
            <w:noWrap/>
            <w:vAlign w:val="center"/>
          </w:tcPr>
          <w:p>
            <w:pPr>
              <w:pStyle w:val="39"/>
              <w:rPr>
                <w:rFonts w:ascii="Times New Roman" w:hAnsi="Times New Roman"/>
              </w:rPr>
            </w:pPr>
            <w:r>
              <w:rPr>
                <w:rFonts w:ascii="Times New Roman" w:hAnsi="Times New Roman"/>
              </w:rPr>
              <w:t>0.18</w:t>
            </w:r>
          </w:p>
        </w:tc>
        <w:tc>
          <w:tcPr>
            <w:tcW w:w="823" w:type="pct"/>
            <w:noWrap/>
            <w:vAlign w:val="center"/>
          </w:tcPr>
          <w:p>
            <w:pPr>
              <w:pStyle w:val="39"/>
              <w:rPr>
                <w:rFonts w:ascii="Times New Roman" w:hAnsi="Times New Roman"/>
              </w:rPr>
            </w:pPr>
            <w:r>
              <w:rPr>
                <w:rFonts w:ascii="Times New Roman" w:hAnsi="Times New Roman"/>
              </w:rPr>
              <w:t>5.59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925" w:type="pct"/>
            <w:noWrap/>
            <w:vAlign w:val="center"/>
          </w:tcPr>
          <w:p>
            <w:pPr>
              <w:pStyle w:val="39"/>
              <w:rPr>
                <w:rFonts w:ascii="Times New Roman" w:hAnsi="Times New Roman"/>
              </w:rPr>
            </w:pPr>
            <w:r>
              <w:rPr>
                <w:rFonts w:ascii="Times New Roman" w:hAnsi="Times New Roman"/>
                <w:sz w:val="22"/>
                <w:szCs w:val="22"/>
              </w:rPr>
              <w:t>合计</w:t>
            </w:r>
          </w:p>
        </w:tc>
        <w:tc>
          <w:tcPr>
            <w:tcW w:w="529" w:type="pct"/>
            <w:noWrap/>
            <w:vAlign w:val="center"/>
          </w:tcPr>
          <w:p>
            <w:pPr>
              <w:pStyle w:val="39"/>
              <w:rPr>
                <w:rFonts w:ascii="Times New Roman" w:hAnsi="Times New Roman"/>
              </w:rPr>
            </w:pPr>
            <w:r>
              <w:rPr>
                <w:rFonts w:ascii="Times New Roman" w:hAnsi="Times New Roman"/>
                <w:sz w:val="22"/>
                <w:szCs w:val="22"/>
              </w:rPr>
              <w:t>482</w:t>
            </w:r>
          </w:p>
        </w:tc>
        <w:tc>
          <w:tcPr>
            <w:tcW w:w="681" w:type="pct"/>
            <w:noWrap/>
            <w:vAlign w:val="center"/>
          </w:tcPr>
          <w:p>
            <w:pPr>
              <w:pStyle w:val="39"/>
              <w:rPr>
                <w:rFonts w:ascii="Times New Roman" w:hAnsi="Times New Roman"/>
              </w:rPr>
            </w:pPr>
            <w:r>
              <w:rPr>
                <w:rFonts w:ascii="Times New Roman" w:hAnsi="Times New Roman"/>
              </w:rPr>
              <w:t>100.00</w:t>
            </w:r>
          </w:p>
        </w:tc>
        <w:tc>
          <w:tcPr>
            <w:tcW w:w="680" w:type="pct"/>
            <w:noWrap/>
            <w:vAlign w:val="center"/>
          </w:tcPr>
          <w:p>
            <w:pPr>
              <w:pStyle w:val="39"/>
              <w:rPr>
                <w:rFonts w:ascii="Times New Roman" w:hAnsi="Times New Roman"/>
              </w:rPr>
            </w:pPr>
            <w:r>
              <w:rPr>
                <w:rFonts w:ascii="Times New Roman" w:hAnsi="Times New Roman"/>
                <w:sz w:val="22"/>
                <w:szCs w:val="22"/>
              </w:rPr>
              <w:t>929.10</w:t>
            </w:r>
          </w:p>
        </w:tc>
        <w:tc>
          <w:tcPr>
            <w:tcW w:w="596" w:type="pct"/>
            <w:noWrap/>
            <w:vAlign w:val="center"/>
          </w:tcPr>
          <w:p>
            <w:pPr>
              <w:pStyle w:val="39"/>
              <w:rPr>
                <w:rFonts w:ascii="Times New Roman" w:hAnsi="Times New Roman"/>
              </w:rPr>
            </w:pPr>
            <w:r>
              <w:rPr>
                <w:rFonts w:ascii="Times New Roman" w:hAnsi="Times New Roman"/>
              </w:rPr>
              <w:t>100.00</w:t>
            </w:r>
          </w:p>
        </w:tc>
        <w:tc>
          <w:tcPr>
            <w:tcW w:w="766" w:type="pct"/>
            <w:noWrap/>
            <w:vAlign w:val="center"/>
          </w:tcPr>
          <w:p>
            <w:pPr>
              <w:pStyle w:val="39"/>
              <w:rPr>
                <w:rFonts w:ascii="Times New Roman" w:hAnsi="Times New Roman"/>
              </w:rPr>
            </w:pPr>
            <w:r>
              <w:rPr>
                <w:rFonts w:ascii="Times New Roman" w:hAnsi="Times New Roman"/>
              </w:rPr>
              <w:t>1.93</w:t>
            </w:r>
          </w:p>
        </w:tc>
        <w:tc>
          <w:tcPr>
            <w:tcW w:w="823" w:type="pct"/>
            <w:noWrap/>
            <w:vAlign w:val="center"/>
          </w:tcPr>
          <w:p>
            <w:pPr>
              <w:pStyle w:val="39"/>
              <w:rPr>
                <w:rFonts w:ascii="Times New Roman" w:hAnsi="Times New Roman"/>
              </w:rPr>
            </w:pPr>
            <w:r>
              <w:rPr>
                <w:rFonts w:ascii="Times New Roman" w:hAnsi="Times New Roman"/>
              </w:rPr>
              <w:t>0.52</w:t>
            </w:r>
          </w:p>
        </w:tc>
      </w:tr>
      <w:bookmarkEnd w:id="191"/>
    </w:tbl>
    <w:p>
      <w:pPr>
        <w:ind w:firstLine="480"/>
        <w:rPr>
          <w:rFonts w:ascii="Times New Roman" w:hAnsi="Times New Roman"/>
        </w:rPr>
      </w:pPr>
    </w:p>
    <w:p>
      <w:pPr>
        <w:ind w:firstLine="480"/>
        <w:rPr>
          <w:rFonts w:ascii="Times New Roman" w:hAnsi="Times New Roman"/>
        </w:rPr>
      </w:pPr>
      <w:r>
        <w:rPr>
          <w:rFonts w:ascii="Times New Roman" w:hAnsi="Times New Roman"/>
        </w:rPr>
        <w:t>评价范围内斑块数量为482个，平均面积为1.93hm</w:t>
      </w:r>
      <w:r>
        <w:rPr>
          <w:rFonts w:ascii="Times New Roman" w:hAnsi="Times New Roman"/>
          <w:vertAlign w:val="superscript"/>
        </w:rPr>
        <w:t>2</w:t>
      </w:r>
      <w:r>
        <w:rPr>
          <w:rFonts w:ascii="Times New Roman" w:hAnsi="Times New Roman"/>
        </w:rPr>
        <w:t>/块，破碎度为0.52块/hm</w:t>
      </w:r>
      <w:r>
        <w:rPr>
          <w:rFonts w:ascii="Times New Roman" w:hAnsi="Times New Roman"/>
          <w:vertAlign w:val="superscript"/>
        </w:rPr>
        <w:t>2</w:t>
      </w:r>
      <w:r>
        <w:rPr>
          <w:rFonts w:ascii="Times New Roman" w:hAnsi="Times New Roman"/>
        </w:rPr>
        <w:t>，其中乔木林地面积最大，占比为67.91%，斑块平均面积6.86hm</w:t>
      </w:r>
      <w:r>
        <w:rPr>
          <w:rFonts w:ascii="Times New Roman" w:hAnsi="Times New Roman"/>
          <w:vertAlign w:val="superscript"/>
        </w:rPr>
        <w:t>2</w:t>
      </w:r>
      <w:r>
        <w:rPr>
          <w:rFonts w:ascii="Times New Roman" w:hAnsi="Times New Roman"/>
        </w:rPr>
        <w:t>/块；其次为旱地，面积占比为15.75%，斑块平均面积1.18hm</w:t>
      </w:r>
      <w:r>
        <w:rPr>
          <w:rFonts w:ascii="Times New Roman" w:hAnsi="Times New Roman"/>
          <w:vertAlign w:val="superscript"/>
        </w:rPr>
        <w:t>2</w:t>
      </w:r>
      <w:r>
        <w:rPr>
          <w:rFonts w:ascii="Times New Roman" w:hAnsi="Times New Roman"/>
        </w:rPr>
        <w:t>/块；再次为灌木林地，面积占比为6.55%，斑块平均面积10.14hm</w:t>
      </w:r>
      <w:r>
        <w:rPr>
          <w:rFonts w:ascii="Times New Roman" w:hAnsi="Times New Roman"/>
          <w:vertAlign w:val="superscript"/>
        </w:rPr>
        <w:t>2</w:t>
      </w:r>
      <w:r>
        <w:rPr>
          <w:rFonts w:ascii="Times New Roman" w:hAnsi="Times New Roman"/>
        </w:rPr>
        <w:t>/块。</w:t>
      </w:r>
    </w:p>
    <w:p>
      <w:pPr>
        <w:ind w:firstLine="480"/>
        <w:rPr>
          <w:rFonts w:ascii="Times New Roman" w:hAnsi="Times New Roman"/>
        </w:rPr>
      </w:pPr>
      <w:r>
        <w:rPr>
          <w:rFonts w:ascii="Times New Roman" w:hAnsi="Times New Roman"/>
        </w:rPr>
        <w:t>采用计算优势度值的方法，对项目沿线区域景观生态环境现状进行评价，计算公式为：</w:t>
      </w:r>
    </w:p>
    <w:p>
      <w:pPr>
        <w:ind w:firstLine="480"/>
        <w:rPr>
          <w:rFonts w:ascii="Times New Roman" w:hAnsi="Times New Roman"/>
        </w:rPr>
      </w:pPr>
      <m:oMathPara>
        <m:oMath>
          <m:r>
            <m:rPr/>
            <w:rPr>
              <w:rFonts w:ascii="Cambria Math" w:hAnsi="Cambria Math"/>
            </w:rPr>
            <m:t>Rd</m:t>
          </m:r>
          <m:r>
            <m:rPr>
              <m:sty m:val="p"/>
            </m:rPr>
            <w:rPr>
              <w:rFonts w:ascii="Cambria Math" w:hAnsi="Cambria Math"/>
            </w:rPr>
            <m:t>=</m:t>
          </m:r>
          <m:f>
            <m:fPr>
              <m:ctrlPr>
                <w:rPr>
                  <w:rFonts w:ascii="Cambria Math" w:hAnsi="Cambria Math"/>
                </w:rPr>
              </m:ctrlPr>
            </m:fPr>
            <m:num>
              <m:r>
                <m:rPr>
                  <m:sty m:val="p"/>
                </m:rPr>
                <w:rPr>
                  <w:rFonts w:ascii="Cambria Math" w:hAnsi="Cambria Math"/>
                </w:rPr>
                <m:t>斑块</m:t>
              </m:r>
              <m:r>
                <m:rPr/>
                <w:rPr>
                  <w:rFonts w:ascii="Cambria Math" w:hAnsi="Cambria Math"/>
                </w:rPr>
                <m:t>i</m:t>
              </m:r>
              <m:r>
                <m:rPr>
                  <m:sty m:val="p"/>
                </m:rPr>
                <w:rPr>
                  <w:rFonts w:ascii="Cambria Math" w:hAnsi="Cambria Math"/>
                </w:rPr>
                <m:t>的数目</m:t>
              </m:r>
              <m:ctrlPr>
                <w:rPr>
                  <w:rFonts w:ascii="Cambria Math" w:hAnsi="Cambria Math"/>
                </w:rPr>
              </m:ctrlPr>
            </m:num>
            <m:den>
              <m:r>
                <m:rPr>
                  <m:sty m:val="p"/>
                </m:rPr>
                <w:rPr>
                  <w:rFonts w:ascii="Cambria Math" w:hAnsi="Cambria Math"/>
                </w:rPr>
                <m:t>斑块总数</m:t>
              </m:r>
              <m:ctrlPr>
                <w:rPr>
                  <w:rFonts w:ascii="Cambria Math" w:hAnsi="Cambria Math"/>
                </w:rPr>
              </m:ctrlPr>
            </m:den>
          </m:f>
          <m:r>
            <m:rPr>
              <m:sty m:val="p"/>
            </m:rPr>
            <w:rPr>
              <w:rFonts w:ascii="Cambria Math" w:hAnsi="Cambria Math"/>
            </w:rPr>
            <m:t>×100%</m:t>
          </m:r>
        </m:oMath>
      </m:oMathPara>
    </w:p>
    <w:p>
      <w:pPr>
        <w:ind w:firstLine="480"/>
        <w:rPr>
          <w:rFonts w:ascii="Times New Roman" w:hAnsi="Times New Roman"/>
        </w:rPr>
      </w:pPr>
      <m:oMathPara>
        <m:oMath>
          <m:r>
            <m:rPr/>
            <w:rPr>
              <w:rFonts w:ascii="Cambria Math" w:hAnsi="Cambria Math"/>
            </w:rPr>
            <m:t>Rf</m:t>
          </m:r>
          <m:r>
            <m:rPr>
              <m:sty m:val="p"/>
            </m:rPr>
            <w:rPr>
              <w:rFonts w:ascii="Cambria Math" w:hAnsi="Cambria Math"/>
            </w:rPr>
            <m:t>=</m:t>
          </m:r>
          <m:f>
            <m:fPr>
              <m:ctrlPr>
                <w:rPr>
                  <w:rFonts w:ascii="Cambria Math" w:hAnsi="Cambria Math"/>
                </w:rPr>
              </m:ctrlPr>
            </m:fPr>
            <m:num>
              <m:r>
                <m:rPr>
                  <m:sty m:val="p"/>
                </m:rPr>
                <w:rPr>
                  <w:rFonts w:ascii="Cambria Math" w:hAnsi="Cambria Math"/>
                </w:rPr>
                <m:t>斑块</m:t>
              </m:r>
              <m:r>
                <m:rPr/>
                <w:rPr>
                  <w:rFonts w:ascii="Cambria Math" w:hAnsi="Cambria Math"/>
                </w:rPr>
                <m:t>i</m:t>
              </m:r>
              <m:r>
                <m:rPr>
                  <m:sty m:val="p"/>
                </m:rPr>
                <w:rPr>
                  <w:rFonts w:ascii="Cambria Math" w:hAnsi="Cambria Math"/>
                </w:rPr>
                <m:t>出现的样方数</m:t>
              </m:r>
              <m:ctrlPr>
                <w:rPr>
                  <w:rFonts w:ascii="Cambria Math" w:hAnsi="Cambria Math"/>
                </w:rPr>
              </m:ctrlPr>
            </m:num>
            <m:den>
              <m:r>
                <m:rPr>
                  <m:sty m:val="p"/>
                </m:rPr>
                <w:rPr>
                  <w:rFonts w:ascii="Cambria Math" w:hAnsi="Cambria Math"/>
                </w:rPr>
                <m:t>总样方数</m:t>
              </m:r>
              <m:ctrlPr>
                <w:rPr>
                  <w:rFonts w:ascii="Cambria Math" w:hAnsi="Cambria Math"/>
                </w:rPr>
              </m:ctrlPr>
            </m:den>
          </m:f>
          <m:r>
            <m:rPr>
              <m:sty m:val="p"/>
            </m:rPr>
            <w:rPr>
              <w:rFonts w:ascii="Cambria Math" w:hAnsi="Cambria Math"/>
            </w:rPr>
            <m:t>×100%</m:t>
          </m:r>
        </m:oMath>
      </m:oMathPara>
    </w:p>
    <w:p>
      <w:pPr>
        <w:ind w:firstLine="480"/>
        <w:rPr>
          <w:rFonts w:ascii="Times New Roman" w:hAnsi="Times New Roman"/>
        </w:rPr>
      </w:pPr>
      <m:oMathPara>
        <m:oMath>
          <m:r>
            <m:rPr/>
            <w:rPr>
              <w:rFonts w:ascii="Cambria Math" w:hAnsi="Cambria Math"/>
            </w:rPr>
            <m:t>Lp</m:t>
          </m:r>
          <m:r>
            <m:rPr>
              <m:sty m:val="p"/>
            </m:rPr>
            <w:rPr>
              <w:rFonts w:ascii="Cambria Math" w:hAnsi="Cambria Math"/>
            </w:rPr>
            <m:t>=</m:t>
          </m:r>
          <m:f>
            <m:fPr>
              <m:ctrlPr>
                <w:rPr>
                  <w:rFonts w:ascii="Cambria Math" w:hAnsi="Cambria Math"/>
                </w:rPr>
              </m:ctrlPr>
            </m:fPr>
            <m:num>
              <m:r>
                <m:rPr>
                  <m:sty m:val="p"/>
                </m:rPr>
                <w:rPr>
                  <w:rFonts w:ascii="Cambria Math" w:hAnsi="Cambria Math"/>
                </w:rPr>
                <m:t>斑块</m:t>
              </m:r>
              <m:r>
                <m:rPr/>
                <w:rPr>
                  <w:rFonts w:ascii="Cambria Math" w:hAnsi="Cambria Math"/>
                </w:rPr>
                <m:t>i</m:t>
              </m:r>
              <m:r>
                <m:rPr>
                  <m:sty m:val="p"/>
                </m:rPr>
                <w:rPr>
                  <w:rFonts w:ascii="Cambria Math" w:hAnsi="Cambria Math"/>
                </w:rPr>
                <m:t>的面积</m:t>
              </m:r>
              <m:ctrlPr>
                <w:rPr>
                  <w:rFonts w:ascii="Cambria Math" w:hAnsi="Cambria Math"/>
                </w:rPr>
              </m:ctrlPr>
            </m:num>
            <m:den>
              <m:r>
                <m:rPr>
                  <m:sty m:val="p"/>
                </m:rPr>
                <w:rPr>
                  <w:rFonts w:ascii="Cambria Math" w:hAnsi="Cambria Math"/>
                </w:rPr>
                <m:t>样地总面积</m:t>
              </m:r>
              <m:ctrlPr>
                <w:rPr>
                  <w:rFonts w:ascii="Cambria Math" w:hAnsi="Cambria Math"/>
                </w:rPr>
              </m:ctrlPr>
            </m:den>
          </m:f>
          <m:r>
            <m:rPr>
              <m:sty m:val="p"/>
            </m:rPr>
            <w:rPr>
              <w:rFonts w:ascii="Cambria Math" w:hAnsi="Cambria Math"/>
            </w:rPr>
            <m:t>×100%</m:t>
          </m:r>
        </m:oMath>
      </m:oMathPara>
    </w:p>
    <w:p>
      <w:pPr>
        <w:ind w:firstLine="480"/>
        <w:rPr>
          <w:rFonts w:ascii="Times New Roman" w:hAnsi="Times New Roman"/>
        </w:rPr>
      </w:pPr>
      <m:oMathPara>
        <m:oMath>
          <m:r>
            <m:rPr/>
            <w:rPr>
              <w:rFonts w:ascii="Cambria Math" w:hAnsi="Cambria Math"/>
            </w:rPr>
            <m:t>Do</m:t>
          </m:r>
          <m:r>
            <m:rPr>
              <m:sty m:val="p"/>
            </m:rPr>
            <w:rPr>
              <w:rFonts w:ascii="Cambria Math" w:hAnsi="Cambria Math"/>
            </w:rPr>
            <m:t>=0.5×[0.5×（</m:t>
          </m:r>
          <m:r>
            <m:rPr/>
            <w:rPr>
              <w:rFonts w:ascii="Cambria Math" w:hAnsi="Cambria Math"/>
            </w:rPr>
            <m:t>Rd</m:t>
          </m:r>
          <m:r>
            <m:rPr>
              <m:sty m:val="p"/>
            </m:rPr>
            <w:rPr>
              <w:rFonts w:ascii="Cambria Math" w:hAnsi="Cambria Math"/>
            </w:rPr>
            <m:t>+</m:t>
          </m:r>
          <m:r>
            <m:rPr/>
            <w:rPr>
              <w:rFonts w:ascii="Cambria Math" w:hAnsi="Cambria Math"/>
            </w:rPr>
            <m:t>Rf</m:t>
          </m:r>
          <m:r>
            <m:rPr>
              <m:sty m:val="p"/>
            </m:rPr>
            <w:rPr>
              <w:rFonts w:ascii="Cambria Math" w:hAnsi="Cambria Math"/>
            </w:rPr>
            <m:t>）+</m:t>
          </m:r>
          <m:r>
            <m:rPr/>
            <w:rPr>
              <w:rFonts w:ascii="Cambria Math" w:hAnsi="Cambria Math"/>
            </w:rPr>
            <m:t>Lp</m:t>
          </m:r>
          <m:r>
            <m:rPr>
              <m:sty m:val="p"/>
            </m:rPr>
            <w:rPr>
              <w:rFonts w:ascii="Cambria Math" w:hAnsi="Cambria Math"/>
            </w:rPr>
            <m:t>]×100%</m:t>
          </m:r>
        </m:oMath>
      </m:oMathPara>
    </w:p>
    <w:p>
      <w:pPr>
        <w:ind w:firstLine="480"/>
        <w:rPr>
          <w:rFonts w:ascii="Times New Roman" w:hAnsi="Times New Roman"/>
        </w:rPr>
      </w:pPr>
      <w:r>
        <w:rPr>
          <w:rFonts w:ascii="Times New Roman" w:hAnsi="Times New Roman"/>
        </w:rPr>
        <w:t>式中：</w:t>
      </w:r>
    </w:p>
    <w:p>
      <w:pPr>
        <w:ind w:firstLine="480"/>
        <w:rPr>
          <w:rFonts w:ascii="Times New Roman" w:hAnsi="Times New Roman"/>
        </w:rPr>
      </w:pPr>
      <w:r>
        <w:rPr>
          <w:rFonts w:ascii="Times New Roman" w:hAnsi="Times New Roman"/>
        </w:rPr>
        <w:t>Rd―密度（%）；</w:t>
      </w:r>
    </w:p>
    <w:p>
      <w:pPr>
        <w:ind w:firstLine="480"/>
        <w:rPr>
          <w:rFonts w:ascii="Times New Roman" w:hAnsi="Times New Roman"/>
        </w:rPr>
      </w:pPr>
      <w:r>
        <w:rPr>
          <w:rFonts w:ascii="Times New Roman" w:hAnsi="Times New Roman"/>
        </w:rPr>
        <w:t>Lp―景观比例（%）；</w:t>
      </w:r>
    </w:p>
    <w:p>
      <w:pPr>
        <w:ind w:firstLine="480"/>
        <w:rPr>
          <w:rFonts w:ascii="Times New Roman" w:hAnsi="Times New Roman"/>
        </w:rPr>
      </w:pPr>
      <w:r>
        <w:rPr>
          <w:rFonts w:ascii="Times New Roman" w:hAnsi="Times New Roman"/>
        </w:rPr>
        <w:t>Rf―频率（%）；</w:t>
      </w:r>
    </w:p>
    <w:p>
      <w:pPr>
        <w:ind w:firstLine="480"/>
        <w:rPr>
          <w:rFonts w:ascii="Times New Roman" w:hAnsi="Times New Roman"/>
        </w:rPr>
      </w:pPr>
      <w:r>
        <w:rPr>
          <w:rFonts w:ascii="Times New Roman" w:hAnsi="Times New Roman"/>
        </w:rPr>
        <w:t>Do―优势度值（%）。</w:t>
      </w:r>
    </w:p>
    <w:p>
      <w:pPr>
        <w:ind w:firstLine="480"/>
        <w:rPr>
          <w:rFonts w:ascii="Times New Roman" w:hAnsi="Times New Roman"/>
        </w:rPr>
      </w:pPr>
      <w:r>
        <w:rPr>
          <w:rFonts w:ascii="Times New Roman" w:hAnsi="Times New Roman"/>
        </w:rPr>
        <w:t>本项目评价范围域景观生态环境现状见</w:t>
      </w:r>
      <w:r>
        <w:rPr>
          <w:rFonts w:ascii="Times New Roman" w:hAnsi="Times New Roman"/>
        </w:rPr>
        <w:fldChar w:fldCharType="begin"/>
      </w:r>
      <w:r>
        <w:rPr>
          <w:rFonts w:ascii="Times New Roman" w:hAnsi="Times New Roman"/>
        </w:rPr>
        <w:instrText xml:space="preserve"> REF _Ref154755653 \h  \* MERGEFORMAT </w:instrText>
      </w:r>
      <w:r>
        <w:rPr>
          <w:rFonts w:ascii="Times New Roman" w:hAnsi="Times New Roman"/>
        </w:rPr>
        <w:fldChar w:fldCharType="separate"/>
      </w:r>
      <w:r>
        <w:rPr>
          <w:rFonts w:ascii="Times New Roman" w:hAnsi="Times New Roman"/>
        </w:rPr>
        <w:t>表 5</w:t>
      </w:r>
      <w:r>
        <w:rPr>
          <w:rFonts w:ascii="Times New Roman" w:hAnsi="Times New Roman"/>
        </w:rPr>
        <w:noBreakHyphen/>
      </w:r>
      <w:r>
        <w:rPr>
          <w:rFonts w:ascii="Times New Roman" w:hAnsi="Times New Roman"/>
        </w:rPr>
        <w:t>43</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92" w:name="_Ref15475565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43</w:t>
      </w:r>
      <w:r>
        <w:rPr>
          <w:rFonts w:ascii="Times New Roman" w:hAnsi="Times New Roman" w:cs="Times New Roman"/>
        </w:rPr>
        <w:fldChar w:fldCharType="end"/>
      </w:r>
      <w:bookmarkEnd w:id="192"/>
      <w:r>
        <w:rPr>
          <w:rFonts w:ascii="Times New Roman" w:hAnsi="Times New Roman" w:cs="Times New Roman"/>
        </w:rPr>
        <w:t xml:space="preserve">  评价范围域景观优势度现状一览表</w:t>
      </w:r>
    </w:p>
    <w:tbl>
      <w:tblPr>
        <w:tblStyle w:val="28"/>
        <w:tblW w:w="83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8"/>
        <w:gridCol w:w="1417"/>
        <w:gridCol w:w="1559"/>
        <w:gridCol w:w="1985"/>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8" w:type="dxa"/>
            <w:noWrap/>
            <w:vAlign w:val="center"/>
          </w:tcPr>
          <w:p>
            <w:pPr>
              <w:pStyle w:val="39"/>
              <w:rPr>
                <w:rFonts w:ascii="Times New Roman" w:hAnsi="Times New Roman"/>
              </w:rPr>
            </w:pPr>
            <w:r>
              <w:rPr>
                <w:rFonts w:ascii="Times New Roman" w:hAnsi="Times New Roman"/>
              </w:rPr>
              <w:t>斑块类型</w:t>
            </w:r>
          </w:p>
        </w:tc>
        <w:tc>
          <w:tcPr>
            <w:tcW w:w="1417" w:type="dxa"/>
            <w:noWrap/>
            <w:vAlign w:val="center"/>
          </w:tcPr>
          <w:p>
            <w:pPr>
              <w:pStyle w:val="39"/>
              <w:rPr>
                <w:rFonts w:ascii="Times New Roman" w:hAnsi="Times New Roman"/>
              </w:rPr>
            </w:pPr>
            <w:r>
              <w:rPr>
                <w:rFonts w:ascii="Times New Roman" w:hAnsi="Times New Roman"/>
              </w:rPr>
              <w:t>密度Rd（%）</w:t>
            </w:r>
          </w:p>
        </w:tc>
        <w:tc>
          <w:tcPr>
            <w:tcW w:w="1559" w:type="dxa"/>
            <w:noWrap/>
            <w:vAlign w:val="center"/>
          </w:tcPr>
          <w:p>
            <w:pPr>
              <w:pStyle w:val="39"/>
              <w:rPr>
                <w:rFonts w:ascii="Times New Roman" w:hAnsi="Times New Roman"/>
              </w:rPr>
            </w:pPr>
            <w:r>
              <w:rPr>
                <w:rFonts w:ascii="Times New Roman" w:hAnsi="Times New Roman"/>
              </w:rPr>
              <w:t>频率Rf（%）</w:t>
            </w:r>
          </w:p>
        </w:tc>
        <w:tc>
          <w:tcPr>
            <w:tcW w:w="1985" w:type="dxa"/>
            <w:noWrap/>
            <w:vAlign w:val="center"/>
          </w:tcPr>
          <w:p>
            <w:pPr>
              <w:pStyle w:val="39"/>
              <w:rPr>
                <w:rFonts w:ascii="Times New Roman" w:hAnsi="Times New Roman"/>
              </w:rPr>
            </w:pPr>
            <w:r>
              <w:rPr>
                <w:rFonts w:ascii="Times New Roman" w:hAnsi="Times New Roman"/>
              </w:rPr>
              <w:t>景观比例Lp（%）</w:t>
            </w:r>
          </w:p>
        </w:tc>
        <w:tc>
          <w:tcPr>
            <w:tcW w:w="1701" w:type="dxa"/>
            <w:noWrap/>
            <w:vAlign w:val="center"/>
          </w:tcPr>
          <w:p>
            <w:pPr>
              <w:pStyle w:val="39"/>
              <w:rPr>
                <w:rFonts w:ascii="Times New Roman" w:hAnsi="Times New Roman"/>
              </w:rPr>
            </w:pPr>
            <w:r>
              <w:rPr>
                <w:rFonts w:ascii="Times New Roman" w:hAnsi="Times New Roman"/>
              </w:rPr>
              <w:t>优势度Do（%）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8" w:type="dxa"/>
            <w:noWrap/>
            <w:vAlign w:val="center"/>
          </w:tcPr>
          <w:p>
            <w:pPr>
              <w:pStyle w:val="39"/>
              <w:rPr>
                <w:rFonts w:ascii="Times New Roman" w:hAnsi="Times New Roman"/>
              </w:rPr>
            </w:pPr>
            <w:r>
              <w:rPr>
                <w:rFonts w:ascii="Times New Roman" w:hAnsi="Times New Roman"/>
                <w:sz w:val="22"/>
                <w:szCs w:val="22"/>
              </w:rPr>
              <w:t>水田</w:t>
            </w:r>
          </w:p>
        </w:tc>
        <w:tc>
          <w:tcPr>
            <w:tcW w:w="1417" w:type="dxa"/>
            <w:noWrap/>
            <w:vAlign w:val="bottom"/>
          </w:tcPr>
          <w:p>
            <w:pPr>
              <w:pStyle w:val="39"/>
              <w:rPr>
                <w:rFonts w:ascii="Times New Roman" w:hAnsi="Times New Roman"/>
              </w:rPr>
            </w:pPr>
            <w:r>
              <w:rPr>
                <w:rFonts w:ascii="Times New Roman" w:hAnsi="Times New Roman"/>
                <w:sz w:val="22"/>
                <w:szCs w:val="22"/>
              </w:rPr>
              <w:t>5.19</w:t>
            </w:r>
          </w:p>
        </w:tc>
        <w:tc>
          <w:tcPr>
            <w:tcW w:w="1559" w:type="dxa"/>
            <w:noWrap/>
            <w:vAlign w:val="bottom"/>
          </w:tcPr>
          <w:p>
            <w:pPr>
              <w:pStyle w:val="39"/>
              <w:rPr>
                <w:rFonts w:ascii="Times New Roman" w:hAnsi="Times New Roman"/>
              </w:rPr>
            </w:pPr>
            <w:r>
              <w:rPr>
                <w:rFonts w:ascii="Times New Roman" w:hAnsi="Times New Roman"/>
                <w:sz w:val="22"/>
                <w:szCs w:val="22"/>
              </w:rPr>
              <w:t>10</w:t>
            </w:r>
          </w:p>
        </w:tc>
        <w:tc>
          <w:tcPr>
            <w:tcW w:w="1985" w:type="dxa"/>
            <w:noWrap/>
            <w:vAlign w:val="bottom"/>
          </w:tcPr>
          <w:p>
            <w:pPr>
              <w:pStyle w:val="39"/>
              <w:rPr>
                <w:rFonts w:ascii="Times New Roman" w:hAnsi="Times New Roman"/>
              </w:rPr>
            </w:pPr>
            <w:r>
              <w:rPr>
                <w:rFonts w:ascii="Times New Roman" w:hAnsi="Times New Roman"/>
                <w:sz w:val="22"/>
                <w:szCs w:val="22"/>
              </w:rPr>
              <w:t>3.98</w:t>
            </w:r>
          </w:p>
        </w:tc>
        <w:tc>
          <w:tcPr>
            <w:tcW w:w="1701" w:type="dxa"/>
            <w:noWrap/>
            <w:vAlign w:val="bottom"/>
          </w:tcPr>
          <w:p>
            <w:pPr>
              <w:pStyle w:val="39"/>
              <w:rPr>
                <w:rFonts w:ascii="Times New Roman" w:hAnsi="Times New Roman"/>
              </w:rPr>
            </w:pPr>
            <w:r>
              <w:rPr>
                <w:rFonts w:ascii="Times New Roman" w:hAnsi="Times New Roman"/>
                <w:sz w:val="22"/>
                <w:szCs w:val="22"/>
              </w:rPr>
              <w:t>5.79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8" w:type="dxa"/>
            <w:noWrap/>
            <w:vAlign w:val="center"/>
          </w:tcPr>
          <w:p>
            <w:pPr>
              <w:pStyle w:val="39"/>
              <w:rPr>
                <w:rFonts w:ascii="Times New Roman" w:hAnsi="Times New Roman"/>
                <w:sz w:val="22"/>
                <w:szCs w:val="22"/>
              </w:rPr>
            </w:pPr>
            <w:r>
              <w:rPr>
                <w:rFonts w:ascii="Times New Roman" w:hAnsi="Times New Roman"/>
                <w:sz w:val="22"/>
                <w:szCs w:val="22"/>
              </w:rPr>
              <w:t>旱地</w:t>
            </w:r>
          </w:p>
        </w:tc>
        <w:tc>
          <w:tcPr>
            <w:tcW w:w="1417" w:type="dxa"/>
            <w:noWrap/>
            <w:vAlign w:val="bottom"/>
          </w:tcPr>
          <w:p>
            <w:pPr>
              <w:pStyle w:val="39"/>
              <w:rPr>
                <w:rFonts w:ascii="Times New Roman" w:hAnsi="Times New Roman"/>
                <w:sz w:val="22"/>
                <w:szCs w:val="22"/>
              </w:rPr>
            </w:pPr>
            <w:r>
              <w:rPr>
                <w:rFonts w:ascii="Times New Roman" w:hAnsi="Times New Roman"/>
                <w:sz w:val="22"/>
                <w:szCs w:val="22"/>
              </w:rPr>
              <w:t>25.73</w:t>
            </w:r>
          </w:p>
        </w:tc>
        <w:tc>
          <w:tcPr>
            <w:tcW w:w="1559" w:type="dxa"/>
            <w:noWrap/>
            <w:vAlign w:val="bottom"/>
          </w:tcPr>
          <w:p>
            <w:pPr>
              <w:pStyle w:val="39"/>
              <w:rPr>
                <w:rFonts w:ascii="Times New Roman" w:hAnsi="Times New Roman"/>
                <w:sz w:val="22"/>
                <w:szCs w:val="22"/>
              </w:rPr>
            </w:pPr>
            <w:r>
              <w:rPr>
                <w:rFonts w:ascii="Times New Roman" w:hAnsi="Times New Roman"/>
                <w:sz w:val="22"/>
                <w:szCs w:val="22"/>
              </w:rPr>
              <w:t>10</w:t>
            </w:r>
          </w:p>
        </w:tc>
        <w:tc>
          <w:tcPr>
            <w:tcW w:w="1985" w:type="dxa"/>
            <w:noWrap/>
            <w:vAlign w:val="bottom"/>
          </w:tcPr>
          <w:p>
            <w:pPr>
              <w:pStyle w:val="39"/>
              <w:rPr>
                <w:rFonts w:ascii="Times New Roman" w:hAnsi="Times New Roman"/>
                <w:sz w:val="22"/>
                <w:szCs w:val="22"/>
              </w:rPr>
            </w:pPr>
            <w:r>
              <w:rPr>
                <w:rFonts w:ascii="Times New Roman" w:hAnsi="Times New Roman"/>
                <w:sz w:val="22"/>
                <w:szCs w:val="22"/>
              </w:rPr>
              <w:t>15.75</w:t>
            </w:r>
          </w:p>
        </w:tc>
        <w:tc>
          <w:tcPr>
            <w:tcW w:w="1701" w:type="dxa"/>
            <w:noWrap/>
            <w:vAlign w:val="bottom"/>
          </w:tcPr>
          <w:p>
            <w:pPr>
              <w:pStyle w:val="39"/>
              <w:rPr>
                <w:rFonts w:ascii="Times New Roman" w:hAnsi="Times New Roman"/>
                <w:sz w:val="22"/>
                <w:szCs w:val="22"/>
              </w:rPr>
            </w:pPr>
            <w:r>
              <w:rPr>
                <w:rFonts w:ascii="Times New Roman" w:hAnsi="Times New Roman"/>
                <w:sz w:val="22"/>
                <w:szCs w:val="22"/>
              </w:rPr>
              <w:t>16.80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8" w:type="dxa"/>
            <w:noWrap/>
            <w:vAlign w:val="center"/>
          </w:tcPr>
          <w:p>
            <w:pPr>
              <w:pStyle w:val="39"/>
              <w:rPr>
                <w:rFonts w:ascii="Times New Roman" w:hAnsi="Times New Roman"/>
              </w:rPr>
            </w:pPr>
            <w:r>
              <w:rPr>
                <w:rFonts w:ascii="Times New Roman" w:hAnsi="Times New Roman"/>
                <w:sz w:val="22"/>
                <w:szCs w:val="22"/>
              </w:rPr>
              <w:t>乔木林地</w:t>
            </w:r>
          </w:p>
        </w:tc>
        <w:tc>
          <w:tcPr>
            <w:tcW w:w="1417" w:type="dxa"/>
            <w:noWrap/>
            <w:vAlign w:val="bottom"/>
          </w:tcPr>
          <w:p>
            <w:pPr>
              <w:pStyle w:val="39"/>
              <w:rPr>
                <w:rFonts w:ascii="Times New Roman" w:hAnsi="Times New Roman"/>
              </w:rPr>
            </w:pPr>
            <w:r>
              <w:rPr>
                <w:rFonts w:ascii="Times New Roman" w:hAnsi="Times New Roman"/>
                <w:sz w:val="22"/>
                <w:szCs w:val="22"/>
              </w:rPr>
              <w:t>19.09</w:t>
            </w:r>
          </w:p>
        </w:tc>
        <w:tc>
          <w:tcPr>
            <w:tcW w:w="1559" w:type="dxa"/>
            <w:noWrap/>
            <w:vAlign w:val="bottom"/>
          </w:tcPr>
          <w:p>
            <w:pPr>
              <w:pStyle w:val="39"/>
              <w:rPr>
                <w:rFonts w:ascii="Times New Roman" w:hAnsi="Times New Roman"/>
              </w:rPr>
            </w:pPr>
            <w:r>
              <w:rPr>
                <w:rFonts w:ascii="Times New Roman" w:hAnsi="Times New Roman"/>
                <w:sz w:val="22"/>
                <w:szCs w:val="22"/>
              </w:rPr>
              <w:t>60</w:t>
            </w:r>
          </w:p>
        </w:tc>
        <w:tc>
          <w:tcPr>
            <w:tcW w:w="1985" w:type="dxa"/>
            <w:noWrap/>
            <w:vAlign w:val="bottom"/>
          </w:tcPr>
          <w:p>
            <w:pPr>
              <w:pStyle w:val="39"/>
              <w:rPr>
                <w:rFonts w:ascii="Times New Roman" w:hAnsi="Times New Roman"/>
              </w:rPr>
            </w:pPr>
            <w:r>
              <w:rPr>
                <w:rFonts w:ascii="Times New Roman" w:hAnsi="Times New Roman"/>
                <w:sz w:val="22"/>
                <w:szCs w:val="22"/>
              </w:rPr>
              <w:t>67.91</w:t>
            </w:r>
          </w:p>
        </w:tc>
        <w:tc>
          <w:tcPr>
            <w:tcW w:w="1701" w:type="dxa"/>
            <w:noWrap/>
            <w:vAlign w:val="bottom"/>
          </w:tcPr>
          <w:p>
            <w:pPr>
              <w:pStyle w:val="39"/>
              <w:rPr>
                <w:rFonts w:ascii="Times New Roman" w:hAnsi="Times New Roman"/>
              </w:rPr>
            </w:pPr>
            <w:r>
              <w:rPr>
                <w:rFonts w:ascii="Times New Roman" w:hAnsi="Times New Roman"/>
                <w:sz w:val="22"/>
                <w:szCs w:val="22"/>
              </w:rPr>
              <w:t>53.73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8" w:type="dxa"/>
            <w:noWrap/>
            <w:vAlign w:val="center"/>
          </w:tcPr>
          <w:p>
            <w:pPr>
              <w:pStyle w:val="39"/>
              <w:rPr>
                <w:rFonts w:ascii="Times New Roman" w:hAnsi="Times New Roman"/>
              </w:rPr>
            </w:pPr>
            <w:r>
              <w:rPr>
                <w:rFonts w:ascii="Times New Roman" w:hAnsi="Times New Roman"/>
                <w:sz w:val="22"/>
                <w:szCs w:val="22"/>
              </w:rPr>
              <w:t>灌木林地</w:t>
            </w:r>
          </w:p>
        </w:tc>
        <w:tc>
          <w:tcPr>
            <w:tcW w:w="1417" w:type="dxa"/>
            <w:noWrap/>
            <w:vAlign w:val="bottom"/>
          </w:tcPr>
          <w:p>
            <w:pPr>
              <w:pStyle w:val="39"/>
              <w:rPr>
                <w:rFonts w:ascii="Times New Roman" w:hAnsi="Times New Roman"/>
              </w:rPr>
            </w:pPr>
            <w:r>
              <w:rPr>
                <w:rFonts w:ascii="Times New Roman" w:hAnsi="Times New Roman"/>
                <w:sz w:val="22"/>
                <w:szCs w:val="22"/>
              </w:rPr>
              <w:t>1.24</w:t>
            </w:r>
          </w:p>
        </w:tc>
        <w:tc>
          <w:tcPr>
            <w:tcW w:w="1559" w:type="dxa"/>
            <w:noWrap/>
            <w:vAlign w:val="bottom"/>
          </w:tcPr>
          <w:p>
            <w:pPr>
              <w:pStyle w:val="39"/>
              <w:rPr>
                <w:rFonts w:ascii="Times New Roman" w:hAnsi="Times New Roman"/>
              </w:rPr>
            </w:pPr>
            <w:r>
              <w:rPr>
                <w:rFonts w:ascii="Times New Roman" w:hAnsi="Times New Roman"/>
                <w:sz w:val="22"/>
                <w:szCs w:val="22"/>
              </w:rPr>
              <w:t>40</w:t>
            </w:r>
          </w:p>
        </w:tc>
        <w:tc>
          <w:tcPr>
            <w:tcW w:w="1985" w:type="dxa"/>
            <w:noWrap/>
            <w:vAlign w:val="bottom"/>
          </w:tcPr>
          <w:p>
            <w:pPr>
              <w:pStyle w:val="39"/>
              <w:rPr>
                <w:rFonts w:ascii="Times New Roman" w:hAnsi="Times New Roman"/>
              </w:rPr>
            </w:pPr>
            <w:r>
              <w:rPr>
                <w:rFonts w:ascii="Times New Roman" w:hAnsi="Times New Roman"/>
                <w:sz w:val="22"/>
                <w:szCs w:val="22"/>
              </w:rPr>
              <w:t>6.55</w:t>
            </w:r>
          </w:p>
        </w:tc>
        <w:tc>
          <w:tcPr>
            <w:tcW w:w="1701" w:type="dxa"/>
            <w:noWrap/>
            <w:vAlign w:val="bottom"/>
          </w:tcPr>
          <w:p>
            <w:pPr>
              <w:pStyle w:val="39"/>
              <w:rPr>
                <w:rFonts w:ascii="Times New Roman" w:hAnsi="Times New Roman"/>
              </w:rPr>
            </w:pPr>
            <w:r>
              <w:rPr>
                <w:rFonts w:ascii="Times New Roman" w:hAnsi="Times New Roman"/>
                <w:sz w:val="22"/>
                <w:szCs w:val="22"/>
              </w:rPr>
              <w:t>13.59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8" w:type="dxa"/>
            <w:noWrap/>
            <w:vAlign w:val="center"/>
          </w:tcPr>
          <w:p>
            <w:pPr>
              <w:pStyle w:val="39"/>
              <w:rPr>
                <w:rFonts w:ascii="Times New Roman" w:hAnsi="Times New Roman"/>
              </w:rPr>
            </w:pPr>
            <w:r>
              <w:rPr>
                <w:rFonts w:ascii="Times New Roman" w:hAnsi="Times New Roman"/>
                <w:sz w:val="22"/>
                <w:szCs w:val="22"/>
              </w:rPr>
              <w:t>天然牧草地</w:t>
            </w:r>
          </w:p>
        </w:tc>
        <w:tc>
          <w:tcPr>
            <w:tcW w:w="1417" w:type="dxa"/>
            <w:noWrap/>
            <w:vAlign w:val="bottom"/>
          </w:tcPr>
          <w:p>
            <w:pPr>
              <w:pStyle w:val="39"/>
              <w:rPr>
                <w:rFonts w:ascii="Times New Roman" w:hAnsi="Times New Roman"/>
              </w:rPr>
            </w:pPr>
            <w:r>
              <w:rPr>
                <w:rFonts w:ascii="Times New Roman" w:hAnsi="Times New Roman"/>
                <w:sz w:val="22"/>
                <w:szCs w:val="22"/>
              </w:rPr>
              <w:t>2.90</w:t>
            </w:r>
          </w:p>
        </w:tc>
        <w:tc>
          <w:tcPr>
            <w:tcW w:w="1559" w:type="dxa"/>
            <w:noWrap/>
            <w:vAlign w:val="bottom"/>
          </w:tcPr>
          <w:p>
            <w:pPr>
              <w:pStyle w:val="39"/>
              <w:rPr>
                <w:rFonts w:ascii="Times New Roman" w:hAnsi="Times New Roman"/>
              </w:rPr>
            </w:pPr>
            <w:r>
              <w:rPr>
                <w:rFonts w:ascii="Times New Roman" w:hAnsi="Times New Roman"/>
                <w:sz w:val="22"/>
                <w:szCs w:val="22"/>
              </w:rPr>
              <w:t>20</w:t>
            </w:r>
          </w:p>
        </w:tc>
        <w:tc>
          <w:tcPr>
            <w:tcW w:w="1985" w:type="dxa"/>
            <w:noWrap/>
            <w:vAlign w:val="bottom"/>
          </w:tcPr>
          <w:p>
            <w:pPr>
              <w:pStyle w:val="39"/>
              <w:rPr>
                <w:rFonts w:ascii="Times New Roman" w:hAnsi="Times New Roman"/>
              </w:rPr>
            </w:pPr>
            <w:r>
              <w:rPr>
                <w:rFonts w:ascii="Times New Roman" w:hAnsi="Times New Roman"/>
                <w:sz w:val="22"/>
                <w:szCs w:val="22"/>
              </w:rPr>
              <w:t>1.35</w:t>
            </w:r>
          </w:p>
        </w:tc>
        <w:tc>
          <w:tcPr>
            <w:tcW w:w="1701" w:type="dxa"/>
            <w:noWrap/>
            <w:vAlign w:val="bottom"/>
          </w:tcPr>
          <w:p>
            <w:pPr>
              <w:pStyle w:val="39"/>
              <w:rPr>
                <w:rFonts w:ascii="Times New Roman" w:hAnsi="Times New Roman"/>
              </w:rPr>
            </w:pPr>
            <w:r>
              <w:rPr>
                <w:rFonts w:ascii="Times New Roman" w:hAnsi="Times New Roman"/>
                <w:sz w:val="22"/>
                <w:szCs w:val="22"/>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8" w:type="dxa"/>
            <w:noWrap/>
            <w:vAlign w:val="center"/>
          </w:tcPr>
          <w:p>
            <w:pPr>
              <w:pStyle w:val="39"/>
              <w:rPr>
                <w:rFonts w:ascii="Times New Roman" w:hAnsi="Times New Roman"/>
              </w:rPr>
            </w:pPr>
            <w:r>
              <w:rPr>
                <w:rFonts w:ascii="Times New Roman" w:hAnsi="Times New Roman"/>
                <w:sz w:val="22"/>
                <w:szCs w:val="22"/>
              </w:rPr>
              <w:t>工业用地</w:t>
            </w:r>
          </w:p>
        </w:tc>
        <w:tc>
          <w:tcPr>
            <w:tcW w:w="1417" w:type="dxa"/>
            <w:noWrap/>
            <w:vAlign w:val="bottom"/>
          </w:tcPr>
          <w:p>
            <w:pPr>
              <w:pStyle w:val="39"/>
              <w:rPr>
                <w:rFonts w:ascii="Times New Roman" w:hAnsi="Times New Roman"/>
              </w:rPr>
            </w:pPr>
            <w:r>
              <w:rPr>
                <w:rFonts w:ascii="Times New Roman" w:hAnsi="Times New Roman"/>
                <w:sz w:val="22"/>
                <w:szCs w:val="22"/>
              </w:rPr>
              <w:t>0.41</w:t>
            </w:r>
          </w:p>
        </w:tc>
        <w:tc>
          <w:tcPr>
            <w:tcW w:w="1559" w:type="dxa"/>
            <w:noWrap/>
            <w:vAlign w:val="bottom"/>
          </w:tcPr>
          <w:p>
            <w:pPr>
              <w:pStyle w:val="39"/>
              <w:rPr>
                <w:rFonts w:ascii="Times New Roman" w:hAnsi="Times New Roman"/>
              </w:rPr>
            </w:pPr>
            <w:r>
              <w:rPr>
                <w:rFonts w:ascii="Times New Roman" w:hAnsi="Times New Roman"/>
                <w:sz w:val="22"/>
                <w:szCs w:val="22"/>
              </w:rPr>
              <w:t>10</w:t>
            </w:r>
          </w:p>
        </w:tc>
        <w:tc>
          <w:tcPr>
            <w:tcW w:w="1985" w:type="dxa"/>
            <w:noWrap/>
            <w:vAlign w:val="bottom"/>
          </w:tcPr>
          <w:p>
            <w:pPr>
              <w:pStyle w:val="39"/>
              <w:rPr>
                <w:rFonts w:ascii="Times New Roman" w:hAnsi="Times New Roman"/>
              </w:rPr>
            </w:pPr>
            <w:r>
              <w:rPr>
                <w:rFonts w:ascii="Times New Roman" w:hAnsi="Times New Roman"/>
                <w:sz w:val="22"/>
                <w:szCs w:val="22"/>
              </w:rPr>
              <w:t>0.18</w:t>
            </w:r>
          </w:p>
        </w:tc>
        <w:tc>
          <w:tcPr>
            <w:tcW w:w="1701" w:type="dxa"/>
            <w:noWrap/>
            <w:vAlign w:val="bottom"/>
          </w:tcPr>
          <w:p>
            <w:pPr>
              <w:pStyle w:val="39"/>
              <w:rPr>
                <w:rFonts w:ascii="Times New Roman" w:hAnsi="Times New Roman"/>
              </w:rPr>
            </w:pPr>
            <w:r>
              <w:rPr>
                <w:rFonts w:ascii="Times New Roman" w:hAnsi="Times New Roman"/>
                <w:sz w:val="22"/>
                <w:szCs w:val="22"/>
              </w:rPr>
              <w:t>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8" w:type="dxa"/>
            <w:noWrap/>
            <w:vAlign w:val="center"/>
          </w:tcPr>
          <w:p>
            <w:pPr>
              <w:pStyle w:val="39"/>
              <w:rPr>
                <w:rFonts w:ascii="Times New Roman" w:hAnsi="Times New Roman"/>
              </w:rPr>
            </w:pPr>
            <w:r>
              <w:rPr>
                <w:rFonts w:ascii="Times New Roman" w:hAnsi="Times New Roman"/>
                <w:sz w:val="22"/>
                <w:szCs w:val="22"/>
              </w:rPr>
              <w:t>采矿用地</w:t>
            </w:r>
          </w:p>
        </w:tc>
        <w:tc>
          <w:tcPr>
            <w:tcW w:w="1417" w:type="dxa"/>
            <w:noWrap/>
            <w:vAlign w:val="bottom"/>
          </w:tcPr>
          <w:p>
            <w:pPr>
              <w:pStyle w:val="39"/>
              <w:rPr>
                <w:rFonts w:ascii="Times New Roman" w:hAnsi="Times New Roman"/>
              </w:rPr>
            </w:pPr>
            <w:r>
              <w:rPr>
                <w:rFonts w:ascii="Times New Roman" w:hAnsi="Times New Roman"/>
                <w:sz w:val="22"/>
                <w:szCs w:val="22"/>
              </w:rPr>
              <w:t>1.04</w:t>
            </w:r>
          </w:p>
        </w:tc>
        <w:tc>
          <w:tcPr>
            <w:tcW w:w="1559" w:type="dxa"/>
            <w:noWrap/>
            <w:vAlign w:val="bottom"/>
          </w:tcPr>
          <w:p>
            <w:pPr>
              <w:pStyle w:val="39"/>
              <w:rPr>
                <w:rFonts w:ascii="Times New Roman" w:hAnsi="Times New Roman"/>
              </w:rPr>
            </w:pPr>
            <w:r>
              <w:rPr>
                <w:rFonts w:ascii="Times New Roman" w:hAnsi="Times New Roman"/>
                <w:sz w:val="22"/>
                <w:szCs w:val="22"/>
              </w:rPr>
              <w:t>10</w:t>
            </w:r>
          </w:p>
        </w:tc>
        <w:tc>
          <w:tcPr>
            <w:tcW w:w="1985" w:type="dxa"/>
            <w:noWrap/>
            <w:vAlign w:val="bottom"/>
          </w:tcPr>
          <w:p>
            <w:pPr>
              <w:pStyle w:val="39"/>
              <w:rPr>
                <w:rFonts w:ascii="Times New Roman" w:hAnsi="Times New Roman"/>
              </w:rPr>
            </w:pPr>
            <w:r>
              <w:rPr>
                <w:rFonts w:ascii="Times New Roman" w:hAnsi="Times New Roman"/>
                <w:sz w:val="22"/>
                <w:szCs w:val="22"/>
              </w:rPr>
              <w:t>0.34</w:t>
            </w:r>
          </w:p>
        </w:tc>
        <w:tc>
          <w:tcPr>
            <w:tcW w:w="1701" w:type="dxa"/>
            <w:noWrap/>
            <w:vAlign w:val="bottom"/>
          </w:tcPr>
          <w:p>
            <w:pPr>
              <w:pStyle w:val="39"/>
              <w:rPr>
                <w:rFonts w:ascii="Times New Roman" w:hAnsi="Times New Roman"/>
              </w:rPr>
            </w:pPr>
            <w:r>
              <w:rPr>
                <w:rFonts w:ascii="Times New Roman" w:hAnsi="Times New Roman"/>
                <w:sz w:val="22"/>
                <w:szCs w:val="22"/>
              </w:rPr>
              <w:t>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8" w:type="dxa"/>
            <w:noWrap/>
            <w:vAlign w:val="center"/>
          </w:tcPr>
          <w:p>
            <w:pPr>
              <w:pStyle w:val="39"/>
              <w:rPr>
                <w:rFonts w:ascii="Times New Roman" w:hAnsi="Times New Roman"/>
              </w:rPr>
            </w:pPr>
            <w:r>
              <w:rPr>
                <w:rFonts w:ascii="Times New Roman" w:hAnsi="Times New Roman"/>
                <w:sz w:val="22"/>
                <w:szCs w:val="22"/>
              </w:rPr>
              <w:t>农村宅基地</w:t>
            </w:r>
          </w:p>
        </w:tc>
        <w:tc>
          <w:tcPr>
            <w:tcW w:w="1417" w:type="dxa"/>
            <w:noWrap/>
            <w:vAlign w:val="bottom"/>
          </w:tcPr>
          <w:p>
            <w:pPr>
              <w:pStyle w:val="39"/>
              <w:rPr>
                <w:rFonts w:ascii="Times New Roman" w:hAnsi="Times New Roman"/>
              </w:rPr>
            </w:pPr>
            <w:r>
              <w:rPr>
                <w:rFonts w:ascii="Times New Roman" w:hAnsi="Times New Roman"/>
                <w:sz w:val="22"/>
                <w:szCs w:val="22"/>
              </w:rPr>
              <w:t>34.65</w:t>
            </w:r>
          </w:p>
        </w:tc>
        <w:tc>
          <w:tcPr>
            <w:tcW w:w="1559" w:type="dxa"/>
            <w:noWrap/>
            <w:vAlign w:val="bottom"/>
          </w:tcPr>
          <w:p>
            <w:pPr>
              <w:pStyle w:val="39"/>
              <w:rPr>
                <w:rFonts w:ascii="Times New Roman" w:hAnsi="Times New Roman"/>
              </w:rPr>
            </w:pPr>
            <w:r>
              <w:rPr>
                <w:rFonts w:ascii="Times New Roman" w:hAnsi="Times New Roman"/>
                <w:sz w:val="22"/>
                <w:szCs w:val="22"/>
              </w:rPr>
              <w:t>50</w:t>
            </w:r>
          </w:p>
        </w:tc>
        <w:tc>
          <w:tcPr>
            <w:tcW w:w="1985" w:type="dxa"/>
            <w:noWrap/>
            <w:vAlign w:val="bottom"/>
          </w:tcPr>
          <w:p>
            <w:pPr>
              <w:pStyle w:val="39"/>
              <w:rPr>
                <w:rFonts w:ascii="Times New Roman" w:hAnsi="Times New Roman"/>
              </w:rPr>
            </w:pPr>
            <w:r>
              <w:rPr>
                <w:rFonts w:ascii="Times New Roman" w:hAnsi="Times New Roman"/>
                <w:sz w:val="22"/>
                <w:szCs w:val="22"/>
              </w:rPr>
              <w:t>1.99</w:t>
            </w:r>
          </w:p>
        </w:tc>
        <w:tc>
          <w:tcPr>
            <w:tcW w:w="1701" w:type="dxa"/>
            <w:noWrap/>
            <w:vAlign w:val="bottom"/>
          </w:tcPr>
          <w:p>
            <w:pPr>
              <w:pStyle w:val="39"/>
              <w:rPr>
                <w:rFonts w:ascii="Times New Roman" w:hAnsi="Times New Roman"/>
              </w:rPr>
            </w:pPr>
            <w:r>
              <w:rPr>
                <w:rFonts w:ascii="Times New Roman" w:hAnsi="Times New Roman"/>
                <w:sz w:val="22"/>
                <w:szCs w:val="22"/>
              </w:rPr>
              <w:t>22.16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8" w:type="dxa"/>
            <w:noWrap/>
            <w:vAlign w:val="center"/>
          </w:tcPr>
          <w:p>
            <w:pPr>
              <w:pStyle w:val="39"/>
              <w:rPr>
                <w:rFonts w:ascii="Times New Roman" w:hAnsi="Times New Roman"/>
              </w:rPr>
            </w:pPr>
            <w:r>
              <w:rPr>
                <w:rFonts w:ascii="Times New Roman" w:hAnsi="Times New Roman"/>
                <w:sz w:val="22"/>
                <w:szCs w:val="22"/>
              </w:rPr>
              <w:t>公路用地</w:t>
            </w:r>
          </w:p>
        </w:tc>
        <w:tc>
          <w:tcPr>
            <w:tcW w:w="1417" w:type="dxa"/>
            <w:noWrap/>
            <w:vAlign w:val="bottom"/>
          </w:tcPr>
          <w:p>
            <w:pPr>
              <w:pStyle w:val="39"/>
              <w:rPr>
                <w:rFonts w:ascii="Times New Roman" w:hAnsi="Times New Roman"/>
              </w:rPr>
            </w:pPr>
            <w:r>
              <w:rPr>
                <w:rFonts w:ascii="Times New Roman" w:hAnsi="Times New Roman"/>
                <w:sz w:val="22"/>
                <w:szCs w:val="22"/>
              </w:rPr>
              <w:t>4.98</w:t>
            </w:r>
          </w:p>
        </w:tc>
        <w:tc>
          <w:tcPr>
            <w:tcW w:w="1559" w:type="dxa"/>
            <w:noWrap/>
            <w:vAlign w:val="bottom"/>
          </w:tcPr>
          <w:p>
            <w:pPr>
              <w:pStyle w:val="39"/>
              <w:rPr>
                <w:rFonts w:ascii="Times New Roman" w:hAnsi="Times New Roman"/>
              </w:rPr>
            </w:pPr>
            <w:r>
              <w:rPr>
                <w:rFonts w:ascii="Times New Roman" w:hAnsi="Times New Roman"/>
                <w:sz w:val="22"/>
                <w:szCs w:val="22"/>
              </w:rPr>
              <w:t>30</w:t>
            </w:r>
          </w:p>
        </w:tc>
        <w:tc>
          <w:tcPr>
            <w:tcW w:w="1985" w:type="dxa"/>
            <w:noWrap/>
            <w:vAlign w:val="bottom"/>
          </w:tcPr>
          <w:p>
            <w:pPr>
              <w:pStyle w:val="39"/>
              <w:rPr>
                <w:rFonts w:ascii="Times New Roman" w:hAnsi="Times New Roman"/>
              </w:rPr>
            </w:pPr>
            <w:r>
              <w:rPr>
                <w:rFonts w:ascii="Times New Roman" w:hAnsi="Times New Roman"/>
                <w:sz w:val="22"/>
                <w:szCs w:val="22"/>
              </w:rPr>
              <w:t>1.15</w:t>
            </w:r>
          </w:p>
        </w:tc>
        <w:tc>
          <w:tcPr>
            <w:tcW w:w="1701" w:type="dxa"/>
            <w:noWrap/>
            <w:vAlign w:val="bottom"/>
          </w:tcPr>
          <w:p>
            <w:pPr>
              <w:pStyle w:val="39"/>
              <w:rPr>
                <w:rFonts w:ascii="Times New Roman" w:hAnsi="Times New Roman"/>
              </w:rPr>
            </w:pPr>
            <w:r>
              <w:rPr>
                <w:rFonts w:ascii="Times New Roman" w:hAnsi="Times New Roman"/>
                <w:sz w:val="22"/>
                <w:szCs w:val="22"/>
              </w:rPr>
              <w:t>9.32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8" w:type="dxa"/>
            <w:noWrap/>
            <w:vAlign w:val="center"/>
          </w:tcPr>
          <w:p>
            <w:pPr>
              <w:pStyle w:val="39"/>
              <w:rPr>
                <w:rFonts w:ascii="Times New Roman" w:hAnsi="Times New Roman"/>
              </w:rPr>
            </w:pPr>
            <w:r>
              <w:rPr>
                <w:rFonts w:ascii="Times New Roman" w:hAnsi="Times New Roman"/>
                <w:sz w:val="22"/>
                <w:szCs w:val="22"/>
              </w:rPr>
              <w:t>管道运输用地</w:t>
            </w:r>
          </w:p>
        </w:tc>
        <w:tc>
          <w:tcPr>
            <w:tcW w:w="1417" w:type="dxa"/>
            <w:noWrap/>
            <w:vAlign w:val="bottom"/>
          </w:tcPr>
          <w:p>
            <w:pPr>
              <w:pStyle w:val="39"/>
              <w:rPr>
                <w:rFonts w:ascii="Times New Roman" w:hAnsi="Times New Roman"/>
              </w:rPr>
            </w:pPr>
            <w:r>
              <w:rPr>
                <w:rFonts w:ascii="Times New Roman" w:hAnsi="Times New Roman"/>
                <w:sz w:val="22"/>
                <w:szCs w:val="22"/>
              </w:rPr>
              <w:t>0.41</w:t>
            </w:r>
          </w:p>
        </w:tc>
        <w:tc>
          <w:tcPr>
            <w:tcW w:w="1559" w:type="dxa"/>
            <w:noWrap/>
            <w:vAlign w:val="bottom"/>
          </w:tcPr>
          <w:p>
            <w:pPr>
              <w:pStyle w:val="39"/>
              <w:rPr>
                <w:rFonts w:ascii="Times New Roman" w:hAnsi="Times New Roman"/>
              </w:rPr>
            </w:pPr>
            <w:r>
              <w:rPr>
                <w:rFonts w:ascii="Times New Roman" w:hAnsi="Times New Roman"/>
                <w:sz w:val="22"/>
                <w:szCs w:val="22"/>
              </w:rPr>
              <w:t>10</w:t>
            </w:r>
          </w:p>
        </w:tc>
        <w:tc>
          <w:tcPr>
            <w:tcW w:w="1985" w:type="dxa"/>
            <w:noWrap/>
            <w:vAlign w:val="bottom"/>
          </w:tcPr>
          <w:p>
            <w:pPr>
              <w:pStyle w:val="39"/>
              <w:rPr>
                <w:rFonts w:ascii="Times New Roman" w:hAnsi="Times New Roman"/>
              </w:rPr>
            </w:pPr>
            <w:r>
              <w:rPr>
                <w:rFonts w:ascii="Times New Roman" w:hAnsi="Times New Roman"/>
                <w:sz w:val="22"/>
                <w:szCs w:val="22"/>
              </w:rPr>
              <w:t>0.14</w:t>
            </w:r>
          </w:p>
        </w:tc>
        <w:tc>
          <w:tcPr>
            <w:tcW w:w="1701" w:type="dxa"/>
            <w:noWrap/>
            <w:vAlign w:val="bottom"/>
          </w:tcPr>
          <w:p>
            <w:pPr>
              <w:pStyle w:val="39"/>
              <w:rPr>
                <w:rFonts w:ascii="Times New Roman" w:hAnsi="Times New Roman"/>
              </w:rPr>
            </w:pPr>
            <w:r>
              <w:rPr>
                <w:rFonts w:ascii="Times New Roman" w:hAnsi="Times New Roman"/>
                <w:sz w:val="22"/>
                <w:szCs w:val="22"/>
              </w:rPr>
              <w:t>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8" w:type="dxa"/>
            <w:noWrap/>
            <w:vAlign w:val="center"/>
          </w:tcPr>
          <w:p>
            <w:pPr>
              <w:pStyle w:val="39"/>
              <w:rPr>
                <w:rFonts w:ascii="Times New Roman" w:hAnsi="Times New Roman"/>
              </w:rPr>
            </w:pPr>
            <w:r>
              <w:rPr>
                <w:rFonts w:ascii="Times New Roman" w:hAnsi="Times New Roman"/>
                <w:sz w:val="22"/>
                <w:szCs w:val="22"/>
              </w:rPr>
              <w:t>河流水面</w:t>
            </w:r>
          </w:p>
        </w:tc>
        <w:tc>
          <w:tcPr>
            <w:tcW w:w="1417" w:type="dxa"/>
            <w:noWrap/>
            <w:vAlign w:val="bottom"/>
          </w:tcPr>
          <w:p>
            <w:pPr>
              <w:pStyle w:val="39"/>
              <w:rPr>
                <w:rFonts w:ascii="Times New Roman" w:hAnsi="Times New Roman"/>
              </w:rPr>
            </w:pPr>
            <w:r>
              <w:rPr>
                <w:rFonts w:ascii="Times New Roman" w:hAnsi="Times New Roman"/>
                <w:sz w:val="22"/>
                <w:szCs w:val="22"/>
              </w:rPr>
              <w:t>0.41</w:t>
            </w:r>
          </w:p>
        </w:tc>
        <w:tc>
          <w:tcPr>
            <w:tcW w:w="1559" w:type="dxa"/>
            <w:noWrap/>
            <w:vAlign w:val="bottom"/>
          </w:tcPr>
          <w:p>
            <w:pPr>
              <w:pStyle w:val="39"/>
              <w:rPr>
                <w:rFonts w:ascii="Times New Roman" w:hAnsi="Times New Roman"/>
              </w:rPr>
            </w:pPr>
            <w:r>
              <w:rPr>
                <w:rFonts w:ascii="Times New Roman" w:hAnsi="Times New Roman"/>
                <w:sz w:val="22"/>
                <w:szCs w:val="22"/>
              </w:rPr>
              <w:t>10</w:t>
            </w:r>
          </w:p>
        </w:tc>
        <w:tc>
          <w:tcPr>
            <w:tcW w:w="1985" w:type="dxa"/>
            <w:noWrap/>
            <w:vAlign w:val="bottom"/>
          </w:tcPr>
          <w:p>
            <w:pPr>
              <w:pStyle w:val="39"/>
              <w:rPr>
                <w:rFonts w:ascii="Times New Roman" w:hAnsi="Times New Roman"/>
              </w:rPr>
            </w:pPr>
            <w:r>
              <w:rPr>
                <w:rFonts w:ascii="Times New Roman" w:hAnsi="Times New Roman"/>
                <w:sz w:val="22"/>
                <w:szCs w:val="22"/>
              </w:rPr>
              <w:t>0.30</w:t>
            </w:r>
          </w:p>
        </w:tc>
        <w:tc>
          <w:tcPr>
            <w:tcW w:w="1701" w:type="dxa"/>
            <w:noWrap/>
            <w:vAlign w:val="bottom"/>
          </w:tcPr>
          <w:p>
            <w:pPr>
              <w:pStyle w:val="39"/>
              <w:rPr>
                <w:rFonts w:ascii="Times New Roman" w:hAnsi="Times New Roman"/>
              </w:rPr>
            </w:pPr>
            <w:r>
              <w:rPr>
                <w:rFonts w:ascii="Times New Roman" w:hAnsi="Times New Roman"/>
                <w:sz w:val="22"/>
                <w:szCs w:val="22"/>
              </w:rPr>
              <w:t>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8" w:type="dxa"/>
            <w:noWrap/>
            <w:vAlign w:val="center"/>
          </w:tcPr>
          <w:p>
            <w:pPr>
              <w:pStyle w:val="39"/>
              <w:rPr>
                <w:rFonts w:ascii="Times New Roman" w:hAnsi="Times New Roman"/>
              </w:rPr>
            </w:pPr>
            <w:r>
              <w:rPr>
                <w:rFonts w:ascii="Times New Roman" w:hAnsi="Times New Roman"/>
                <w:sz w:val="22"/>
                <w:szCs w:val="22"/>
              </w:rPr>
              <w:t>坑塘水面</w:t>
            </w:r>
          </w:p>
        </w:tc>
        <w:tc>
          <w:tcPr>
            <w:tcW w:w="1417" w:type="dxa"/>
            <w:noWrap/>
            <w:vAlign w:val="bottom"/>
          </w:tcPr>
          <w:p>
            <w:pPr>
              <w:pStyle w:val="39"/>
              <w:rPr>
                <w:rFonts w:ascii="Times New Roman" w:hAnsi="Times New Roman"/>
              </w:rPr>
            </w:pPr>
            <w:r>
              <w:rPr>
                <w:rFonts w:ascii="Times New Roman" w:hAnsi="Times New Roman"/>
                <w:sz w:val="22"/>
                <w:szCs w:val="22"/>
              </w:rPr>
              <w:t>3.94</w:t>
            </w:r>
          </w:p>
        </w:tc>
        <w:tc>
          <w:tcPr>
            <w:tcW w:w="1559" w:type="dxa"/>
            <w:noWrap/>
            <w:vAlign w:val="bottom"/>
          </w:tcPr>
          <w:p>
            <w:pPr>
              <w:pStyle w:val="39"/>
              <w:rPr>
                <w:rFonts w:ascii="Times New Roman" w:hAnsi="Times New Roman"/>
              </w:rPr>
            </w:pPr>
            <w:r>
              <w:rPr>
                <w:rFonts w:ascii="Times New Roman" w:hAnsi="Times New Roman"/>
                <w:sz w:val="22"/>
                <w:szCs w:val="22"/>
              </w:rPr>
              <w:t>10</w:t>
            </w:r>
          </w:p>
        </w:tc>
        <w:tc>
          <w:tcPr>
            <w:tcW w:w="1985" w:type="dxa"/>
            <w:noWrap/>
            <w:vAlign w:val="bottom"/>
          </w:tcPr>
          <w:p>
            <w:pPr>
              <w:pStyle w:val="39"/>
              <w:rPr>
                <w:rFonts w:ascii="Times New Roman" w:hAnsi="Times New Roman"/>
              </w:rPr>
            </w:pPr>
            <w:r>
              <w:rPr>
                <w:rFonts w:ascii="Times New Roman" w:hAnsi="Times New Roman"/>
                <w:sz w:val="22"/>
                <w:szCs w:val="22"/>
              </w:rPr>
              <w:t>0.37</w:t>
            </w:r>
          </w:p>
        </w:tc>
        <w:tc>
          <w:tcPr>
            <w:tcW w:w="1701" w:type="dxa"/>
            <w:noWrap/>
            <w:vAlign w:val="bottom"/>
          </w:tcPr>
          <w:p>
            <w:pPr>
              <w:pStyle w:val="39"/>
              <w:rPr>
                <w:rFonts w:ascii="Times New Roman" w:hAnsi="Times New Roman"/>
              </w:rPr>
            </w:pPr>
            <w:r>
              <w:rPr>
                <w:rFonts w:ascii="Times New Roman" w:hAnsi="Times New Roman"/>
                <w:sz w:val="22"/>
                <w:szCs w:val="22"/>
              </w:rPr>
              <w:t>3.67</w:t>
            </w:r>
          </w:p>
        </w:tc>
      </w:tr>
    </w:tbl>
    <w:p>
      <w:pPr>
        <w:ind w:firstLine="480"/>
        <w:rPr>
          <w:rFonts w:ascii="Times New Roman" w:hAnsi="Times New Roman"/>
        </w:rPr>
      </w:pPr>
      <w:r>
        <w:rPr>
          <w:rFonts w:ascii="Times New Roman" w:hAnsi="Times New Roman"/>
        </w:rPr>
        <w:t>上表结果表明，评价范围景观现状中乔木林地斑块优势度最大，其Do值为53.73%，景观密度Rd值为19.09%，景观比例Lp值为67.91%；其次是农村宅基地斑块，农村宅基地斑块Do值为22.16%，景观密度Rd值为34.65%，景观比例Lp值为1.99%；再次是旱地斑块，旱地斑块Do值为16.80%，景观密度Rd值为25.73%，景观比例Lp值为15.75%。</w:t>
      </w:r>
    </w:p>
    <w:p>
      <w:pPr>
        <w:ind w:firstLine="480"/>
        <w:rPr>
          <w:rFonts w:ascii="Times New Roman" w:hAnsi="Times New Roman"/>
        </w:rPr>
      </w:pPr>
      <w:r>
        <w:rPr>
          <w:rFonts w:ascii="Times New Roman" w:hAnsi="Times New Roman"/>
        </w:rPr>
        <w:t>（2）评价范围内廊道类型</w:t>
      </w:r>
    </w:p>
    <w:p>
      <w:pPr>
        <w:ind w:firstLine="480"/>
        <w:rPr>
          <w:rFonts w:ascii="Times New Roman" w:hAnsi="Times New Roman"/>
        </w:rPr>
      </w:pPr>
      <w:r>
        <w:rPr>
          <w:rFonts w:ascii="Times New Roman" w:hAnsi="Times New Roman"/>
        </w:rPr>
        <w:t>本项目评价范围内廊道主要为乡村道路和清溪河。廊道作为线性的景观单元除了具有通道和阻隔的作用之外，还有物种过滤器、某些物种的栖息地功能以及对其周围环境与生物生产影响的影响源的作用。在工程景观评价范围内的廊道主要包括道路和河流。评价范围内的道路由于机动车的干扰，路面是一个不适宜动植物生活的地带，并对动物的运动和植物种子的扩散有一定的阻隔作用。河流是评价范围内重要的一种廊道，包括河流以及沿岸分布的不同于周围其他基质的植被带。清溪河也是水生生物和鱼类的栖息地。</w:t>
      </w:r>
    </w:p>
    <w:p>
      <w:pPr>
        <w:ind w:firstLine="480"/>
        <w:rPr>
          <w:rFonts w:ascii="Times New Roman" w:hAnsi="Times New Roman"/>
        </w:rPr>
      </w:pPr>
      <w:r>
        <w:rPr>
          <w:rFonts w:ascii="Times New Roman" w:hAnsi="Times New Roman"/>
        </w:rPr>
        <w:t>（3）基质</w:t>
      </w:r>
    </w:p>
    <w:p>
      <w:pPr>
        <w:ind w:firstLine="480"/>
        <w:rPr>
          <w:rFonts w:ascii="Times New Roman" w:hAnsi="Times New Roman"/>
        </w:rPr>
      </w:pPr>
      <w:r>
        <w:rPr>
          <w:rFonts w:ascii="Times New Roman" w:hAnsi="Times New Roman"/>
        </w:rPr>
        <w:t>基质是景观中面积最大、连通性最好的类型，在景观功能上起着重要作用，影响能流、物流和物种流。判定基质的三个标准是相对面积最大、连通程度最高和对整个景观起到动态调控作用，其中前两个标准都可以通过景观优势度得到较好反映，一般认为满足前两个标准的景观要素即可认为是景观基质。因此，评价范围以森林为景观基质，其中林地主要为乔木林地和灌木林地。</w:t>
      </w:r>
    </w:p>
    <w:p>
      <w:pPr>
        <w:pStyle w:val="4"/>
        <w:rPr>
          <w:rFonts w:ascii="Times New Roman" w:hAnsi="Times New Roman" w:cs="Times New Roman"/>
        </w:rPr>
      </w:pPr>
      <w:r>
        <w:rPr>
          <w:rFonts w:ascii="Times New Roman" w:hAnsi="Times New Roman" w:cs="Times New Roman"/>
        </w:rPr>
        <w:t>生态敏感区调查</w:t>
      </w:r>
    </w:p>
    <w:p>
      <w:pPr>
        <w:ind w:firstLine="480"/>
        <w:rPr>
          <w:rFonts w:ascii="Times New Roman" w:hAnsi="Times New Roman"/>
        </w:rPr>
      </w:pPr>
      <w:r>
        <w:rPr>
          <w:rFonts w:ascii="Times New Roman" w:hAnsi="Times New Roman"/>
        </w:rPr>
        <w:t>本项目输气管线距离百里峡风景名胜区江口湖片区三级保护区（控制建设范围）最近直线距离约为230m，宣探1井距离百里峡风景名胜区江口湖片区二级保护区（严格限制建设范围）最近直线约为1350m。本项目与百里峡风景名胜区江口湖片区的位置关系见附图27。</w:t>
      </w:r>
    </w:p>
    <w:p>
      <w:pPr>
        <w:ind w:firstLine="480"/>
        <w:rPr>
          <w:rFonts w:ascii="Times New Roman" w:hAnsi="Times New Roman"/>
        </w:rPr>
      </w:pPr>
      <w:r>
        <w:rPr>
          <w:rFonts w:ascii="Times New Roman" w:hAnsi="Times New Roman"/>
        </w:rPr>
        <w:t>百里峡风景名胜区由百里峡和江口湖两个独立的片区组成，总面积105km</w:t>
      </w:r>
      <w:r>
        <w:rPr>
          <w:rFonts w:ascii="Times New Roman" w:hAnsi="Times New Roman"/>
          <w:vertAlign w:val="superscript"/>
        </w:rPr>
        <w:t>2</w:t>
      </w:r>
      <w:r>
        <w:rPr>
          <w:rFonts w:ascii="Times New Roman" w:hAnsi="Times New Roman"/>
        </w:rPr>
        <w:t>，其中百里峡片区65km</w:t>
      </w:r>
      <w:r>
        <w:rPr>
          <w:rFonts w:ascii="Times New Roman" w:hAnsi="Times New Roman"/>
          <w:vertAlign w:val="superscript"/>
        </w:rPr>
        <w:t>2</w:t>
      </w:r>
      <w:r>
        <w:rPr>
          <w:rFonts w:ascii="Times New Roman" w:hAnsi="Times New Roman"/>
        </w:rPr>
        <w:t>，江口湖片区40km</w:t>
      </w:r>
      <w:r>
        <w:rPr>
          <w:rFonts w:ascii="Times New Roman" w:hAnsi="Times New Roman"/>
          <w:vertAlign w:val="superscript"/>
        </w:rPr>
        <w:t>2</w:t>
      </w:r>
      <w:r>
        <w:rPr>
          <w:rFonts w:ascii="Times New Roman" w:hAnsi="Times New Roman"/>
        </w:rPr>
        <w:t>。</w:t>
      </w:r>
    </w:p>
    <w:p>
      <w:pPr>
        <w:ind w:firstLine="480"/>
        <w:rPr>
          <w:rFonts w:ascii="Times New Roman" w:hAnsi="Times New Roman"/>
        </w:rPr>
      </w:pPr>
      <w:r>
        <w:rPr>
          <w:rFonts w:ascii="Times New Roman" w:hAnsi="Times New Roman"/>
        </w:rPr>
        <w:t>一级保护区（核心景区）主要包括自然和人文景观保护与展示价值最高、分布最为集中，以及生态环境优良、生态保护价值高等需要严格保护的区域，也是风景区一级景点的主要分布区域，总面积39.58km</w:t>
      </w:r>
      <w:r>
        <w:rPr>
          <w:rFonts w:ascii="Times New Roman" w:hAnsi="Times New Roman"/>
          <w:vertAlign w:val="superscript"/>
        </w:rPr>
        <w:t>2</w:t>
      </w:r>
      <w:r>
        <w:rPr>
          <w:rFonts w:ascii="Times New Roman" w:hAnsi="Times New Roman"/>
        </w:rPr>
        <w:t>，占风景区总面积的37.96%。具体包括:</w:t>
      </w:r>
    </w:p>
    <w:p>
      <w:pPr>
        <w:ind w:firstLine="480"/>
        <w:rPr>
          <w:rFonts w:ascii="Times New Roman" w:hAnsi="Times New Roman"/>
        </w:rPr>
      </w:pPr>
      <w:r>
        <w:rPr>
          <w:rFonts w:ascii="Times New Roman" w:hAnsi="Times New Roman"/>
        </w:rPr>
        <w:t>（1）风景区与百里峡省级自然保护区核心区和缓冲区的重叠区域。</w:t>
      </w:r>
    </w:p>
    <w:p>
      <w:pPr>
        <w:ind w:firstLine="480"/>
        <w:rPr>
          <w:rFonts w:ascii="Times New Roman" w:hAnsi="Times New Roman"/>
        </w:rPr>
      </w:pPr>
      <w:r>
        <w:rPr>
          <w:rFonts w:ascii="Times New Roman" w:hAnsi="Times New Roman"/>
        </w:rPr>
        <w:t>（2）风景区与大巴山国家地质公园一级地质遗迹保护区的重叠区域。</w:t>
      </w:r>
    </w:p>
    <w:p>
      <w:pPr>
        <w:ind w:firstLine="480"/>
        <w:rPr>
          <w:rFonts w:ascii="Times New Roman" w:hAnsi="Times New Roman"/>
        </w:rPr>
      </w:pPr>
      <w:r>
        <w:rPr>
          <w:rFonts w:ascii="Times New Roman" w:hAnsi="Times New Roman"/>
        </w:rPr>
        <w:t>（3）风景区范围内集中式饮用水水源地一级保护区。</w:t>
      </w:r>
    </w:p>
    <w:p>
      <w:pPr>
        <w:ind w:firstLine="480"/>
        <w:rPr>
          <w:rFonts w:ascii="Times New Roman" w:hAnsi="Times New Roman"/>
        </w:rPr>
      </w:pPr>
      <w:r>
        <w:rPr>
          <w:rFonts w:ascii="Times New Roman" w:hAnsi="Times New Roman"/>
        </w:rPr>
        <w:t>（4）风景区范围内岩溶溶洞集中分布区，主要包括巴王洞溶洞群区域;凤景区范围内的岩溶峰丛集中分布区，主要包括五指山区域。</w:t>
      </w:r>
    </w:p>
    <w:p>
      <w:pPr>
        <w:ind w:firstLine="480"/>
        <w:rPr>
          <w:rFonts w:ascii="Times New Roman" w:hAnsi="Times New Roman"/>
        </w:rPr>
      </w:pPr>
      <w:r>
        <w:rPr>
          <w:rFonts w:ascii="Times New Roman" w:hAnsi="Times New Roman"/>
        </w:rPr>
        <w:t>（5）风景区百里峡片区北部大石盘、老林湾、陈家湾、红岩湾、寨子包、苦杆子等生态环境优良，生态保护价值高的区域。</w:t>
      </w:r>
    </w:p>
    <w:p>
      <w:pPr>
        <w:ind w:firstLine="480"/>
        <w:rPr>
          <w:rFonts w:ascii="Times New Roman" w:hAnsi="Times New Roman"/>
        </w:rPr>
      </w:pPr>
      <w:r>
        <w:rPr>
          <w:rFonts w:ascii="Times New Roman" w:hAnsi="Times New Roman"/>
        </w:rPr>
        <w:t>二级保护区（严格限制建设范围）是有效维护一级保护区的缓冲地带，风景名胜资源较少、景观价值一般、自然生态价值较高的区域应划为二级保护区。二级保护区在范围上主要包括除一级保护区外的主要景点集中分布区域和游览区域，面积23.53 km</w:t>
      </w:r>
      <w:r>
        <w:rPr>
          <w:rFonts w:ascii="Times New Roman" w:hAnsi="Times New Roman"/>
          <w:vertAlign w:val="superscript"/>
        </w:rPr>
        <w:t>2</w:t>
      </w:r>
      <w:r>
        <w:rPr>
          <w:rFonts w:ascii="Times New Roman" w:hAnsi="Times New Roman"/>
        </w:rPr>
        <w:t>，占风景区总面积的22.41%。</w:t>
      </w:r>
    </w:p>
    <w:p>
      <w:pPr>
        <w:ind w:firstLine="480"/>
        <w:rPr>
          <w:rFonts w:ascii="Times New Roman" w:hAnsi="Times New Roman"/>
        </w:rPr>
      </w:pPr>
      <w:r>
        <w:rPr>
          <w:rFonts w:ascii="Times New Roman" w:hAnsi="Times New Roman"/>
        </w:rPr>
        <w:t>三级保护区（控制建设范围）为风景区内除一级保护区和二级保护区以外的区域，该区风景名胜资源少、景观价值一般、生态价值一般，是当地居民生产生活的主要区域。三级保护区面积41.62 km</w:t>
      </w:r>
      <w:r>
        <w:rPr>
          <w:rFonts w:ascii="Times New Roman" w:hAnsi="Times New Roman"/>
          <w:vertAlign w:val="superscript"/>
        </w:rPr>
        <w:t>2</w:t>
      </w:r>
      <w:r>
        <w:rPr>
          <w:rFonts w:ascii="Times New Roman" w:hAnsi="Times New Roman"/>
        </w:rPr>
        <w:t>，占凤景区总面积的39.64%。</w:t>
      </w:r>
    </w:p>
    <w:p>
      <w:pPr>
        <w:pStyle w:val="4"/>
        <w:rPr>
          <w:rFonts w:ascii="Times New Roman" w:hAnsi="Times New Roman" w:cs="Times New Roman"/>
        </w:rPr>
      </w:pPr>
      <w:r>
        <w:rPr>
          <w:rFonts w:ascii="Times New Roman" w:hAnsi="Times New Roman" w:cs="Times New Roman"/>
        </w:rPr>
        <w:t>区域生态问题</w:t>
      </w:r>
    </w:p>
    <w:p>
      <w:pPr>
        <w:ind w:firstLine="480"/>
        <w:rPr>
          <w:rFonts w:ascii="Times New Roman" w:hAnsi="Times New Roman"/>
        </w:rPr>
      </w:pPr>
      <w:r>
        <w:rPr>
          <w:rFonts w:ascii="Times New Roman" w:hAnsi="Times New Roman"/>
        </w:rPr>
        <w:t>本区域景观类型以林地、为主，主要是森林生态系统和农田生态系统。森林分布不均，水源涵养能力差，水土流失严重。</w:t>
      </w:r>
    </w:p>
    <w:p>
      <w:pPr>
        <w:ind w:firstLine="480"/>
        <w:rPr>
          <w:rFonts w:ascii="Times New Roman" w:hAnsi="Times New Roman"/>
        </w:rPr>
      </w:pPr>
      <w:r>
        <w:rPr>
          <w:rFonts w:ascii="Times New Roman" w:hAnsi="Times New Roman"/>
        </w:rPr>
        <w:t>主要问题如下：</w:t>
      </w:r>
    </w:p>
    <w:p>
      <w:pPr>
        <w:ind w:firstLine="480"/>
        <w:rPr>
          <w:rFonts w:ascii="Times New Roman" w:hAnsi="Times New Roman"/>
        </w:rPr>
      </w:pPr>
      <w:r>
        <w:rPr>
          <w:rFonts w:ascii="Times New Roman" w:hAnsi="Times New Roman"/>
        </w:rPr>
        <w:t>1）根据资料检索和实地调查，评价范围内水土流失较严重。</w:t>
      </w:r>
    </w:p>
    <w:p>
      <w:pPr>
        <w:ind w:firstLine="480"/>
        <w:rPr>
          <w:rFonts w:ascii="Times New Roman" w:hAnsi="Times New Roman"/>
        </w:rPr>
      </w:pPr>
      <w:r>
        <w:rPr>
          <w:rFonts w:ascii="Times New Roman" w:hAnsi="Times New Roman"/>
        </w:rPr>
        <w:t>2）评价范围域内也存在着虫害、雷击、风折等自然因素，对评价范围动植物资源、生态系统和主要保护对象产生威胁。</w:t>
      </w:r>
    </w:p>
    <w:p>
      <w:pPr>
        <w:ind w:firstLine="480"/>
        <w:rPr>
          <w:rFonts w:ascii="Times New Roman" w:hAnsi="Times New Roman"/>
        </w:rPr>
      </w:pPr>
      <w:r>
        <w:rPr>
          <w:rFonts w:ascii="Times New Roman" w:hAnsi="Times New Roman"/>
        </w:rPr>
        <w:t>3）评价范围内有178.02hm</w:t>
      </w:r>
      <w:r>
        <w:rPr>
          <w:rFonts w:ascii="Times New Roman" w:hAnsi="Times New Roman"/>
          <w:vertAlign w:val="superscript"/>
        </w:rPr>
        <w:t>2</w:t>
      </w:r>
      <w:r>
        <w:rPr>
          <w:rFonts w:ascii="Times New Roman" w:hAnsi="Times New Roman"/>
        </w:rPr>
        <w:t>耕地面积、零星分布有村庄、林间公路和村道，人为活动引起火灾、盗猎和生物入侵等生态风险仍然存在。</w:t>
      </w:r>
    </w:p>
    <w:p>
      <w:pPr>
        <w:pStyle w:val="2"/>
        <w:rPr>
          <w:rFonts w:ascii="Times New Roman" w:hAnsi="Times New Roman" w:cs="Times New Roman"/>
        </w:rPr>
      </w:pPr>
      <w:bookmarkStart w:id="193" w:name="_Toc162339422"/>
      <w:r>
        <w:rPr>
          <w:rFonts w:ascii="Times New Roman" w:hAnsi="Times New Roman" w:cs="Times New Roman"/>
        </w:rPr>
        <w:t>环境影响预测与评价</w:t>
      </w:r>
      <w:bookmarkEnd w:id="193"/>
    </w:p>
    <w:p>
      <w:pPr>
        <w:pStyle w:val="3"/>
        <w:rPr>
          <w:rFonts w:ascii="Times New Roman" w:hAnsi="Times New Roman" w:cs="Times New Roman"/>
        </w:rPr>
      </w:pPr>
      <w:bookmarkStart w:id="194" w:name="_Toc162339423"/>
      <w:r>
        <w:rPr>
          <w:rFonts w:ascii="Times New Roman" w:hAnsi="Times New Roman" w:cs="Times New Roman"/>
        </w:rPr>
        <w:t>大气环境</w:t>
      </w:r>
      <w:bookmarkEnd w:id="194"/>
    </w:p>
    <w:p>
      <w:pPr>
        <w:pStyle w:val="4"/>
        <w:rPr>
          <w:rFonts w:ascii="Times New Roman" w:hAnsi="Times New Roman" w:cs="Times New Roman"/>
        </w:rPr>
      </w:pPr>
      <w:r>
        <w:rPr>
          <w:rFonts w:ascii="Times New Roman" w:hAnsi="Times New Roman" w:cs="Times New Roman"/>
        </w:rPr>
        <w:t>施工期</w:t>
      </w:r>
    </w:p>
    <w:p>
      <w:pPr>
        <w:ind w:firstLine="480"/>
        <w:rPr>
          <w:rFonts w:ascii="Times New Roman" w:hAnsi="Times New Roman"/>
        </w:rPr>
      </w:pPr>
      <w:r>
        <w:rPr>
          <w:rFonts w:ascii="Times New Roman" w:hAnsi="Times New Roman"/>
        </w:rPr>
        <w:t>施工期废气污染源主要包括施工扬尘、施工机械尾气、焊接废气等。</w:t>
      </w:r>
    </w:p>
    <w:p>
      <w:pPr>
        <w:ind w:firstLine="482"/>
        <w:rPr>
          <w:rFonts w:ascii="Times New Roman" w:hAnsi="Times New Roman"/>
          <w:b/>
          <w:bCs/>
        </w:rPr>
      </w:pPr>
      <w:r>
        <w:rPr>
          <w:rFonts w:ascii="Times New Roman" w:hAnsi="Times New Roman"/>
          <w:b/>
          <w:bCs/>
        </w:rPr>
        <w:t>（1）施工扬尘</w:t>
      </w:r>
    </w:p>
    <w:p>
      <w:pPr>
        <w:ind w:firstLine="480"/>
        <w:rPr>
          <w:rFonts w:ascii="Times New Roman" w:hAnsi="Times New Roman"/>
        </w:rPr>
      </w:pPr>
      <w:r>
        <w:rPr>
          <w:rFonts w:ascii="Times New Roman" w:hAnsi="Times New Roman"/>
        </w:rPr>
        <w:t>施工期产生的扬尘污染主要取决于施工作业方式、材料的堆放以及风力等因素，其中受风力的影响最大，随着风速的增大，施工扬尘的污染程度和超标范围也将随之增强和扩大。</w:t>
      </w:r>
    </w:p>
    <w:p>
      <w:pPr>
        <w:ind w:firstLine="480"/>
        <w:rPr>
          <w:rFonts w:ascii="Times New Roman" w:hAnsi="Times New Roman"/>
        </w:rPr>
      </w:pPr>
      <w:r>
        <w:rPr>
          <w:rFonts w:ascii="Times New Roman" w:hAnsi="Times New Roman"/>
        </w:rPr>
        <w:t>本项目土方施工时间较短，产生的扬尘为无组织面源排放，根据类似工程的实际现场调查：在大风情况下施工现场下风向1m 处扬尘浓度可达3mg/m</w:t>
      </w:r>
      <w:r>
        <w:rPr>
          <w:rFonts w:ascii="Times New Roman" w:hAnsi="Times New Roman"/>
          <w:vertAlign w:val="superscript"/>
        </w:rPr>
        <w:t>3</w:t>
      </w:r>
      <w:r>
        <w:rPr>
          <w:rFonts w:ascii="Times New Roman" w:hAnsi="Times New Roman"/>
        </w:rPr>
        <w:t xml:space="preserve"> 以上，25m处为1.53mg/m</w:t>
      </w:r>
      <w:r>
        <w:rPr>
          <w:rFonts w:ascii="Times New Roman" w:hAnsi="Times New Roman"/>
          <w:vertAlign w:val="superscript"/>
        </w:rPr>
        <w:t>3</w:t>
      </w:r>
      <w:r>
        <w:rPr>
          <w:rFonts w:ascii="Times New Roman" w:hAnsi="Times New Roman"/>
        </w:rPr>
        <w:t>，下风向60m 范围内TSP 浓度超标。但由于施工过程为分段进行，施工时间较短，在严格执行分层开挖、分层回填的操作制度、避免长距离施工、工程措施与生物措施相结合的条件下，施工作业扬尘污染是短时的，周边居民受到施工扬尘的影响较小。</w:t>
      </w:r>
    </w:p>
    <w:p>
      <w:pPr>
        <w:ind w:firstLine="480"/>
        <w:rPr>
          <w:rFonts w:ascii="Times New Roman" w:hAnsi="Times New Roman"/>
        </w:rPr>
      </w:pPr>
      <w:r>
        <w:rPr>
          <w:rFonts w:ascii="Times New Roman" w:hAnsi="Times New Roman"/>
        </w:rPr>
        <w:t>施工阶段汽车运输过程中，也会产生扬尘污染。扬尘量、粒径大小等与多种因素有关，如路面状况、车辆行驶速度、载重量、天气情况等。其中风速、风向等天气状况直接影响扬尘的传输方向和距离。由于汽车运输过程中产生的扬尘时间短、扬尘落地快、影响范围主要集中在运输道路两侧，故汽车运输扬尘对周边的环境空气影响程度和范围较小，影响时间也较短。如果采用硬化道路、道路定时洒水抑尘、控制车辆装载量并采取密闭或遮盖措施，可大大减少运输扬尘对周围环境空气的影响。</w:t>
      </w:r>
    </w:p>
    <w:p>
      <w:pPr>
        <w:ind w:firstLine="480"/>
        <w:rPr>
          <w:rFonts w:ascii="Times New Roman" w:hAnsi="Times New Roman"/>
        </w:rPr>
      </w:pPr>
      <w:r>
        <w:rPr>
          <w:rFonts w:ascii="Times New Roman" w:hAnsi="Times New Roman"/>
        </w:rPr>
        <w:t>施工期只要严格按施工规范文明施工，采取有效的防尘措施，可将施工期污染影响减到最小，施工期结束后，所有施工影响即可消除，在当地环境可接受范围内。</w:t>
      </w:r>
    </w:p>
    <w:p>
      <w:pPr>
        <w:ind w:firstLine="480"/>
        <w:rPr>
          <w:rFonts w:ascii="Times New Roman" w:hAnsi="Times New Roman"/>
        </w:rPr>
      </w:pPr>
      <w:r>
        <w:rPr>
          <w:rFonts w:ascii="Times New Roman" w:hAnsi="Times New Roman"/>
        </w:rPr>
        <w:t>（2）施工机械和车辆尾气</w:t>
      </w:r>
    </w:p>
    <w:p>
      <w:pPr>
        <w:ind w:firstLine="480"/>
        <w:rPr>
          <w:rFonts w:ascii="Times New Roman" w:hAnsi="Times New Roman"/>
        </w:rPr>
      </w:pPr>
      <w:r>
        <w:rPr>
          <w:rFonts w:ascii="Times New Roman" w:hAnsi="Times New Roman"/>
        </w:rPr>
        <w:t>施工机械尾气为燃油发电机、车辆排放尾气，主要污染物为NO</w:t>
      </w:r>
      <w:r>
        <w:rPr>
          <w:rFonts w:ascii="Times New Roman" w:hAnsi="Times New Roman"/>
          <w:vertAlign w:val="subscript"/>
        </w:rPr>
        <w:t>X</w:t>
      </w:r>
      <w:r>
        <w:rPr>
          <w:rFonts w:ascii="Times New Roman" w:hAnsi="Times New Roman"/>
        </w:rPr>
        <w:t>、烟尘及少量CO。由于施工期施工车辆和施工器械尾气主要为间歇性或流动性污染，且燃料用量不大，污染源强较少，故施工期车辆和施工器械燃料尾气对大气环境影响不大。况且施工期机械尾气的污染也是短暂的，局部的，施工完成后就会消失，在当地环境可接受范围内。</w:t>
      </w:r>
    </w:p>
    <w:p>
      <w:pPr>
        <w:ind w:firstLine="480"/>
        <w:rPr>
          <w:rFonts w:ascii="Times New Roman" w:hAnsi="Times New Roman"/>
        </w:rPr>
      </w:pPr>
      <w:r>
        <w:rPr>
          <w:rFonts w:ascii="Times New Roman" w:hAnsi="Times New Roman"/>
        </w:rPr>
        <w:t>（3）焊接烟气</w:t>
      </w:r>
    </w:p>
    <w:p>
      <w:pPr>
        <w:ind w:firstLine="480"/>
        <w:rPr>
          <w:rFonts w:ascii="Times New Roman" w:hAnsi="Times New Roman"/>
        </w:rPr>
      </w:pPr>
      <w:r>
        <w:rPr>
          <w:rFonts w:ascii="Times New Roman" w:hAnsi="Times New Roman"/>
        </w:rPr>
        <w:t>焊接烟气主要是在管道敷设焊接时产生的，主要有害物质为Fe</w:t>
      </w:r>
      <w:r>
        <w:rPr>
          <w:rFonts w:ascii="Times New Roman" w:hAnsi="Times New Roman"/>
          <w:vertAlign w:val="subscript"/>
        </w:rPr>
        <w:t>2</w:t>
      </w:r>
      <w:r>
        <w:rPr>
          <w:rFonts w:ascii="Times New Roman" w:hAnsi="Times New Roman"/>
        </w:rPr>
        <w:t>O</w:t>
      </w:r>
      <w:r>
        <w:rPr>
          <w:rFonts w:ascii="Times New Roman" w:hAnsi="Times New Roman"/>
          <w:vertAlign w:val="subscript"/>
        </w:rPr>
        <w:t>3</w:t>
      </w:r>
      <w:r>
        <w:rPr>
          <w:rFonts w:ascii="Times New Roman" w:hAnsi="Times New Roman"/>
        </w:rPr>
        <w:t>、SiO</w:t>
      </w:r>
      <w:r>
        <w:rPr>
          <w:rFonts w:ascii="Times New Roman" w:hAnsi="Times New Roman"/>
          <w:vertAlign w:val="subscript"/>
        </w:rPr>
        <w:t>2</w:t>
      </w:r>
      <w:r>
        <w:rPr>
          <w:rFonts w:ascii="Times New Roman" w:hAnsi="Times New Roman"/>
        </w:rPr>
        <w:t>、MnO等，产生量较少。焊接工序随着管道的敷设分段进行，焊接烟尘属于流动源且为间歇式排放。焊接工序为野外露天工作，污染物扩散条件好，且项目管线在布置时已考虑避开居民等环境敏感点。项目焊接烟气经大气扩散后对环境及敏感点的影响较小。</w:t>
      </w:r>
    </w:p>
    <w:p>
      <w:pPr>
        <w:pStyle w:val="4"/>
        <w:rPr>
          <w:rFonts w:ascii="Times New Roman" w:hAnsi="Times New Roman" w:cs="Times New Roman"/>
        </w:rPr>
      </w:pPr>
      <w:r>
        <w:rPr>
          <w:rFonts w:ascii="Times New Roman" w:hAnsi="Times New Roman" w:cs="Times New Roman"/>
        </w:rPr>
        <w:t>运营期</w:t>
      </w:r>
    </w:p>
    <w:p>
      <w:pPr>
        <w:pStyle w:val="5"/>
        <w:rPr>
          <w:rFonts w:ascii="Times New Roman" w:hAnsi="Times New Roman"/>
        </w:rPr>
      </w:pPr>
      <w:r>
        <w:rPr>
          <w:rFonts w:ascii="Times New Roman" w:hAnsi="Times New Roman"/>
        </w:rPr>
        <w:t>大气环境影响分析</w:t>
      </w:r>
    </w:p>
    <w:p>
      <w:pPr>
        <w:ind w:firstLine="480"/>
        <w:rPr>
          <w:rFonts w:ascii="Times New Roman" w:hAnsi="Times New Roman"/>
        </w:rPr>
      </w:pPr>
      <w:r>
        <w:rPr>
          <w:rFonts w:ascii="Times New Roman" w:hAnsi="Times New Roman"/>
        </w:rPr>
        <w:t>（1）预测因子</w:t>
      </w:r>
    </w:p>
    <w:p>
      <w:pPr>
        <w:ind w:firstLine="480"/>
        <w:rPr>
          <w:rFonts w:ascii="Times New Roman" w:hAnsi="Times New Roman"/>
        </w:rPr>
      </w:pPr>
      <w:r>
        <w:rPr>
          <w:rFonts w:ascii="Times New Roman" w:hAnsi="Times New Roman"/>
        </w:rPr>
        <w:t>水套加热炉排气筒排放的SO</w:t>
      </w:r>
      <w:r>
        <w:rPr>
          <w:rFonts w:ascii="Times New Roman" w:hAnsi="Times New Roman"/>
          <w:vertAlign w:val="subscript"/>
        </w:rPr>
        <w:t>2</w:t>
      </w:r>
      <w:r>
        <w:rPr>
          <w:rFonts w:ascii="Times New Roman" w:hAnsi="Times New Roman"/>
        </w:rPr>
        <w:t>、NO</w:t>
      </w:r>
      <w:r>
        <w:rPr>
          <w:rFonts w:ascii="Times New Roman" w:hAnsi="Times New Roman"/>
          <w:vertAlign w:val="subscript"/>
        </w:rPr>
        <w:t>X</w:t>
      </w:r>
      <w:r>
        <w:rPr>
          <w:rFonts w:ascii="Times New Roman" w:hAnsi="Times New Roman"/>
        </w:rPr>
        <w:t>、PM</w:t>
      </w:r>
      <w:r>
        <w:rPr>
          <w:rFonts w:ascii="Times New Roman" w:hAnsi="Times New Roman"/>
          <w:vertAlign w:val="subscript"/>
        </w:rPr>
        <w:t>10</w:t>
      </w:r>
      <w:r>
        <w:rPr>
          <w:rFonts w:ascii="Times New Roman" w:hAnsi="Times New Roman"/>
        </w:rPr>
        <w:t>；无组织废气NMHC和H</w:t>
      </w:r>
      <w:r>
        <w:rPr>
          <w:rFonts w:ascii="Times New Roman" w:hAnsi="Times New Roman"/>
          <w:vertAlign w:val="subscript"/>
        </w:rPr>
        <w:t>2</w:t>
      </w:r>
      <w:r>
        <w:rPr>
          <w:rFonts w:ascii="Times New Roman" w:hAnsi="Times New Roman"/>
        </w:rPr>
        <w:t>S。</w:t>
      </w:r>
    </w:p>
    <w:p>
      <w:pPr>
        <w:ind w:firstLine="480"/>
        <w:rPr>
          <w:rFonts w:ascii="Times New Roman" w:hAnsi="Times New Roman"/>
        </w:rPr>
      </w:pPr>
      <w:r>
        <w:rPr>
          <w:rFonts w:ascii="Times New Roman" w:hAnsi="Times New Roman"/>
        </w:rPr>
        <w:t>（2）预测模式</w:t>
      </w:r>
    </w:p>
    <w:p>
      <w:pPr>
        <w:ind w:firstLine="480"/>
        <w:rPr>
          <w:rFonts w:ascii="Times New Roman" w:hAnsi="Times New Roman"/>
        </w:rPr>
      </w:pPr>
      <w:r>
        <w:rPr>
          <w:rFonts w:ascii="Times New Roman" w:hAnsi="Times New Roman"/>
        </w:rPr>
        <w:t>《环境影响评价技术导则 大气环境》（HJ2.2-2018）中推荐的AERSCREEN估算模式。估算模型参数表见</w:t>
      </w:r>
      <w:r>
        <w:rPr>
          <w:rFonts w:ascii="Times New Roman" w:hAnsi="Times New Roman"/>
        </w:rPr>
        <w:fldChar w:fldCharType="begin"/>
      </w:r>
      <w:r>
        <w:rPr>
          <w:rFonts w:ascii="Times New Roman" w:hAnsi="Times New Roman"/>
        </w:rPr>
        <w:instrText xml:space="preserve"> REF _Ref156225223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。项目3km</w:t>
      </w:r>
      <w:r>
        <w:rPr>
          <w:rFonts w:ascii="Times New Roman" w:hAnsi="Times New Roman"/>
          <w:vertAlign w:val="superscript"/>
        </w:rPr>
        <w:t>2</w:t>
      </w:r>
      <w:r>
        <w:rPr>
          <w:rFonts w:ascii="Times New Roman" w:hAnsi="Times New Roman"/>
        </w:rPr>
        <w:t>范围内土地利用类型情况见</w:t>
      </w:r>
      <w:r>
        <w:rPr>
          <w:rFonts w:ascii="Times New Roman" w:hAnsi="Times New Roman"/>
        </w:rPr>
        <w:fldChar w:fldCharType="begin"/>
      </w:r>
      <w:r>
        <w:rPr>
          <w:rFonts w:ascii="Times New Roman" w:hAnsi="Times New Roman"/>
        </w:rPr>
        <w:instrText xml:space="preserve"> REF _Ref156231017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2</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_Ref156231023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3</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195" w:name="_Ref15622522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bookmarkEnd w:id="195"/>
      <w:r>
        <w:rPr>
          <w:rFonts w:ascii="Times New Roman" w:hAnsi="Times New Roman" w:cs="Times New Roman"/>
        </w:rPr>
        <w:t xml:space="preserve">  估算模型参数表</w:t>
      </w:r>
    </w:p>
    <w:tbl>
      <w:tblPr>
        <w:tblStyle w:val="28"/>
        <w:tblW w:w="5000" w:type="pct"/>
        <w:jc w:val="center"/>
        <w:tblLayout w:type="autofit"/>
        <w:tblCellMar>
          <w:top w:w="0" w:type="dxa"/>
          <w:left w:w="108" w:type="dxa"/>
          <w:bottom w:w="0" w:type="dxa"/>
          <w:right w:w="108" w:type="dxa"/>
        </w:tblCellMar>
      </w:tblPr>
      <w:tblGrid>
        <w:gridCol w:w="2234"/>
        <w:gridCol w:w="4537"/>
        <w:gridCol w:w="1751"/>
      </w:tblGrid>
      <w:tr>
        <w:tblPrEx>
          <w:tblCellMar>
            <w:top w:w="0" w:type="dxa"/>
            <w:left w:w="108" w:type="dxa"/>
            <w:bottom w:w="0" w:type="dxa"/>
            <w:right w:w="108" w:type="dxa"/>
          </w:tblCellMar>
        </w:tblPrEx>
        <w:trPr>
          <w:jc w:val="center"/>
        </w:trPr>
        <w:tc>
          <w:tcPr>
            <w:tcW w:w="3973" w:type="pct"/>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参数</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取值</w:t>
            </w:r>
          </w:p>
        </w:tc>
      </w:tr>
      <w:tr>
        <w:tblPrEx>
          <w:tblCellMar>
            <w:top w:w="0" w:type="dxa"/>
            <w:left w:w="108" w:type="dxa"/>
            <w:bottom w:w="0" w:type="dxa"/>
            <w:right w:w="108" w:type="dxa"/>
          </w:tblCellMar>
        </w:tblPrEx>
        <w:trPr>
          <w:jc w:val="center"/>
        </w:trPr>
        <w:tc>
          <w:tcPr>
            <w:tcW w:w="1311" w:type="pct"/>
            <w:vMerge w:val="restar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城市/农村选项</w:t>
            </w:r>
          </w:p>
        </w:tc>
        <w:tc>
          <w:tcPr>
            <w:tcW w:w="2662"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城市/农村</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农村</w:t>
            </w:r>
          </w:p>
        </w:tc>
      </w:tr>
      <w:tr>
        <w:tblPrEx>
          <w:tblCellMar>
            <w:top w:w="0" w:type="dxa"/>
            <w:left w:w="108" w:type="dxa"/>
            <w:bottom w:w="0" w:type="dxa"/>
            <w:right w:w="108" w:type="dxa"/>
          </w:tblCellMar>
        </w:tblPrEx>
        <w:trPr>
          <w:jc w:val="center"/>
        </w:trPr>
        <w:tc>
          <w:tcPr>
            <w:tcW w:w="1311"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2662"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人口数（城市选项时）</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jc w:val="center"/>
        </w:trPr>
        <w:tc>
          <w:tcPr>
            <w:tcW w:w="3973" w:type="pct"/>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最高环境温度/℃</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41.3</w:t>
            </w:r>
          </w:p>
        </w:tc>
      </w:tr>
      <w:tr>
        <w:tblPrEx>
          <w:tblCellMar>
            <w:top w:w="0" w:type="dxa"/>
            <w:left w:w="108" w:type="dxa"/>
            <w:bottom w:w="0" w:type="dxa"/>
            <w:right w:w="108" w:type="dxa"/>
          </w:tblCellMar>
        </w:tblPrEx>
        <w:trPr>
          <w:jc w:val="center"/>
        </w:trPr>
        <w:tc>
          <w:tcPr>
            <w:tcW w:w="3973" w:type="pct"/>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最低环境温度/℃</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-5.3</w:t>
            </w:r>
          </w:p>
        </w:tc>
      </w:tr>
      <w:tr>
        <w:tblPrEx>
          <w:tblCellMar>
            <w:top w:w="0" w:type="dxa"/>
            <w:left w:w="108" w:type="dxa"/>
            <w:bottom w:w="0" w:type="dxa"/>
            <w:right w:w="108" w:type="dxa"/>
          </w:tblCellMar>
        </w:tblPrEx>
        <w:trPr>
          <w:jc w:val="center"/>
        </w:trPr>
        <w:tc>
          <w:tcPr>
            <w:tcW w:w="3973" w:type="pct"/>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土地利用类型</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针叶林</w:t>
            </w:r>
          </w:p>
        </w:tc>
      </w:tr>
      <w:tr>
        <w:tblPrEx>
          <w:tblCellMar>
            <w:top w:w="0" w:type="dxa"/>
            <w:left w:w="108" w:type="dxa"/>
            <w:bottom w:w="0" w:type="dxa"/>
            <w:right w:w="108" w:type="dxa"/>
          </w:tblCellMar>
        </w:tblPrEx>
        <w:trPr>
          <w:jc w:val="center"/>
        </w:trPr>
        <w:tc>
          <w:tcPr>
            <w:tcW w:w="3973" w:type="pct"/>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区域湿度条件</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潮湿</w:t>
            </w:r>
          </w:p>
        </w:tc>
      </w:tr>
      <w:tr>
        <w:tblPrEx>
          <w:tblCellMar>
            <w:top w:w="0" w:type="dxa"/>
            <w:left w:w="108" w:type="dxa"/>
            <w:bottom w:w="0" w:type="dxa"/>
            <w:right w:w="108" w:type="dxa"/>
          </w:tblCellMar>
        </w:tblPrEx>
        <w:trPr>
          <w:jc w:val="center"/>
        </w:trPr>
        <w:tc>
          <w:tcPr>
            <w:tcW w:w="1311" w:type="pct"/>
            <w:vMerge w:val="restar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是否考虑地形</w:t>
            </w:r>
          </w:p>
        </w:tc>
        <w:tc>
          <w:tcPr>
            <w:tcW w:w="2662"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考虑地形</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sym w:font="Wingdings 2" w:char="F052"/>
            </w:r>
            <w:r>
              <w:rPr>
                <w:rFonts w:ascii="Times New Roman" w:hAnsi="Times New Roman"/>
              </w:rPr>
              <w:t xml:space="preserve">是  </w:t>
            </w:r>
            <w:r>
              <w:rPr>
                <w:rFonts w:ascii="Times New Roman" w:hAnsi="Times New Roman"/>
              </w:rPr>
              <w:sym w:font="Wingdings 2" w:char="F02A"/>
            </w:r>
            <w:r>
              <w:rPr>
                <w:rFonts w:ascii="Times New Roman" w:hAnsi="Times New Roman"/>
              </w:rPr>
              <w:t xml:space="preserve">否  </w:t>
            </w:r>
          </w:p>
        </w:tc>
      </w:tr>
      <w:tr>
        <w:tblPrEx>
          <w:tblCellMar>
            <w:top w:w="0" w:type="dxa"/>
            <w:left w:w="108" w:type="dxa"/>
            <w:bottom w:w="0" w:type="dxa"/>
            <w:right w:w="108" w:type="dxa"/>
          </w:tblCellMar>
        </w:tblPrEx>
        <w:trPr>
          <w:jc w:val="center"/>
        </w:trPr>
        <w:tc>
          <w:tcPr>
            <w:tcW w:w="1311"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2662"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地形数据分辨率/m</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90</w:t>
            </w:r>
          </w:p>
        </w:tc>
      </w:tr>
      <w:tr>
        <w:tblPrEx>
          <w:tblCellMar>
            <w:top w:w="0" w:type="dxa"/>
            <w:left w:w="108" w:type="dxa"/>
            <w:bottom w:w="0" w:type="dxa"/>
            <w:right w:w="108" w:type="dxa"/>
          </w:tblCellMar>
        </w:tblPrEx>
        <w:trPr>
          <w:jc w:val="center"/>
        </w:trPr>
        <w:tc>
          <w:tcPr>
            <w:tcW w:w="1311" w:type="pct"/>
            <w:vMerge w:val="restar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是否考虑岸线熏烟</w:t>
            </w:r>
          </w:p>
        </w:tc>
        <w:tc>
          <w:tcPr>
            <w:tcW w:w="2662"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考虑岸线熏烟</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sym w:font="Wingdings 2" w:char="F02A"/>
            </w:r>
            <w:r>
              <w:rPr>
                <w:rFonts w:ascii="Times New Roman" w:hAnsi="Times New Roman"/>
              </w:rPr>
              <w:t xml:space="preserve">是 </w:t>
            </w:r>
            <w:r>
              <w:rPr>
                <w:rFonts w:ascii="Times New Roman" w:hAnsi="Times New Roman"/>
              </w:rPr>
              <w:sym w:font="Wingdings 2" w:char="F052"/>
            </w:r>
            <w:r>
              <w:rPr>
                <w:rFonts w:ascii="Times New Roman" w:hAnsi="Times New Roman"/>
              </w:rPr>
              <w:t>否</w:t>
            </w:r>
          </w:p>
        </w:tc>
      </w:tr>
      <w:tr>
        <w:tblPrEx>
          <w:tblCellMar>
            <w:top w:w="0" w:type="dxa"/>
            <w:left w:w="108" w:type="dxa"/>
            <w:bottom w:w="0" w:type="dxa"/>
            <w:right w:w="108" w:type="dxa"/>
          </w:tblCellMar>
        </w:tblPrEx>
        <w:trPr>
          <w:jc w:val="center"/>
        </w:trPr>
        <w:tc>
          <w:tcPr>
            <w:tcW w:w="1311"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2662"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岸线距离/km</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jc w:val="center"/>
        </w:trPr>
        <w:tc>
          <w:tcPr>
            <w:tcW w:w="1311" w:type="pct"/>
            <w:vMerge w:val="continue"/>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p>
        </w:tc>
        <w:tc>
          <w:tcPr>
            <w:tcW w:w="2662"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岸线方向/°</w:t>
            </w:r>
          </w:p>
        </w:tc>
        <w:tc>
          <w:tcPr>
            <w:tcW w:w="1027" w:type="pc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w:t>
            </w:r>
          </w:p>
        </w:tc>
      </w:tr>
    </w:tbl>
    <w:p>
      <w:pPr>
        <w:pStyle w:val="37"/>
        <w:rPr>
          <w:rFonts w:ascii="Times New Roman" w:hAnsi="Times New Roman" w:cs="Times New Roman"/>
        </w:rPr>
      </w:pPr>
      <w:bookmarkStart w:id="196" w:name="_Ref15623101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bookmarkEnd w:id="196"/>
      <w:r>
        <w:rPr>
          <w:rFonts w:ascii="Times New Roman" w:hAnsi="Times New Roman" w:cs="Times New Roman"/>
        </w:rPr>
        <w:t xml:space="preserve">  宣探1井站周边3km范围内土地利用类型表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9"/>
        <w:gridCol w:w="2468"/>
        <w:gridCol w:w="2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7" w:type="pct"/>
            <w:shd w:val="clear" w:color="auto" w:fill="auto"/>
          </w:tcPr>
          <w:p>
            <w:pPr>
              <w:pStyle w:val="39"/>
              <w:rPr>
                <w:rFonts w:ascii="Times New Roman" w:hAnsi="Times New Roman"/>
              </w:rPr>
            </w:pPr>
            <w:r>
              <w:rPr>
                <w:rFonts w:ascii="Times New Roman" w:hAnsi="Times New Roman"/>
              </w:rPr>
              <w:t>周边3km范围内土地利用类型</w:t>
            </w:r>
          </w:p>
        </w:tc>
        <w:tc>
          <w:tcPr>
            <w:tcW w:w="1448" w:type="pct"/>
            <w:shd w:val="clear" w:color="auto" w:fill="auto"/>
          </w:tcPr>
          <w:p>
            <w:pPr>
              <w:pStyle w:val="39"/>
              <w:rPr>
                <w:rFonts w:ascii="Times New Roman" w:hAnsi="Times New Roman"/>
              </w:rPr>
            </w:pPr>
            <w:r>
              <w:rPr>
                <w:rFonts w:ascii="Times New Roman" w:hAnsi="Times New Roman"/>
              </w:rPr>
              <w:t>面积km</w:t>
            </w:r>
            <w:r>
              <w:rPr>
                <w:rFonts w:ascii="Times New Roman" w:hAnsi="Times New Roman"/>
                <w:vertAlign w:val="superscript"/>
              </w:rPr>
              <w:t>2</w:t>
            </w:r>
          </w:p>
        </w:tc>
        <w:tc>
          <w:tcPr>
            <w:tcW w:w="1675" w:type="pct"/>
          </w:tcPr>
          <w:p>
            <w:pPr>
              <w:pStyle w:val="39"/>
              <w:rPr>
                <w:rFonts w:ascii="Times New Roman" w:hAnsi="Times New Roman"/>
              </w:rPr>
            </w:pPr>
            <w:r>
              <w:rPr>
                <w:rFonts w:ascii="Times New Roman" w:hAnsi="Times New Roman"/>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7" w:type="pct"/>
            <w:shd w:val="clear" w:color="auto" w:fill="auto"/>
          </w:tcPr>
          <w:p>
            <w:pPr>
              <w:pStyle w:val="39"/>
              <w:rPr>
                <w:rFonts w:ascii="Times New Roman" w:hAnsi="Times New Roman"/>
              </w:rPr>
            </w:pPr>
            <w:r>
              <w:rPr>
                <w:rFonts w:ascii="Times New Roman" w:hAnsi="Times New Roman"/>
              </w:rPr>
              <w:t>林地/农田</w:t>
            </w:r>
          </w:p>
        </w:tc>
        <w:tc>
          <w:tcPr>
            <w:tcW w:w="1448" w:type="pct"/>
            <w:shd w:val="clear" w:color="auto" w:fill="auto"/>
          </w:tcPr>
          <w:p>
            <w:pPr>
              <w:pStyle w:val="39"/>
              <w:rPr>
                <w:rFonts w:ascii="Times New Roman" w:hAnsi="Times New Roman"/>
              </w:rPr>
            </w:pPr>
            <w:r>
              <w:rPr>
                <w:rFonts w:ascii="Times New Roman" w:hAnsi="Times New Roman"/>
              </w:rPr>
              <w:t>27.47km</w:t>
            </w:r>
            <w:r>
              <w:rPr>
                <w:rFonts w:ascii="Times New Roman" w:hAnsi="Times New Roman"/>
                <w:vertAlign w:val="superscript"/>
              </w:rPr>
              <w:t>2</w:t>
            </w:r>
          </w:p>
        </w:tc>
        <w:tc>
          <w:tcPr>
            <w:tcW w:w="1675" w:type="pct"/>
          </w:tcPr>
          <w:p>
            <w:pPr>
              <w:pStyle w:val="39"/>
              <w:rPr>
                <w:rFonts w:ascii="Times New Roman" w:hAnsi="Times New Roman"/>
              </w:rPr>
            </w:pPr>
            <w:r>
              <w:rPr>
                <w:rFonts w:ascii="Times New Roman" w:hAnsi="Times New Roman"/>
              </w:rPr>
              <w:t>97.5%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7" w:type="pct"/>
            <w:shd w:val="clear" w:color="auto" w:fill="auto"/>
          </w:tcPr>
          <w:p>
            <w:pPr>
              <w:pStyle w:val="39"/>
              <w:rPr>
                <w:rFonts w:ascii="Times New Roman" w:hAnsi="Times New Roman"/>
              </w:rPr>
            </w:pPr>
            <w:r>
              <w:rPr>
                <w:rFonts w:ascii="Times New Roman" w:hAnsi="Times New Roman"/>
              </w:rPr>
              <w:t>农村宅基地</w:t>
            </w:r>
          </w:p>
        </w:tc>
        <w:tc>
          <w:tcPr>
            <w:tcW w:w="1448" w:type="pct"/>
            <w:shd w:val="clear" w:color="auto" w:fill="auto"/>
          </w:tcPr>
          <w:p>
            <w:pPr>
              <w:pStyle w:val="39"/>
              <w:rPr>
                <w:rFonts w:ascii="Times New Roman" w:hAnsi="Times New Roman"/>
              </w:rPr>
            </w:pPr>
            <w:r>
              <w:rPr>
                <w:rFonts w:ascii="Times New Roman" w:hAnsi="Times New Roman"/>
              </w:rPr>
              <w:t>0.7m</w:t>
            </w:r>
            <w:r>
              <w:rPr>
                <w:rFonts w:ascii="Times New Roman" w:hAnsi="Times New Roman"/>
                <w:vertAlign w:val="superscript"/>
              </w:rPr>
              <w:t>2</w:t>
            </w:r>
          </w:p>
        </w:tc>
        <w:tc>
          <w:tcPr>
            <w:tcW w:w="1675" w:type="pct"/>
          </w:tcPr>
          <w:p>
            <w:pPr>
              <w:pStyle w:val="39"/>
              <w:rPr>
                <w:rFonts w:ascii="Times New Roman" w:hAnsi="Times New Roman"/>
              </w:rPr>
            </w:pPr>
            <w:r>
              <w:rPr>
                <w:rFonts w:ascii="Times New Roman" w:hAnsi="Times New Roma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7" w:type="pct"/>
            <w:shd w:val="clear" w:color="auto" w:fill="auto"/>
          </w:tcPr>
          <w:p>
            <w:pPr>
              <w:pStyle w:val="39"/>
              <w:rPr>
                <w:rFonts w:ascii="Times New Roman" w:hAnsi="Times New Roman"/>
              </w:rPr>
            </w:pPr>
            <w:r>
              <w:rPr>
                <w:rFonts w:ascii="Times New Roman" w:hAnsi="Times New Roman"/>
              </w:rPr>
              <w:t>总计</w:t>
            </w:r>
          </w:p>
        </w:tc>
        <w:tc>
          <w:tcPr>
            <w:tcW w:w="1448" w:type="pct"/>
            <w:shd w:val="clear" w:color="auto" w:fill="auto"/>
          </w:tcPr>
          <w:p>
            <w:pPr>
              <w:pStyle w:val="39"/>
              <w:rPr>
                <w:rFonts w:ascii="Times New Roman" w:hAnsi="Times New Roman"/>
              </w:rPr>
            </w:pPr>
            <w:r>
              <w:rPr>
                <w:rFonts w:ascii="Times New Roman" w:hAnsi="Times New Roman"/>
              </w:rPr>
              <w:t>28.17km</w:t>
            </w:r>
            <w:r>
              <w:rPr>
                <w:rFonts w:ascii="Times New Roman" w:hAnsi="Times New Roman"/>
                <w:vertAlign w:val="superscript"/>
              </w:rPr>
              <w:t>2</w:t>
            </w:r>
          </w:p>
        </w:tc>
        <w:tc>
          <w:tcPr>
            <w:tcW w:w="1675" w:type="pct"/>
          </w:tcPr>
          <w:p>
            <w:pPr>
              <w:pStyle w:val="39"/>
              <w:rPr>
                <w:rFonts w:ascii="Times New Roman" w:hAnsi="Times New Roman"/>
              </w:rPr>
            </w:pPr>
            <w:r>
              <w:rPr>
                <w:rFonts w:ascii="Times New Roman" w:hAnsi="Times New Roman"/>
              </w:rPr>
              <w:t>100%</w:t>
            </w:r>
          </w:p>
        </w:tc>
      </w:tr>
    </w:tbl>
    <w:p>
      <w:pPr>
        <w:pStyle w:val="37"/>
        <w:rPr>
          <w:rFonts w:ascii="Times New Roman" w:hAnsi="Times New Roman" w:cs="Times New Roman"/>
        </w:rPr>
      </w:pPr>
      <w:bookmarkStart w:id="197" w:name="_Ref15623102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bookmarkEnd w:id="197"/>
      <w:r>
        <w:rPr>
          <w:rFonts w:ascii="Times New Roman" w:hAnsi="Times New Roman" w:cs="Times New Roman"/>
        </w:rPr>
        <w:t xml:space="preserve">  宣兴1井站周边3km范围内土地利用类型表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9"/>
        <w:gridCol w:w="2470"/>
        <w:gridCol w:w="2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7" w:type="pct"/>
            <w:shd w:val="clear" w:color="auto" w:fill="auto"/>
          </w:tcPr>
          <w:p>
            <w:pPr>
              <w:pStyle w:val="39"/>
              <w:rPr>
                <w:rFonts w:ascii="Times New Roman" w:hAnsi="Times New Roman"/>
              </w:rPr>
            </w:pPr>
            <w:bookmarkStart w:id="198" w:name="_Hlk12541479"/>
            <w:r>
              <w:rPr>
                <w:rFonts w:ascii="Times New Roman" w:hAnsi="Times New Roman"/>
              </w:rPr>
              <w:t>周边3km范围内土地利用类型</w:t>
            </w:r>
          </w:p>
        </w:tc>
        <w:tc>
          <w:tcPr>
            <w:tcW w:w="1449" w:type="pct"/>
            <w:shd w:val="clear" w:color="auto" w:fill="auto"/>
          </w:tcPr>
          <w:p>
            <w:pPr>
              <w:pStyle w:val="39"/>
              <w:rPr>
                <w:rFonts w:ascii="Times New Roman" w:hAnsi="Times New Roman"/>
              </w:rPr>
            </w:pPr>
            <w:r>
              <w:rPr>
                <w:rFonts w:ascii="Times New Roman" w:hAnsi="Times New Roman"/>
              </w:rPr>
              <w:t>面积km</w:t>
            </w:r>
            <w:r>
              <w:rPr>
                <w:rFonts w:ascii="Times New Roman" w:hAnsi="Times New Roman"/>
                <w:vertAlign w:val="superscript"/>
              </w:rPr>
              <w:t>2</w:t>
            </w:r>
          </w:p>
        </w:tc>
        <w:tc>
          <w:tcPr>
            <w:tcW w:w="1674" w:type="pct"/>
          </w:tcPr>
          <w:p>
            <w:pPr>
              <w:pStyle w:val="39"/>
              <w:rPr>
                <w:rFonts w:ascii="Times New Roman" w:hAnsi="Times New Roman"/>
              </w:rPr>
            </w:pPr>
            <w:r>
              <w:rPr>
                <w:rFonts w:ascii="Times New Roman" w:hAnsi="Times New Roman"/>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7" w:type="pct"/>
            <w:shd w:val="clear" w:color="auto" w:fill="auto"/>
          </w:tcPr>
          <w:p>
            <w:pPr>
              <w:pStyle w:val="39"/>
              <w:rPr>
                <w:rFonts w:ascii="Times New Roman" w:hAnsi="Times New Roman"/>
              </w:rPr>
            </w:pPr>
            <w:r>
              <w:rPr>
                <w:rFonts w:ascii="Times New Roman" w:hAnsi="Times New Roman"/>
              </w:rPr>
              <w:t>林地/农田</w:t>
            </w:r>
          </w:p>
        </w:tc>
        <w:tc>
          <w:tcPr>
            <w:tcW w:w="1449" w:type="pct"/>
            <w:shd w:val="clear" w:color="auto" w:fill="auto"/>
          </w:tcPr>
          <w:p>
            <w:pPr>
              <w:pStyle w:val="39"/>
              <w:rPr>
                <w:rFonts w:ascii="Times New Roman" w:hAnsi="Times New Roman"/>
              </w:rPr>
            </w:pPr>
            <w:r>
              <w:rPr>
                <w:rFonts w:ascii="Times New Roman" w:hAnsi="Times New Roman"/>
              </w:rPr>
              <w:t>27.32km</w:t>
            </w:r>
            <w:r>
              <w:rPr>
                <w:rFonts w:ascii="Times New Roman" w:hAnsi="Times New Roman"/>
                <w:vertAlign w:val="superscript"/>
              </w:rPr>
              <w:t>2</w:t>
            </w:r>
          </w:p>
        </w:tc>
        <w:tc>
          <w:tcPr>
            <w:tcW w:w="1674" w:type="pct"/>
          </w:tcPr>
          <w:p>
            <w:pPr>
              <w:pStyle w:val="39"/>
              <w:rPr>
                <w:rFonts w:ascii="Times New Roman" w:hAnsi="Times New Roman"/>
              </w:rPr>
            </w:pPr>
            <w:r>
              <w:rPr>
                <w:rFonts w:ascii="Times New Roman" w:hAnsi="Times New Roman"/>
              </w:rPr>
              <w:t>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7" w:type="pct"/>
            <w:shd w:val="clear" w:color="auto" w:fill="auto"/>
          </w:tcPr>
          <w:p>
            <w:pPr>
              <w:pStyle w:val="39"/>
              <w:rPr>
                <w:rFonts w:ascii="Times New Roman" w:hAnsi="Times New Roman"/>
              </w:rPr>
            </w:pPr>
            <w:r>
              <w:rPr>
                <w:rFonts w:ascii="Times New Roman" w:hAnsi="Times New Roman"/>
              </w:rPr>
              <w:t>农村宅基地/道路用地</w:t>
            </w:r>
          </w:p>
        </w:tc>
        <w:tc>
          <w:tcPr>
            <w:tcW w:w="1449" w:type="pct"/>
            <w:shd w:val="clear" w:color="auto" w:fill="auto"/>
          </w:tcPr>
          <w:p>
            <w:pPr>
              <w:pStyle w:val="39"/>
              <w:rPr>
                <w:rFonts w:ascii="Times New Roman" w:hAnsi="Times New Roman"/>
              </w:rPr>
            </w:pPr>
            <w:r>
              <w:rPr>
                <w:rFonts w:ascii="Times New Roman" w:hAnsi="Times New Roman"/>
              </w:rPr>
              <w:t>0.85km</w:t>
            </w:r>
            <w:r>
              <w:rPr>
                <w:rFonts w:ascii="Times New Roman" w:hAnsi="Times New Roman"/>
                <w:vertAlign w:val="superscript"/>
              </w:rPr>
              <w:t>2</w:t>
            </w:r>
          </w:p>
        </w:tc>
        <w:tc>
          <w:tcPr>
            <w:tcW w:w="1674" w:type="pct"/>
          </w:tcPr>
          <w:p>
            <w:pPr>
              <w:pStyle w:val="39"/>
              <w:rPr>
                <w:rFonts w:ascii="Times New Roman" w:hAnsi="Times New Roman"/>
              </w:rPr>
            </w:pPr>
            <w:r>
              <w:rPr>
                <w:rFonts w:ascii="Times New Roman" w:hAnsi="Times New Roma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7" w:type="pct"/>
            <w:shd w:val="clear" w:color="auto" w:fill="auto"/>
          </w:tcPr>
          <w:p>
            <w:pPr>
              <w:pStyle w:val="39"/>
              <w:rPr>
                <w:rFonts w:ascii="Times New Roman" w:hAnsi="Times New Roman"/>
              </w:rPr>
            </w:pPr>
            <w:r>
              <w:rPr>
                <w:rFonts w:ascii="Times New Roman" w:hAnsi="Times New Roman"/>
              </w:rPr>
              <w:t>总计</w:t>
            </w:r>
          </w:p>
        </w:tc>
        <w:tc>
          <w:tcPr>
            <w:tcW w:w="1449" w:type="pct"/>
            <w:shd w:val="clear" w:color="auto" w:fill="auto"/>
          </w:tcPr>
          <w:p>
            <w:pPr>
              <w:pStyle w:val="39"/>
              <w:rPr>
                <w:rFonts w:ascii="Times New Roman" w:hAnsi="Times New Roman"/>
              </w:rPr>
            </w:pPr>
            <w:r>
              <w:rPr>
                <w:rFonts w:ascii="Times New Roman" w:hAnsi="Times New Roman"/>
              </w:rPr>
              <w:t>28.17km</w:t>
            </w:r>
            <w:r>
              <w:rPr>
                <w:rFonts w:ascii="Times New Roman" w:hAnsi="Times New Roman"/>
                <w:vertAlign w:val="superscript"/>
              </w:rPr>
              <w:t>2</w:t>
            </w:r>
          </w:p>
        </w:tc>
        <w:tc>
          <w:tcPr>
            <w:tcW w:w="1674" w:type="pct"/>
          </w:tcPr>
          <w:p>
            <w:pPr>
              <w:pStyle w:val="39"/>
              <w:rPr>
                <w:rFonts w:ascii="Times New Roman" w:hAnsi="Times New Roman"/>
              </w:rPr>
            </w:pPr>
            <w:r>
              <w:rPr>
                <w:rFonts w:ascii="Times New Roman" w:hAnsi="Times New Roman"/>
              </w:rPr>
              <w:t>100%</w:t>
            </w:r>
          </w:p>
        </w:tc>
      </w:tr>
      <w:bookmarkEnd w:id="198"/>
    </w:tbl>
    <w:p>
      <w:pPr>
        <w:ind w:firstLine="480"/>
        <w:rPr>
          <w:rFonts w:ascii="Times New Roman" w:hAnsi="Times New Roman"/>
        </w:rPr>
      </w:pPr>
      <w:r>
        <w:rPr>
          <w:rFonts w:ascii="Times New Roman" w:hAnsi="Times New Roman"/>
        </w:rPr>
        <w:t>（3）预测内容</w:t>
      </w:r>
    </w:p>
    <w:p>
      <w:pPr>
        <w:ind w:firstLine="480"/>
        <w:rPr>
          <w:rFonts w:ascii="Times New Roman" w:hAnsi="Times New Roman"/>
        </w:rPr>
      </w:pPr>
      <w:r>
        <w:rPr>
          <w:rFonts w:ascii="Times New Roman" w:hAnsi="Times New Roman"/>
        </w:rPr>
        <w:t>正常工况下本项目污染源下风向不同距离处的落地浓度。</w:t>
      </w:r>
    </w:p>
    <w:p>
      <w:pPr>
        <w:ind w:firstLine="480"/>
        <w:rPr>
          <w:rFonts w:ascii="Times New Roman" w:hAnsi="Times New Roman"/>
        </w:rPr>
      </w:pPr>
      <w:r>
        <w:rPr>
          <w:rFonts w:ascii="Times New Roman" w:hAnsi="Times New Roman"/>
        </w:rPr>
        <w:t>（4）计算参数</w:t>
      </w:r>
    </w:p>
    <w:p>
      <w:pPr>
        <w:ind w:firstLine="480"/>
        <w:rPr>
          <w:rFonts w:ascii="Times New Roman" w:hAnsi="Times New Roman"/>
        </w:rPr>
      </w:pPr>
      <w:r>
        <w:rPr>
          <w:rFonts w:ascii="Times New Roman" w:hAnsi="Times New Roman"/>
        </w:rPr>
        <w:t>本项目点源参数见</w:t>
      </w:r>
      <w:r>
        <w:rPr>
          <w:rFonts w:ascii="Times New Roman" w:hAnsi="Times New Roman"/>
        </w:rPr>
        <w:fldChar w:fldCharType="begin"/>
      </w:r>
      <w:r>
        <w:rPr>
          <w:rFonts w:ascii="Times New Roman" w:hAnsi="Times New Roman"/>
        </w:rPr>
        <w:instrText xml:space="preserve"> REF _Ref156231205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4</w:t>
      </w:r>
      <w:r>
        <w:rPr>
          <w:rFonts w:ascii="Times New Roman" w:hAnsi="Times New Roman"/>
        </w:rPr>
        <w:fldChar w:fldCharType="end"/>
      </w:r>
      <w:r>
        <w:rPr>
          <w:rFonts w:ascii="Times New Roman" w:hAnsi="Times New Roman"/>
        </w:rPr>
        <w:t>，面源参数见</w:t>
      </w:r>
      <w:r>
        <w:rPr>
          <w:rFonts w:ascii="Times New Roman" w:hAnsi="Times New Roman"/>
        </w:rPr>
        <w:fldChar w:fldCharType="begin"/>
      </w:r>
      <w:r>
        <w:rPr>
          <w:rFonts w:ascii="Times New Roman" w:hAnsi="Times New Roman"/>
        </w:rPr>
        <w:instrText xml:space="preserve"> REF _Ref156231222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5</w:t>
      </w:r>
      <w:r>
        <w:rPr>
          <w:rFonts w:ascii="Times New Roman" w:hAnsi="Times New Roman"/>
        </w:rPr>
        <w:fldChar w:fldCharType="end"/>
      </w:r>
      <w:r>
        <w:rPr>
          <w:rFonts w:ascii="Times New Roman" w:hAnsi="Times New Roman"/>
        </w:rPr>
        <w:t>。</w:t>
      </w:r>
    </w:p>
    <w:p>
      <w:pPr>
        <w:ind w:firstLine="480"/>
        <w:rPr>
          <w:rFonts w:ascii="Times New Roman" w:hAnsi="Times New Roman"/>
        </w:rPr>
        <w:sectPr>
          <w:pgSz w:w="11906" w:h="16838"/>
          <w:pgMar w:top="1440" w:right="1800" w:bottom="1440" w:left="1800" w:header="851" w:footer="992" w:gutter="0"/>
          <w:cols w:space="425" w:num="1"/>
          <w:docGrid w:type="lines" w:linePitch="312" w:charSpace="0"/>
        </w:sectPr>
      </w:pPr>
    </w:p>
    <w:p>
      <w:pPr>
        <w:pStyle w:val="37"/>
        <w:rPr>
          <w:rFonts w:ascii="Times New Roman" w:hAnsi="Times New Roman" w:cs="Times New Roman"/>
        </w:rPr>
      </w:pPr>
      <w:bookmarkStart w:id="199" w:name="_Ref156231205"/>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bookmarkEnd w:id="199"/>
      <w:r>
        <w:rPr>
          <w:rFonts w:ascii="Times New Roman" w:hAnsi="Times New Roman" w:cs="Times New Roman"/>
        </w:rPr>
        <w:t xml:space="preserve">  本项目新增大气污染源（点源）参数一览表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5"/>
        <w:gridCol w:w="1349"/>
        <w:gridCol w:w="1128"/>
        <w:gridCol w:w="1233"/>
        <w:gridCol w:w="1080"/>
        <w:gridCol w:w="1080"/>
        <w:gridCol w:w="1080"/>
        <w:gridCol w:w="1080"/>
        <w:gridCol w:w="1094"/>
        <w:gridCol w:w="1077"/>
        <w:gridCol w:w="1055"/>
        <w:gridCol w:w="1072"/>
        <w:gridCol w:w="1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277" w:type="pct"/>
            <w:vMerge w:val="restart"/>
            <w:vAlign w:val="center"/>
          </w:tcPr>
          <w:p>
            <w:pPr>
              <w:pStyle w:val="39"/>
              <w:rPr>
                <w:rFonts w:ascii="Times New Roman" w:hAnsi="Times New Roman"/>
              </w:rPr>
            </w:pPr>
            <w:bookmarkStart w:id="200" w:name="_Hlk44678426"/>
            <w:r>
              <w:rPr>
                <w:rFonts w:ascii="Times New Roman" w:hAnsi="Times New Roman"/>
              </w:rPr>
              <w:t>编号</w:t>
            </w:r>
          </w:p>
        </w:tc>
        <w:tc>
          <w:tcPr>
            <w:tcW w:w="476" w:type="pct"/>
            <w:vMerge w:val="restart"/>
            <w:vAlign w:val="center"/>
          </w:tcPr>
          <w:p>
            <w:pPr>
              <w:pStyle w:val="39"/>
              <w:rPr>
                <w:rFonts w:ascii="Times New Roman" w:hAnsi="Times New Roman"/>
              </w:rPr>
            </w:pPr>
            <w:r>
              <w:rPr>
                <w:rFonts w:ascii="Times New Roman" w:hAnsi="Times New Roman"/>
              </w:rPr>
              <w:t>名称</w:t>
            </w:r>
          </w:p>
        </w:tc>
        <w:tc>
          <w:tcPr>
            <w:tcW w:w="833" w:type="pct"/>
            <w:gridSpan w:val="2"/>
            <w:vAlign w:val="center"/>
          </w:tcPr>
          <w:p>
            <w:pPr>
              <w:pStyle w:val="39"/>
              <w:rPr>
                <w:rFonts w:ascii="Times New Roman" w:hAnsi="Times New Roman"/>
              </w:rPr>
            </w:pPr>
            <w:r>
              <w:rPr>
                <w:rFonts w:ascii="Times New Roman" w:hAnsi="Times New Roman"/>
              </w:rPr>
              <w:t>排气筒底部中心坐标/m</w:t>
            </w:r>
          </w:p>
        </w:tc>
        <w:tc>
          <w:tcPr>
            <w:tcW w:w="381" w:type="pct"/>
            <w:vMerge w:val="restart"/>
            <w:vAlign w:val="center"/>
          </w:tcPr>
          <w:p>
            <w:pPr>
              <w:pStyle w:val="39"/>
              <w:rPr>
                <w:rFonts w:ascii="Times New Roman" w:hAnsi="Times New Roman"/>
              </w:rPr>
            </w:pPr>
            <w:r>
              <w:rPr>
                <w:rFonts w:ascii="Times New Roman" w:hAnsi="Times New Roman"/>
              </w:rPr>
              <w:t>排气筒底部海拔高度/m</w:t>
            </w:r>
          </w:p>
        </w:tc>
        <w:tc>
          <w:tcPr>
            <w:tcW w:w="381" w:type="pct"/>
            <w:vMerge w:val="restart"/>
            <w:vAlign w:val="center"/>
          </w:tcPr>
          <w:p>
            <w:pPr>
              <w:pStyle w:val="39"/>
              <w:rPr>
                <w:rFonts w:ascii="Times New Roman" w:hAnsi="Times New Roman"/>
              </w:rPr>
            </w:pPr>
            <w:r>
              <w:rPr>
                <w:rFonts w:ascii="Times New Roman" w:hAnsi="Times New Roman"/>
              </w:rPr>
              <w:t>排气筒高度/m</w:t>
            </w:r>
          </w:p>
        </w:tc>
        <w:tc>
          <w:tcPr>
            <w:tcW w:w="381" w:type="pct"/>
            <w:vMerge w:val="restart"/>
            <w:vAlign w:val="center"/>
          </w:tcPr>
          <w:p>
            <w:pPr>
              <w:pStyle w:val="39"/>
              <w:rPr>
                <w:rFonts w:ascii="Times New Roman" w:hAnsi="Times New Roman"/>
              </w:rPr>
            </w:pPr>
            <w:r>
              <w:rPr>
                <w:rFonts w:ascii="Times New Roman" w:hAnsi="Times New Roman"/>
              </w:rPr>
              <w:t>排气筒出口内径/m</w:t>
            </w:r>
          </w:p>
        </w:tc>
        <w:tc>
          <w:tcPr>
            <w:tcW w:w="381" w:type="pct"/>
            <w:vMerge w:val="restart"/>
            <w:vAlign w:val="center"/>
          </w:tcPr>
          <w:p>
            <w:pPr>
              <w:pStyle w:val="39"/>
              <w:rPr>
                <w:rFonts w:ascii="Times New Roman" w:hAnsi="Times New Roman"/>
              </w:rPr>
            </w:pPr>
            <w:r>
              <w:rPr>
                <w:rFonts w:ascii="Times New Roman" w:hAnsi="Times New Roman"/>
              </w:rPr>
              <w:t>烟气流速（m/s）</w:t>
            </w:r>
          </w:p>
        </w:tc>
        <w:tc>
          <w:tcPr>
            <w:tcW w:w="386" w:type="pct"/>
            <w:vMerge w:val="restart"/>
            <w:vAlign w:val="center"/>
          </w:tcPr>
          <w:p>
            <w:pPr>
              <w:pStyle w:val="39"/>
              <w:rPr>
                <w:rFonts w:ascii="Times New Roman" w:hAnsi="Times New Roman"/>
              </w:rPr>
            </w:pPr>
            <w:r>
              <w:rPr>
                <w:rFonts w:ascii="Times New Roman" w:hAnsi="Times New Roman"/>
              </w:rPr>
              <w:t>烟气温度/℃</w:t>
            </w:r>
          </w:p>
        </w:tc>
        <w:tc>
          <w:tcPr>
            <w:tcW w:w="380" w:type="pct"/>
            <w:vMerge w:val="restart"/>
            <w:vAlign w:val="center"/>
          </w:tcPr>
          <w:p>
            <w:pPr>
              <w:pStyle w:val="39"/>
              <w:rPr>
                <w:rFonts w:ascii="Times New Roman" w:hAnsi="Times New Roman"/>
              </w:rPr>
            </w:pPr>
            <w:r>
              <w:rPr>
                <w:rFonts w:ascii="Times New Roman" w:hAnsi="Times New Roman"/>
              </w:rPr>
              <w:t>年排放小时数</w:t>
            </w:r>
          </w:p>
        </w:tc>
        <w:tc>
          <w:tcPr>
            <w:tcW w:w="372" w:type="pct"/>
            <w:vMerge w:val="restart"/>
            <w:vAlign w:val="center"/>
          </w:tcPr>
          <w:p>
            <w:pPr>
              <w:pStyle w:val="39"/>
              <w:rPr>
                <w:rFonts w:ascii="Times New Roman" w:hAnsi="Times New Roman"/>
              </w:rPr>
            </w:pPr>
            <w:r>
              <w:rPr>
                <w:rFonts w:ascii="Times New Roman" w:hAnsi="Times New Roman"/>
              </w:rPr>
              <w:t>排放工况</w:t>
            </w:r>
          </w:p>
        </w:tc>
        <w:tc>
          <w:tcPr>
            <w:tcW w:w="378" w:type="pct"/>
            <w:vMerge w:val="restart"/>
            <w:vAlign w:val="center"/>
          </w:tcPr>
          <w:p>
            <w:pPr>
              <w:pStyle w:val="39"/>
              <w:rPr>
                <w:rFonts w:ascii="Times New Roman" w:hAnsi="Times New Roman"/>
              </w:rPr>
            </w:pPr>
            <w:r>
              <w:rPr>
                <w:rFonts w:ascii="Times New Roman" w:hAnsi="Times New Roman"/>
              </w:rPr>
              <w:t>污染物名称</w:t>
            </w:r>
          </w:p>
        </w:tc>
        <w:tc>
          <w:tcPr>
            <w:tcW w:w="374" w:type="pct"/>
            <w:vMerge w:val="restart"/>
          </w:tcPr>
          <w:p>
            <w:pPr>
              <w:pStyle w:val="39"/>
              <w:rPr>
                <w:rFonts w:ascii="Times New Roman" w:hAnsi="Times New Roman"/>
              </w:rPr>
            </w:pPr>
            <w:r>
              <w:rPr>
                <w:rFonts w:ascii="Times New Roman" w:hAnsi="Times New Roman"/>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7" w:type="pct"/>
            <w:vMerge w:val="continue"/>
            <w:vAlign w:val="center"/>
          </w:tcPr>
          <w:p>
            <w:pPr>
              <w:pStyle w:val="39"/>
              <w:rPr>
                <w:rFonts w:ascii="Times New Roman" w:hAnsi="Times New Roman"/>
              </w:rPr>
            </w:pPr>
          </w:p>
        </w:tc>
        <w:tc>
          <w:tcPr>
            <w:tcW w:w="476" w:type="pct"/>
            <w:vMerge w:val="continue"/>
            <w:vAlign w:val="center"/>
          </w:tcPr>
          <w:p>
            <w:pPr>
              <w:pStyle w:val="39"/>
              <w:rPr>
                <w:rFonts w:ascii="Times New Roman" w:hAnsi="Times New Roman"/>
              </w:rPr>
            </w:pPr>
          </w:p>
        </w:tc>
        <w:tc>
          <w:tcPr>
            <w:tcW w:w="398" w:type="pct"/>
            <w:vAlign w:val="center"/>
          </w:tcPr>
          <w:p>
            <w:pPr>
              <w:pStyle w:val="39"/>
              <w:rPr>
                <w:rFonts w:ascii="Times New Roman" w:hAnsi="Times New Roman"/>
              </w:rPr>
            </w:pPr>
            <w:r>
              <w:rPr>
                <w:rFonts w:ascii="Times New Roman" w:hAnsi="Times New Roman"/>
              </w:rPr>
              <w:t>X</w:t>
            </w:r>
          </w:p>
        </w:tc>
        <w:tc>
          <w:tcPr>
            <w:tcW w:w="435" w:type="pct"/>
            <w:vAlign w:val="center"/>
          </w:tcPr>
          <w:p>
            <w:pPr>
              <w:pStyle w:val="39"/>
              <w:rPr>
                <w:rFonts w:ascii="Times New Roman" w:hAnsi="Times New Roman"/>
              </w:rPr>
            </w:pPr>
            <w:r>
              <w:rPr>
                <w:rFonts w:ascii="Times New Roman" w:hAnsi="Times New Roman"/>
              </w:rPr>
              <w:t>Y</w:t>
            </w:r>
          </w:p>
        </w:tc>
        <w:tc>
          <w:tcPr>
            <w:tcW w:w="381"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6" w:type="pct"/>
            <w:vMerge w:val="continue"/>
            <w:vAlign w:val="center"/>
          </w:tcPr>
          <w:p>
            <w:pPr>
              <w:pStyle w:val="39"/>
              <w:rPr>
                <w:rFonts w:ascii="Times New Roman" w:hAnsi="Times New Roman"/>
              </w:rPr>
            </w:pPr>
          </w:p>
        </w:tc>
        <w:tc>
          <w:tcPr>
            <w:tcW w:w="380" w:type="pct"/>
            <w:vMerge w:val="continue"/>
            <w:vAlign w:val="center"/>
          </w:tcPr>
          <w:p>
            <w:pPr>
              <w:pStyle w:val="39"/>
              <w:rPr>
                <w:rFonts w:ascii="Times New Roman" w:hAnsi="Times New Roman"/>
              </w:rPr>
            </w:pPr>
          </w:p>
        </w:tc>
        <w:tc>
          <w:tcPr>
            <w:tcW w:w="372" w:type="pct"/>
            <w:vMerge w:val="continue"/>
            <w:vAlign w:val="center"/>
          </w:tcPr>
          <w:p>
            <w:pPr>
              <w:pStyle w:val="39"/>
              <w:rPr>
                <w:rFonts w:ascii="Times New Roman" w:hAnsi="Times New Roman"/>
              </w:rPr>
            </w:pPr>
          </w:p>
        </w:tc>
        <w:tc>
          <w:tcPr>
            <w:tcW w:w="378" w:type="pct"/>
            <w:vMerge w:val="continue"/>
            <w:vAlign w:val="center"/>
          </w:tcPr>
          <w:p>
            <w:pPr>
              <w:pStyle w:val="39"/>
              <w:rPr>
                <w:rFonts w:ascii="Times New Roman" w:hAnsi="Times New Roman"/>
              </w:rPr>
            </w:pPr>
          </w:p>
        </w:tc>
        <w:tc>
          <w:tcPr>
            <w:tcW w:w="374" w:type="pct"/>
            <w:vMerge w:val="continue"/>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77" w:type="pct"/>
            <w:vMerge w:val="restart"/>
            <w:vAlign w:val="center"/>
          </w:tcPr>
          <w:p>
            <w:pPr>
              <w:pStyle w:val="39"/>
              <w:rPr>
                <w:rFonts w:ascii="Times New Roman" w:hAnsi="Times New Roman"/>
              </w:rPr>
            </w:pPr>
            <w:r>
              <w:rPr>
                <w:rFonts w:ascii="Times New Roman" w:hAnsi="Times New Roman"/>
              </w:rPr>
              <w:t>1</w:t>
            </w:r>
          </w:p>
        </w:tc>
        <w:tc>
          <w:tcPr>
            <w:tcW w:w="476" w:type="pct"/>
            <w:vMerge w:val="restart"/>
            <w:vAlign w:val="center"/>
          </w:tcPr>
          <w:p>
            <w:pPr>
              <w:pStyle w:val="39"/>
              <w:rPr>
                <w:rFonts w:ascii="Times New Roman" w:hAnsi="Times New Roman"/>
              </w:rPr>
            </w:pPr>
            <w:r>
              <w:rPr>
                <w:rFonts w:ascii="Times New Roman" w:hAnsi="Times New Roman"/>
              </w:rPr>
              <w:t>宣探1井站水套加热炉排气筒</w:t>
            </w:r>
          </w:p>
        </w:tc>
        <w:tc>
          <w:tcPr>
            <w:tcW w:w="398" w:type="pct"/>
            <w:vMerge w:val="restart"/>
            <w:vAlign w:val="center"/>
          </w:tcPr>
          <w:p>
            <w:pPr>
              <w:pStyle w:val="39"/>
              <w:rPr>
                <w:rFonts w:ascii="Times New Roman" w:hAnsi="Times New Roman"/>
              </w:rPr>
            </w:pPr>
            <w:r>
              <w:rPr>
                <w:rFonts w:ascii="Times New Roman" w:hAnsi="Times New Roman"/>
              </w:rPr>
              <w:t>770415.32</w:t>
            </w:r>
          </w:p>
        </w:tc>
        <w:tc>
          <w:tcPr>
            <w:tcW w:w="435" w:type="pct"/>
            <w:vMerge w:val="restart"/>
            <w:vAlign w:val="center"/>
          </w:tcPr>
          <w:p>
            <w:pPr>
              <w:pStyle w:val="39"/>
              <w:rPr>
                <w:rFonts w:ascii="Times New Roman" w:hAnsi="Times New Roman"/>
              </w:rPr>
            </w:pPr>
            <w:r>
              <w:rPr>
                <w:rFonts w:ascii="Times New Roman" w:hAnsi="Times New Roman"/>
              </w:rPr>
              <w:t>3481371.3</w:t>
            </w:r>
          </w:p>
        </w:tc>
        <w:tc>
          <w:tcPr>
            <w:tcW w:w="381" w:type="pct"/>
            <w:vMerge w:val="restart"/>
            <w:vAlign w:val="center"/>
          </w:tcPr>
          <w:p>
            <w:pPr>
              <w:pStyle w:val="39"/>
              <w:rPr>
                <w:rFonts w:ascii="Times New Roman" w:hAnsi="Times New Roman"/>
              </w:rPr>
            </w:pPr>
            <w:r>
              <w:rPr>
                <w:rFonts w:ascii="Times New Roman" w:hAnsi="Times New Roman"/>
              </w:rPr>
              <w:t>385</w:t>
            </w:r>
          </w:p>
        </w:tc>
        <w:tc>
          <w:tcPr>
            <w:tcW w:w="381" w:type="pct"/>
            <w:vMerge w:val="restart"/>
            <w:vAlign w:val="center"/>
          </w:tcPr>
          <w:p>
            <w:pPr>
              <w:pStyle w:val="39"/>
              <w:rPr>
                <w:rFonts w:ascii="Times New Roman" w:hAnsi="Times New Roman"/>
              </w:rPr>
            </w:pPr>
            <w:r>
              <w:rPr>
                <w:rFonts w:ascii="Times New Roman" w:hAnsi="Times New Roman"/>
              </w:rPr>
              <w:t>8</w:t>
            </w:r>
          </w:p>
        </w:tc>
        <w:tc>
          <w:tcPr>
            <w:tcW w:w="381" w:type="pct"/>
            <w:vMerge w:val="restart"/>
            <w:vAlign w:val="center"/>
          </w:tcPr>
          <w:p>
            <w:pPr>
              <w:pStyle w:val="39"/>
              <w:rPr>
                <w:rFonts w:ascii="Times New Roman" w:hAnsi="Times New Roman"/>
              </w:rPr>
            </w:pPr>
            <w:r>
              <w:rPr>
                <w:rFonts w:ascii="Times New Roman" w:hAnsi="Times New Roman"/>
              </w:rPr>
              <w:t>0.2</w:t>
            </w:r>
          </w:p>
        </w:tc>
        <w:tc>
          <w:tcPr>
            <w:tcW w:w="381" w:type="pct"/>
            <w:vMerge w:val="restart"/>
            <w:vAlign w:val="center"/>
          </w:tcPr>
          <w:p>
            <w:pPr>
              <w:pStyle w:val="39"/>
              <w:rPr>
                <w:rFonts w:ascii="Times New Roman" w:hAnsi="Times New Roman"/>
              </w:rPr>
            </w:pPr>
            <w:r>
              <w:rPr>
                <w:rFonts w:ascii="Times New Roman" w:hAnsi="Times New Roman"/>
              </w:rPr>
              <w:t>4.475</w:t>
            </w:r>
          </w:p>
        </w:tc>
        <w:tc>
          <w:tcPr>
            <w:tcW w:w="386" w:type="pct"/>
            <w:vMerge w:val="restart"/>
            <w:vAlign w:val="center"/>
          </w:tcPr>
          <w:p>
            <w:pPr>
              <w:pStyle w:val="39"/>
              <w:rPr>
                <w:rFonts w:ascii="Times New Roman" w:hAnsi="Times New Roman"/>
              </w:rPr>
            </w:pPr>
            <w:r>
              <w:rPr>
                <w:rFonts w:ascii="Times New Roman" w:hAnsi="Times New Roman"/>
              </w:rPr>
              <w:t>200</w:t>
            </w:r>
          </w:p>
        </w:tc>
        <w:tc>
          <w:tcPr>
            <w:tcW w:w="380" w:type="pct"/>
            <w:vMerge w:val="restart"/>
            <w:vAlign w:val="center"/>
          </w:tcPr>
          <w:p>
            <w:pPr>
              <w:pStyle w:val="39"/>
              <w:rPr>
                <w:rFonts w:ascii="Times New Roman" w:hAnsi="Times New Roman"/>
              </w:rPr>
            </w:pPr>
            <w:r>
              <w:rPr>
                <w:rFonts w:ascii="Times New Roman" w:hAnsi="Times New Roman"/>
              </w:rPr>
              <w:t>8000</w:t>
            </w:r>
          </w:p>
        </w:tc>
        <w:tc>
          <w:tcPr>
            <w:tcW w:w="372" w:type="pct"/>
            <w:vMerge w:val="restart"/>
            <w:vAlign w:val="center"/>
          </w:tcPr>
          <w:p>
            <w:pPr>
              <w:pStyle w:val="39"/>
              <w:rPr>
                <w:rFonts w:ascii="Times New Roman" w:hAnsi="Times New Roman"/>
              </w:rPr>
            </w:pPr>
            <w:r>
              <w:rPr>
                <w:rFonts w:ascii="Times New Roman" w:hAnsi="Times New Roman"/>
              </w:rPr>
              <w:t>正常工况</w:t>
            </w:r>
          </w:p>
        </w:tc>
        <w:tc>
          <w:tcPr>
            <w:tcW w:w="378" w:type="pct"/>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374" w:type="pct"/>
          </w:tcPr>
          <w:p>
            <w:pPr>
              <w:pStyle w:val="39"/>
              <w:rPr>
                <w:rFonts w:ascii="Times New Roman" w:hAnsi="Times New Roman"/>
              </w:rPr>
            </w:pPr>
            <w:r>
              <w:rPr>
                <w:rFonts w:ascii="Times New Roman" w:hAnsi="Times New Roman"/>
              </w:rPr>
              <w:t>0.0018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77" w:type="pct"/>
            <w:vMerge w:val="continue"/>
            <w:vAlign w:val="center"/>
          </w:tcPr>
          <w:p>
            <w:pPr>
              <w:pStyle w:val="39"/>
              <w:rPr>
                <w:rFonts w:ascii="Times New Roman" w:hAnsi="Times New Roman"/>
              </w:rPr>
            </w:pPr>
          </w:p>
        </w:tc>
        <w:tc>
          <w:tcPr>
            <w:tcW w:w="476" w:type="pct"/>
            <w:vMerge w:val="continue"/>
            <w:vAlign w:val="center"/>
          </w:tcPr>
          <w:p>
            <w:pPr>
              <w:pStyle w:val="39"/>
              <w:rPr>
                <w:rFonts w:ascii="Times New Roman" w:hAnsi="Times New Roman"/>
              </w:rPr>
            </w:pPr>
          </w:p>
        </w:tc>
        <w:tc>
          <w:tcPr>
            <w:tcW w:w="398" w:type="pct"/>
            <w:vMerge w:val="continue"/>
            <w:vAlign w:val="center"/>
          </w:tcPr>
          <w:p>
            <w:pPr>
              <w:pStyle w:val="39"/>
              <w:rPr>
                <w:rFonts w:ascii="Times New Roman" w:hAnsi="Times New Roman"/>
              </w:rPr>
            </w:pPr>
          </w:p>
        </w:tc>
        <w:tc>
          <w:tcPr>
            <w:tcW w:w="435"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6" w:type="pct"/>
            <w:vMerge w:val="continue"/>
            <w:vAlign w:val="center"/>
          </w:tcPr>
          <w:p>
            <w:pPr>
              <w:pStyle w:val="39"/>
              <w:rPr>
                <w:rFonts w:ascii="Times New Roman" w:hAnsi="Times New Roman"/>
              </w:rPr>
            </w:pPr>
          </w:p>
        </w:tc>
        <w:tc>
          <w:tcPr>
            <w:tcW w:w="380" w:type="pct"/>
            <w:vMerge w:val="continue"/>
            <w:vAlign w:val="center"/>
          </w:tcPr>
          <w:p>
            <w:pPr>
              <w:pStyle w:val="39"/>
              <w:rPr>
                <w:rFonts w:ascii="Times New Roman" w:hAnsi="Times New Roman"/>
              </w:rPr>
            </w:pPr>
          </w:p>
        </w:tc>
        <w:tc>
          <w:tcPr>
            <w:tcW w:w="372" w:type="pct"/>
            <w:vMerge w:val="continue"/>
            <w:vAlign w:val="center"/>
          </w:tcPr>
          <w:p>
            <w:pPr>
              <w:pStyle w:val="39"/>
              <w:rPr>
                <w:rFonts w:ascii="Times New Roman" w:hAnsi="Times New Roman"/>
              </w:rPr>
            </w:pPr>
          </w:p>
        </w:tc>
        <w:tc>
          <w:tcPr>
            <w:tcW w:w="378" w:type="pct"/>
            <w:vAlign w:val="center"/>
          </w:tcPr>
          <w:p>
            <w:pPr>
              <w:pStyle w:val="39"/>
              <w:rPr>
                <w:rFonts w:ascii="Times New Roman" w:hAnsi="Times New Roman"/>
              </w:rPr>
            </w:pPr>
            <w:r>
              <w:rPr>
                <w:rFonts w:ascii="Times New Roman" w:hAnsi="Times New Roman"/>
              </w:rPr>
              <w:t>NO</w:t>
            </w:r>
            <w:r>
              <w:rPr>
                <w:rFonts w:ascii="Times New Roman" w:hAnsi="Times New Roman"/>
                <w:vertAlign w:val="subscript"/>
              </w:rPr>
              <w:t>X</w:t>
            </w:r>
          </w:p>
        </w:tc>
        <w:tc>
          <w:tcPr>
            <w:tcW w:w="374" w:type="pct"/>
          </w:tcPr>
          <w:p>
            <w:pPr>
              <w:pStyle w:val="39"/>
              <w:rPr>
                <w:rFonts w:ascii="Times New Roman" w:hAnsi="Times New Roman"/>
              </w:rPr>
            </w:pPr>
            <w:r>
              <w:rPr>
                <w:rFonts w:ascii="Times New Roman" w:hAnsi="Times New Roman"/>
              </w:rPr>
              <w:t>0.0730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77" w:type="pct"/>
            <w:vMerge w:val="continue"/>
            <w:vAlign w:val="center"/>
          </w:tcPr>
          <w:p>
            <w:pPr>
              <w:pStyle w:val="39"/>
              <w:rPr>
                <w:rFonts w:ascii="Times New Roman" w:hAnsi="Times New Roman"/>
              </w:rPr>
            </w:pPr>
          </w:p>
        </w:tc>
        <w:tc>
          <w:tcPr>
            <w:tcW w:w="476" w:type="pct"/>
            <w:vMerge w:val="continue"/>
            <w:vAlign w:val="center"/>
          </w:tcPr>
          <w:p>
            <w:pPr>
              <w:pStyle w:val="39"/>
              <w:rPr>
                <w:rFonts w:ascii="Times New Roman" w:hAnsi="Times New Roman"/>
              </w:rPr>
            </w:pPr>
          </w:p>
        </w:tc>
        <w:tc>
          <w:tcPr>
            <w:tcW w:w="398" w:type="pct"/>
            <w:vMerge w:val="continue"/>
            <w:vAlign w:val="center"/>
          </w:tcPr>
          <w:p>
            <w:pPr>
              <w:pStyle w:val="39"/>
              <w:rPr>
                <w:rFonts w:ascii="Times New Roman" w:hAnsi="Times New Roman"/>
              </w:rPr>
            </w:pPr>
          </w:p>
        </w:tc>
        <w:tc>
          <w:tcPr>
            <w:tcW w:w="435"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6" w:type="pct"/>
            <w:vMerge w:val="continue"/>
            <w:vAlign w:val="center"/>
          </w:tcPr>
          <w:p>
            <w:pPr>
              <w:pStyle w:val="39"/>
              <w:rPr>
                <w:rFonts w:ascii="Times New Roman" w:hAnsi="Times New Roman"/>
              </w:rPr>
            </w:pPr>
          </w:p>
        </w:tc>
        <w:tc>
          <w:tcPr>
            <w:tcW w:w="380" w:type="pct"/>
            <w:vMerge w:val="continue"/>
            <w:vAlign w:val="center"/>
          </w:tcPr>
          <w:p>
            <w:pPr>
              <w:pStyle w:val="39"/>
              <w:rPr>
                <w:rFonts w:ascii="Times New Roman" w:hAnsi="Times New Roman"/>
              </w:rPr>
            </w:pPr>
          </w:p>
        </w:tc>
        <w:tc>
          <w:tcPr>
            <w:tcW w:w="372" w:type="pct"/>
            <w:vMerge w:val="continue"/>
            <w:vAlign w:val="center"/>
          </w:tcPr>
          <w:p>
            <w:pPr>
              <w:pStyle w:val="39"/>
              <w:rPr>
                <w:rFonts w:ascii="Times New Roman" w:hAnsi="Times New Roman"/>
              </w:rPr>
            </w:pPr>
          </w:p>
        </w:tc>
        <w:tc>
          <w:tcPr>
            <w:tcW w:w="378" w:type="pct"/>
            <w:vAlign w:val="center"/>
          </w:tcPr>
          <w:p>
            <w:pPr>
              <w:pStyle w:val="39"/>
              <w:rPr>
                <w:rFonts w:ascii="Times New Roman" w:hAnsi="Times New Roman"/>
              </w:rPr>
            </w:pPr>
            <w:r>
              <w:rPr>
                <w:rFonts w:ascii="Times New Roman" w:hAnsi="Times New Roman"/>
              </w:rPr>
              <w:t>颗粒物</w:t>
            </w:r>
          </w:p>
        </w:tc>
        <w:tc>
          <w:tcPr>
            <w:tcW w:w="374" w:type="pct"/>
          </w:tcPr>
          <w:p>
            <w:pPr>
              <w:pStyle w:val="39"/>
              <w:rPr>
                <w:rFonts w:ascii="Times New Roman" w:hAnsi="Times New Roman"/>
              </w:rPr>
            </w:pPr>
            <w:r>
              <w:rPr>
                <w:rFonts w:ascii="Times New Roman" w:hAnsi="Times New Roman"/>
              </w:rPr>
              <w:t>0.0074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77" w:type="pct"/>
            <w:vMerge w:val="restart"/>
            <w:vAlign w:val="center"/>
          </w:tcPr>
          <w:p>
            <w:pPr>
              <w:pStyle w:val="39"/>
              <w:rPr>
                <w:rFonts w:ascii="Times New Roman" w:hAnsi="Times New Roman"/>
              </w:rPr>
            </w:pPr>
            <w:r>
              <w:rPr>
                <w:rFonts w:ascii="Times New Roman" w:hAnsi="Times New Roman"/>
              </w:rPr>
              <w:t>2</w:t>
            </w:r>
          </w:p>
        </w:tc>
        <w:tc>
          <w:tcPr>
            <w:tcW w:w="476" w:type="pct"/>
            <w:vMerge w:val="restart"/>
            <w:vAlign w:val="center"/>
          </w:tcPr>
          <w:p>
            <w:pPr>
              <w:pStyle w:val="39"/>
              <w:rPr>
                <w:rFonts w:ascii="Times New Roman" w:hAnsi="Times New Roman"/>
              </w:rPr>
            </w:pPr>
            <w:r>
              <w:rPr>
                <w:rFonts w:ascii="Times New Roman" w:hAnsi="Times New Roman"/>
              </w:rPr>
              <w:t>宣兴1井站水套加热炉排气筒</w:t>
            </w:r>
          </w:p>
        </w:tc>
        <w:tc>
          <w:tcPr>
            <w:tcW w:w="398" w:type="pct"/>
            <w:vMerge w:val="restart"/>
            <w:vAlign w:val="center"/>
          </w:tcPr>
          <w:p>
            <w:pPr>
              <w:pStyle w:val="39"/>
              <w:rPr>
                <w:rFonts w:ascii="Times New Roman" w:hAnsi="Times New Roman"/>
              </w:rPr>
            </w:pPr>
            <w:r>
              <w:rPr>
                <w:rFonts w:ascii="Times New Roman" w:hAnsi="Times New Roman"/>
              </w:rPr>
              <w:t>770636.35</w:t>
            </w:r>
          </w:p>
        </w:tc>
        <w:tc>
          <w:tcPr>
            <w:tcW w:w="435" w:type="pct"/>
            <w:vMerge w:val="restart"/>
            <w:vAlign w:val="center"/>
          </w:tcPr>
          <w:p>
            <w:pPr>
              <w:pStyle w:val="39"/>
              <w:rPr>
                <w:rFonts w:ascii="Times New Roman" w:hAnsi="Times New Roman"/>
              </w:rPr>
            </w:pPr>
            <w:r>
              <w:rPr>
                <w:rFonts w:ascii="Times New Roman" w:hAnsi="Times New Roman"/>
              </w:rPr>
              <w:t>3483553.41</w:t>
            </w:r>
          </w:p>
        </w:tc>
        <w:tc>
          <w:tcPr>
            <w:tcW w:w="381" w:type="pct"/>
            <w:vMerge w:val="restart"/>
            <w:vAlign w:val="center"/>
          </w:tcPr>
          <w:p>
            <w:pPr>
              <w:pStyle w:val="39"/>
              <w:rPr>
                <w:rFonts w:ascii="Times New Roman" w:hAnsi="Times New Roman"/>
              </w:rPr>
            </w:pPr>
            <w:r>
              <w:rPr>
                <w:rFonts w:ascii="Times New Roman" w:hAnsi="Times New Roman"/>
              </w:rPr>
              <w:t>944</w:t>
            </w:r>
          </w:p>
        </w:tc>
        <w:tc>
          <w:tcPr>
            <w:tcW w:w="381" w:type="pct"/>
            <w:vMerge w:val="restart"/>
            <w:vAlign w:val="center"/>
          </w:tcPr>
          <w:p>
            <w:pPr>
              <w:pStyle w:val="39"/>
              <w:rPr>
                <w:rFonts w:ascii="Times New Roman" w:hAnsi="Times New Roman"/>
              </w:rPr>
            </w:pPr>
            <w:r>
              <w:rPr>
                <w:rFonts w:ascii="Times New Roman" w:hAnsi="Times New Roman"/>
              </w:rPr>
              <w:t>8</w:t>
            </w:r>
          </w:p>
        </w:tc>
        <w:tc>
          <w:tcPr>
            <w:tcW w:w="381" w:type="pct"/>
            <w:vMerge w:val="restart"/>
            <w:vAlign w:val="center"/>
          </w:tcPr>
          <w:p>
            <w:pPr>
              <w:pStyle w:val="39"/>
              <w:rPr>
                <w:rFonts w:ascii="Times New Roman" w:hAnsi="Times New Roman"/>
              </w:rPr>
            </w:pPr>
            <w:r>
              <w:rPr>
                <w:rFonts w:ascii="Times New Roman" w:hAnsi="Times New Roman"/>
              </w:rPr>
              <w:t>0.35</w:t>
            </w:r>
          </w:p>
        </w:tc>
        <w:tc>
          <w:tcPr>
            <w:tcW w:w="381" w:type="pct"/>
            <w:vMerge w:val="restart"/>
            <w:vAlign w:val="center"/>
          </w:tcPr>
          <w:p>
            <w:pPr>
              <w:pStyle w:val="39"/>
              <w:rPr>
                <w:rFonts w:ascii="Times New Roman" w:hAnsi="Times New Roman"/>
              </w:rPr>
            </w:pPr>
            <w:r>
              <w:rPr>
                <w:rFonts w:ascii="Times New Roman" w:hAnsi="Times New Roman"/>
              </w:rPr>
              <w:t>4.325</w:t>
            </w:r>
          </w:p>
        </w:tc>
        <w:tc>
          <w:tcPr>
            <w:tcW w:w="386" w:type="pct"/>
            <w:vMerge w:val="restart"/>
            <w:vAlign w:val="center"/>
          </w:tcPr>
          <w:p>
            <w:pPr>
              <w:pStyle w:val="39"/>
              <w:rPr>
                <w:rFonts w:ascii="Times New Roman" w:hAnsi="Times New Roman"/>
              </w:rPr>
            </w:pPr>
            <w:r>
              <w:rPr>
                <w:rFonts w:ascii="Times New Roman" w:hAnsi="Times New Roman"/>
              </w:rPr>
              <w:t>200</w:t>
            </w:r>
          </w:p>
        </w:tc>
        <w:tc>
          <w:tcPr>
            <w:tcW w:w="380" w:type="pct"/>
            <w:vMerge w:val="restart"/>
            <w:vAlign w:val="center"/>
          </w:tcPr>
          <w:p>
            <w:pPr>
              <w:pStyle w:val="39"/>
              <w:rPr>
                <w:rFonts w:ascii="Times New Roman" w:hAnsi="Times New Roman"/>
              </w:rPr>
            </w:pPr>
            <w:r>
              <w:rPr>
                <w:rFonts w:ascii="Times New Roman" w:hAnsi="Times New Roman"/>
              </w:rPr>
              <w:t>8000</w:t>
            </w:r>
          </w:p>
        </w:tc>
        <w:tc>
          <w:tcPr>
            <w:tcW w:w="372" w:type="pct"/>
            <w:vMerge w:val="restart"/>
            <w:vAlign w:val="center"/>
          </w:tcPr>
          <w:p>
            <w:pPr>
              <w:pStyle w:val="39"/>
              <w:rPr>
                <w:rFonts w:ascii="Times New Roman" w:hAnsi="Times New Roman"/>
              </w:rPr>
            </w:pPr>
            <w:r>
              <w:rPr>
                <w:rFonts w:ascii="Times New Roman" w:hAnsi="Times New Roman"/>
              </w:rPr>
              <w:t>正常工况</w:t>
            </w:r>
          </w:p>
        </w:tc>
        <w:tc>
          <w:tcPr>
            <w:tcW w:w="378" w:type="pct"/>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374" w:type="pct"/>
          </w:tcPr>
          <w:p>
            <w:pPr>
              <w:pStyle w:val="39"/>
              <w:rPr>
                <w:rFonts w:ascii="Times New Roman" w:hAnsi="Times New Roman"/>
              </w:rPr>
            </w:pPr>
            <w:r>
              <w:rPr>
                <w:rFonts w:ascii="Times New Roman" w:hAnsi="Times New Roman"/>
              </w:rPr>
              <w:t>0.0054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77" w:type="pct"/>
            <w:vMerge w:val="continue"/>
            <w:vAlign w:val="center"/>
          </w:tcPr>
          <w:p>
            <w:pPr>
              <w:pStyle w:val="39"/>
              <w:rPr>
                <w:rFonts w:ascii="Times New Roman" w:hAnsi="Times New Roman"/>
              </w:rPr>
            </w:pPr>
          </w:p>
        </w:tc>
        <w:tc>
          <w:tcPr>
            <w:tcW w:w="476" w:type="pct"/>
            <w:vMerge w:val="continue"/>
            <w:vAlign w:val="center"/>
          </w:tcPr>
          <w:p>
            <w:pPr>
              <w:pStyle w:val="39"/>
              <w:rPr>
                <w:rFonts w:ascii="Times New Roman" w:hAnsi="Times New Roman"/>
              </w:rPr>
            </w:pPr>
          </w:p>
        </w:tc>
        <w:tc>
          <w:tcPr>
            <w:tcW w:w="398" w:type="pct"/>
            <w:vMerge w:val="continue"/>
            <w:vAlign w:val="center"/>
          </w:tcPr>
          <w:p>
            <w:pPr>
              <w:pStyle w:val="39"/>
              <w:rPr>
                <w:rFonts w:ascii="Times New Roman" w:hAnsi="Times New Roman"/>
              </w:rPr>
            </w:pPr>
          </w:p>
        </w:tc>
        <w:tc>
          <w:tcPr>
            <w:tcW w:w="435"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6" w:type="pct"/>
            <w:vMerge w:val="continue"/>
            <w:vAlign w:val="center"/>
          </w:tcPr>
          <w:p>
            <w:pPr>
              <w:pStyle w:val="39"/>
              <w:rPr>
                <w:rFonts w:ascii="Times New Roman" w:hAnsi="Times New Roman"/>
              </w:rPr>
            </w:pPr>
          </w:p>
        </w:tc>
        <w:tc>
          <w:tcPr>
            <w:tcW w:w="380" w:type="pct"/>
            <w:vMerge w:val="continue"/>
            <w:vAlign w:val="center"/>
          </w:tcPr>
          <w:p>
            <w:pPr>
              <w:pStyle w:val="39"/>
              <w:rPr>
                <w:rFonts w:ascii="Times New Roman" w:hAnsi="Times New Roman"/>
              </w:rPr>
            </w:pPr>
          </w:p>
        </w:tc>
        <w:tc>
          <w:tcPr>
            <w:tcW w:w="372" w:type="pct"/>
            <w:vMerge w:val="continue"/>
            <w:vAlign w:val="center"/>
          </w:tcPr>
          <w:p>
            <w:pPr>
              <w:pStyle w:val="39"/>
              <w:rPr>
                <w:rFonts w:ascii="Times New Roman" w:hAnsi="Times New Roman"/>
              </w:rPr>
            </w:pPr>
          </w:p>
        </w:tc>
        <w:tc>
          <w:tcPr>
            <w:tcW w:w="378" w:type="pct"/>
            <w:vAlign w:val="center"/>
          </w:tcPr>
          <w:p>
            <w:pPr>
              <w:pStyle w:val="39"/>
              <w:rPr>
                <w:rFonts w:ascii="Times New Roman" w:hAnsi="Times New Roman"/>
              </w:rPr>
            </w:pPr>
            <w:r>
              <w:rPr>
                <w:rFonts w:ascii="Times New Roman" w:hAnsi="Times New Roman"/>
              </w:rPr>
              <w:t>NO</w:t>
            </w:r>
            <w:r>
              <w:rPr>
                <w:rFonts w:ascii="Times New Roman" w:hAnsi="Times New Roman"/>
                <w:vertAlign w:val="subscript"/>
              </w:rPr>
              <w:t>X</w:t>
            </w:r>
          </w:p>
        </w:tc>
        <w:tc>
          <w:tcPr>
            <w:tcW w:w="374" w:type="pct"/>
          </w:tcPr>
          <w:p>
            <w:pPr>
              <w:pStyle w:val="39"/>
              <w:rPr>
                <w:rFonts w:ascii="Times New Roman" w:hAnsi="Times New Roman"/>
              </w:rPr>
            </w:pPr>
            <w:r>
              <w:rPr>
                <w:rFonts w:ascii="Times New Roman" w:hAnsi="Times New Roman"/>
              </w:rPr>
              <w:t>0.2142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77" w:type="pct"/>
            <w:vMerge w:val="continue"/>
            <w:vAlign w:val="center"/>
          </w:tcPr>
          <w:p>
            <w:pPr>
              <w:pStyle w:val="39"/>
              <w:rPr>
                <w:rFonts w:ascii="Times New Roman" w:hAnsi="Times New Roman"/>
              </w:rPr>
            </w:pPr>
          </w:p>
        </w:tc>
        <w:tc>
          <w:tcPr>
            <w:tcW w:w="476" w:type="pct"/>
            <w:vMerge w:val="continue"/>
            <w:vAlign w:val="center"/>
          </w:tcPr>
          <w:p>
            <w:pPr>
              <w:pStyle w:val="39"/>
              <w:rPr>
                <w:rFonts w:ascii="Times New Roman" w:hAnsi="Times New Roman"/>
              </w:rPr>
            </w:pPr>
          </w:p>
        </w:tc>
        <w:tc>
          <w:tcPr>
            <w:tcW w:w="398" w:type="pct"/>
            <w:vMerge w:val="continue"/>
            <w:vAlign w:val="center"/>
          </w:tcPr>
          <w:p>
            <w:pPr>
              <w:pStyle w:val="39"/>
              <w:rPr>
                <w:rFonts w:ascii="Times New Roman" w:hAnsi="Times New Roman"/>
              </w:rPr>
            </w:pPr>
          </w:p>
        </w:tc>
        <w:tc>
          <w:tcPr>
            <w:tcW w:w="435"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1" w:type="pct"/>
            <w:vMerge w:val="continue"/>
            <w:vAlign w:val="center"/>
          </w:tcPr>
          <w:p>
            <w:pPr>
              <w:pStyle w:val="39"/>
              <w:rPr>
                <w:rFonts w:ascii="Times New Roman" w:hAnsi="Times New Roman"/>
              </w:rPr>
            </w:pPr>
          </w:p>
        </w:tc>
        <w:tc>
          <w:tcPr>
            <w:tcW w:w="386" w:type="pct"/>
            <w:vMerge w:val="continue"/>
            <w:vAlign w:val="center"/>
          </w:tcPr>
          <w:p>
            <w:pPr>
              <w:pStyle w:val="39"/>
              <w:rPr>
                <w:rFonts w:ascii="Times New Roman" w:hAnsi="Times New Roman"/>
              </w:rPr>
            </w:pPr>
          </w:p>
        </w:tc>
        <w:tc>
          <w:tcPr>
            <w:tcW w:w="380" w:type="pct"/>
            <w:vMerge w:val="continue"/>
            <w:vAlign w:val="center"/>
          </w:tcPr>
          <w:p>
            <w:pPr>
              <w:pStyle w:val="39"/>
              <w:rPr>
                <w:rFonts w:ascii="Times New Roman" w:hAnsi="Times New Roman"/>
              </w:rPr>
            </w:pPr>
          </w:p>
        </w:tc>
        <w:tc>
          <w:tcPr>
            <w:tcW w:w="372" w:type="pct"/>
            <w:vMerge w:val="continue"/>
            <w:vAlign w:val="center"/>
          </w:tcPr>
          <w:p>
            <w:pPr>
              <w:pStyle w:val="39"/>
              <w:rPr>
                <w:rFonts w:ascii="Times New Roman" w:hAnsi="Times New Roman"/>
              </w:rPr>
            </w:pPr>
          </w:p>
        </w:tc>
        <w:tc>
          <w:tcPr>
            <w:tcW w:w="378" w:type="pct"/>
            <w:vAlign w:val="center"/>
          </w:tcPr>
          <w:p>
            <w:pPr>
              <w:pStyle w:val="39"/>
              <w:rPr>
                <w:rFonts w:ascii="Times New Roman" w:hAnsi="Times New Roman"/>
              </w:rPr>
            </w:pPr>
            <w:r>
              <w:rPr>
                <w:rFonts w:ascii="Times New Roman" w:hAnsi="Times New Roman"/>
              </w:rPr>
              <w:t>颗粒物</w:t>
            </w:r>
          </w:p>
        </w:tc>
        <w:tc>
          <w:tcPr>
            <w:tcW w:w="374" w:type="pct"/>
          </w:tcPr>
          <w:p>
            <w:pPr>
              <w:pStyle w:val="39"/>
              <w:rPr>
                <w:rFonts w:ascii="Times New Roman" w:hAnsi="Times New Roman"/>
              </w:rPr>
            </w:pPr>
            <w:r>
              <w:rPr>
                <w:rFonts w:ascii="Times New Roman" w:hAnsi="Times New Roman"/>
              </w:rPr>
              <w:t>0.0216</w:t>
            </w:r>
          </w:p>
        </w:tc>
      </w:tr>
      <w:bookmarkEnd w:id="200"/>
    </w:tbl>
    <w:p>
      <w:pPr>
        <w:pStyle w:val="37"/>
        <w:rPr>
          <w:rFonts w:ascii="Times New Roman" w:hAnsi="Times New Roman" w:cs="Times New Roman"/>
        </w:rPr>
      </w:pPr>
      <w:bookmarkStart w:id="201" w:name="_Ref15623122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bookmarkEnd w:id="201"/>
      <w:r>
        <w:rPr>
          <w:rFonts w:ascii="Times New Roman" w:hAnsi="Times New Roman" w:cs="Times New Roman"/>
        </w:rPr>
        <w:t xml:space="preserve">  本项目新增大气污染源（无组织面源）参数一览表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9"/>
        <w:gridCol w:w="1664"/>
        <w:gridCol w:w="1222"/>
        <w:gridCol w:w="1341"/>
        <w:gridCol w:w="1171"/>
        <w:gridCol w:w="1171"/>
        <w:gridCol w:w="1171"/>
        <w:gridCol w:w="1171"/>
        <w:gridCol w:w="1165"/>
        <w:gridCol w:w="1142"/>
        <w:gridCol w:w="1159"/>
        <w:gridCol w:w="1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229" w:type="pct"/>
            <w:vMerge w:val="restart"/>
            <w:vAlign w:val="center"/>
          </w:tcPr>
          <w:p>
            <w:pPr>
              <w:pStyle w:val="39"/>
              <w:rPr>
                <w:rFonts w:ascii="Times New Roman" w:hAnsi="Times New Roman"/>
              </w:rPr>
            </w:pPr>
            <w:bookmarkStart w:id="202" w:name="_Hlk45539000"/>
            <w:r>
              <w:rPr>
                <w:rFonts w:ascii="Times New Roman" w:hAnsi="Times New Roman"/>
              </w:rPr>
              <w:t>编号</w:t>
            </w:r>
          </w:p>
        </w:tc>
        <w:tc>
          <w:tcPr>
            <w:tcW w:w="587" w:type="pct"/>
            <w:vMerge w:val="restart"/>
            <w:vAlign w:val="center"/>
          </w:tcPr>
          <w:p>
            <w:pPr>
              <w:pStyle w:val="39"/>
              <w:rPr>
                <w:rFonts w:ascii="Times New Roman" w:hAnsi="Times New Roman"/>
              </w:rPr>
            </w:pPr>
            <w:r>
              <w:rPr>
                <w:rFonts w:ascii="Times New Roman" w:hAnsi="Times New Roman"/>
              </w:rPr>
              <w:t>名称</w:t>
            </w:r>
          </w:p>
        </w:tc>
        <w:tc>
          <w:tcPr>
            <w:tcW w:w="904" w:type="pct"/>
            <w:gridSpan w:val="2"/>
            <w:vAlign w:val="center"/>
          </w:tcPr>
          <w:p>
            <w:pPr>
              <w:pStyle w:val="39"/>
              <w:rPr>
                <w:rFonts w:ascii="Times New Roman" w:hAnsi="Times New Roman"/>
              </w:rPr>
            </w:pPr>
            <w:r>
              <w:rPr>
                <w:rFonts w:ascii="Times New Roman" w:hAnsi="Times New Roman"/>
              </w:rPr>
              <w:t>面源起点坐标/m</w:t>
            </w:r>
          </w:p>
        </w:tc>
        <w:tc>
          <w:tcPr>
            <w:tcW w:w="413" w:type="pct"/>
            <w:vMerge w:val="restart"/>
            <w:vAlign w:val="center"/>
          </w:tcPr>
          <w:p>
            <w:pPr>
              <w:pStyle w:val="39"/>
              <w:rPr>
                <w:rFonts w:ascii="Times New Roman" w:hAnsi="Times New Roman"/>
              </w:rPr>
            </w:pPr>
            <w:r>
              <w:rPr>
                <w:rFonts w:ascii="Times New Roman" w:hAnsi="Times New Roman"/>
              </w:rPr>
              <w:t>面源海拔高度/m</w:t>
            </w:r>
          </w:p>
        </w:tc>
        <w:tc>
          <w:tcPr>
            <w:tcW w:w="413" w:type="pct"/>
            <w:vMerge w:val="restart"/>
            <w:vAlign w:val="center"/>
          </w:tcPr>
          <w:p>
            <w:pPr>
              <w:pStyle w:val="39"/>
              <w:rPr>
                <w:rFonts w:ascii="Times New Roman" w:hAnsi="Times New Roman"/>
              </w:rPr>
            </w:pPr>
            <w:r>
              <w:rPr>
                <w:rFonts w:ascii="Times New Roman" w:hAnsi="Times New Roman"/>
              </w:rPr>
              <w:t>面源长度/m</w:t>
            </w:r>
          </w:p>
        </w:tc>
        <w:tc>
          <w:tcPr>
            <w:tcW w:w="413" w:type="pct"/>
            <w:vMerge w:val="restart"/>
            <w:vAlign w:val="center"/>
          </w:tcPr>
          <w:p>
            <w:pPr>
              <w:pStyle w:val="39"/>
              <w:rPr>
                <w:rFonts w:ascii="Times New Roman" w:hAnsi="Times New Roman"/>
              </w:rPr>
            </w:pPr>
            <w:r>
              <w:rPr>
                <w:rFonts w:ascii="Times New Roman" w:hAnsi="Times New Roman"/>
              </w:rPr>
              <w:t>面源宽度/m</w:t>
            </w:r>
          </w:p>
        </w:tc>
        <w:tc>
          <w:tcPr>
            <w:tcW w:w="413" w:type="pct"/>
            <w:vMerge w:val="restart"/>
            <w:vAlign w:val="center"/>
          </w:tcPr>
          <w:p>
            <w:pPr>
              <w:pStyle w:val="39"/>
              <w:rPr>
                <w:rFonts w:ascii="Times New Roman" w:hAnsi="Times New Roman"/>
              </w:rPr>
            </w:pPr>
            <w:r>
              <w:rPr>
                <w:rFonts w:ascii="Times New Roman" w:hAnsi="Times New Roman"/>
              </w:rPr>
              <w:t>面源有效排放高度/m</w:t>
            </w:r>
          </w:p>
        </w:tc>
        <w:tc>
          <w:tcPr>
            <w:tcW w:w="411" w:type="pct"/>
            <w:vMerge w:val="restart"/>
            <w:vAlign w:val="center"/>
          </w:tcPr>
          <w:p>
            <w:pPr>
              <w:pStyle w:val="39"/>
              <w:rPr>
                <w:rFonts w:ascii="Times New Roman" w:hAnsi="Times New Roman"/>
              </w:rPr>
            </w:pPr>
            <w:r>
              <w:rPr>
                <w:rFonts w:ascii="Times New Roman" w:hAnsi="Times New Roman"/>
              </w:rPr>
              <w:t>年排放小时数</w:t>
            </w:r>
          </w:p>
        </w:tc>
        <w:tc>
          <w:tcPr>
            <w:tcW w:w="403" w:type="pct"/>
            <w:vMerge w:val="restart"/>
            <w:vAlign w:val="center"/>
          </w:tcPr>
          <w:p>
            <w:pPr>
              <w:pStyle w:val="39"/>
              <w:rPr>
                <w:rFonts w:ascii="Times New Roman" w:hAnsi="Times New Roman"/>
              </w:rPr>
            </w:pPr>
            <w:r>
              <w:rPr>
                <w:rFonts w:ascii="Times New Roman" w:hAnsi="Times New Roman"/>
              </w:rPr>
              <w:t>排放工况</w:t>
            </w:r>
          </w:p>
        </w:tc>
        <w:tc>
          <w:tcPr>
            <w:tcW w:w="409" w:type="pct"/>
            <w:vMerge w:val="restart"/>
            <w:vAlign w:val="center"/>
          </w:tcPr>
          <w:p>
            <w:pPr>
              <w:pStyle w:val="39"/>
              <w:rPr>
                <w:rFonts w:ascii="Times New Roman" w:hAnsi="Times New Roman"/>
              </w:rPr>
            </w:pPr>
            <w:r>
              <w:rPr>
                <w:rFonts w:ascii="Times New Roman" w:hAnsi="Times New Roman"/>
              </w:rPr>
              <w:t>污染物名称</w:t>
            </w:r>
          </w:p>
        </w:tc>
        <w:tc>
          <w:tcPr>
            <w:tcW w:w="405" w:type="pct"/>
            <w:vMerge w:val="restart"/>
            <w:vAlign w:val="center"/>
          </w:tcPr>
          <w:p>
            <w:pPr>
              <w:pStyle w:val="39"/>
              <w:rPr>
                <w:rFonts w:ascii="Times New Roman" w:hAnsi="Times New Roman"/>
              </w:rPr>
            </w:pPr>
            <w:r>
              <w:rPr>
                <w:rFonts w:ascii="Times New Roman" w:hAnsi="Times New Roman"/>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9" w:type="pct"/>
            <w:vMerge w:val="continue"/>
            <w:vAlign w:val="center"/>
          </w:tcPr>
          <w:p>
            <w:pPr>
              <w:pStyle w:val="39"/>
              <w:rPr>
                <w:rFonts w:ascii="Times New Roman" w:hAnsi="Times New Roman"/>
              </w:rPr>
            </w:pPr>
          </w:p>
        </w:tc>
        <w:tc>
          <w:tcPr>
            <w:tcW w:w="587" w:type="pct"/>
            <w:vMerge w:val="continue"/>
            <w:vAlign w:val="center"/>
          </w:tcPr>
          <w:p>
            <w:pPr>
              <w:pStyle w:val="39"/>
              <w:rPr>
                <w:rFonts w:ascii="Times New Roman" w:hAnsi="Times New Roman"/>
              </w:rPr>
            </w:pPr>
          </w:p>
        </w:tc>
        <w:tc>
          <w:tcPr>
            <w:tcW w:w="431" w:type="pct"/>
            <w:vAlign w:val="center"/>
          </w:tcPr>
          <w:p>
            <w:pPr>
              <w:pStyle w:val="39"/>
              <w:rPr>
                <w:rFonts w:ascii="Times New Roman" w:hAnsi="Times New Roman"/>
              </w:rPr>
            </w:pPr>
            <w:r>
              <w:rPr>
                <w:rFonts w:ascii="Times New Roman" w:hAnsi="Times New Roman"/>
              </w:rPr>
              <w:t>X</w:t>
            </w:r>
          </w:p>
        </w:tc>
        <w:tc>
          <w:tcPr>
            <w:tcW w:w="472" w:type="pct"/>
            <w:vAlign w:val="center"/>
          </w:tcPr>
          <w:p>
            <w:pPr>
              <w:pStyle w:val="39"/>
              <w:rPr>
                <w:rFonts w:ascii="Times New Roman" w:hAnsi="Times New Roman"/>
              </w:rPr>
            </w:pPr>
            <w:r>
              <w:rPr>
                <w:rFonts w:ascii="Times New Roman" w:hAnsi="Times New Roman"/>
              </w:rPr>
              <w:t>Y</w:t>
            </w:r>
          </w:p>
        </w:tc>
        <w:tc>
          <w:tcPr>
            <w:tcW w:w="413" w:type="pct"/>
            <w:vMerge w:val="continue"/>
            <w:vAlign w:val="center"/>
          </w:tcPr>
          <w:p>
            <w:pPr>
              <w:pStyle w:val="39"/>
              <w:rPr>
                <w:rFonts w:ascii="Times New Roman" w:hAnsi="Times New Roman"/>
              </w:rPr>
            </w:pPr>
          </w:p>
        </w:tc>
        <w:tc>
          <w:tcPr>
            <w:tcW w:w="413" w:type="pct"/>
            <w:vMerge w:val="continue"/>
            <w:vAlign w:val="center"/>
          </w:tcPr>
          <w:p>
            <w:pPr>
              <w:pStyle w:val="39"/>
              <w:rPr>
                <w:rFonts w:ascii="Times New Roman" w:hAnsi="Times New Roman"/>
              </w:rPr>
            </w:pPr>
          </w:p>
        </w:tc>
        <w:tc>
          <w:tcPr>
            <w:tcW w:w="413" w:type="pct"/>
            <w:vMerge w:val="continue"/>
            <w:vAlign w:val="center"/>
          </w:tcPr>
          <w:p>
            <w:pPr>
              <w:pStyle w:val="39"/>
              <w:rPr>
                <w:rFonts w:ascii="Times New Roman" w:hAnsi="Times New Roman"/>
              </w:rPr>
            </w:pPr>
          </w:p>
        </w:tc>
        <w:tc>
          <w:tcPr>
            <w:tcW w:w="413" w:type="pct"/>
            <w:vMerge w:val="continue"/>
            <w:vAlign w:val="center"/>
          </w:tcPr>
          <w:p>
            <w:pPr>
              <w:pStyle w:val="39"/>
              <w:rPr>
                <w:rFonts w:ascii="Times New Roman" w:hAnsi="Times New Roman"/>
              </w:rPr>
            </w:pPr>
          </w:p>
        </w:tc>
        <w:tc>
          <w:tcPr>
            <w:tcW w:w="411" w:type="pct"/>
            <w:vMerge w:val="continue"/>
            <w:vAlign w:val="center"/>
          </w:tcPr>
          <w:p>
            <w:pPr>
              <w:pStyle w:val="39"/>
              <w:rPr>
                <w:rFonts w:ascii="Times New Roman" w:hAnsi="Times New Roman"/>
              </w:rPr>
            </w:pPr>
          </w:p>
        </w:tc>
        <w:tc>
          <w:tcPr>
            <w:tcW w:w="403" w:type="pct"/>
            <w:vMerge w:val="continue"/>
            <w:vAlign w:val="center"/>
          </w:tcPr>
          <w:p>
            <w:pPr>
              <w:pStyle w:val="39"/>
              <w:rPr>
                <w:rFonts w:ascii="Times New Roman" w:hAnsi="Times New Roman"/>
              </w:rPr>
            </w:pPr>
          </w:p>
        </w:tc>
        <w:tc>
          <w:tcPr>
            <w:tcW w:w="409" w:type="pct"/>
            <w:vMerge w:val="continue"/>
            <w:vAlign w:val="center"/>
          </w:tcPr>
          <w:p>
            <w:pPr>
              <w:pStyle w:val="39"/>
              <w:rPr>
                <w:rFonts w:ascii="Times New Roman" w:hAnsi="Times New Roman"/>
              </w:rPr>
            </w:pPr>
          </w:p>
        </w:tc>
        <w:tc>
          <w:tcPr>
            <w:tcW w:w="405" w:type="pct"/>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229" w:type="pct"/>
            <w:vMerge w:val="restart"/>
            <w:vAlign w:val="center"/>
          </w:tcPr>
          <w:p>
            <w:pPr>
              <w:pStyle w:val="39"/>
              <w:rPr>
                <w:rFonts w:ascii="Times New Roman" w:hAnsi="Times New Roman"/>
              </w:rPr>
            </w:pPr>
            <w:r>
              <w:rPr>
                <w:rFonts w:ascii="Times New Roman" w:hAnsi="Times New Roman"/>
              </w:rPr>
              <w:t>1</w:t>
            </w:r>
          </w:p>
        </w:tc>
        <w:tc>
          <w:tcPr>
            <w:tcW w:w="587" w:type="pct"/>
            <w:vMerge w:val="restart"/>
            <w:vAlign w:val="center"/>
          </w:tcPr>
          <w:p>
            <w:pPr>
              <w:pStyle w:val="39"/>
              <w:rPr>
                <w:rFonts w:ascii="Times New Roman" w:hAnsi="Times New Roman"/>
              </w:rPr>
            </w:pPr>
            <w:r>
              <w:rPr>
                <w:rFonts w:ascii="Times New Roman" w:hAnsi="Times New Roman"/>
              </w:rPr>
              <w:t>宣探1井站</w:t>
            </w:r>
          </w:p>
        </w:tc>
        <w:tc>
          <w:tcPr>
            <w:tcW w:w="431" w:type="pct"/>
            <w:vMerge w:val="restart"/>
            <w:vAlign w:val="center"/>
          </w:tcPr>
          <w:p>
            <w:pPr>
              <w:pStyle w:val="39"/>
              <w:rPr>
                <w:rFonts w:ascii="Times New Roman" w:hAnsi="Times New Roman"/>
              </w:rPr>
            </w:pPr>
            <w:r>
              <w:rPr>
                <w:rFonts w:ascii="Times New Roman" w:hAnsi="Times New Roman"/>
              </w:rPr>
              <w:t>770415.32</w:t>
            </w:r>
          </w:p>
        </w:tc>
        <w:tc>
          <w:tcPr>
            <w:tcW w:w="472" w:type="pct"/>
            <w:vMerge w:val="restart"/>
            <w:vAlign w:val="center"/>
          </w:tcPr>
          <w:p>
            <w:pPr>
              <w:pStyle w:val="39"/>
              <w:rPr>
                <w:rFonts w:ascii="Times New Roman" w:hAnsi="Times New Roman"/>
              </w:rPr>
            </w:pPr>
            <w:r>
              <w:rPr>
                <w:rFonts w:ascii="Times New Roman" w:hAnsi="Times New Roman"/>
              </w:rPr>
              <w:t>3481371.3</w:t>
            </w:r>
          </w:p>
        </w:tc>
        <w:tc>
          <w:tcPr>
            <w:tcW w:w="413" w:type="pct"/>
            <w:vMerge w:val="restart"/>
            <w:vAlign w:val="center"/>
          </w:tcPr>
          <w:p>
            <w:pPr>
              <w:pStyle w:val="39"/>
              <w:rPr>
                <w:rFonts w:ascii="Times New Roman" w:hAnsi="Times New Roman"/>
              </w:rPr>
            </w:pPr>
            <w:r>
              <w:rPr>
                <w:rFonts w:ascii="Times New Roman" w:hAnsi="Times New Roman"/>
              </w:rPr>
              <w:t>385</w:t>
            </w:r>
          </w:p>
        </w:tc>
        <w:tc>
          <w:tcPr>
            <w:tcW w:w="413" w:type="pct"/>
            <w:vMerge w:val="restart"/>
            <w:vAlign w:val="center"/>
          </w:tcPr>
          <w:p>
            <w:pPr>
              <w:pStyle w:val="39"/>
              <w:rPr>
                <w:rFonts w:ascii="Times New Roman" w:hAnsi="Times New Roman"/>
              </w:rPr>
            </w:pPr>
            <w:r>
              <w:rPr>
                <w:rFonts w:ascii="Times New Roman" w:hAnsi="Times New Roman"/>
              </w:rPr>
              <w:t>70</w:t>
            </w:r>
          </w:p>
        </w:tc>
        <w:tc>
          <w:tcPr>
            <w:tcW w:w="413" w:type="pct"/>
            <w:vMerge w:val="restart"/>
            <w:vAlign w:val="center"/>
          </w:tcPr>
          <w:p>
            <w:pPr>
              <w:pStyle w:val="39"/>
              <w:rPr>
                <w:rFonts w:ascii="Times New Roman" w:hAnsi="Times New Roman"/>
              </w:rPr>
            </w:pPr>
            <w:r>
              <w:rPr>
                <w:rFonts w:ascii="Times New Roman" w:hAnsi="Times New Roman"/>
              </w:rPr>
              <w:t>20</w:t>
            </w:r>
          </w:p>
        </w:tc>
        <w:tc>
          <w:tcPr>
            <w:tcW w:w="413" w:type="pct"/>
            <w:vMerge w:val="restart"/>
            <w:vAlign w:val="center"/>
          </w:tcPr>
          <w:p>
            <w:pPr>
              <w:pStyle w:val="39"/>
              <w:rPr>
                <w:rFonts w:ascii="Times New Roman" w:hAnsi="Times New Roman"/>
              </w:rPr>
            </w:pPr>
            <w:r>
              <w:rPr>
                <w:rFonts w:ascii="Times New Roman" w:hAnsi="Times New Roman"/>
              </w:rPr>
              <w:t>1.5</w:t>
            </w:r>
          </w:p>
        </w:tc>
        <w:tc>
          <w:tcPr>
            <w:tcW w:w="411" w:type="pct"/>
            <w:vMerge w:val="restart"/>
            <w:vAlign w:val="center"/>
          </w:tcPr>
          <w:p>
            <w:pPr>
              <w:pStyle w:val="39"/>
              <w:rPr>
                <w:rFonts w:ascii="Times New Roman" w:hAnsi="Times New Roman"/>
              </w:rPr>
            </w:pPr>
            <w:r>
              <w:rPr>
                <w:rFonts w:ascii="Times New Roman" w:hAnsi="Times New Roman"/>
              </w:rPr>
              <w:t>8000</w:t>
            </w:r>
          </w:p>
        </w:tc>
        <w:tc>
          <w:tcPr>
            <w:tcW w:w="403" w:type="pct"/>
            <w:vMerge w:val="restart"/>
            <w:vAlign w:val="center"/>
          </w:tcPr>
          <w:p>
            <w:pPr>
              <w:pStyle w:val="39"/>
              <w:rPr>
                <w:rFonts w:ascii="Times New Roman" w:hAnsi="Times New Roman"/>
              </w:rPr>
            </w:pPr>
            <w:r>
              <w:rPr>
                <w:rFonts w:ascii="Times New Roman" w:hAnsi="Times New Roman"/>
              </w:rPr>
              <w:t>正常工况</w:t>
            </w:r>
          </w:p>
        </w:tc>
        <w:tc>
          <w:tcPr>
            <w:tcW w:w="409" w:type="pct"/>
            <w:vAlign w:val="center"/>
          </w:tcPr>
          <w:p>
            <w:pPr>
              <w:pStyle w:val="39"/>
              <w:rPr>
                <w:rFonts w:ascii="Times New Roman" w:hAnsi="Times New Roman"/>
              </w:rPr>
            </w:pPr>
            <w:r>
              <w:rPr>
                <w:rFonts w:ascii="Times New Roman" w:hAnsi="Times New Roman"/>
              </w:rPr>
              <w:t>NMHC</w:t>
            </w:r>
          </w:p>
        </w:tc>
        <w:tc>
          <w:tcPr>
            <w:tcW w:w="405" w:type="pct"/>
            <w:vAlign w:val="center"/>
          </w:tcPr>
          <w:p>
            <w:pPr>
              <w:pStyle w:val="39"/>
              <w:rPr>
                <w:rFonts w:ascii="Times New Roman" w:hAnsi="Times New Roman"/>
              </w:rPr>
            </w:pPr>
            <w:r>
              <w:rPr>
                <w:rFonts w:ascii="Times New Roman" w:hAnsi="Times New Roman"/>
              </w:rPr>
              <w:t>0.0025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229" w:type="pct"/>
            <w:vMerge w:val="continue"/>
            <w:vAlign w:val="center"/>
          </w:tcPr>
          <w:p>
            <w:pPr>
              <w:pStyle w:val="39"/>
              <w:rPr>
                <w:rFonts w:ascii="Times New Roman" w:hAnsi="Times New Roman"/>
              </w:rPr>
            </w:pPr>
          </w:p>
        </w:tc>
        <w:tc>
          <w:tcPr>
            <w:tcW w:w="587" w:type="pct"/>
            <w:vMerge w:val="continue"/>
            <w:vAlign w:val="center"/>
          </w:tcPr>
          <w:p>
            <w:pPr>
              <w:pStyle w:val="39"/>
              <w:rPr>
                <w:rFonts w:ascii="Times New Roman" w:hAnsi="Times New Roman"/>
              </w:rPr>
            </w:pPr>
          </w:p>
        </w:tc>
        <w:tc>
          <w:tcPr>
            <w:tcW w:w="431" w:type="pct"/>
            <w:vMerge w:val="continue"/>
            <w:vAlign w:val="center"/>
          </w:tcPr>
          <w:p>
            <w:pPr>
              <w:pStyle w:val="39"/>
              <w:rPr>
                <w:rFonts w:ascii="Times New Roman" w:hAnsi="Times New Roman"/>
              </w:rPr>
            </w:pPr>
          </w:p>
        </w:tc>
        <w:tc>
          <w:tcPr>
            <w:tcW w:w="472" w:type="pct"/>
            <w:vMerge w:val="continue"/>
            <w:vAlign w:val="center"/>
          </w:tcPr>
          <w:p>
            <w:pPr>
              <w:pStyle w:val="39"/>
              <w:rPr>
                <w:rFonts w:ascii="Times New Roman" w:hAnsi="Times New Roman"/>
              </w:rPr>
            </w:pPr>
          </w:p>
        </w:tc>
        <w:tc>
          <w:tcPr>
            <w:tcW w:w="413" w:type="pct"/>
            <w:vMerge w:val="continue"/>
            <w:vAlign w:val="center"/>
          </w:tcPr>
          <w:p>
            <w:pPr>
              <w:pStyle w:val="39"/>
              <w:rPr>
                <w:rFonts w:ascii="Times New Roman" w:hAnsi="Times New Roman"/>
              </w:rPr>
            </w:pPr>
          </w:p>
        </w:tc>
        <w:tc>
          <w:tcPr>
            <w:tcW w:w="413" w:type="pct"/>
            <w:vMerge w:val="continue"/>
            <w:vAlign w:val="center"/>
          </w:tcPr>
          <w:p>
            <w:pPr>
              <w:pStyle w:val="39"/>
              <w:rPr>
                <w:rFonts w:ascii="Times New Roman" w:hAnsi="Times New Roman"/>
              </w:rPr>
            </w:pPr>
          </w:p>
        </w:tc>
        <w:tc>
          <w:tcPr>
            <w:tcW w:w="413" w:type="pct"/>
            <w:vMerge w:val="continue"/>
            <w:vAlign w:val="center"/>
          </w:tcPr>
          <w:p>
            <w:pPr>
              <w:pStyle w:val="39"/>
              <w:rPr>
                <w:rFonts w:ascii="Times New Roman" w:hAnsi="Times New Roman"/>
              </w:rPr>
            </w:pPr>
          </w:p>
        </w:tc>
        <w:tc>
          <w:tcPr>
            <w:tcW w:w="413" w:type="pct"/>
            <w:vMerge w:val="continue"/>
            <w:vAlign w:val="center"/>
          </w:tcPr>
          <w:p>
            <w:pPr>
              <w:pStyle w:val="39"/>
              <w:rPr>
                <w:rFonts w:ascii="Times New Roman" w:hAnsi="Times New Roman"/>
              </w:rPr>
            </w:pPr>
          </w:p>
        </w:tc>
        <w:tc>
          <w:tcPr>
            <w:tcW w:w="411" w:type="pct"/>
            <w:vMerge w:val="continue"/>
            <w:vAlign w:val="center"/>
          </w:tcPr>
          <w:p>
            <w:pPr>
              <w:pStyle w:val="39"/>
              <w:rPr>
                <w:rFonts w:ascii="Times New Roman" w:hAnsi="Times New Roman"/>
              </w:rPr>
            </w:pPr>
          </w:p>
        </w:tc>
        <w:tc>
          <w:tcPr>
            <w:tcW w:w="403" w:type="pct"/>
            <w:vMerge w:val="continue"/>
            <w:vAlign w:val="center"/>
          </w:tcPr>
          <w:p>
            <w:pPr>
              <w:pStyle w:val="39"/>
              <w:rPr>
                <w:rFonts w:ascii="Times New Roman" w:hAnsi="Times New Roman"/>
              </w:rPr>
            </w:pPr>
          </w:p>
        </w:tc>
        <w:tc>
          <w:tcPr>
            <w:tcW w:w="409" w:type="pct"/>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405" w:type="pct"/>
            <w:vAlign w:val="center"/>
          </w:tcPr>
          <w:p>
            <w:pPr>
              <w:pStyle w:val="39"/>
              <w:rPr>
                <w:rFonts w:ascii="Times New Roman" w:hAnsi="Times New Roman"/>
              </w:rPr>
            </w:pPr>
            <w:r>
              <w:rPr>
                <w:rFonts w:ascii="Times New Roman" w:hAnsi="Times New Roma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229" w:type="pct"/>
            <w:vMerge w:val="restart"/>
            <w:vAlign w:val="center"/>
          </w:tcPr>
          <w:p>
            <w:pPr>
              <w:pStyle w:val="39"/>
              <w:rPr>
                <w:rFonts w:ascii="Times New Roman" w:hAnsi="Times New Roman"/>
              </w:rPr>
            </w:pPr>
            <w:r>
              <w:rPr>
                <w:rFonts w:ascii="Times New Roman" w:hAnsi="Times New Roman"/>
              </w:rPr>
              <w:t>2</w:t>
            </w:r>
          </w:p>
        </w:tc>
        <w:tc>
          <w:tcPr>
            <w:tcW w:w="587" w:type="pct"/>
            <w:vMerge w:val="restart"/>
            <w:vAlign w:val="center"/>
          </w:tcPr>
          <w:p>
            <w:pPr>
              <w:pStyle w:val="39"/>
              <w:rPr>
                <w:rFonts w:ascii="Times New Roman" w:hAnsi="Times New Roman"/>
              </w:rPr>
            </w:pPr>
            <w:r>
              <w:rPr>
                <w:rFonts w:ascii="Times New Roman" w:hAnsi="Times New Roman"/>
              </w:rPr>
              <w:t>宣兴1井站</w:t>
            </w:r>
          </w:p>
        </w:tc>
        <w:tc>
          <w:tcPr>
            <w:tcW w:w="431" w:type="pct"/>
            <w:vMerge w:val="restart"/>
            <w:vAlign w:val="center"/>
          </w:tcPr>
          <w:p>
            <w:pPr>
              <w:pStyle w:val="39"/>
              <w:rPr>
                <w:rFonts w:ascii="Times New Roman" w:hAnsi="Times New Roman"/>
              </w:rPr>
            </w:pPr>
            <w:r>
              <w:rPr>
                <w:rFonts w:ascii="Times New Roman" w:hAnsi="Times New Roman"/>
              </w:rPr>
              <w:t>770636.35</w:t>
            </w:r>
          </w:p>
        </w:tc>
        <w:tc>
          <w:tcPr>
            <w:tcW w:w="472" w:type="pct"/>
            <w:vMerge w:val="restart"/>
            <w:vAlign w:val="center"/>
          </w:tcPr>
          <w:p>
            <w:pPr>
              <w:pStyle w:val="39"/>
              <w:rPr>
                <w:rFonts w:ascii="Times New Roman" w:hAnsi="Times New Roman"/>
              </w:rPr>
            </w:pPr>
            <w:r>
              <w:rPr>
                <w:rFonts w:ascii="Times New Roman" w:hAnsi="Times New Roman"/>
              </w:rPr>
              <w:t>3483553.41</w:t>
            </w:r>
          </w:p>
        </w:tc>
        <w:tc>
          <w:tcPr>
            <w:tcW w:w="413" w:type="pct"/>
            <w:vMerge w:val="restart"/>
            <w:vAlign w:val="center"/>
          </w:tcPr>
          <w:p>
            <w:pPr>
              <w:pStyle w:val="39"/>
              <w:rPr>
                <w:rFonts w:ascii="Times New Roman" w:hAnsi="Times New Roman"/>
              </w:rPr>
            </w:pPr>
            <w:r>
              <w:rPr>
                <w:rFonts w:ascii="Times New Roman" w:hAnsi="Times New Roman"/>
              </w:rPr>
              <w:t>944</w:t>
            </w:r>
          </w:p>
        </w:tc>
        <w:tc>
          <w:tcPr>
            <w:tcW w:w="413" w:type="pct"/>
            <w:vMerge w:val="restart"/>
            <w:vAlign w:val="center"/>
          </w:tcPr>
          <w:p>
            <w:pPr>
              <w:pStyle w:val="39"/>
              <w:rPr>
                <w:rFonts w:ascii="Times New Roman" w:hAnsi="Times New Roman"/>
              </w:rPr>
            </w:pPr>
            <w:r>
              <w:rPr>
                <w:rFonts w:ascii="Times New Roman" w:hAnsi="Times New Roman"/>
              </w:rPr>
              <w:t>70</w:t>
            </w:r>
          </w:p>
        </w:tc>
        <w:tc>
          <w:tcPr>
            <w:tcW w:w="413" w:type="pct"/>
            <w:vMerge w:val="restart"/>
            <w:vAlign w:val="center"/>
          </w:tcPr>
          <w:p>
            <w:pPr>
              <w:pStyle w:val="39"/>
              <w:rPr>
                <w:rFonts w:ascii="Times New Roman" w:hAnsi="Times New Roman"/>
              </w:rPr>
            </w:pPr>
            <w:r>
              <w:rPr>
                <w:rFonts w:ascii="Times New Roman" w:hAnsi="Times New Roman"/>
              </w:rPr>
              <w:t>20</w:t>
            </w:r>
          </w:p>
        </w:tc>
        <w:tc>
          <w:tcPr>
            <w:tcW w:w="413" w:type="pct"/>
            <w:vMerge w:val="restart"/>
            <w:vAlign w:val="center"/>
          </w:tcPr>
          <w:p>
            <w:pPr>
              <w:pStyle w:val="39"/>
              <w:rPr>
                <w:rFonts w:ascii="Times New Roman" w:hAnsi="Times New Roman"/>
              </w:rPr>
            </w:pPr>
            <w:r>
              <w:rPr>
                <w:rFonts w:ascii="Times New Roman" w:hAnsi="Times New Roman"/>
              </w:rPr>
              <w:t>1.5</w:t>
            </w:r>
          </w:p>
        </w:tc>
        <w:tc>
          <w:tcPr>
            <w:tcW w:w="411" w:type="pct"/>
            <w:vMerge w:val="restart"/>
            <w:vAlign w:val="center"/>
          </w:tcPr>
          <w:p>
            <w:pPr>
              <w:pStyle w:val="39"/>
              <w:rPr>
                <w:rFonts w:ascii="Times New Roman" w:hAnsi="Times New Roman"/>
              </w:rPr>
            </w:pPr>
            <w:r>
              <w:rPr>
                <w:rFonts w:ascii="Times New Roman" w:hAnsi="Times New Roman"/>
              </w:rPr>
              <w:t>8000</w:t>
            </w:r>
          </w:p>
        </w:tc>
        <w:tc>
          <w:tcPr>
            <w:tcW w:w="403" w:type="pct"/>
            <w:vMerge w:val="restart"/>
            <w:vAlign w:val="center"/>
          </w:tcPr>
          <w:p>
            <w:pPr>
              <w:pStyle w:val="39"/>
              <w:rPr>
                <w:rFonts w:ascii="Times New Roman" w:hAnsi="Times New Roman"/>
              </w:rPr>
            </w:pPr>
            <w:r>
              <w:rPr>
                <w:rFonts w:ascii="Times New Roman" w:hAnsi="Times New Roman"/>
              </w:rPr>
              <w:t>正常工况</w:t>
            </w:r>
          </w:p>
        </w:tc>
        <w:tc>
          <w:tcPr>
            <w:tcW w:w="409" w:type="pct"/>
            <w:vAlign w:val="center"/>
          </w:tcPr>
          <w:p>
            <w:pPr>
              <w:pStyle w:val="39"/>
              <w:rPr>
                <w:rFonts w:ascii="Times New Roman" w:hAnsi="Times New Roman"/>
              </w:rPr>
            </w:pPr>
            <w:r>
              <w:rPr>
                <w:rFonts w:ascii="Times New Roman" w:hAnsi="Times New Roman"/>
              </w:rPr>
              <w:t>NMHC</w:t>
            </w:r>
          </w:p>
        </w:tc>
        <w:tc>
          <w:tcPr>
            <w:tcW w:w="405" w:type="pct"/>
            <w:vAlign w:val="center"/>
          </w:tcPr>
          <w:p>
            <w:pPr>
              <w:pStyle w:val="39"/>
              <w:rPr>
                <w:rFonts w:ascii="Times New Roman" w:hAnsi="Times New Roman"/>
              </w:rPr>
            </w:pPr>
            <w:r>
              <w:rPr>
                <w:rFonts w:ascii="Times New Roman" w:hAnsi="Times New Roman"/>
              </w:rPr>
              <w:t>0.0584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229" w:type="pct"/>
            <w:vMerge w:val="continue"/>
            <w:vAlign w:val="center"/>
          </w:tcPr>
          <w:p>
            <w:pPr>
              <w:pStyle w:val="39"/>
              <w:rPr>
                <w:rFonts w:ascii="Times New Roman" w:hAnsi="Times New Roman"/>
              </w:rPr>
            </w:pPr>
          </w:p>
        </w:tc>
        <w:tc>
          <w:tcPr>
            <w:tcW w:w="587" w:type="pct"/>
            <w:vMerge w:val="continue"/>
            <w:vAlign w:val="center"/>
          </w:tcPr>
          <w:p>
            <w:pPr>
              <w:pStyle w:val="39"/>
              <w:rPr>
                <w:rFonts w:ascii="Times New Roman" w:hAnsi="Times New Roman"/>
              </w:rPr>
            </w:pPr>
          </w:p>
        </w:tc>
        <w:tc>
          <w:tcPr>
            <w:tcW w:w="431" w:type="pct"/>
            <w:vMerge w:val="continue"/>
            <w:vAlign w:val="center"/>
          </w:tcPr>
          <w:p>
            <w:pPr>
              <w:pStyle w:val="39"/>
              <w:rPr>
                <w:rFonts w:ascii="Times New Roman" w:hAnsi="Times New Roman"/>
              </w:rPr>
            </w:pPr>
          </w:p>
        </w:tc>
        <w:tc>
          <w:tcPr>
            <w:tcW w:w="472" w:type="pct"/>
            <w:vMerge w:val="continue"/>
            <w:vAlign w:val="center"/>
          </w:tcPr>
          <w:p>
            <w:pPr>
              <w:pStyle w:val="39"/>
              <w:rPr>
                <w:rFonts w:ascii="Times New Roman" w:hAnsi="Times New Roman"/>
              </w:rPr>
            </w:pPr>
          </w:p>
        </w:tc>
        <w:tc>
          <w:tcPr>
            <w:tcW w:w="413" w:type="pct"/>
            <w:vMerge w:val="continue"/>
            <w:vAlign w:val="center"/>
          </w:tcPr>
          <w:p>
            <w:pPr>
              <w:pStyle w:val="39"/>
              <w:rPr>
                <w:rFonts w:ascii="Times New Roman" w:hAnsi="Times New Roman"/>
              </w:rPr>
            </w:pPr>
          </w:p>
        </w:tc>
        <w:tc>
          <w:tcPr>
            <w:tcW w:w="413" w:type="pct"/>
            <w:vMerge w:val="continue"/>
            <w:vAlign w:val="center"/>
          </w:tcPr>
          <w:p>
            <w:pPr>
              <w:pStyle w:val="39"/>
              <w:rPr>
                <w:rFonts w:ascii="Times New Roman" w:hAnsi="Times New Roman"/>
              </w:rPr>
            </w:pPr>
          </w:p>
        </w:tc>
        <w:tc>
          <w:tcPr>
            <w:tcW w:w="413" w:type="pct"/>
            <w:vMerge w:val="continue"/>
            <w:vAlign w:val="center"/>
          </w:tcPr>
          <w:p>
            <w:pPr>
              <w:pStyle w:val="39"/>
              <w:rPr>
                <w:rFonts w:ascii="Times New Roman" w:hAnsi="Times New Roman"/>
              </w:rPr>
            </w:pPr>
          </w:p>
        </w:tc>
        <w:tc>
          <w:tcPr>
            <w:tcW w:w="413" w:type="pct"/>
            <w:vMerge w:val="continue"/>
            <w:vAlign w:val="center"/>
          </w:tcPr>
          <w:p>
            <w:pPr>
              <w:pStyle w:val="39"/>
              <w:rPr>
                <w:rFonts w:ascii="Times New Roman" w:hAnsi="Times New Roman"/>
              </w:rPr>
            </w:pPr>
          </w:p>
        </w:tc>
        <w:tc>
          <w:tcPr>
            <w:tcW w:w="411" w:type="pct"/>
            <w:vMerge w:val="continue"/>
            <w:vAlign w:val="center"/>
          </w:tcPr>
          <w:p>
            <w:pPr>
              <w:pStyle w:val="39"/>
              <w:rPr>
                <w:rFonts w:ascii="Times New Roman" w:hAnsi="Times New Roman"/>
              </w:rPr>
            </w:pPr>
          </w:p>
        </w:tc>
        <w:tc>
          <w:tcPr>
            <w:tcW w:w="403" w:type="pct"/>
            <w:vMerge w:val="continue"/>
            <w:vAlign w:val="center"/>
          </w:tcPr>
          <w:p>
            <w:pPr>
              <w:pStyle w:val="39"/>
              <w:rPr>
                <w:rFonts w:ascii="Times New Roman" w:hAnsi="Times New Roman"/>
              </w:rPr>
            </w:pPr>
          </w:p>
        </w:tc>
        <w:tc>
          <w:tcPr>
            <w:tcW w:w="409" w:type="pct"/>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405" w:type="pct"/>
            <w:vAlign w:val="center"/>
          </w:tcPr>
          <w:p>
            <w:pPr>
              <w:pStyle w:val="39"/>
              <w:rPr>
                <w:rFonts w:ascii="Times New Roman" w:hAnsi="Times New Roman"/>
              </w:rPr>
            </w:pPr>
            <w:r>
              <w:rPr>
                <w:rFonts w:ascii="Times New Roman" w:hAnsi="Times New Roman"/>
              </w:rPr>
              <w:t>0.013</w:t>
            </w:r>
          </w:p>
        </w:tc>
      </w:tr>
      <w:bookmarkEnd w:id="202"/>
    </w:tbl>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sectPr>
          <w:pgSz w:w="16838" w:h="11906" w:orient="landscape"/>
          <w:pgMar w:top="1800" w:right="1440" w:bottom="1800" w:left="1440" w:header="851" w:footer="992" w:gutter="0"/>
          <w:cols w:space="425" w:num="1"/>
          <w:docGrid w:type="lines" w:linePitch="326" w:charSpace="0"/>
        </w:sectPr>
      </w:pPr>
    </w:p>
    <w:p>
      <w:pPr>
        <w:ind w:left="480" w:firstLine="0" w:firstLineChars="0"/>
        <w:rPr>
          <w:rFonts w:ascii="Times New Roman" w:hAnsi="Times New Roman"/>
        </w:rPr>
      </w:pPr>
      <w:r>
        <w:rPr>
          <w:rFonts w:ascii="Times New Roman" w:hAnsi="Times New Roman"/>
        </w:rPr>
        <w:t>（5）预测结果</w:t>
      </w:r>
    </w:p>
    <w:p>
      <w:pPr>
        <w:ind w:firstLine="480"/>
        <w:rPr>
          <w:rFonts w:ascii="Times New Roman" w:hAnsi="Times New Roman"/>
        </w:rPr>
      </w:pPr>
      <w:r>
        <w:rPr>
          <w:rFonts w:ascii="Times New Roman" w:hAnsi="Times New Roman"/>
        </w:rPr>
        <w:t>宣探1井站正常工况下，水套加热炉排气筒各污染物</w:t>
      </w:r>
      <w:r>
        <w:rPr>
          <w:rFonts w:ascii="Times New Roman" w:hAnsi="Times New Roman"/>
          <w:bCs/>
        </w:rPr>
        <w:t>下风向落地浓度及占标率见</w:t>
      </w:r>
      <w:r>
        <w:rPr>
          <w:rFonts w:ascii="Times New Roman" w:hAnsi="Times New Roman"/>
          <w:bCs/>
        </w:rPr>
        <w:fldChar w:fldCharType="begin"/>
      </w:r>
      <w:r>
        <w:rPr>
          <w:rFonts w:ascii="Times New Roman" w:hAnsi="Times New Roman"/>
          <w:bCs/>
        </w:rPr>
        <w:instrText xml:space="preserve"> REF _Ref156231404 \h  \* MERGEFORMAT </w:instrText>
      </w:r>
      <w:r>
        <w:rPr>
          <w:rFonts w:ascii="Times New Roman" w:hAnsi="Times New Roman"/>
          <w:bCs/>
        </w:rPr>
        <w:fldChar w:fldCharType="separate"/>
      </w:r>
      <w:r>
        <w:rPr>
          <w:rFonts w:ascii="Times New Roman" w:hAnsi="Times New Roman"/>
        </w:rPr>
        <w:t>表 6</w:t>
      </w:r>
      <w:r>
        <w:rPr>
          <w:rFonts w:ascii="Times New Roman" w:hAnsi="Times New Roman"/>
        </w:rPr>
        <w:noBreakHyphen/>
      </w:r>
      <w:r>
        <w:rPr>
          <w:rFonts w:ascii="Times New Roman" w:hAnsi="Times New Roman"/>
        </w:rPr>
        <w:t>6</w:t>
      </w:r>
      <w:r>
        <w:rPr>
          <w:rFonts w:ascii="Times New Roman" w:hAnsi="Times New Roman"/>
          <w:bCs/>
        </w:rPr>
        <w:fldChar w:fldCharType="end"/>
      </w:r>
      <w:r>
        <w:rPr>
          <w:rFonts w:ascii="Times New Roman" w:hAnsi="Times New Roman"/>
          <w:bCs/>
        </w:rPr>
        <w:t>，无组织面源</w:t>
      </w:r>
      <w:r>
        <w:rPr>
          <w:rFonts w:ascii="Times New Roman" w:hAnsi="Times New Roman"/>
        </w:rPr>
        <w:t>各污染物</w:t>
      </w:r>
      <w:r>
        <w:rPr>
          <w:rFonts w:ascii="Times New Roman" w:hAnsi="Times New Roman"/>
          <w:bCs/>
        </w:rPr>
        <w:t>下风向落地浓度及占标率见</w:t>
      </w:r>
      <w:r>
        <w:rPr>
          <w:rFonts w:ascii="Times New Roman" w:hAnsi="Times New Roman"/>
          <w:bCs/>
        </w:rPr>
        <w:fldChar w:fldCharType="begin"/>
      </w:r>
      <w:r>
        <w:rPr>
          <w:rFonts w:ascii="Times New Roman" w:hAnsi="Times New Roman"/>
          <w:bCs/>
        </w:rPr>
        <w:instrText xml:space="preserve"> REF _Ref156231501 \h  \* MERGEFORMAT </w:instrText>
      </w:r>
      <w:r>
        <w:rPr>
          <w:rFonts w:ascii="Times New Roman" w:hAnsi="Times New Roman"/>
          <w:bCs/>
        </w:rPr>
        <w:fldChar w:fldCharType="separate"/>
      </w:r>
      <w:r>
        <w:rPr>
          <w:rFonts w:ascii="Times New Roman" w:hAnsi="Times New Roman"/>
        </w:rPr>
        <w:t>表 6</w:t>
      </w:r>
      <w:r>
        <w:rPr>
          <w:rFonts w:ascii="Times New Roman" w:hAnsi="Times New Roman"/>
        </w:rPr>
        <w:noBreakHyphen/>
      </w:r>
      <w:r>
        <w:rPr>
          <w:rFonts w:ascii="Times New Roman" w:hAnsi="Times New Roman"/>
        </w:rPr>
        <w:t>8</w:t>
      </w:r>
      <w:r>
        <w:rPr>
          <w:rFonts w:ascii="Times New Roman" w:hAnsi="Times New Roman"/>
          <w:bCs/>
        </w:rPr>
        <w:fldChar w:fldCharType="end"/>
      </w:r>
      <w:r>
        <w:rPr>
          <w:rFonts w:ascii="Times New Roman" w:hAnsi="Times New Roman"/>
          <w:bCs/>
        </w:rPr>
        <w:t>。</w:t>
      </w:r>
      <w:r>
        <w:rPr>
          <w:rFonts w:ascii="Times New Roman" w:hAnsi="Times New Roman"/>
        </w:rPr>
        <w:t>SO</w:t>
      </w:r>
      <w:r>
        <w:rPr>
          <w:rFonts w:ascii="Times New Roman" w:hAnsi="Times New Roman"/>
          <w:vertAlign w:val="subscript"/>
        </w:rPr>
        <w:t>2</w:t>
      </w:r>
      <w:r>
        <w:rPr>
          <w:rFonts w:ascii="Times New Roman" w:hAnsi="Times New Roman"/>
        </w:rPr>
        <w:t>最大落地浓度0.068 μg/m</w:t>
      </w:r>
      <w:r>
        <w:rPr>
          <w:rFonts w:ascii="Times New Roman" w:hAnsi="Times New Roman"/>
          <w:vertAlign w:val="superscript"/>
        </w:rPr>
        <w:t>3</w:t>
      </w:r>
      <w:r>
        <w:rPr>
          <w:rFonts w:ascii="Times New Roman" w:hAnsi="Times New Roman"/>
        </w:rPr>
        <w:t>，占标率为0.01%；NO</w:t>
      </w:r>
      <w:r>
        <w:rPr>
          <w:rFonts w:ascii="Times New Roman" w:hAnsi="Times New Roman"/>
          <w:vertAlign w:val="subscript"/>
        </w:rPr>
        <w:t>X</w:t>
      </w:r>
      <w:r>
        <w:rPr>
          <w:rFonts w:ascii="Times New Roman" w:hAnsi="Times New Roman"/>
        </w:rPr>
        <w:t>最大落地浓度2.677 μg/m</w:t>
      </w:r>
      <w:r>
        <w:rPr>
          <w:rFonts w:ascii="Times New Roman" w:hAnsi="Times New Roman"/>
          <w:vertAlign w:val="superscript"/>
        </w:rPr>
        <w:t>3</w:t>
      </w:r>
      <w:r>
        <w:rPr>
          <w:rFonts w:ascii="Times New Roman" w:hAnsi="Times New Roman"/>
        </w:rPr>
        <w:t>，占标率为1.07%；PM</w:t>
      </w:r>
      <w:r>
        <w:rPr>
          <w:rFonts w:ascii="Times New Roman" w:hAnsi="Times New Roman"/>
          <w:vertAlign w:val="subscript"/>
        </w:rPr>
        <w:t>10</w:t>
      </w:r>
      <w:r>
        <w:rPr>
          <w:rFonts w:ascii="Times New Roman" w:hAnsi="Times New Roman"/>
        </w:rPr>
        <w:t>最大落地浓度0.269 μg/m</w:t>
      </w:r>
      <w:r>
        <w:rPr>
          <w:rFonts w:ascii="Times New Roman" w:hAnsi="Times New Roman"/>
          <w:vertAlign w:val="superscript"/>
        </w:rPr>
        <w:t>3</w:t>
      </w:r>
      <w:r>
        <w:rPr>
          <w:rFonts w:ascii="Times New Roman" w:hAnsi="Times New Roman"/>
        </w:rPr>
        <w:t>，占标率为0.06%；最大浓度出现距离为15m。无组织排放的H</w:t>
      </w:r>
      <w:r>
        <w:rPr>
          <w:rFonts w:ascii="Times New Roman" w:hAnsi="Times New Roman"/>
          <w:vertAlign w:val="subscript"/>
        </w:rPr>
        <w:t>2</w:t>
      </w:r>
      <w:r>
        <w:rPr>
          <w:rFonts w:ascii="Times New Roman" w:hAnsi="Times New Roman"/>
        </w:rPr>
        <w:t>S最大落地浓度0.205 μg/m</w:t>
      </w:r>
      <w:r>
        <w:rPr>
          <w:rFonts w:ascii="Times New Roman" w:hAnsi="Times New Roman"/>
          <w:vertAlign w:val="superscript"/>
        </w:rPr>
        <w:t>3</w:t>
      </w:r>
      <w:r>
        <w:rPr>
          <w:rFonts w:ascii="Times New Roman" w:hAnsi="Times New Roman"/>
        </w:rPr>
        <w:t>，占标率为2.05%；NMHC最大落地浓度1.538 μg/m</w:t>
      </w:r>
      <w:r>
        <w:rPr>
          <w:rFonts w:ascii="Times New Roman" w:hAnsi="Times New Roman"/>
          <w:vertAlign w:val="superscript"/>
        </w:rPr>
        <w:t>3</w:t>
      </w:r>
      <w:r>
        <w:rPr>
          <w:rFonts w:ascii="Times New Roman" w:hAnsi="Times New Roman"/>
        </w:rPr>
        <w:t>，占标率为0.08%；最大落地浓度出现的距离为143m。</w:t>
      </w:r>
    </w:p>
    <w:p>
      <w:pPr>
        <w:ind w:firstLine="480"/>
        <w:rPr>
          <w:rFonts w:ascii="Times New Roman" w:hAnsi="Times New Roman"/>
        </w:rPr>
      </w:pPr>
      <w:r>
        <w:rPr>
          <w:rFonts w:ascii="Times New Roman" w:hAnsi="Times New Roman"/>
        </w:rPr>
        <w:t>宣兴1井站正常工况下，水套加热炉排气筒各污染物</w:t>
      </w:r>
      <w:r>
        <w:rPr>
          <w:rFonts w:ascii="Times New Roman" w:hAnsi="Times New Roman"/>
          <w:bCs/>
        </w:rPr>
        <w:t>下风向落地浓度及占标率见</w:t>
      </w:r>
      <w:r>
        <w:rPr>
          <w:rFonts w:ascii="Times New Roman" w:hAnsi="Times New Roman"/>
          <w:bCs/>
        </w:rPr>
        <w:fldChar w:fldCharType="begin"/>
      </w:r>
      <w:r>
        <w:rPr>
          <w:rFonts w:ascii="Times New Roman" w:hAnsi="Times New Roman"/>
          <w:bCs/>
        </w:rPr>
        <w:instrText xml:space="preserve"> REF _Ref156232991 \h  \* MERGEFORMAT </w:instrText>
      </w:r>
      <w:r>
        <w:rPr>
          <w:rFonts w:ascii="Times New Roman" w:hAnsi="Times New Roman"/>
          <w:bCs/>
        </w:rPr>
        <w:fldChar w:fldCharType="separate"/>
      </w:r>
      <w:r>
        <w:rPr>
          <w:rFonts w:ascii="Times New Roman" w:hAnsi="Times New Roman"/>
        </w:rPr>
        <w:t>表 6</w:t>
      </w:r>
      <w:r>
        <w:rPr>
          <w:rFonts w:ascii="Times New Roman" w:hAnsi="Times New Roman"/>
        </w:rPr>
        <w:noBreakHyphen/>
      </w:r>
      <w:r>
        <w:rPr>
          <w:rFonts w:ascii="Times New Roman" w:hAnsi="Times New Roman"/>
        </w:rPr>
        <w:t>7</w:t>
      </w:r>
      <w:r>
        <w:rPr>
          <w:rFonts w:ascii="Times New Roman" w:hAnsi="Times New Roman"/>
          <w:bCs/>
        </w:rPr>
        <w:fldChar w:fldCharType="end"/>
      </w:r>
      <w:r>
        <w:rPr>
          <w:rFonts w:ascii="Times New Roman" w:hAnsi="Times New Roman"/>
          <w:bCs/>
        </w:rPr>
        <w:t>，无组织面源</w:t>
      </w:r>
      <w:r>
        <w:rPr>
          <w:rFonts w:ascii="Times New Roman" w:hAnsi="Times New Roman"/>
        </w:rPr>
        <w:t>各污染物</w:t>
      </w:r>
      <w:r>
        <w:rPr>
          <w:rFonts w:ascii="Times New Roman" w:hAnsi="Times New Roman"/>
          <w:bCs/>
        </w:rPr>
        <w:t>下风向落地浓度及占标率见</w:t>
      </w:r>
      <w:r>
        <w:rPr>
          <w:rFonts w:ascii="Times New Roman" w:hAnsi="Times New Roman"/>
          <w:bCs/>
        </w:rPr>
        <w:fldChar w:fldCharType="begin"/>
      </w:r>
      <w:r>
        <w:rPr>
          <w:rFonts w:ascii="Times New Roman" w:hAnsi="Times New Roman"/>
          <w:bCs/>
        </w:rPr>
        <w:instrText xml:space="preserve"> REF _Ref156231501 \h  \* MERGEFORMAT </w:instrText>
      </w:r>
      <w:r>
        <w:rPr>
          <w:rFonts w:ascii="Times New Roman" w:hAnsi="Times New Roman"/>
          <w:bCs/>
        </w:rPr>
        <w:fldChar w:fldCharType="separate"/>
      </w:r>
      <w:r>
        <w:rPr>
          <w:rFonts w:ascii="Times New Roman" w:hAnsi="Times New Roman"/>
        </w:rPr>
        <w:t>表 6</w:t>
      </w:r>
      <w:r>
        <w:rPr>
          <w:rFonts w:ascii="Times New Roman" w:hAnsi="Times New Roman"/>
        </w:rPr>
        <w:noBreakHyphen/>
      </w:r>
      <w:r>
        <w:rPr>
          <w:rFonts w:ascii="Times New Roman" w:hAnsi="Times New Roman"/>
        </w:rPr>
        <w:t>8</w:t>
      </w:r>
      <w:r>
        <w:rPr>
          <w:rFonts w:ascii="Times New Roman" w:hAnsi="Times New Roman"/>
          <w:bCs/>
        </w:rPr>
        <w:fldChar w:fldCharType="end"/>
      </w:r>
      <w:r>
        <w:rPr>
          <w:rFonts w:ascii="Times New Roman" w:hAnsi="Times New Roman"/>
          <w:bCs/>
        </w:rPr>
        <w:t>。</w:t>
      </w:r>
      <w:r>
        <w:rPr>
          <w:rFonts w:ascii="Times New Roman" w:hAnsi="Times New Roman"/>
        </w:rPr>
        <w:t>SO</w:t>
      </w:r>
      <w:r>
        <w:rPr>
          <w:rFonts w:ascii="Times New Roman" w:hAnsi="Times New Roman"/>
          <w:vertAlign w:val="subscript"/>
        </w:rPr>
        <w:t>2</w:t>
      </w:r>
      <w:r>
        <w:rPr>
          <w:rFonts w:ascii="Times New Roman" w:hAnsi="Times New Roman"/>
        </w:rPr>
        <w:t>最大落地浓度0.103 μg/m</w:t>
      </w:r>
      <w:r>
        <w:rPr>
          <w:rFonts w:ascii="Times New Roman" w:hAnsi="Times New Roman"/>
          <w:vertAlign w:val="superscript"/>
        </w:rPr>
        <w:t>3</w:t>
      </w:r>
      <w:r>
        <w:rPr>
          <w:rFonts w:ascii="Times New Roman" w:hAnsi="Times New Roman"/>
        </w:rPr>
        <w:t>，占标率为0.02%；NO</w:t>
      </w:r>
      <w:r>
        <w:rPr>
          <w:rFonts w:ascii="Times New Roman" w:hAnsi="Times New Roman"/>
          <w:vertAlign w:val="subscript"/>
        </w:rPr>
        <w:t>X</w:t>
      </w:r>
      <w:r>
        <w:rPr>
          <w:rFonts w:ascii="Times New Roman" w:hAnsi="Times New Roman"/>
        </w:rPr>
        <w:t>最大落地浓度4.038 μg/m</w:t>
      </w:r>
      <w:r>
        <w:rPr>
          <w:rFonts w:ascii="Times New Roman" w:hAnsi="Times New Roman"/>
          <w:vertAlign w:val="superscript"/>
        </w:rPr>
        <w:t>3</w:t>
      </w:r>
      <w:r>
        <w:rPr>
          <w:rFonts w:ascii="Times New Roman" w:hAnsi="Times New Roman"/>
        </w:rPr>
        <w:t>，占标率为1.62%；PM</w:t>
      </w:r>
      <w:r>
        <w:rPr>
          <w:rFonts w:ascii="Times New Roman" w:hAnsi="Times New Roman"/>
          <w:vertAlign w:val="subscript"/>
        </w:rPr>
        <w:t>10</w:t>
      </w:r>
      <w:r>
        <w:rPr>
          <w:rFonts w:ascii="Times New Roman" w:hAnsi="Times New Roman"/>
        </w:rPr>
        <w:t>最大落地浓度0.407 μg/m</w:t>
      </w:r>
      <w:r>
        <w:rPr>
          <w:rFonts w:ascii="Times New Roman" w:hAnsi="Times New Roman"/>
          <w:vertAlign w:val="superscript"/>
        </w:rPr>
        <w:t>3</w:t>
      </w:r>
      <w:r>
        <w:rPr>
          <w:rFonts w:ascii="Times New Roman" w:hAnsi="Times New Roman"/>
        </w:rPr>
        <w:t>，占标率为0.09%；最大浓度出现距离为17m。无组织排放的H</w:t>
      </w:r>
      <w:r>
        <w:rPr>
          <w:rFonts w:ascii="Times New Roman" w:hAnsi="Times New Roman"/>
          <w:vertAlign w:val="subscript"/>
        </w:rPr>
        <w:t>2</w:t>
      </w:r>
      <w:r>
        <w:rPr>
          <w:rFonts w:ascii="Times New Roman" w:hAnsi="Times New Roman"/>
        </w:rPr>
        <w:t>S最大落地浓度0.888 μg/m</w:t>
      </w:r>
      <w:r>
        <w:rPr>
          <w:rFonts w:ascii="Times New Roman" w:hAnsi="Times New Roman"/>
          <w:vertAlign w:val="superscript"/>
        </w:rPr>
        <w:t>3</w:t>
      </w:r>
      <w:r>
        <w:rPr>
          <w:rFonts w:ascii="Times New Roman" w:hAnsi="Times New Roman"/>
        </w:rPr>
        <w:t>，占标率为8.88%；NMHC最大落地浓度3.991 μg/m</w:t>
      </w:r>
      <w:r>
        <w:rPr>
          <w:rFonts w:ascii="Times New Roman" w:hAnsi="Times New Roman"/>
          <w:vertAlign w:val="superscript"/>
        </w:rPr>
        <w:t>3</w:t>
      </w:r>
      <w:r>
        <w:rPr>
          <w:rFonts w:ascii="Times New Roman" w:hAnsi="Times New Roman"/>
        </w:rPr>
        <w:t>，占标率为0.20%；最大落地浓度出现的距离为143m。</w:t>
      </w:r>
    </w:p>
    <w:p>
      <w:pPr>
        <w:pStyle w:val="37"/>
        <w:rPr>
          <w:rFonts w:ascii="Times New Roman" w:hAnsi="Times New Roman" w:cs="Times New Roman"/>
        </w:rPr>
      </w:pPr>
      <w:bookmarkStart w:id="203" w:name="_Ref156231404"/>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bookmarkEnd w:id="203"/>
      <w:r>
        <w:rPr>
          <w:rFonts w:ascii="Times New Roman" w:hAnsi="Times New Roman" w:cs="Times New Roman"/>
        </w:rPr>
        <w:t xml:space="preserve">  宣探1井站水套加热炉排气筒估算结果</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1525"/>
        <w:gridCol w:w="1062"/>
        <w:gridCol w:w="1256"/>
        <w:gridCol w:w="1149"/>
        <w:gridCol w:w="1256"/>
        <w:gridCol w:w="11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vMerge w:val="restart"/>
            <w:shd w:val="clear" w:color="000000" w:fill="FFFFFF"/>
            <w:vAlign w:val="center"/>
          </w:tcPr>
          <w:p>
            <w:pPr>
              <w:pStyle w:val="39"/>
              <w:rPr>
                <w:rFonts w:ascii="Times New Roman" w:hAnsi="Times New Roman"/>
              </w:rPr>
            </w:pPr>
            <w:r>
              <w:rPr>
                <w:rFonts w:ascii="Times New Roman" w:hAnsi="Times New Roman"/>
              </w:rPr>
              <w:t>距离(m)</w:t>
            </w:r>
          </w:p>
        </w:tc>
        <w:tc>
          <w:tcPr>
            <w:tcW w:w="1518" w:type="pct"/>
            <w:gridSpan w:val="2"/>
            <w:shd w:val="clear" w:color="auto" w:fill="auto"/>
            <w:vAlign w:val="bottom"/>
          </w:tcPr>
          <w:p>
            <w:pPr>
              <w:pStyle w:val="39"/>
              <w:rPr>
                <w:rFonts w:ascii="Times New Roman" w:hAnsi="Times New Roman"/>
              </w:rPr>
            </w:pPr>
            <w:r>
              <w:rPr>
                <w:rFonts w:ascii="Times New Roman" w:hAnsi="Times New Roman"/>
              </w:rPr>
              <w:t>污染物SO</w:t>
            </w:r>
            <w:r>
              <w:rPr>
                <w:rFonts w:ascii="Times New Roman" w:hAnsi="Times New Roman"/>
                <w:vertAlign w:val="subscript"/>
              </w:rPr>
              <w:t>2</w:t>
            </w:r>
          </w:p>
        </w:tc>
        <w:tc>
          <w:tcPr>
            <w:tcW w:w="1411" w:type="pct"/>
            <w:gridSpan w:val="2"/>
            <w:shd w:val="clear" w:color="auto" w:fill="auto"/>
            <w:vAlign w:val="bottom"/>
          </w:tcPr>
          <w:p>
            <w:pPr>
              <w:pStyle w:val="39"/>
              <w:rPr>
                <w:rFonts w:ascii="Times New Roman" w:hAnsi="Times New Roman"/>
              </w:rPr>
            </w:pPr>
            <w:r>
              <w:rPr>
                <w:rFonts w:ascii="Times New Roman" w:hAnsi="Times New Roman"/>
              </w:rPr>
              <w:t>污染物NO</w:t>
            </w:r>
            <w:r>
              <w:rPr>
                <w:rFonts w:ascii="Times New Roman" w:hAnsi="Times New Roman"/>
                <w:vertAlign w:val="subscript"/>
              </w:rPr>
              <w:t>X</w:t>
            </w:r>
          </w:p>
        </w:tc>
        <w:tc>
          <w:tcPr>
            <w:tcW w:w="1411" w:type="pct"/>
            <w:gridSpan w:val="2"/>
            <w:shd w:val="clear" w:color="auto" w:fill="auto"/>
            <w:vAlign w:val="bottom"/>
          </w:tcPr>
          <w:p>
            <w:pPr>
              <w:pStyle w:val="39"/>
              <w:rPr>
                <w:rFonts w:ascii="Times New Roman" w:hAnsi="Times New Roman"/>
              </w:rPr>
            </w:pPr>
            <w:r>
              <w:rPr>
                <w:rFonts w:ascii="Times New Roman" w:hAnsi="Times New Roman"/>
              </w:rPr>
              <w:t>污染物PM</w:t>
            </w:r>
            <w:r>
              <w:rPr>
                <w:rFonts w:ascii="Times New Roman" w:hAnsi="Times New Roman"/>
                <w:vertAlign w:val="subscript"/>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661" w:type="pct"/>
            <w:vMerge w:val="continue"/>
            <w:vAlign w:val="center"/>
          </w:tcPr>
          <w:p>
            <w:pPr>
              <w:pStyle w:val="39"/>
              <w:rPr>
                <w:rFonts w:ascii="Times New Roman" w:hAnsi="Times New Roman"/>
              </w:rPr>
            </w:pPr>
          </w:p>
        </w:tc>
        <w:tc>
          <w:tcPr>
            <w:tcW w:w="895" w:type="pct"/>
            <w:shd w:val="clear" w:color="000000" w:fill="FFFFFF"/>
            <w:vAlign w:val="center"/>
          </w:tcPr>
          <w:p>
            <w:pPr>
              <w:pStyle w:val="39"/>
              <w:rPr>
                <w:rFonts w:ascii="Times New Roman" w:hAnsi="Times New Roman"/>
              </w:rPr>
            </w:pPr>
            <w:r>
              <w:rPr>
                <w:rFonts w:ascii="Times New Roman" w:hAnsi="Times New Roman"/>
              </w:rPr>
              <w:t>浓度(μg/m</w:t>
            </w:r>
            <w:r>
              <w:rPr>
                <w:rFonts w:ascii="Times New Roman" w:hAnsi="Times New Roman"/>
                <w:vertAlign w:val="superscript"/>
              </w:rPr>
              <w:t>3</w:t>
            </w:r>
            <w:r>
              <w:rPr>
                <w:rFonts w:ascii="Times New Roman" w:hAnsi="Times New Roman"/>
              </w:rPr>
              <w:t>)</w:t>
            </w:r>
          </w:p>
        </w:tc>
        <w:tc>
          <w:tcPr>
            <w:tcW w:w="623" w:type="pct"/>
            <w:shd w:val="clear" w:color="000000" w:fill="FFFFFF"/>
            <w:vAlign w:val="center"/>
          </w:tcPr>
          <w:p>
            <w:pPr>
              <w:pStyle w:val="39"/>
              <w:rPr>
                <w:rFonts w:ascii="Times New Roman" w:hAnsi="Times New Roman"/>
              </w:rPr>
            </w:pPr>
            <w:r>
              <w:rPr>
                <w:rFonts w:ascii="Times New Roman" w:hAnsi="Times New Roman"/>
              </w:rPr>
              <w:t>占标率(%)</w:t>
            </w:r>
          </w:p>
        </w:tc>
        <w:tc>
          <w:tcPr>
            <w:tcW w:w="737" w:type="pct"/>
            <w:shd w:val="clear" w:color="000000" w:fill="FFFFFF"/>
            <w:vAlign w:val="center"/>
          </w:tcPr>
          <w:p>
            <w:pPr>
              <w:pStyle w:val="39"/>
              <w:rPr>
                <w:rFonts w:ascii="Times New Roman" w:hAnsi="Times New Roman"/>
              </w:rPr>
            </w:pPr>
            <w:r>
              <w:rPr>
                <w:rFonts w:ascii="Times New Roman" w:hAnsi="Times New Roman"/>
              </w:rPr>
              <w:t>浓度(μg/m</w:t>
            </w:r>
            <w:r>
              <w:rPr>
                <w:rFonts w:ascii="Times New Roman" w:hAnsi="Times New Roman"/>
                <w:vertAlign w:val="superscript"/>
              </w:rPr>
              <w:t>3</w:t>
            </w:r>
            <w:r>
              <w:rPr>
                <w:rFonts w:ascii="Times New Roman" w:hAnsi="Times New Roman"/>
              </w:rPr>
              <w:t>)</w:t>
            </w:r>
          </w:p>
        </w:tc>
        <w:tc>
          <w:tcPr>
            <w:tcW w:w="674" w:type="pct"/>
            <w:shd w:val="clear" w:color="000000" w:fill="FFFFFF"/>
            <w:vAlign w:val="center"/>
          </w:tcPr>
          <w:p>
            <w:pPr>
              <w:pStyle w:val="39"/>
              <w:rPr>
                <w:rFonts w:ascii="Times New Roman" w:hAnsi="Times New Roman"/>
              </w:rPr>
            </w:pPr>
            <w:r>
              <w:rPr>
                <w:rFonts w:ascii="Times New Roman" w:hAnsi="Times New Roman"/>
              </w:rPr>
              <w:t>占标率(%)</w:t>
            </w:r>
          </w:p>
        </w:tc>
        <w:tc>
          <w:tcPr>
            <w:tcW w:w="737" w:type="pct"/>
            <w:shd w:val="clear" w:color="000000" w:fill="FFFFFF"/>
            <w:vAlign w:val="center"/>
          </w:tcPr>
          <w:p>
            <w:pPr>
              <w:pStyle w:val="39"/>
              <w:rPr>
                <w:rFonts w:ascii="Times New Roman" w:hAnsi="Times New Roman"/>
              </w:rPr>
            </w:pPr>
            <w:r>
              <w:rPr>
                <w:rFonts w:ascii="Times New Roman" w:hAnsi="Times New Roman"/>
              </w:rPr>
              <w:t>浓度(μg/m</w:t>
            </w:r>
            <w:r>
              <w:rPr>
                <w:rFonts w:ascii="Times New Roman" w:hAnsi="Times New Roman"/>
                <w:vertAlign w:val="superscript"/>
              </w:rPr>
              <w:t>3</w:t>
            </w:r>
            <w:r>
              <w:rPr>
                <w:rFonts w:ascii="Times New Roman" w:hAnsi="Times New Roman"/>
              </w:rPr>
              <w:t>)</w:t>
            </w:r>
          </w:p>
        </w:tc>
        <w:tc>
          <w:tcPr>
            <w:tcW w:w="674" w:type="pct"/>
            <w:shd w:val="clear" w:color="000000" w:fill="FFFFFF"/>
            <w:vAlign w:val="center"/>
          </w:tcPr>
          <w:p>
            <w:pPr>
              <w:pStyle w:val="39"/>
              <w:rPr>
                <w:rFonts w:ascii="Times New Roman" w:hAnsi="Times New Roman"/>
              </w:rPr>
            </w:pPr>
            <w:r>
              <w:rPr>
                <w:rFonts w:ascii="Times New Roman" w:hAnsi="Times New Roman"/>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10</w:t>
            </w:r>
          </w:p>
        </w:tc>
        <w:tc>
          <w:tcPr>
            <w:tcW w:w="895" w:type="pct"/>
            <w:shd w:val="clear" w:color="auto" w:fill="auto"/>
            <w:vAlign w:val="center"/>
          </w:tcPr>
          <w:p>
            <w:pPr>
              <w:pStyle w:val="39"/>
              <w:rPr>
                <w:rFonts w:ascii="Times New Roman" w:hAnsi="Times New Roman"/>
              </w:rPr>
            </w:pPr>
            <w:r>
              <w:rPr>
                <w:rFonts w:ascii="Times New Roman" w:hAnsi="Times New Roman"/>
              </w:rPr>
              <w:t>0.046</w:t>
            </w:r>
          </w:p>
        </w:tc>
        <w:tc>
          <w:tcPr>
            <w:tcW w:w="623" w:type="pct"/>
            <w:shd w:val="clear" w:color="auto" w:fill="auto"/>
            <w:vAlign w:val="center"/>
          </w:tcPr>
          <w:p>
            <w:pPr>
              <w:pStyle w:val="39"/>
              <w:rPr>
                <w:rFonts w:ascii="Times New Roman" w:hAnsi="Times New Roman"/>
              </w:rPr>
            </w:pPr>
            <w:r>
              <w:rPr>
                <w:rFonts w:ascii="Times New Roman" w:hAnsi="Times New Roman"/>
              </w:rPr>
              <w:t>0.01</w:t>
            </w:r>
          </w:p>
        </w:tc>
        <w:tc>
          <w:tcPr>
            <w:tcW w:w="737" w:type="pct"/>
            <w:shd w:val="clear" w:color="auto" w:fill="auto"/>
            <w:noWrap/>
            <w:vAlign w:val="center"/>
          </w:tcPr>
          <w:p>
            <w:pPr>
              <w:pStyle w:val="39"/>
              <w:rPr>
                <w:rFonts w:ascii="Times New Roman" w:hAnsi="Times New Roman"/>
              </w:rPr>
            </w:pPr>
            <w:r>
              <w:rPr>
                <w:rFonts w:ascii="Times New Roman" w:hAnsi="Times New Roman"/>
              </w:rPr>
              <w:t>1.811</w:t>
            </w:r>
          </w:p>
        </w:tc>
        <w:tc>
          <w:tcPr>
            <w:tcW w:w="674" w:type="pct"/>
            <w:shd w:val="clear" w:color="auto" w:fill="auto"/>
            <w:noWrap/>
            <w:vAlign w:val="center"/>
          </w:tcPr>
          <w:p>
            <w:pPr>
              <w:pStyle w:val="39"/>
              <w:rPr>
                <w:rFonts w:ascii="Times New Roman" w:hAnsi="Times New Roman"/>
              </w:rPr>
            </w:pPr>
            <w:r>
              <w:rPr>
                <w:rFonts w:ascii="Times New Roman" w:hAnsi="Times New Roman"/>
              </w:rPr>
              <w:t>0.72</w:t>
            </w:r>
          </w:p>
        </w:tc>
        <w:tc>
          <w:tcPr>
            <w:tcW w:w="737" w:type="pct"/>
            <w:shd w:val="clear" w:color="auto" w:fill="auto"/>
            <w:noWrap/>
            <w:vAlign w:val="center"/>
          </w:tcPr>
          <w:p>
            <w:pPr>
              <w:pStyle w:val="39"/>
              <w:rPr>
                <w:rFonts w:ascii="Times New Roman" w:hAnsi="Times New Roman"/>
              </w:rPr>
            </w:pPr>
            <w:r>
              <w:rPr>
                <w:rFonts w:ascii="Times New Roman" w:hAnsi="Times New Roman"/>
              </w:rPr>
              <w:t>0.182</w:t>
            </w:r>
          </w:p>
        </w:tc>
        <w:tc>
          <w:tcPr>
            <w:tcW w:w="674" w:type="pct"/>
            <w:shd w:val="clear" w:color="auto" w:fill="auto"/>
            <w:noWrap/>
            <w:vAlign w:val="center"/>
          </w:tcPr>
          <w:p>
            <w:pPr>
              <w:pStyle w:val="39"/>
              <w:rPr>
                <w:rFonts w:ascii="Times New Roman" w:hAnsi="Times New Roman"/>
              </w:rPr>
            </w:pPr>
            <w:r>
              <w:rPr>
                <w:rFonts w:ascii="Times New Roman" w:hAnsi="Times New Roma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b/>
                <w:bCs/>
              </w:rPr>
            </w:pPr>
            <w:r>
              <w:rPr>
                <w:rFonts w:ascii="Times New Roman" w:hAnsi="Times New Roman"/>
                <w:b/>
                <w:bCs/>
              </w:rPr>
              <w:t>15</w:t>
            </w:r>
          </w:p>
        </w:tc>
        <w:tc>
          <w:tcPr>
            <w:tcW w:w="895" w:type="pct"/>
            <w:shd w:val="clear" w:color="auto" w:fill="auto"/>
            <w:vAlign w:val="center"/>
          </w:tcPr>
          <w:p>
            <w:pPr>
              <w:pStyle w:val="39"/>
              <w:rPr>
                <w:rFonts w:ascii="Times New Roman" w:hAnsi="Times New Roman"/>
                <w:b/>
                <w:bCs/>
              </w:rPr>
            </w:pPr>
            <w:r>
              <w:rPr>
                <w:rFonts w:ascii="Times New Roman" w:hAnsi="Times New Roman"/>
                <w:b/>
                <w:bCs/>
              </w:rPr>
              <w:t>0.068</w:t>
            </w:r>
          </w:p>
        </w:tc>
        <w:tc>
          <w:tcPr>
            <w:tcW w:w="623" w:type="pct"/>
            <w:shd w:val="clear" w:color="auto" w:fill="auto"/>
            <w:vAlign w:val="center"/>
          </w:tcPr>
          <w:p>
            <w:pPr>
              <w:pStyle w:val="39"/>
              <w:rPr>
                <w:rFonts w:ascii="Times New Roman" w:hAnsi="Times New Roman"/>
                <w:b/>
                <w:bCs/>
              </w:rPr>
            </w:pPr>
            <w:r>
              <w:rPr>
                <w:rFonts w:ascii="Times New Roman" w:hAnsi="Times New Roman"/>
                <w:b/>
                <w:bCs/>
              </w:rPr>
              <w:t>0.01</w:t>
            </w:r>
          </w:p>
        </w:tc>
        <w:tc>
          <w:tcPr>
            <w:tcW w:w="737" w:type="pct"/>
            <w:shd w:val="clear" w:color="auto" w:fill="auto"/>
            <w:noWrap/>
            <w:vAlign w:val="center"/>
          </w:tcPr>
          <w:p>
            <w:pPr>
              <w:pStyle w:val="39"/>
              <w:rPr>
                <w:rFonts w:ascii="Times New Roman" w:hAnsi="Times New Roman"/>
                <w:b/>
                <w:bCs/>
              </w:rPr>
            </w:pPr>
            <w:r>
              <w:rPr>
                <w:rFonts w:ascii="Times New Roman" w:hAnsi="Times New Roman"/>
                <w:b/>
                <w:bCs/>
              </w:rPr>
              <w:t>2.677</w:t>
            </w:r>
          </w:p>
        </w:tc>
        <w:tc>
          <w:tcPr>
            <w:tcW w:w="674" w:type="pct"/>
            <w:shd w:val="clear" w:color="auto" w:fill="auto"/>
            <w:noWrap/>
            <w:vAlign w:val="center"/>
          </w:tcPr>
          <w:p>
            <w:pPr>
              <w:pStyle w:val="39"/>
              <w:rPr>
                <w:rFonts w:ascii="Times New Roman" w:hAnsi="Times New Roman"/>
                <w:b/>
                <w:bCs/>
              </w:rPr>
            </w:pPr>
            <w:r>
              <w:rPr>
                <w:rFonts w:ascii="Times New Roman" w:hAnsi="Times New Roman"/>
                <w:b/>
                <w:bCs/>
              </w:rPr>
              <w:t>1.07</w:t>
            </w:r>
          </w:p>
        </w:tc>
        <w:tc>
          <w:tcPr>
            <w:tcW w:w="737" w:type="pct"/>
            <w:shd w:val="clear" w:color="auto" w:fill="auto"/>
            <w:noWrap/>
            <w:vAlign w:val="center"/>
          </w:tcPr>
          <w:p>
            <w:pPr>
              <w:pStyle w:val="39"/>
              <w:rPr>
                <w:rFonts w:ascii="Times New Roman" w:hAnsi="Times New Roman"/>
                <w:b/>
                <w:bCs/>
              </w:rPr>
            </w:pPr>
            <w:r>
              <w:rPr>
                <w:rFonts w:ascii="Times New Roman" w:hAnsi="Times New Roman"/>
                <w:b/>
                <w:bCs/>
              </w:rPr>
              <w:t>0.269</w:t>
            </w:r>
          </w:p>
        </w:tc>
        <w:tc>
          <w:tcPr>
            <w:tcW w:w="674" w:type="pct"/>
            <w:shd w:val="clear" w:color="auto" w:fill="auto"/>
            <w:noWrap/>
            <w:vAlign w:val="center"/>
          </w:tcPr>
          <w:p>
            <w:pPr>
              <w:pStyle w:val="39"/>
              <w:rPr>
                <w:rFonts w:ascii="Times New Roman" w:hAnsi="Times New Roman"/>
                <w:b/>
                <w:bCs/>
              </w:rPr>
            </w:pPr>
            <w:r>
              <w:rPr>
                <w:rFonts w:ascii="Times New Roman" w:hAnsi="Times New Roman"/>
                <w:b/>
                <w:bCs/>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25</w:t>
            </w:r>
          </w:p>
        </w:tc>
        <w:tc>
          <w:tcPr>
            <w:tcW w:w="895" w:type="pct"/>
            <w:shd w:val="clear" w:color="auto" w:fill="auto"/>
            <w:vAlign w:val="center"/>
          </w:tcPr>
          <w:p>
            <w:pPr>
              <w:pStyle w:val="39"/>
              <w:rPr>
                <w:rFonts w:ascii="Times New Roman" w:hAnsi="Times New Roman"/>
              </w:rPr>
            </w:pPr>
            <w:r>
              <w:rPr>
                <w:rFonts w:ascii="Times New Roman" w:hAnsi="Times New Roman"/>
              </w:rPr>
              <w:t>0.051</w:t>
            </w:r>
          </w:p>
        </w:tc>
        <w:tc>
          <w:tcPr>
            <w:tcW w:w="623" w:type="pct"/>
            <w:shd w:val="clear" w:color="auto" w:fill="auto"/>
            <w:vAlign w:val="center"/>
          </w:tcPr>
          <w:p>
            <w:pPr>
              <w:pStyle w:val="39"/>
              <w:rPr>
                <w:rFonts w:ascii="Times New Roman" w:hAnsi="Times New Roman"/>
              </w:rPr>
            </w:pPr>
            <w:r>
              <w:rPr>
                <w:rFonts w:ascii="Times New Roman" w:hAnsi="Times New Roman"/>
              </w:rPr>
              <w:t>0.01</w:t>
            </w:r>
          </w:p>
        </w:tc>
        <w:tc>
          <w:tcPr>
            <w:tcW w:w="737" w:type="pct"/>
            <w:shd w:val="clear" w:color="auto" w:fill="auto"/>
            <w:noWrap/>
            <w:vAlign w:val="center"/>
          </w:tcPr>
          <w:p>
            <w:pPr>
              <w:pStyle w:val="39"/>
              <w:rPr>
                <w:rFonts w:ascii="Times New Roman" w:hAnsi="Times New Roman"/>
              </w:rPr>
            </w:pPr>
            <w:r>
              <w:rPr>
                <w:rFonts w:ascii="Times New Roman" w:hAnsi="Times New Roman"/>
              </w:rPr>
              <w:t>1.993</w:t>
            </w:r>
          </w:p>
        </w:tc>
        <w:tc>
          <w:tcPr>
            <w:tcW w:w="674" w:type="pct"/>
            <w:shd w:val="clear" w:color="auto" w:fill="auto"/>
            <w:noWrap/>
            <w:vAlign w:val="center"/>
          </w:tcPr>
          <w:p>
            <w:pPr>
              <w:pStyle w:val="39"/>
              <w:rPr>
                <w:rFonts w:ascii="Times New Roman" w:hAnsi="Times New Roman"/>
              </w:rPr>
            </w:pPr>
            <w:r>
              <w:rPr>
                <w:rFonts w:ascii="Times New Roman" w:hAnsi="Times New Roman"/>
              </w:rPr>
              <w:t>0.80</w:t>
            </w:r>
          </w:p>
        </w:tc>
        <w:tc>
          <w:tcPr>
            <w:tcW w:w="737" w:type="pct"/>
            <w:shd w:val="clear" w:color="auto" w:fill="auto"/>
            <w:noWrap/>
            <w:vAlign w:val="center"/>
          </w:tcPr>
          <w:p>
            <w:pPr>
              <w:pStyle w:val="39"/>
              <w:rPr>
                <w:rFonts w:ascii="Times New Roman" w:hAnsi="Times New Roman"/>
              </w:rPr>
            </w:pPr>
            <w:r>
              <w:rPr>
                <w:rFonts w:ascii="Times New Roman" w:hAnsi="Times New Roman"/>
              </w:rPr>
              <w:t>0.200</w:t>
            </w:r>
          </w:p>
        </w:tc>
        <w:tc>
          <w:tcPr>
            <w:tcW w:w="674" w:type="pct"/>
            <w:shd w:val="clear" w:color="auto" w:fill="auto"/>
            <w:noWrap/>
            <w:vAlign w:val="center"/>
          </w:tcPr>
          <w:p>
            <w:pPr>
              <w:pStyle w:val="39"/>
              <w:rPr>
                <w:rFonts w:ascii="Times New Roman" w:hAnsi="Times New Roman"/>
              </w:rPr>
            </w:pPr>
            <w:r>
              <w:rPr>
                <w:rFonts w:ascii="Times New Roman" w:hAnsi="Times New Roma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50</w:t>
            </w:r>
          </w:p>
        </w:tc>
        <w:tc>
          <w:tcPr>
            <w:tcW w:w="895" w:type="pct"/>
            <w:shd w:val="clear" w:color="auto" w:fill="auto"/>
            <w:vAlign w:val="center"/>
          </w:tcPr>
          <w:p>
            <w:pPr>
              <w:pStyle w:val="39"/>
              <w:rPr>
                <w:rFonts w:ascii="Times New Roman" w:hAnsi="Times New Roman"/>
              </w:rPr>
            </w:pPr>
            <w:r>
              <w:rPr>
                <w:rFonts w:ascii="Times New Roman" w:hAnsi="Times New Roman"/>
              </w:rPr>
              <w:t>0.053</w:t>
            </w:r>
          </w:p>
        </w:tc>
        <w:tc>
          <w:tcPr>
            <w:tcW w:w="623" w:type="pct"/>
            <w:shd w:val="clear" w:color="auto" w:fill="auto"/>
            <w:vAlign w:val="center"/>
          </w:tcPr>
          <w:p>
            <w:pPr>
              <w:pStyle w:val="39"/>
              <w:rPr>
                <w:rFonts w:ascii="Times New Roman" w:hAnsi="Times New Roman"/>
              </w:rPr>
            </w:pPr>
            <w:r>
              <w:rPr>
                <w:rFonts w:ascii="Times New Roman" w:hAnsi="Times New Roman"/>
              </w:rPr>
              <w:t>0.01</w:t>
            </w:r>
          </w:p>
        </w:tc>
        <w:tc>
          <w:tcPr>
            <w:tcW w:w="737" w:type="pct"/>
            <w:shd w:val="clear" w:color="auto" w:fill="auto"/>
            <w:noWrap/>
            <w:vAlign w:val="center"/>
          </w:tcPr>
          <w:p>
            <w:pPr>
              <w:pStyle w:val="39"/>
              <w:rPr>
                <w:rFonts w:ascii="Times New Roman" w:hAnsi="Times New Roman"/>
              </w:rPr>
            </w:pPr>
            <w:r>
              <w:rPr>
                <w:rFonts w:ascii="Times New Roman" w:hAnsi="Times New Roman"/>
              </w:rPr>
              <w:t>2.079</w:t>
            </w:r>
          </w:p>
        </w:tc>
        <w:tc>
          <w:tcPr>
            <w:tcW w:w="674" w:type="pct"/>
            <w:shd w:val="clear" w:color="auto" w:fill="auto"/>
            <w:noWrap/>
            <w:vAlign w:val="center"/>
          </w:tcPr>
          <w:p>
            <w:pPr>
              <w:pStyle w:val="39"/>
              <w:rPr>
                <w:rFonts w:ascii="Times New Roman" w:hAnsi="Times New Roman"/>
              </w:rPr>
            </w:pPr>
            <w:r>
              <w:rPr>
                <w:rFonts w:ascii="Times New Roman" w:hAnsi="Times New Roman"/>
              </w:rPr>
              <w:t>0.83</w:t>
            </w:r>
          </w:p>
        </w:tc>
        <w:tc>
          <w:tcPr>
            <w:tcW w:w="737" w:type="pct"/>
            <w:shd w:val="clear" w:color="auto" w:fill="auto"/>
            <w:noWrap/>
            <w:vAlign w:val="center"/>
          </w:tcPr>
          <w:p>
            <w:pPr>
              <w:pStyle w:val="39"/>
              <w:rPr>
                <w:rFonts w:ascii="Times New Roman" w:hAnsi="Times New Roman"/>
              </w:rPr>
            </w:pPr>
            <w:r>
              <w:rPr>
                <w:rFonts w:ascii="Times New Roman" w:hAnsi="Times New Roman"/>
              </w:rPr>
              <w:t>0.209</w:t>
            </w:r>
          </w:p>
        </w:tc>
        <w:tc>
          <w:tcPr>
            <w:tcW w:w="674" w:type="pct"/>
            <w:shd w:val="clear" w:color="auto" w:fill="auto"/>
            <w:noWrap/>
            <w:vAlign w:val="center"/>
          </w:tcPr>
          <w:p>
            <w:pPr>
              <w:pStyle w:val="39"/>
              <w:rPr>
                <w:rFonts w:ascii="Times New Roman" w:hAnsi="Times New Roman"/>
              </w:rPr>
            </w:pPr>
            <w:r>
              <w:rPr>
                <w:rFonts w:ascii="Times New Roman" w:hAnsi="Times New Roma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75</w:t>
            </w:r>
          </w:p>
        </w:tc>
        <w:tc>
          <w:tcPr>
            <w:tcW w:w="895" w:type="pct"/>
            <w:shd w:val="clear" w:color="auto" w:fill="auto"/>
            <w:vAlign w:val="center"/>
          </w:tcPr>
          <w:p>
            <w:pPr>
              <w:pStyle w:val="39"/>
              <w:rPr>
                <w:rFonts w:ascii="Times New Roman" w:hAnsi="Times New Roman"/>
              </w:rPr>
            </w:pPr>
            <w:r>
              <w:rPr>
                <w:rFonts w:ascii="Times New Roman" w:hAnsi="Times New Roman"/>
              </w:rPr>
              <w:t>0.040</w:t>
            </w:r>
          </w:p>
        </w:tc>
        <w:tc>
          <w:tcPr>
            <w:tcW w:w="623" w:type="pct"/>
            <w:shd w:val="clear" w:color="auto" w:fill="auto"/>
            <w:vAlign w:val="center"/>
          </w:tcPr>
          <w:p>
            <w:pPr>
              <w:pStyle w:val="39"/>
              <w:rPr>
                <w:rFonts w:ascii="Times New Roman" w:hAnsi="Times New Roman"/>
              </w:rPr>
            </w:pPr>
            <w:r>
              <w:rPr>
                <w:rFonts w:ascii="Times New Roman" w:hAnsi="Times New Roman"/>
              </w:rPr>
              <w:t>0.01</w:t>
            </w:r>
          </w:p>
        </w:tc>
        <w:tc>
          <w:tcPr>
            <w:tcW w:w="737" w:type="pct"/>
            <w:shd w:val="clear" w:color="auto" w:fill="auto"/>
            <w:noWrap/>
            <w:vAlign w:val="center"/>
          </w:tcPr>
          <w:p>
            <w:pPr>
              <w:pStyle w:val="39"/>
              <w:rPr>
                <w:rFonts w:ascii="Times New Roman" w:hAnsi="Times New Roman"/>
              </w:rPr>
            </w:pPr>
            <w:r>
              <w:rPr>
                <w:rFonts w:ascii="Times New Roman" w:hAnsi="Times New Roman"/>
              </w:rPr>
              <w:t>1.573</w:t>
            </w:r>
          </w:p>
        </w:tc>
        <w:tc>
          <w:tcPr>
            <w:tcW w:w="674" w:type="pct"/>
            <w:shd w:val="clear" w:color="auto" w:fill="auto"/>
            <w:noWrap/>
            <w:vAlign w:val="center"/>
          </w:tcPr>
          <w:p>
            <w:pPr>
              <w:pStyle w:val="39"/>
              <w:rPr>
                <w:rFonts w:ascii="Times New Roman" w:hAnsi="Times New Roman"/>
              </w:rPr>
            </w:pPr>
            <w:r>
              <w:rPr>
                <w:rFonts w:ascii="Times New Roman" w:hAnsi="Times New Roman"/>
              </w:rPr>
              <w:t>0.63</w:t>
            </w:r>
          </w:p>
        </w:tc>
        <w:tc>
          <w:tcPr>
            <w:tcW w:w="737" w:type="pct"/>
            <w:shd w:val="clear" w:color="auto" w:fill="auto"/>
            <w:noWrap/>
            <w:vAlign w:val="center"/>
          </w:tcPr>
          <w:p>
            <w:pPr>
              <w:pStyle w:val="39"/>
              <w:rPr>
                <w:rFonts w:ascii="Times New Roman" w:hAnsi="Times New Roman"/>
              </w:rPr>
            </w:pPr>
            <w:r>
              <w:rPr>
                <w:rFonts w:ascii="Times New Roman" w:hAnsi="Times New Roman"/>
              </w:rPr>
              <w:t>0.158</w:t>
            </w:r>
          </w:p>
        </w:tc>
        <w:tc>
          <w:tcPr>
            <w:tcW w:w="674" w:type="pct"/>
            <w:shd w:val="clear" w:color="auto" w:fill="auto"/>
            <w:noWrap/>
            <w:vAlign w:val="center"/>
          </w:tcPr>
          <w:p>
            <w:pPr>
              <w:pStyle w:val="39"/>
              <w:rPr>
                <w:rFonts w:ascii="Times New Roman" w:hAnsi="Times New Roman"/>
              </w:rPr>
            </w:pPr>
            <w:r>
              <w:rPr>
                <w:rFonts w:ascii="Times New Roman" w:hAnsi="Times New Roma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100</w:t>
            </w:r>
          </w:p>
        </w:tc>
        <w:tc>
          <w:tcPr>
            <w:tcW w:w="895" w:type="pct"/>
            <w:shd w:val="clear" w:color="auto" w:fill="auto"/>
            <w:vAlign w:val="center"/>
          </w:tcPr>
          <w:p>
            <w:pPr>
              <w:pStyle w:val="39"/>
              <w:rPr>
                <w:rFonts w:ascii="Times New Roman" w:hAnsi="Times New Roman"/>
              </w:rPr>
            </w:pPr>
            <w:r>
              <w:rPr>
                <w:rFonts w:ascii="Times New Roman" w:hAnsi="Times New Roman"/>
              </w:rPr>
              <w:t>0.031</w:t>
            </w:r>
          </w:p>
        </w:tc>
        <w:tc>
          <w:tcPr>
            <w:tcW w:w="623" w:type="pct"/>
            <w:shd w:val="clear" w:color="auto" w:fill="auto"/>
            <w:vAlign w:val="center"/>
          </w:tcPr>
          <w:p>
            <w:pPr>
              <w:pStyle w:val="39"/>
              <w:rPr>
                <w:rFonts w:ascii="Times New Roman" w:hAnsi="Times New Roman"/>
              </w:rPr>
            </w:pPr>
            <w:r>
              <w:rPr>
                <w:rFonts w:ascii="Times New Roman" w:hAnsi="Times New Roman"/>
              </w:rPr>
              <w:t>0.01</w:t>
            </w:r>
          </w:p>
        </w:tc>
        <w:tc>
          <w:tcPr>
            <w:tcW w:w="737" w:type="pct"/>
            <w:shd w:val="clear" w:color="auto" w:fill="auto"/>
            <w:noWrap/>
            <w:vAlign w:val="center"/>
          </w:tcPr>
          <w:p>
            <w:pPr>
              <w:pStyle w:val="39"/>
              <w:rPr>
                <w:rFonts w:ascii="Times New Roman" w:hAnsi="Times New Roman"/>
              </w:rPr>
            </w:pPr>
            <w:r>
              <w:rPr>
                <w:rFonts w:ascii="Times New Roman" w:hAnsi="Times New Roman"/>
              </w:rPr>
              <w:t>1.211</w:t>
            </w:r>
          </w:p>
        </w:tc>
        <w:tc>
          <w:tcPr>
            <w:tcW w:w="674" w:type="pct"/>
            <w:shd w:val="clear" w:color="auto" w:fill="auto"/>
            <w:noWrap/>
            <w:vAlign w:val="center"/>
          </w:tcPr>
          <w:p>
            <w:pPr>
              <w:pStyle w:val="39"/>
              <w:rPr>
                <w:rFonts w:ascii="Times New Roman" w:hAnsi="Times New Roman"/>
              </w:rPr>
            </w:pPr>
            <w:r>
              <w:rPr>
                <w:rFonts w:ascii="Times New Roman" w:hAnsi="Times New Roman"/>
              </w:rPr>
              <w:t>0.48</w:t>
            </w:r>
          </w:p>
        </w:tc>
        <w:tc>
          <w:tcPr>
            <w:tcW w:w="737" w:type="pct"/>
            <w:shd w:val="clear" w:color="auto" w:fill="auto"/>
            <w:noWrap/>
            <w:vAlign w:val="center"/>
          </w:tcPr>
          <w:p>
            <w:pPr>
              <w:pStyle w:val="39"/>
              <w:rPr>
                <w:rFonts w:ascii="Times New Roman" w:hAnsi="Times New Roman"/>
              </w:rPr>
            </w:pPr>
            <w:r>
              <w:rPr>
                <w:rFonts w:ascii="Times New Roman" w:hAnsi="Times New Roman"/>
              </w:rPr>
              <w:t>0.122</w:t>
            </w:r>
          </w:p>
        </w:tc>
        <w:tc>
          <w:tcPr>
            <w:tcW w:w="674" w:type="pct"/>
            <w:shd w:val="clear" w:color="auto" w:fill="auto"/>
            <w:noWrap/>
            <w:vAlign w:val="center"/>
          </w:tcPr>
          <w:p>
            <w:pPr>
              <w:pStyle w:val="39"/>
              <w:rPr>
                <w:rFonts w:ascii="Times New Roman" w:hAnsi="Times New Roman"/>
              </w:rPr>
            </w:pPr>
            <w:r>
              <w:rPr>
                <w:rFonts w:ascii="Times New Roman" w:hAnsi="Times New Roma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150</w:t>
            </w:r>
          </w:p>
        </w:tc>
        <w:tc>
          <w:tcPr>
            <w:tcW w:w="895" w:type="pct"/>
            <w:shd w:val="clear" w:color="auto" w:fill="auto"/>
            <w:vAlign w:val="center"/>
          </w:tcPr>
          <w:p>
            <w:pPr>
              <w:pStyle w:val="39"/>
              <w:rPr>
                <w:rFonts w:ascii="Times New Roman" w:hAnsi="Times New Roman"/>
              </w:rPr>
            </w:pPr>
            <w:r>
              <w:rPr>
                <w:rFonts w:ascii="Times New Roman" w:hAnsi="Times New Roman"/>
              </w:rPr>
              <w:t>0.020</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0.794</w:t>
            </w:r>
          </w:p>
        </w:tc>
        <w:tc>
          <w:tcPr>
            <w:tcW w:w="674" w:type="pct"/>
            <w:shd w:val="clear" w:color="auto" w:fill="auto"/>
            <w:noWrap/>
            <w:vAlign w:val="center"/>
          </w:tcPr>
          <w:p>
            <w:pPr>
              <w:pStyle w:val="39"/>
              <w:rPr>
                <w:rFonts w:ascii="Times New Roman" w:hAnsi="Times New Roman"/>
              </w:rPr>
            </w:pPr>
            <w:r>
              <w:rPr>
                <w:rFonts w:ascii="Times New Roman" w:hAnsi="Times New Roman"/>
              </w:rPr>
              <w:t>0.32</w:t>
            </w:r>
          </w:p>
        </w:tc>
        <w:tc>
          <w:tcPr>
            <w:tcW w:w="737" w:type="pct"/>
            <w:shd w:val="clear" w:color="auto" w:fill="auto"/>
            <w:noWrap/>
            <w:vAlign w:val="center"/>
          </w:tcPr>
          <w:p>
            <w:pPr>
              <w:pStyle w:val="39"/>
              <w:rPr>
                <w:rFonts w:ascii="Times New Roman" w:hAnsi="Times New Roman"/>
              </w:rPr>
            </w:pPr>
            <w:r>
              <w:rPr>
                <w:rFonts w:ascii="Times New Roman" w:hAnsi="Times New Roman"/>
              </w:rPr>
              <w:t>0.080</w:t>
            </w:r>
          </w:p>
        </w:tc>
        <w:tc>
          <w:tcPr>
            <w:tcW w:w="674" w:type="pct"/>
            <w:shd w:val="clear" w:color="auto" w:fill="auto"/>
            <w:noWrap/>
            <w:vAlign w:val="center"/>
          </w:tcPr>
          <w:p>
            <w:pPr>
              <w:pStyle w:val="39"/>
              <w:rPr>
                <w:rFonts w:ascii="Times New Roman" w:hAnsi="Times New Roman"/>
              </w:rPr>
            </w:pPr>
            <w:r>
              <w:rPr>
                <w:rFonts w:ascii="Times New Roman" w:hAnsi="Times New Roma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200</w:t>
            </w:r>
          </w:p>
        </w:tc>
        <w:tc>
          <w:tcPr>
            <w:tcW w:w="895" w:type="pct"/>
            <w:shd w:val="clear" w:color="auto" w:fill="auto"/>
            <w:vAlign w:val="center"/>
          </w:tcPr>
          <w:p>
            <w:pPr>
              <w:pStyle w:val="39"/>
              <w:rPr>
                <w:rFonts w:ascii="Times New Roman" w:hAnsi="Times New Roman"/>
              </w:rPr>
            </w:pPr>
            <w:r>
              <w:rPr>
                <w:rFonts w:ascii="Times New Roman" w:hAnsi="Times New Roman"/>
              </w:rPr>
              <w:t>0.014</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0.556</w:t>
            </w:r>
          </w:p>
        </w:tc>
        <w:tc>
          <w:tcPr>
            <w:tcW w:w="674" w:type="pct"/>
            <w:shd w:val="clear" w:color="auto" w:fill="auto"/>
            <w:noWrap/>
            <w:vAlign w:val="center"/>
          </w:tcPr>
          <w:p>
            <w:pPr>
              <w:pStyle w:val="39"/>
              <w:rPr>
                <w:rFonts w:ascii="Times New Roman" w:hAnsi="Times New Roman"/>
              </w:rPr>
            </w:pPr>
            <w:r>
              <w:rPr>
                <w:rFonts w:ascii="Times New Roman" w:hAnsi="Times New Roman"/>
              </w:rPr>
              <w:t>0.22</w:t>
            </w:r>
          </w:p>
        </w:tc>
        <w:tc>
          <w:tcPr>
            <w:tcW w:w="737" w:type="pct"/>
            <w:shd w:val="clear" w:color="auto" w:fill="auto"/>
            <w:noWrap/>
            <w:vAlign w:val="center"/>
          </w:tcPr>
          <w:p>
            <w:pPr>
              <w:pStyle w:val="39"/>
              <w:rPr>
                <w:rFonts w:ascii="Times New Roman" w:hAnsi="Times New Roman"/>
              </w:rPr>
            </w:pPr>
            <w:r>
              <w:rPr>
                <w:rFonts w:ascii="Times New Roman" w:hAnsi="Times New Roman"/>
              </w:rPr>
              <w:t>0.056</w:t>
            </w:r>
          </w:p>
        </w:tc>
        <w:tc>
          <w:tcPr>
            <w:tcW w:w="67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250</w:t>
            </w:r>
          </w:p>
        </w:tc>
        <w:tc>
          <w:tcPr>
            <w:tcW w:w="895" w:type="pct"/>
            <w:shd w:val="clear" w:color="auto" w:fill="auto"/>
            <w:vAlign w:val="center"/>
          </w:tcPr>
          <w:p>
            <w:pPr>
              <w:pStyle w:val="39"/>
              <w:rPr>
                <w:rFonts w:ascii="Times New Roman" w:hAnsi="Times New Roman"/>
              </w:rPr>
            </w:pPr>
            <w:r>
              <w:rPr>
                <w:rFonts w:ascii="Times New Roman" w:hAnsi="Times New Roman"/>
              </w:rPr>
              <w:t>0.011</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0.417</w:t>
            </w:r>
          </w:p>
        </w:tc>
        <w:tc>
          <w:tcPr>
            <w:tcW w:w="674" w:type="pct"/>
            <w:shd w:val="clear" w:color="auto" w:fill="auto"/>
            <w:noWrap/>
            <w:vAlign w:val="center"/>
          </w:tcPr>
          <w:p>
            <w:pPr>
              <w:pStyle w:val="39"/>
              <w:rPr>
                <w:rFonts w:ascii="Times New Roman" w:hAnsi="Times New Roman"/>
              </w:rPr>
            </w:pPr>
            <w:r>
              <w:rPr>
                <w:rFonts w:ascii="Times New Roman" w:hAnsi="Times New Roman"/>
              </w:rPr>
              <w:t>0.17</w:t>
            </w:r>
          </w:p>
        </w:tc>
        <w:tc>
          <w:tcPr>
            <w:tcW w:w="737" w:type="pct"/>
            <w:shd w:val="clear" w:color="auto" w:fill="auto"/>
            <w:noWrap/>
            <w:vAlign w:val="center"/>
          </w:tcPr>
          <w:p>
            <w:pPr>
              <w:pStyle w:val="39"/>
              <w:rPr>
                <w:rFonts w:ascii="Times New Roman" w:hAnsi="Times New Roman"/>
              </w:rPr>
            </w:pPr>
            <w:r>
              <w:rPr>
                <w:rFonts w:ascii="Times New Roman" w:hAnsi="Times New Roman"/>
              </w:rPr>
              <w:t>0.042</w:t>
            </w:r>
          </w:p>
        </w:tc>
        <w:tc>
          <w:tcPr>
            <w:tcW w:w="67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300</w:t>
            </w:r>
          </w:p>
        </w:tc>
        <w:tc>
          <w:tcPr>
            <w:tcW w:w="895" w:type="pct"/>
            <w:shd w:val="clear" w:color="auto" w:fill="auto"/>
            <w:vAlign w:val="center"/>
          </w:tcPr>
          <w:p>
            <w:pPr>
              <w:pStyle w:val="39"/>
              <w:rPr>
                <w:rFonts w:ascii="Times New Roman" w:hAnsi="Times New Roman"/>
              </w:rPr>
            </w:pPr>
            <w:r>
              <w:rPr>
                <w:rFonts w:ascii="Times New Roman" w:hAnsi="Times New Roman"/>
              </w:rPr>
              <w:t>0.008</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0.327</w:t>
            </w:r>
          </w:p>
        </w:tc>
        <w:tc>
          <w:tcPr>
            <w:tcW w:w="674" w:type="pct"/>
            <w:shd w:val="clear" w:color="auto" w:fill="auto"/>
            <w:noWrap/>
            <w:vAlign w:val="center"/>
          </w:tcPr>
          <w:p>
            <w:pPr>
              <w:pStyle w:val="39"/>
              <w:rPr>
                <w:rFonts w:ascii="Times New Roman" w:hAnsi="Times New Roman"/>
              </w:rPr>
            </w:pPr>
            <w:r>
              <w:rPr>
                <w:rFonts w:ascii="Times New Roman" w:hAnsi="Times New Roman"/>
              </w:rPr>
              <w:t>0.13</w:t>
            </w:r>
          </w:p>
        </w:tc>
        <w:tc>
          <w:tcPr>
            <w:tcW w:w="737" w:type="pct"/>
            <w:shd w:val="clear" w:color="auto" w:fill="auto"/>
            <w:noWrap/>
            <w:vAlign w:val="center"/>
          </w:tcPr>
          <w:p>
            <w:pPr>
              <w:pStyle w:val="39"/>
              <w:rPr>
                <w:rFonts w:ascii="Times New Roman" w:hAnsi="Times New Roman"/>
              </w:rPr>
            </w:pPr>
            <w:r>
              <w:rPr>
                <w:rFonts w:ascii="Times New Roman" w:hAnsi="Times New Roman"/>
              </w:rPr>
              <w:t>0.033</w:t>
            </w:r>
          </w:p>
        </w:tc>
        <w:tc>
          <w:tcPr>
            <w:tcW w:w="67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400</w:t>
            </w:r>
          </w:p>
        </w:tc>
        <w:tc>
          <w:tcPr>
            <w:tcW w:w="895" w:type="pct"/>
            <w:shd w:val="clear" w:color="auto" w:fill="auto"/>
            <w:vAlign w:val="center"/>
          </w:tcPr>
          <w:p>
            <w:pPr>
              <w:pStyle w:val="39"/>
              <w:rPr>
                <w:rFonts w:ascii="Times New Roman" w:hAnsi="Times New Roman"/>
              </w:rPr>
            </w:pPr>
            <w:r>
              <w:rPr>
                <w:rFonts w:ascii="Times New Roman" w:hAnsi="Times New Roman"/>
              </w:rPr>
              <w:t>0.006</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0.235</w:t>
            </w:r>
          </w:p>
        </w:tc>
        <w:tc>
          <w:tcPr>
            <w:tcW w:w="674" w:type="pct"/>
            <w:shd w:val="clear" w:color="auto" w:fill="auto"/>
            <w:noWrap/>
            <w:vAlign w:val="center"/>
          </w:tcPr>
          <w:p>
            <w:pPr>
              <w:pStyle w:val="39"/>
              <w:rPr>
                <w:rFonts w:ascii="Times New Roman" w:hAnsi="Times New Roman"/>
              </w:rPr>
            </w:pPr>
            <w:r>
              <w:rPr>
                <w:rFonts w:ascii="Times New Roman" w:hAnsi="Times New Roman"/>
              </w:rPr>
              <w:t>0.09</w:t>
            </w:r>
          </w:p>
        </w:tc>
        <w:tc>
          <w:tcPr>
            <w:tcW w:w="737" w:type="pct"/>
            <w:shd w:val="clear" w:color="auto" w:fill="auto"/>
            <w:noWrap/>
            <w:vAlign w:val="center"/>
          </w:tcPr>
          <w:p>
            <w:pPr>
              <w:pStyle w:val="39"/>
              <w:rPr>
                <w:rFonts w:ascii="Times New Roman" w:hAnsi="Times New Roman"/>
              </w:rPr>
            </w:pPr>
            <w:r>
              <w:rPr>
                <w:rFonts w:ascii="Times New Roman" w:hAnsi="Times New Roman"/>
              </w:rPr>
              <w:t>0.024</w:t>
            </w:r>
          </w:p>
        </w:tc>
        <w:tc>
          <w:tcPr>
            <w:tcW w:w="67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500</w:t>
            </w:r>
          </w:p>
        </w:tc>
        <w:tc>
          <w:tcPr>
            <w:tcW w:w="895" w:type="pct"/>
            <w:shd w:val="clear" w:color="auto" w:fill="auto"/>
            <w:vAlign w:val="center"/>
          </w:tcPr>
          <w:p>
            <w:pPr>
              <w:pStyle w:val="39"/>
              <w:rPr>
                <w:rFonts w:ascii="Times New Roman" w:hAnsi="Times New Roman"/>
              </w:rPr>
            </w:pPr>
            <w:r>
              <w:rPr>
                <w:rFonts w:ascii="Times New Roman" w:hAnsi="Times New Roman"/>
              </w:rPr>
              <w:t>0.005</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0.213</w:t>
            </w:r>
          </w:p>
        </w:tc>
        <w:tc>
          <w:tcPr>
            <w:tcW w:w="674" w:type="pct"/>
            <w:shd w:val="clear" w:color="auto" w:fill="auto"/>
            <w:noWrap/>
            <w:vAlign w:val="center"/>
          </w:tcPr>
          <w:p>
            <w:pPr>
              <w:pStyle w:val="39"/>
              <w:rPr>
                <w:rFonts w:ascii="Times New Roman" w:hAnsi="Times New Roman"/>
              </w:rPr>
            </w:pPr>
            <w:r>
              <w:rPr>
                <w:rFonts w:ascii="Times New Roman" w:hAnsi="Times New Roman"/>
              </w:rPr>
              <w:t>0.09</w:t>
            </w:r>
          </w:p>
        </w:tc>
        <w:tc>
          <w:tcPr>
            <w:tcW w:w="737" w:type="pct"/>
            <w:shd w:val="clear" w:color="auto" w:fill="auto"/>
            <w:noWrap/>
            <w:vAlign w:val="center"/>
          </w:tcPr>
          <w:p>
            <w:pPr>
              <w:pStyle w:val="39"/>
              <w:rPr>
                <w:rFonts w:ascii="Times New Roman" w:hAnsi="Times New Roman"/>
              </w:rPr>
            </w:pPr>
            <w:r>
              <w:rPr>
                <w:rFonts w:ascii="Times New Roman" w:hAnsi="Times New Roman"/>
              </w:rPr>
              <w:t>0.021</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600</w:t>
            </w:r>
          </w:p>
        </w:tc>
        <w:tc>
          <w:tcPr>
            <w:tcW w:w="895" w:type="pct"/>
            <w:shd w:val="clear" w:color="auto" w:fill="auto"/>
            <w:vAlign w:val="center"/>
          </w:tcPr>
          <w:p>
            <w:pPr>
              <w:pStyle w:val="39"/>
              <w:rPr>
                <w:rFonts w:ascii="Times New Roman" w:hAnsi="Times New Roman"/>
              </w:rPr>
            </w:pPr>
            <w:r>
              <w:rPr>
                <w:rFonts w:ascii="Times New Roman" w:hAnsi="Times New Roman"/>
              </w:rPr>
              <w:t>0.005</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0.196</w:t>
            </w:r>
          </w:p>
        </w:tc>
        <w:tc>
          <w:tcPr>
            <w:tcW w:w="674" w:type="pct"/>
            <w:shd w:val="clear" w:color="auto" w:fill="auto"/>
            <w:noWrap/>
            <w:vAlign w:val="center"/>
          </w:tcPr>
          <w:p>
            <w:pPr>
              <w:pStyle w:val="39"/>
              <w:rPr>
                <w:rFonts w:ascii="Times New Roman" w:hAnsi="Times New Roman"/>
              </w:rPr>
            </w:pPr>
            <w:r>
              <w:rPr>
                <w:rFonts w:ascii="Times New Roman" w:hAnsi="Times New Roman"/>
              </w:rPr>
              <w:t>0.08</w:t>
            </w:r>
          </w:p>
        </w:tc>
        <w:tc>
          <w:tcPr>
            <w:tcW w:w="737" w:type="pct"/>
            <w:shd w:val="clear" w:color="auto" w:fill="auto"/>
            <w:noWrap/>
            <w:vAlign w:val="center"/>
          </w:tcPr>
          <w:p>
            <w:pPr>
              <w:pStyle w:val="39"/>
              <w:rPr>
                <w:rFonts w:ascii="Times New Roman" w:hAnsi="Times New Roman"/>
              </w:rPr>
            </w:pPr>
            <w:r>
              <w:rPr>
                <w:rFonts w:ascii="Times New Roman" w:hAnsi="Times New Roman"/>
              </w:rPr>
              <w:t>0.020</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700</w:t>
            </w:r>
          </w:p>
        </w:tc>
        <w:tc>
          <w:tcPr>
            <w:tcW w:w="895" w:type="pct"/>
            <w:shd w:val="clear" w:color="auto" w:fill="auto"/>
            <w:vAlign w:val="center"/>
          </w:tcPr>
          <w:p>
            <w:pPr>
              <w:pStyle w:val="39"/>
              <w:rPr>
                <w:rFonts w:ascii="Times New Roman" w:hAnsi="Times New Roman"/>
              </w:rPr>
            </w:pPr>
            <w:r>
              <w:rPr>
                <w:rFonts w:ascii="Times New Roman" w:hAnsi="Times New Roman"/>
              </w:rPr>
              <w:t>0.005</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0.183</w:t>
            </w:r>
          </w:p>
        </w:tc>
        <w:tc>
          <w:tcPr>
            <w:tcW w:w="674" w:type="pct"/>
            <w:shd w:val="clear" w:color="auto" w:fill="auto"/>
            <w:noWrap/>
            <w:vAlign w:val="center"/>
          </w:tcPr>
          <w:p>
            <w:pPr>
              <w:pStyle w:val="39"/>
              <w:rPr>
                <w:rFonts w:ascii="Times New Roman" w:hAnsi="Times New Roman"/>
              </w:rPr>
            </w:pPr>
            <w:r>
              <w:rPr>
                <w:rFonts w:ascii="Times New Roman" w:hAnsi="Times New Roman"/>
              </w:rPr>
              <w:t>0.07</w:t>
            </w:r>
          </w:p>
        </w:tc>
        <w:tc>
          <w:tcPr>
            <w:tcW w:w="737" w:type="pct"/>
            <w:shd w:val="clear" w:color="auto" w:fill="auto"/>
            <w:noWrap/>
            <w:vAlign w:val="center"/>
          </w:tcPr>
          <w:p>
            <w:pPr>
              <w:pStyle w:val="39"/>
              <w:rPr>
                <w:rFonts w:ascii="Times New Roman" w:hAnsi="Times New Roman"/>
              </w:rPr>
            </w:pPr>
            <w:r>
              <w:rPr>
                <w:rFonts w:ascii="Times New Roman" w:hAnsi="Times New Roman"/>
              </w:rPr>
              <w:t>0.018</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800</w:t>
            </w:r>
          </w:p>
        </w:tc>
        <w:tc>
          <w:tcPr>
            <w:tcW w:w="895" w:type="pct"/>
            <w:shd w:val="clear" w:color="auto" w:fill="auto"/>
            <w:vAlign w:val="center"/>
          </w:tcPr>
          <w:p>
            <w:pPr>
              <w:pStyle w:val="39"/>
              <w:rPr>
                <w:rFonts w:ascii="Times New Roman" w:hAnsi="Times New Roman"/>
              </w:rPr>
            </w:pPr>
            <w:r>
              <w:rPr>
                <w:rFonts w:ascii="Times New Roman" w:hAnsi="Times New Roman"/>
              </w:rPr>
              <w:t>0.004</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0.172</w:t>
            </w:r>
          </w:p>
        </w:tc>
        <w:tc>
          <w:tcPr>
            <w:tcW w:w="674" w:type="pct"/>
            <w:shd w:val="clear" w:color="auto" w:fill="auto"/>
            <w:noWrap/>
            <w:vAlign w:val="center"/>
          </w:tcPr>
          <w:p>
            <w:pPr>
              <w:pStyle w:val="39"/>
              <w:rPr>
                <w:rFonts w:ascii="Times New Roman" w:hAnsi="Times New Roman"/>
              </w:rPr>
            </w:pPr>
            <w:r>
              <w:rPr>
                <w:rFonts w:ascii="Times New Roman" w:hAnsi="Times New Roman"/>
              </w:rPr>
              <w:t>0.07</w:t>
            </w:r>
          </w:p>
        </w:tc>
        <w:tc>
          <w:tcPr>
            <w:tcW w:w="737" w:type="pct"/>
            <w:shd w:val="clear" w:color="auto" w:fill="auto"/>
            <w:noWrap/>
            <w:vAlign w:val="center"/>
          </w:tcPr>
          <w:p>
            <w:pPr>
              <w:pStyle w:val="39"/>
              <w:rPr>
                <w:rFonts w:ascii="Times New Roman" w:hAnsi="Times New Roman"/>
              </w:rPr>
            </w:pPr>
            <w:r>
              <w:rPr>
                <w:rFonts w:ascii="Times New Roman" w:hAnsi="Times New Roman"/>
              </w:rPr>
              <w:t>0.017</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900</w:t>
            </w:r>
          </w:p>
        </w:tc>
        <w:tc>
          <w:tcPr>
            <w:tcW w:w="895" w:type="pct"/>
            <w:shd w:val="clear" w:color="auto" w:fill="auto"/>
            <w:vAlign w:val="center"/>
          </w:tcPr>
          <w:p>
            <w:pPr>
              <w:pStyle w:val="39"/>
              <w:rPr>
                <w:rFonts w:ascii="Times New Roman" w:hAnsi="Times New Roman"/>
              </w:rPr>
            </w:pPr>
            <w:r>
              <w:rPr>
                <w:rFonts w:ascii="Times New Roman" w:hAnsi="Times New Roman"/>
              </w:rPr>
              <w:t>0.004</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0.162</w:t>
            </w:r>
          </w:p>
        </w:tc>
        <w:tc>
          <w:tcPr>
            <w:tcW w:w="674" w:type="pct"/>
            <w:shd w:val="clear" w:color="auto" w:fill="auto"/>
            <w:noWrap/>
            <w:vAlign w:val="center"/>
          </w:tcPr>
          <w:p>
            <w:pPr>
              <w:pStyle w:val="39"/>
              <w:rPr>
                <w:rFonts w:ascii="Times New Roman" w:hAnsi="Times New Roman"/>
              </w:rPr>
            </w:pPr>
            <w:r>
              <w:rPr>
                <w:rFonts w:ascii="Times New Roman" w:hAnsi="Times New Roman"/>
              </w:rPr>
              <w:t>0.06</w:t>
            </w:r>
          </w:p>
        </w:tc>
        <w:tc>
          <w:tcPr>
            <w:tcW w:w="737" w:type="pct"/>
            <w:shd w:val="clear" w:color="auto" w:fill="auto"/>
            <w:noWrap/>
            <w:vAlign w:val="center"/>
          </w:tcPr>
          <w:p>
            <w:pPr>
              <w:pStyle w:val="39"/>
              <w:rPr>
                <w:rFonts w:ascii="Times New Roman" w:hAnsi="Times New Roman"/>
              </w:rPr>
            </w:pPr>
            <w:r>
              <w:rPr>
                <w:rFonts w:ascii="Times New Roman" w:hAnsi="Times New Roman"/>
              </w:rPr>
              <w:t>0.016</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1000</w:t>
            </w:r>
          </w:p>
        </w:tc>
        <w:tc>
          <w:tcPr>
            <w:tcW w:w="895" w:type="pct"/>
            <w:shd w:val="clear" w:color="auto" w:fill="auto"/>
            <w:vAlign w:val="center"/>
          </w:tcPr>
          <w:p>
            <w:pPr>
              <w:pStyle w:val="39"/>
              <w:rPr>
                <w:rFonts w:ascii="Times New Roman" w:hAnsi="Times New Roman"/>
              </w:rPr>
            </w:pPr>
            <w:r>
              <w:rPr>
                <w:rFonts w:ascii="Times New Roman" w:hAnsi="Times New Roman"/>
              </w:rPr>
              <w:t>0.004</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0.153</w:t>
            </w:r>
          </w:p>
        </w:tc>
        <w:tc>
          <w:tcPr>
            <w:tcW w:w="674" w:type="pct"/>
            <w:shd w:val="clear" w:color="auto" w:fill="auto"/>
            <w:noWrap/>
            <w:vAlign w:val="center"/>
          </w:tcPr>
          <w:p>
            <w:pPr>
              <w:pStyle w:val="39"/>
              <w:rPr>
                <w:rFonts w:ascii="Times New Roman" w:hAnsi="Times New Roman"/>
              </w:rPr>
            </w:pPr>
            <w:r>
              <w:rPr>
                <w:rFonts w:ascii="Times New Roman" w:hAnsi="Times New Roman"/>
              </w:rPr>
              <w:t>0.06</w:t>
            </w:r>
          </w:p>
        </w:tc>
        <w:tc>
          <w:tcPr>
            <w:tcW w:w="737" w:type="pct"/>
            <w:shd w:val="clear" w:color="auto" w:fill="auto"/>
            <w:noWrap/>
            <w:vAlign w:val="center"/>
          </w:tcPr>
          <w:p>
            <w:pPr>
              <w:pStyle w:val="39"/>
              <w:rPr>
                <w:rFonts w:ascii="Times New Roman" w:hAnsi="Times New Roman"/>
              </w:rPr>
            </w:pPr>
            <w:r>
              <w:rPr>
                <w:rFonts w:ascii="Times New Roman" w:hAnsi="Times New Roman"/>
              </w:rPr>
              <w:t>0.015</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1500</w:t>
            </w:r>
          </w:p>
        </w:tc>
        <w:tc>
          <w:tcPr>
            <w:tcW w:w="895" w:type="pct"/>
            <w:shd w:val="clear" w:color="auto" w:fill="auto"/>
            <w:vAlign w:val="center"/>
          </w:tcPr>
          <w:p>
            <w:pPr>
              <w:pStyle w:val="39"/>
              <w:rPr>
                <w:rFonts w:ascii="Times New Roman" w:hAnsi="Times New Roman"/>
              </w:rPr>
            </w:pPr>
            <w:r>
              <w:rPr>
                <w:rFonts w:ascii="Times New Roman" w:hAnsi="Times New Roman"/>
              </w:rPr>
              <w:t>0.003</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0.132</w:t>
            </w:r>
          </w:p>
        </w:tc>
        <w:tc>
          <w:tcPr>
            <w:tcW w:w="674" w:type="pct"/>
            <w:shd w:val="clear" w:color="auto" w:fill="auto"/>
            <w:noWrap/>
            <w:vAlign w:val="center"/>
          </w:tcPr>
          <w:p>
            <w:pPr>
              <w:pStyle w:val="39"/>
              <w:rPr>
                <w:rFonts w:ascii="Times New Roman" w:hAnsi="Times New Roman"/>
              </w:rPr>
            </w:pPr>
            <w:r>
              <w:rPr>
                <w:rFonts w:ascii="Times New Roman" w:hAnsi="Times New Roman"/>
              </w:rPr>
              <w:t>0.05</w:t>
            </w:r>
          </w:p>
        </w:tc>
        <w:tc>
          <w:tcPr>
            <w:tcW w:w="737" w:type="pct"/>
            <w:shd w:val="clear" w:color="auto" w:fill="auto"/>
            <w:noWrap/>
            <w:vAlign w:val="center"/>
          </w:tcPr>
          <w:p>
            <w:pPr>
              <w:pStyle w:val="39"/>
              <w:rPr>
                <w:rFonts w:ascii="Times New Roman" w:hAnsi="Times New Roman"/>
              </w:rPr>
            </w:pPr>
            <w:r>
              <w:rPr>
                <w:rFonts w:ascii="Times New Roman" w:hAnsi="Times New Roman"/>
              </w:rPr>
              <w:t>0.013</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2000</w:t>
            </w:r>
          </w:p>
        </w:tc>
        <w:tc>
          <w:tcPr>
            <w:tcW w:w="895" w:type="pct"/>
            <w:shd w:val="clear" w:color="auto" w:fill="auto"/>
            <w:vAlign w:val="center"/>
          </w:tcPr>
          <w:p>
            <w:pPr>
              <w:pStyle w:val="39"/>
              <w:rPr>
                <w:rFonts w:ascii="Times New Roman" w:hAnsi="Times New Roman"/>
              </w:rPr>
            </w:pPr>
            <w:r>
              <w:rPr>
                <w:rFonts w:ascii="Times New Roman" w:hAnsi="Times New Roman"/>
              </w:rPr>
              <w:t>0.004</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0.141</w:t>
            </w:r>
          </w:p>
        </w:tc>
        <w:tc>
          <w:tcPr>
            <w:tcW w:w="674" w:type="pct"/>
            <w:shd w:val="clear" w:color="auto" w:fill="auto"/>
            <w:noWrap/>
            <w:vAlign w:val="center"/>
          </w:tcPr>
          <w:p>
            <w:pPr>
              <w:pStyle w:val="39"/>
              <w:rPr>
                <w:rFonts w:ascii="Times New Roman" w:hAnsi="Times New Roman"/>
              </w:rPr>
            </w:pPr>
            <w:r>
              <w:rPr>
                <w:rFonts w:ascii="Times New Roman" w:hAnsi="Times New Roman"/>
              </w:rPr>
              <w:t>0.06</w:t>
            </w:r>
          </w:p>
        </w:tc>
        <w:tc>
          <w:tcPr>
            <w:tcW w:w="737" w:type="pct"/>
            <w:shd w:val="clear" w:color="auto" w:fill="auto"/>
            <w:noWrap/>
            <w:vAlign w:val="center"/>
          </w:tcPr>
          <w:p>
            <w:pPr>
              <w:pStyle w:val="39"/>
              <w:rPr>
                <w:rFonts w:ascii="Times New Roman" w:hAnsi="Times New Roman"/>
              </w:rPr>
            </w:pPr>
            <w:r>
              <w:rPr>
                <w:rFonts w:ascii="Times New Roman" w:hAnsi="Times New Roman"/>
              </w:rPr>
              <w:t>0.014</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2500</w:t>
            </w:r>
          </w:p>
        </w:tc>
        <w:tc>
          <w:tcPr>
            <w:tcW w:w="895" w:type="pct"/>
            <w:shd w:val="clear" w:color="auto" w:fill="auto"/>
            <w:vAlign w:val="center"/>
          </w:tcPr>
          <w:p>
            <w:pPr>
              <w:pStyle w:val="39"/>
              <w:rPr>
                <w:rFonts w:ascii="Times New Roman" w:hAnsi="Times New Roman"/>
              </w:rPr>
            </w:pPr>
            <w:r>
              <w:rPr>
                <w:rFonts w:ascii="Times New Roman" w:hAnsi="Times New Roman"/>
              </w:rPr>
              <w:t>0.003</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0.137</w:t>
            </w:r>
          </w:p>
        </w:tc>
        <w:tc>
          <w:tcPr>
            <w:tcW w:w="674" w:type="pct"/>
            <w:shd w:val="clear" w:color="auto" w:fill="auto"/>
            <w:noWrap/>
            <w:vAlign w:val="center"/>
          </w:tcPr>
          <w:p>
            <w:pPr>
              <w:pStyle w:val="39"/>
              <w:rPr>
                <w:rFonts w:ascii="Times New Roman" w:hAnsi="Times New Roman"/>
              </w:rPr>
            </w:pPr>
            <w:r>
              <w:rPr>
                <w:rFonts w:ascii="Times New Roman" w:hAnsi="Times New Roman"/>
              </w:rPr>
              <w:t>0.05</w:t>
            </w:r>
          </w:p>
        </w:tc>
        <w:tc>
          <w:tcPr>
            <w:tcW w:w="737" w:type="pct"/>
            <w:shd w:val="clear" w:color="auto" w:fill="auto"/>
            <w:noWrap/>
            <w:vAlign w:val="center"/>
          </w:tcPr>
          <w:p>
            <w:pPr>
              <w:pStyle w:val="39"/>
              <w:rPr>
                <w:rFonts w:ascii="Times New Roman" w:hAnsi="Times New Roman"/>
              </w:rPr>
            </w:pPr>
            <w:r>
              <w:rPr>
                <w:rFonts w:ascii="Times New Roman" w:hAnsi="Times New Roman"/>
              </w:rPr>
              <w:t>0.014</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3000</w:t>
            </w:r>
          </w:p>
        </w:tc>
        <w:tc>
          <w:tcPr>
            <w:tcW w:w="895" w:type="pct"/>
            <w:shd w:val="clear" w:color="auto" w:fill="auto"/>
            <w:vAlign w:val="center"/>
          </w:tcPr>
          <w:p>
            <w:pPr>
              <w:pStyle w:val="39"/>
              <w:rPr>
                <w:rFonts w:ascii="Times New Roman" w:hAnsi="Times New Roman"/>
              </w:rPr>
            </w:pPr>
            <w:r>
              <w:rPr>
                <w:rFonts w:ascii="Times New Roman" w:hAnsi="Times New Roman"/>
              </w:rPr>
              <w:t>0.003</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0.129</w:t>
            </w:r>
          </w:p>
        </w:tc>
        <w:tc>
          <w:tcPr>
            <w:tcW w:w="674" w:type="pct"/>
            <w:shd w:val="clear" w:color="auto" w:fill="auto"/>
            <w:noWrap/>
            <w:vAlign w:val="center"/>
          </w:tcPr>
          <w:p>
            <w:pPr>
              <w:pStyle w:val="39"/>
              <w:rPr>
                <w:rFonts w:ascii="Times New Roman" w:hAnsi="Times New Roman"/>
              </w:rPr>
            </w:pPr>
            <w:r>
              <w:rPr>
                <w:rFonts w:ascii="Times New Roman" w:hAnsi="Times New Roman"/>
              </w:rPr>
              <w:t>0.05</w:t>
            </w:r>
          </w:p>
        </w:tc>
        <w:tc>
          <w:tcPr>
            <w:tcW w:w="737" w:type="pct"/>
            <w:shd w:val="clear" w:color="auto" w:fill="auto"/>
            <w:noWrap/>
            <w:vAlign w:val="center"/>
          </w:tcPr>
          <w:p>
            <w:pPr>
              <w:pStyle w:val="39"/>
              <w:rPr>
                <w:rFonts w:ascii="Times New Roman" w:hAnsi="Times New Roman"/>
              </w:rPr>
            </w:pPr>
            <w:r>
              <w:rPr>
                <w:rFonts w:ascii="Times New Roman" w:hAnsi="Times New Roman"/>
              </w:rPr>
              <w:t>0.013</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3500</w:t>
            </w:r>
          </w:p>
        </w:tc>
        <w:tc>
          <w:tcPr>
            <w:tcW w:w="895" w:type="pct"/>
            <w:shd w:val="clear" w:color="auto" w:fill="auto"/>
            <w:vAlign w:val="center"/>
          </w:tcPr>
          <w:p>
            <w:pPr>
              <w:pStyle w:val="39"/>
              <w:rPr>
                <w:rFonts w:ascii="Times New Roman" w:hAnsi="Times New Roman"/>
              </w:rPr>
            </w:pPr>
            <w:r>
              <w:rPr>
                <w:rFonts w:ascii="Times New Roman" w:hAnsi="Times New Roman"/>
              </w:rPr>
              <w:t>0.003</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0.121</w:t>
            </w:r>
          </w:p>
        </w:tc>
        <w:tc>
          <w:tcPr>
            <w:tcW w:w="674" w:type="pct"/>
            <w:shd w:val="clear" w:color="auto" w:fill="auto"/>
            <w:noWrap/>
            <w:vAlign w:val="center"/>
          </w:tcPr>
          <w:p>
            <w:pPr>
              <w:pStyle w:val="39"/>
              <w:rPr>
                <w:rFonts w:ascii="Times New Roman" w:hAnsi="Times New Roman"/>
              </w:rPr>
            </w:pPr>
            <w:r>
              <w:rPr>
                <w:rFonts w:ascii="Times New Roman" w:hAnsi="Times New Roman"/>
              </w:rPr>
              <w:t>0.05</w:t>
            </w:r>
          </w:p>
        </w:tc>
        <w:tc>
          <w:tcPr>
            <w:tcW w:w="737" w:type="pct"/>
            <w:shd w:val="clear" w:color="auto" w:fill="auto"/>
            <w:noWrap/>
            <w:vAlign w:val="center"/>
          </w:tcPr>
          <w:p>
            <w:pPr>
              <w:pStyle w:val="39"/>
              <w:rPr>
                <w:rFonts w:ascii="Times New Roman" w:hAnsi="Times New Roman"/>
              </w:rPr>
            </w:pPr>
            <w:r>
              <w:rPr>
                <w:rFonts w:ascii="Times New Roman" w:hAnsi="Times New Roman"/>
              </w:rPr>
              <w:t>0.012</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4000</w:t>
            </w:r>
          </w:p>
        </w:tc>
        <w:tc>
          <w:tcPr>
            <w:tcW w:w="895" w:type="pct"/>
            <w:shd w:val="clear" w:color="auto" w:fill="auto"/>
            <w:vAlign w:val="center"/>
          </w:tcPr>
          <w:p>
            <w:pPr>
              <w:pStyle w:val="39"/>
              <w:rPr>
                <w:rFonts w:ascii="Times New Roman" w:hAnsi="Times New Roman"/>
              </w:rPr>
            </w:pPr>
            <w:r>
              <w:rPr>
                <w:rFonts w:ascii="Times New Roman" w:hAnsi="Times New Roman"/>
              </w:rPr>
              <w:t>0.003</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0.114</w:t>
            </w:r>
          </w:p>
        </w:tc>
        <w:tc>
          <w:tcPr>
            <w:tcW w:w="674" w:type="pct"/>
            <w:shd w:val="clear" w:color="auto" w:fill="auto"/>
            <w:noWrap/>
            <w:vAlign w:val="center"/>
          </w:tcPr>
          <w:p>
            <w:pPr>
              <w:pStyle w:val="39"/>
              <w:rPr>
                <w:rFonts w:ascii="Times New Roman" w:hAnsi="Times New Roman"/>
              </w:rPr>
            </w:pPr>
            <w:r>
              <w:rPr>
                <w:rFonts w:ascii="Times New Roman" w:hAnsi="Times New Roman"/>
              </w:rPr>
              <w:t>0.05</w:t>
            </w:r>
          </w:p>
        </w:tc>
        <w:tc>
          <w:tcPr>
            <w:tcW w:w="737" w:type="pct"/>
            <w:shd w:val="clear" w:color="auto" w:fill="auto"/>
            <w:noWrap/>
            <w:vAlign w:val="center"/>
          </w:tcPr>
          <w:p>
            <w:pPr>
              <w:pStyle w:val="39"/>
              <w:rPr>
                <w:rFonts w:ascii="Times New Roman" w:hAnsi="Times New Roman"/>
              </w:rPr>
            </w:pPr>
            <w:r>
              <w:rPr>
                <w:rFonts w:ascii="Times New Roman" w:hAnsi="Times New Roman"/>
              </w:rPr>
              <w:t>0.011</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4500</w:t>
            </w:r>
          </w:p>
        </w:tc>
        <w:tc>
          <w:tcPr>
            <w:tcW w:w="895" w:type="pct"/>
            <w:shd w:val="clear" w:color="auto" w:fill="auto"/>
            <w:vAlign w:val="center"/>
          </w:tcPr>
          <w:p>
            <w:pPr>
              <w:pStyle w:val="39"/>
              <w:rPr>
                <w:rFonts w:ascii="Times New Roman" w:hAnsi="Times New Roman"/>
              </w:rPr>
            </w:pPr>
            <w:r>
              <w:rPr>
                <w:rFonts w:ascii="Times New Roman" w:hAnsi="Times New Roman"/>
              </w:rPr>
              <w:t>0.003</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0.107</w:t>
            </w:r>
          </w:p>
        </w:tc>
        <w:tc>
          <w:tcPr>
            <w:tcW w:w="674" w:type="pct"/>
            <w:shd w:val="clear" w:color="auto" w:fill="auto"/>
            <w:noWrap/>
            <w:vAlign w:val="center"/>
          </w:tcPr>
          <w:p>
            <w:pPr>
              <w:pStyle w:val="39"/>
              <w:rPr>
                <w:rFonts w:ascii="Times New Roman" w:hAnsi="Times New Roman"/>
              </w:rPr>
            </w:pPr>
            <w:r>
              <w:rPr>
                <w:rFonts w:ascii="Times New Roman" w:hAnsi="Times New Roman"/>
              </w:rPr>
              <w:t>0.04</w:t>
            </w:r>
          </w:p>
        </w:tc>
        <w:tc>
          <w:tcPr>
            <w:tcW w:w="737" w:type="pct"/>
            <w:shd w:val="clear" w:color="auto" w:fill="auto"/>
            <w:noWrap/>
            <w:vAlign w:val="center"/>
          </w:tcPr>
          <w:p>
            <w:pPr>
              <w:pStyle w:val="39"/>
              <w:rPr>
                <w:rFonts w:ascii="Times New Roman" w:hAnsi="Times New Roman"/>
              </w:rPr>
            </w:pPr>
            <w:r>
              <w:rPr>
                <w:rFonts w:ascii="Times New Roman" w:hAnsi="Times New Roman"/>
              </w:rPr>
              <w:t>0.011</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5000</w:t>
            </w:r>
          </w:p>
        </w:tc>
        <w:tc>
          <w:tcPr>
            <w:tcW w:w="895" w:type="pct"/>
            <w:shd w:val="clear" w:color="auto" w:fill="auto"/>
            <w:vAlign w:val="center"/>
          </w:tcPr>
          <w:p>
            <w:pPr>
              <w:pStyle w:val="39"/>
              <w:rPr>
                <w:rFonts w:ascii="Times New Roman" w:hAnsi="Times New Roman"/>
              </w:rPr>
            </w:pPr>
            <w:r>
              <w:rPr>
                <w:rFonts w:ascii="Times New Roman" w:hAnsi="Times New Roman"/>
              </w:rPr>
              <w:t>0.003</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0.100</w:t>
            </w:r>
          </w:p>
        </w:tc>
        <w:tc>
          <w:tcPr>
            <w:tcW w:w="674" w:type="pct"/>
            <w:shd w:val="clear" w:color="auto" w:fill="auto"/>
            <w:noWrap/>
            <w:vAlign w:val="center"/>
          </w:tcPr>
          <w:p>
            <w:pPr>
              <w:pStyle w:val="39"/>
              <w:rPr>
                <w:rFonts w:ascii="Times New Roman" w:hAnsi="Times New Roman"/>
              </w:rPr>
            </w:pPr>
            <w:r>
              <w:rPr>
                <w:rFonts w:ascii="Times New Roman" w:hAnsi="Times New Roman"/>
              </w:rPr>
              <w:t>0.04</w:t>
            </w:r>
          </w:p>
        </w:tc>
        <w:tc>
          <w:tcPr>
            <w:tcW w:w="737" w:type="pct"/>
            <w:shd w:val="clear" w:color="auto" w:fill="auto"/>
            <w:noWrap/>
            <w:vAlign w:val="center"/>
          </w:tcPr>
          <w:p>
            <w:pPr>
              <w:pStyle w:val="39"/>
              <w:rPr>
                <w:rFonts w:ascii="Times New Roman" w:hAnsi="Times New Roman"/>
              </w:rPr>
            </w:pPr>
            <w:r>
              <w:rPr>
                <w:rFonts w:ascii="Times New Roman" w:hAnsi="Times New Roman"/>
              </w:rPr>
              <w:t>0.010</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6000</w:t>
            </w:r>
          </w:p>
        </w:tc>
        <w:tc>
          <w:tcPr>
            <w:tcW w:w="895" w:type="pct"/>
            <w:shd w:val="clear" w:color="auto" w:fill="auto"/>
            <w:vAlign w:val="center"/>
          </w:tcPr>
          <w:p>
            <w:pPr>
              <w:pStyle w:val="39"/>
              <w:rPr>
                <w:rFonts w:ascii="Times New Roman" w:hAnsi="Times New Roman"/>
              </w:rPr>
            </w:pPr>
            <w:r>
              <w:rPr>
                <w:rFonts w:ascii="Times New Roman" w:hAnsi="Times New Roman"/>
              </w:rPr>
              <w:t>0.002</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0.090</w:t>
            </w:r>
          </w:p>
        </w:tc>
        <w:tc>
          <w:tcPr>
            <w:tcW w:w="674" w:type="pct"/>
            <w:shd w:val="clear" w:color="auto" w:fill="auto"/>
            <w:noWrap/>
            <w:vAlign w:val="center"/>
          </w:tcPr>
          <w:p>
            <w:pPr>
              <w:pStyle w:val="39"/>
              <w:rPr>
                <w:rFonts w:ascii="Times New Roman" w:hAnsi="Times New Roman"/>
              </w:rPr>
            </w:pPr>
            <w:r>
              <w:rPr>
                <w:rFonts w:ascii="Times New Roman" w:hAnsi="Times New Roman"/>
              </w:rPr>
              <w:t>0.04</w:t>
            </w:r>
          </w:p>
        </w:tc>
        <w:tc>
          <w:tcPr>
            <w:tcW w:w="737" w:type="pct"/>
            <w:shd w:val="clear" w:color="auto" w:fill="auto"/>
            <w:noWrap/>
            <w:vAlign w:val="center"/>
          </w:tcPr>
          <w:p>
            <w:pPr>
              <w:pStyle w:val="39"/>
              <w:rPr>
                <w:rFonts w:ascii="Times New Roman" w:hAnsi="Times New Roman"/>
              </w:rPr>
            </w:pPr>
            <w:r>
              <w:rPr>
                <w:rFonts w:ascii="Times New Roman" w:hAnsi="Times New Roman"/>
              </w:rPr>
              <w:t>0.009</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7000</w:t>
            </w:r>
          </w:p>
        </w:tc>
        <w:tc>
          <w:tcPr>
            <w:tcW w:w="895" w:type="pct"/>
            <w:shd w:val="clear" w:color="auto" w:fill="auto"/>
            <w:vAlign w:val="center"/>
          </w:tcPr>
          <w:p>
            <w:pPr>
              <w:pStyle w:val="39"/>
              <w:rPr>
                <w:rFonts w:ascii="Times New Roman" w:hAnsi="Times New Roman"/>
              </w:rPr>
            </w:pPr>
            <w:r>
              <w:rPr>
                <w:rFonts w:ascii="Times New Roman" w:hAnsi="Times New Roman"/>
              </w:rPr>
              <w:t>0.002</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0.081</w:t>
            </w:r>
          </w:p>
        </w:tc>
        <w:tc>
          <w:tcPr>
            <w:tcW w:w="674" w:type="pct"/>
            <w:shd w:val="clear" w:color="auto" w:fill="auto"/>
            <w:noWrap/>
            <w:vAlign w:val="center"/>
          </w:tcPr>
          <w:p>
            <w:pPr>
              <w:pStyle w:val="39"/>
              <w:rPr>
                <w:rFonts w:ascii="Times New Roman" w:hAnsi="Times New Roman"/>
              </w:rPr>
            </w:pPr>
            <w:r>
              <w:rPr>
                <w:rFonts w:ascii="Times New Roman" w:hAnsi="Times New Roman"/>
              </w:rPr>
              <w:t>0.03</w:t>
            </w:r>
          </w:p>
        </w:tc>
        <w:tc>
          <w:tcPr>
            <w:tcW w:w="737" w:type="pct"/>
            <w:shd w:val="clear" w:color="auto" w:fill="auto"/>
            <w:noWrap/>
            <w:vAlign w:val="center"/>
          </w:tcPr>
          <w:p>
            <w:pPr>
              <w:pStyle w:val="39"/>
              <w:rPr>
                <w:rFonts w:ascii="Times New Roman" w:hAnsi="Times New Roman"/>
              </w:rPr>
            </w:pPr>
            <w:r>
              <w:rPr>
                <w:rFonts w:ascii="Times New Roman" w:hAnsi="Times New Roman"/>
              </w:rPr>
              <w:t>0.008</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8000</w:t>
            </w:r>
          </w:p>
        </w:tc>
        <w:tc>
          <w:tcPr>
            <w:tcW w:w="895" w:type="pct"/>
            <w:shd w:val="clear" w:color="auto" w:fill="auto"/>
            <w:vAlign w:val="center"/>
          </w:tcPr>
          <w:p>
            <w:pPr>
              <w:pStyle w:val="39"/>
              <w:rPr>
                <w:rFonts w:ascii="Times New Roman" w:hAnsi="Times New Roman"/>
              </w:rPr>
            </w:pPr>
            <w:r>
              <w:rPr>
                <w:rFonts w:ascii="Times New Roman" w:hAnsi="Times New Roman"/>
              </w:rPr>
              <w:t>0.002</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0.074</w:t>
            </w:r>
          </w:p>
        </w:tc>
        <w:tc>
          <w:tcPr>
            <w:tcW w:w="674" w:type="pct"/>
            <w:shd w:val="clear" w:color="auto" w:fill="auto"/>
            <w:noWrap/>
            <w:vAlign w:val="center"/>
          </w:tcPr>
          <w:p>
            <w:pPr>
              <w:pStyle w:val="39"/>
              <w:rPr>
                <w:rFonts w:ascii="Times New Roman" w:hAnsi="Times New Roman"/>
              </w:rPr>
            </w:pPr>
            <w:r>
              <w:rPr>
                <w:rFonts w:ascii="Times New Roman" w:hAnsi="Times New Roman"/>
              </w:rPr>
              <w:t>0.03</w:t>
            </w:r>
          </w:p>
        </w:tc>
        <w:tc>
          <w:tcPr>
            <w:tcW w:w="737" w:type="pct"/>
            <w:shd w:val="clear" w:color="auto" w:fill="auto"/>
            <w:noWrap/>
            <w:vAlign w:val="center"/>
          </w:tcPr>
          <w:p>
            <w:pPr>
              <w:pStyle w:val="39"/>
              <w:rPr>
                <w:rFonts w:ascii="Times New Roman" w:hAnsi="Times New Roman"/>
              </w:rPr>
            </w:pPr>
            <w:r>
              <w:rPr>
                <w:rFonts w:ascii="Times New Roman" w:hAnsi="Times New Roman"/>
              </w:rPr>
              <w:t>0.007</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9000</w:t>
            </w:r>
          </w:p>
        </w:tc>
        <w:tc>
          <w:tcPr>
            <w:tcW w:w="895" w:type="pct"/>
            <w:shd w:val="clear" w:color="auto" w:fill="auto"/>
            <w:vAlign w:val="center"/>
          </w:tcPr>
          <w:p>
            <w:pPr>
              <w:pStyle w:val="39"/>
              <w:rPr>
                <w:rFonts w:ascii="Times New Roman" w:hAnsi="Times New Roman"/>
              </w:rPr>
            </w:pPr>
            <w:r>
              <w:rPr>
                <w:rFonts w:ascii="Times New Roman" w:hAnsi="Times New Roman"/>
              </w:rPr>
              <w:t>0.002</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0.068</w:t>
            </w:r>
          </w:p>
        </w:tc>
        <w:tc>
          <w:tcPr>
            <w:tcW w:w="674" w:type="pct"/>
            <w:shd w:val="clear" w:color="auto" w:fill="auto"/>
            <w:noWrap/>
            <w:vAlign w:val="center"/>
          </w:tcPr>
          <w:p>
            <w:pPr>
              <w:pStyle w:val="39"/>
              <w:rPr>
                <w:rFonts w:ascii="Times New Roman" w:hAnsi="Times New Roman"/>
              </w:rPr>
            </w:pPr>
            <w:r>
              <w:rPr>
                <w:rFonts w:ascii="Times New Roman" w:hAnsi="Times New Roman"/>
              </w:rPr>
              <w:t>0.03</w:t>
            </w:r>
          </w:p>
        </w:tc>
        <w:tc>
          <w:tcPr>
            <w:tcW w:w="737" w:type="pct"/>
            <w:shd w:val="clear" w:color="auto" w:fill="auto"/>
            <w:noWrap/>
            <w:vAlign w:val="center"/>
          </w:tcPr>
          <w:p>
            <w:pPr>
              <w:pStyle w:val="39"/>
              <w:rPr>
                <w:rFonts w:ascii="Times New Roman" w:hAnsi="Times New Roman"/>
              </w:rPr>
            </w:pPr>
            <w:r>
              <w:rPr>
                <w:rFonts w:ascii="Times New Roman" w:hAnsi="Times New Roman"/>
              </w:rPr>
              <w:t>0.007</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10000</w:t>
            </w:r>
          </w:p>
        </w:tc>
        <w:tc>
          <w:tcPr>
            <w:tcW w:w="895" w:type="pct"/>
            <w:shd w:val="clear" w:color="auto" w:fill="auto"/>
            <w:vAlign w:val="center"/>
          </w:tcPr>
          <w:p>
            <w:pPr>
              <w:pStyle w:val="39"/>
              <w:rPr>
                <w:rFonts w:ascii="Times New Roman" w:hAnsi="Times New Roman"/>
              </w:rPr>
            </w:pPr>
            <w:r>
              <w:rPr>
                <w:rFonts w:ascii="Times New Roman" w:hAnsi="Times New Roman"/>
              </w:rPr>
              <w:t>0.002</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0.063</w:t>
            </w:r>
          </w:p>
        </w:tc>
        <w:tc>
          <w:tcPr>
            <w:tcW w:w="674" w:type="pct"/>
            <w:shd w:val="clear" w:color="auto" w:fill="auto"/>
            <w:noWrap/>
            <w:vAlign w:val="center"/>
          </w:tcPr>
          <w:p>
            <w:pPr>
              <w:pStyle w:val="39"/>
              <w:rPr>
                <w:rFonts w:ascii="Times New Roman" w:hAnsi="Times New Roman"/>
              </w:rPr>
            </w:pPr>
            <w:r>
              <w:rPr>
                <w:rFonts w:ascii="Times New Roman" w:hAnsi="Times New Roman"/>
              </w:rPr>
              <w:t>0.03</w:t>
            </w:r>
          </w:p>
        </w:tc>
        <w:tc>
          <w:tcPr>
            <w:tcW w:w="737" w:type="pct"/>
            <w:shd w:val="clear" w:color="auto" w:fill="auto"/>
            <w:noWrap/>
            <w:vAlign w:val="center"/>
          </w:tcPr>
          <w:p>
            <w:pPr>
              <w:pStyle w:val="39"/>
              <w:rPr>
                <w:rFonts w:ascii="Times New Roman" w:hAnsi="Times New Roman"/>
              </w:rPr>
            </w:pPr>
            <w:r>
              <w:rPr>
                <w:rFonts w:ascii="Times New Roman" w:hAnsi="Times New Roman"/>
              </w:rPr>
              <w:t>0.006</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11000</w:t>
            </w:r>
          </w:p>
        </w:tc>
        <w:tc>
          <w:tcPr>
            <w:tcW w:w="895" w:type="pct"/>
            <w:shd w:val="clear" w:color="auto" w:fill="auto"/>
            <w:vAlign w:val="center"/>
          </w:tcPr>
          <w:p>
            <w:pPr>
              <w:pStyle w:val="39"/>
              <w:rPr>
                <w:rFonts w:ascii="Times New Roman" w:hAnsi="Times New Roman"/>
              </w:rPr>
            </w:pPr>
            <w:r>
              <w:rPr>
                <w:rFonts w:ascii="Times New Roman" w:hAnsi="Times New Roman"/>
              </w:rPr>
              <w:t>0.001</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0.058</w:t>
            </w:r>
          </w:p>
        </w:tc>
        <w:tc>
          <w:tcPr>
            <w:tcW w:w="674" w:type="pct"/>
            <w:shd w:val="clear" w:color="auto" w:fill="auto"/>
            <w:noWrap/>
            <w:vAlign w:val="center"/>
          </w:tcPr>
          <w:p>
            <w:pPr>
              <w:pStyle w:val="39"/>
              <w:rPr>
                <w:rFonts w:ascii="Times New Roman" w:hAnsi="Times New Roman"/>
              </w:rPr>
            </w:pPr>
            <w:r>
              <w:rPr>
                <w:rFonts w:ascii="Times New Roman" w:hAnsi="Times New Roman"/>
              </w:rPr>
              <w:t>0.02</w:t>
            </w:r>
          </w:p>
        </w:tc>
        <w:tc>
          <w:tcPr>
            <w:tcW w:w="737" w:type="pct"/>
            <w:shd w:val="clear" w:color="auto" w:fill="auto"/>
            <w:noWrap/>
            <w:vAlign w:val="center"/>
          </w:tcPr>
          <w:p>
            <w:pPr>
              <w:pStyle w:val="39"/>
              <w:rPr>
                <w:rFonts w:ascii="Times New Roman" w:hAnsi="Times New Roman"/>
              </w:rPr>
            </w:pPr>
            <w:r>
              <w:rPr>
                <w:rFonts w:ascii="Times New Roman" w:hAnsi="Times New Roman"/>
              </w:rPr>
              <w:t>0.006</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12000</w:t>
            </w:r>
          </w:p>
        </w:tc>
        <w:tc>
          <w:tcPr>
            <w:tcW w:w="895" w:type="pct"/>
            <w:shd w:val="clear" w:color="auto" w:fill="auto"/>
            <w:vAlign w:val="center"/>
          </w:tcPr>
          <w:p>
            <w:pPr>
              <w:pStyle w:val="39"/>
              <w:rPr>
                <w:rFonts w:ascii="Times New Roman" w:hAnsi="Times New Roman"/>
              </w:rPr>
            </w:pPr>
            <w:r>
              <w:rPr>
                <w:rFonts w:ascii="Times New Roman" w:hAnsi="Times New Roman"/>
              </w:rPr>
              <w:t>0.001</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0.054</w:t>
            </w:r>
          </w:p>
        </w:tc>
        <w:tc>
          <w:tcPr>
            <w:tcW w:w="674" w:type="pct"/>
            <w:shd w:val="clear" w:color="auto" w:fill="auto"/>
            <w:noWrap/>
            <w:vAlign w:val="center"/>
          </w:tcPr>
          <w:p>
            <w:pPr>
              <w:pStyle w:val="39"/>
              <w:rPr>
                <w:rFonts w:ascii="Times New Roman" w:hAnsi="Times New Roman"/>
              </w:rPr>
            </w:pPr>
            <w:r>
              <w:rPr>
                <w:rFonts w:ascii="Times New Roman" w:hAnsi="Times New Roman"/>
              </w:rPr>
              <w:t>0.02</w:t>
            </w:r>
          </w:p>
        </w:tc>
        <w:tc>
          <w:tcPr>
            <w:tcW w:w="737" w:type="pct"/>
            <w:shd w:val="clear" w:color="auto" w:fill="auto"/>
            <w:noWrap/>
            <w:vAlign w:val="center"/>
          </w:tcPr>
          <w:p>
            <w:pPr>
              <w:pStyle w:val="39"/>
              <w:rPr>
                <w:rFonts w:ascii="Times New Roman" w:hAnsi="Times New Roman"/>
              </w:rPr>
            </w:pPr>
            <w:r>
              <w:rPr>
                <w:rFonts w:ascii="Times New Roman" w:hAnsi="Times New Roman"/>
              </w:rPr>
              <w:t>0.005</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13000</w:t>
            </w:r>
          </w:p>
        </w:tc>
        <w:tc>
          <w:tcPr>
            <w:tcW w:w="895" w:type="pct"/>
            <w:shd w:val="clear" w:color="auto" w:fill="auto"/>
            <w:vAlign w:val="center"/>
          </w:tcPr>
          <w:p>
            <w:pPr>
              <w:pStyle w:val="39"/>
              <w:rPr>
                <w:rFonts w:ascii="Times New Roman" w:hAnsi="Times New Roman"/>
              </w:rPr>
            </w:pPr>
            <w:r>
              <w:rPr>
                <w:rFonts w:ascii="Times New Roman" w:hAnsi="Times New Roman"/>
              </w:rPr>
              <w:t>0.001</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0.051</w:t>
            </w:r>
          </w:p>
        </w:tc>
        <w:tc>
          <w:tcPr>
            <w:tcW w:w="674" w:type="pct"/>
            <w:shd w:val="clear" w:color="auto" w:fill="auto"/>
            <w:noWrap/>
            <w:vAlign w:val="center"/>
          </w:tcPr>
          <w:p>
            <w:pPr>
              <w:pStyle w:val="39"/>
              <w:rPr>
                <w:rFonts w:ascii="Times New Roman" w:hAnsi="Times New Roman"/>
              </w:rPr>
            </w:pPr>
            <w:r>
              <w:rPr>
                <w:rFonts w:ascii="Times New Roman" w:hAnsi="Times New Roman"/>
              </w:rPr>
              <w:t>0.02</w:t>
            </w:r>
          </w:p>
        </w:tc>
        <w:tc>
          <w:tcPr>
            <w:tcW w:w="737" w:type="pct"/>
            <w:shd w:val="clear" w:color="auto" w:fill="auto"/>
            <w:noWrap/>
            <w:vAlign w:val="center"/>
          </w:tcPr>
          <w:p>
            <w:pPr>
              <w:pStyle w:val="39"/>
              <w:rPr>
                <w:rFonts w:ascii="Times New Roman" w:hAnsi="Times New Roman"/>
              </w:rPr>
            </w:pPr>
            <w:r>
              <w:rPr>
                <w:rFonts w:ascii="Times New Roman" w:hAnsi="Times New Roman"/>
              </w:rPr>
              <w:t>0.005</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14000</w:t>
            </w:r>
          </w:p>
        </w:tc>
        <w:tc>
          <w:tcPr>
            <w:tcW w:w="895" w:type="pct"/>
            <w:shd w:val="clear" w:color="auto" w:fill="auto"/>
            <w:vAlign w:val="center"/>
          </w:tcPr>
          <w:p>
            <w:pPr>
              <w:pStyle w:val="39"/>
              <w:rPr>
                <w:rFonts w:ascii="Times New Roman" w:hAnsi="Times New Roman"/>
              </w:rPr>
            </w:pPr>
            <w:r>
              <w:rPr>
                <w:rFonts w:ascii="Times New Roman" w:hAnsi="Times New Roman"/>
              </w:rPr>
              <w:t>0.001</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0.048</w:t>
            </w:r>
          </w:p>
        </w:tc>
        <w:tc>
          <w:tcPr>
            <w:tcW w:w="674" w:type="pct"/>
            <w:shd w:val="clear" w:color="auto" w:fill="auto"/>
            <w:noWrap/>
            <w:vAlign w:val="center"/>
          </w:tcPr>
          <w:p>
            <w:pPr>
              <w:pStyle w:val="39"/>
              <w:rPr>
                <w:rFonts w:ascii="Times New Roman" w:hAnsi="Times New Roman"/>
              </w:rPr>
            </w:pPr>
            <w:r>
              <w:rPr>
                <w:rFonts w:ascii="Times New Roman" w:hAnsi="Times New Roman"/>
              </w:rPr>
              <w:t>0.02</w:t>
            </w:r>
          </w:p>
        </w:tc>
        <w:tc>
          <w:tcPr>
            <w:tcW w:w="737" w:type="pct"/>
            <w:shd w:val="clear" w:color="auto" w:fill="auto"/>
            <w:noWrap/>
            <w:vAlign w:val="center"/>
          </w:tcPr>
          <w:p>
            <w:pPr>
              <w:pStyle w:val="39"/>
              <w:rPr>
                <w:rFonts w:ascii="Times New Roman" w:hAnsi="Times New Roman"/>
              </w:rPr>
            </w:pPr>
            <w:r>
              <w:rPr>
                <w:rFonts w:ascii="Times New Roman" w:hAnsi="Times New Roman"/>
              </w:rPr>
              <w:t>0.005</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15000</w:t>
            </w:r>
          </w:p>
        </w:tc>
        <w:tc>
          <w:tcPr>
            <w:tcW w:w="895" w:type="pct"/>
            <w:shd w:val="clear" w:color="auto" w:fill="auto"/>
            <w:vAlign w:val="center"/>
          </w:tcPr>
          <w:p>
            <w:pPr>
              <w:pStyle w:val="39"/>
              <w:rPr>
                <w:rFonts w:ascii="Times New Roman" w:hAnsi="Times New Roman"/>
              </w:rPr>
            </w:pPr>
            <w:r>
              <w:rPr>
                <w:rFonts w:ascii="Times New Roman" w:hAnsi="Times New Roman"/>
              </w:rPr>
              <w:t>0.001</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0.045</w:t>
            </w:r>
          </w:p>
        </w:tc>
        <w:tc>
          <w:tcPr>
            <w:tcW w:w="674" w:type="pct"/>
            <w:shd w:val="clear" w:color="auto" w:fill="auto"/>
            <w:noWrap/>
            <w:vAlign w:val="center"/>
          </w:tcPr>
          <w:p>
            <w:pPr>
              <w:pStyle w:val="39"/>
              <w:rPr>
                <w:rFonts w:ascii="Times New Roman" w:hAnsi="Times New Roman"/>
              </w:rPr>
            </w:pPr>
            <w:r>
              <w:rPr>
                <w:rFonts w:ascii="Times New Roman" w:hAnsi="Times New Roman"/>
              </w:rPr>
              <w:t>0.02</w:t>
            </w:r>
          </w:p>
        </w:tc>
        <w:tc>
          <w:tcPr>
            <w:tcW w:w="737" w:type="pct"/>
            <w:shd w:val="clear" w:color="auto" w:fill="auto"/>
            <w:noWrap/>
            <w:vAlign w:val="center"/>
          </w:tcPr>
          <w:p>
            <w:pPr>
              <w:pStyle w:val="39"/>
              <w:rPr>
                <w:rFonts w:ascii="Times New Roman" w:hAnsi="Times New Roman"/>
              </w:rPr>
            </w:pPr>
            <w:r>
              <w:rPr>
                <w:rFonts w:ascii="Times New Roman" w:hAnsi="Times New Roman"/>
              </w:rPr>
              <w:t>0.005</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20000</w:t>
            </w:r>
          </w:p>
        </w:tc>
        <w:tc>
          <w:tcPr>
            <w:tcW w:w="895" w:type="pct"/>
            <w:shd w:val="clear" w:color="auto" w:fill="auto"/>
            <w:vAlign w:val="center"/>
          </w:tcPr>
          <w:p>
            <w:pPr>
              <w:pStyle w:val="39"/>
              <w:rPr>
                <w:rFonts w:ascii="Times New Roman" w:hAnsi="Times New Roman"/>
              </w:rPr>
            </w:pPr>
            <w:r>
              <w:rPr>
                <w:rFonts w:ascii="Times New Roman" w:hAnsi="Times New Roman"/>
              </w:rPr>
              <w:t>0.001</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0.035</w:t>
            </w:r>
          </w:p>
        </w:tc>
        <w:tc>
          <w:tcPr>
            <w:tcW w:w="674" w:type="pct"/>
            <w:shd w:val="clear" w:color="auto" w:fill="auto"/>
            <w:noWrap/>
            <w:vAlign w:val="center"/>
          </w:tcPr>
          <w:p>
            <w:pPr>
              <w:pStyle w:val="39"/>
              <w:rPr>
                <w:rFonts w:ascii="Times New Roman" w:hAnsi="Times New Roman"/>
              </w:rPr>
            </w:pPr>
            <w:r>
              <w:rPr>
                <w:rFonts w:ascii="Times New Roman" w:hAnsi="Times New Roman"/>
              </w:rPr>
              <w:t>0.01</w:t>
            </w:r>
          </w:p>
        </w:tc>
        <w:tc>
          <w:tcPr>
            <w:tcW w:w="737" w:type="pct"/>
            <w:shd w:val="clear" w:color="auto" w:fill="auto"/>
            <w:noWrap/>
            <w:vAlign w:val="center"/>
          </w:tcPr>
          <w:p>
            <w:pPr>
              <w:pStyle w:val="39"/>
              <w:rPr>
                <w:rFonts w:ascii="Times New Roman" w:hAnsi="Times New Roman"/>
              </w:rPr>
            </w:pPr>
            <w:r>
              <w:rPr>
                <w:rFonts w:ascii="Times New Roman" w:hAnsi="Times New Roman"/>
              </w:rPr>
              <w:t>0.004</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61" w:type="pct"/>
            <w:shd w:val="clear" w:color="auto" w:fill="auto"/>
            <w:vAlign w:val="center"/>
          </w:tcPr>
          <w:p>
            <w:pPr>
              <w:pStyle w:val="39"/>
              <w:rPr>
                <w:rFonts w:ascii="Times New Roman" w:hAnsi="Times New Roman"/>
              </w:rPr>
            </w:pPr>
            <w:r>
              <w:rPr>
                <w:rFonts w:ascii="Times New Roman" w:hAnsi="Times New Roman"/>
              </w:rPr>
              <w:t>25000</w:t>
            </w:r>
          </w:p>
        </w:tc>
        <w:tc>
          <w:tcPr>
            <w:tcW w:w="895" w:type="pct"/>
            <w:shd w:val="clear" w:color="auto" w:fill="auto"/>
            <w:vAlign w:val="center"/>
          </w:tcPr>
          <w:p>
            <w:pPr>
              <w:pStyle w:val="39"/>
              <w:rPr>
                <w:rFonts w:ascii="Times New Roman" w:hAnsi="Times New Roman"/>
              </w:rPr>
            </w:pPr>
            <w:r>
              <w:rPr>
                <w:rFonts w:ascii="Times New Roman" w:hAnsi="Times New Roman"/>
              </w:rPr>
              <w:t>0.001</w:t>
            </w:r>
          </w:p>
        </w:tc>
        <w:tc>
          <w:tcPr>
            <w:tcW w:w="623" w:type="pct"/>
            <w:shd w:val="clear" w:color="auto" w:fill="auto"/>
            <w:vAlign w:val="center"/>
          </w:tcPr>
          <w:p>
            <w:pPr>
              <w:pStyle w:val="39"/>
              <w:rPr>
                <w:rFonts w:ascii="Times New Roman" w:hAnsi="Times New Roman"/>
              </w:rPr>
            </w:pPr>
            <w:r>
              <w:rPr>
                <w:rFonts w:ascii="Times New Roman" w:hAnsi="Times New Roman"/>
              </w:rPr>
              <w:t>0.00</w:t>
            </w:r>
          </w:p>
        </w:tc>
        <w:tc>
          <w:tcPr>
            <w:tcW w:w="737" w:type="pct"/>
            <w:shd w:val="clear" w:color="auto" w:fill="auto"/>
            <w:noWrap/>
            <w:vAlign w:val="center"/>
          </w:tcPr>
          <w:p>
            <w:pPr>
              <w:pStyle w:val="39"/>
              <w:rPr>
                <w:rFonts w:ascii="Times New Roman" w:hAnsi="Times New Roman"/>
              </w:rPr>
            </w:pPr>
            <w:r>
              <w:rPr>
                <w:rFonts w:ascii="Times New Roman" w:hAnsi="Times New Roman"/>
              </w:rPr>
              <w:t>0.028</w:t>
            </w:r>
          </w:p>
        </w:tc>
        <w:tc>
          <w:tcPr>
            <w:tcW w:w="674" w:type="pct"/>
            <w:shd w:val="clear" w:color="auto" w:fill="auto"/>
            <w:noWrap/>
            <w:vAlign w:val="center"/>
          </w:tcPr>
          <w:p>
            <w:pPr>
              <w:pStyle w:val="39"/>
              <w:rPr>
                <w:rFonts w:ascii="Times New Roman" w:hAnsi="Times New Roman"/>
              </w:rPr>
            </w:pPr>
            <w:r>
              <w:rPr>
                <w:rFonts w:ascii="Times New Roman" w:hAnsi="Times New Roman"/>
              </w:rPr>
              <w:t>0.01</w:t>
            </w:r>
          </w:p>
        </w:tc>
        <w:tc>
          <w:tcPr>
            <w:tcW w:w="737" w:type="pct"/>
            <w:shd w:val="clear" w:color="auto" w:fill="auto"/>
            <w:noWrap/>
            <w:vAlign w:val="center"/>
          </w:tcPr>
          <w:p>
            <w:pPr>
              <w:pStyle w:val="39"/>
              <w:rPr>
                <w:rFonts w:ascii="Times New Roman" w:hAnsi="Times New Roman"/>
              </w:rPr>
            </w:pPr>
            <w:r>
              <w:rPr>
                <w:rFonts w:ascii="Times New Roman" w:hAnsi="Times New Roman"/>
              </w:rPr>
              <w:t>0.003</w:t>
            </w:r>
          </w:p>
        </w:tc>
        <w:tc>
          <w:tcPr>
            <w:tcW w:w="674" w:type="pct"/>
            <w:shd w:val="clear" w:color="auto" w:fill="auto"/>
            <w:noWrap/>
            <w:vAlign w:val="center"/>
          </w:tcPr>
          <w:p>
            <w:pPr>
              <w:pStyle w:val="39"/>
              <w:rPr>
                <w:rFonts w:ascii="Times New Roman" w:hAnsi="Times New Roman"/>
              </w:rPr>
            </w:pPr>
            <w:r>
              <w:rPr>
                <w:rFonts w:ascii="Times New Roman" w:hAnsi="Times New Roman"/>
              </w:rPr>
              <w:t>0.00</w:t>
            </w:r>
          </w:p>
        </w:tc>
      </w:tr>
    </w:tbl>
    <w:p>
      <w:pPr>
        <w:pStyle w:val="37"/>
        <w:rPr>
          <w:rFonts w:ascii="Times New Roman" w:hAnsi="Times New Roman" w:cs="Times New Roman"/>
        </w:rPr>
      </w:pPr>
      <w:bookmarkStart w:id="204" w:name="_Ref15623299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bookmarkEnd w:id="204"/>
      <w:r>
        <w:rPr>
          <w:rFonts w:ascii="Times New Roman" w:hAnsi="Times New Roman" w:cs="Times New Roman"/>
        </w:rPr>
        <w:t xml:space="preserve">  宣兴1井站水套加热炉排气筒估算结果</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6"/>
        <w:gridCol w:w="1217"/>
        <w:gridCol w:w="1219"/>
        <w:gridCol w:w="1217"/>
        <w:gridCol w:w="1219"/>
        <w:gridCol w:w="1217"/>
        <w:gridCol w:w="12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vMerge w:val="restart"/>
            <w:shd w:val="clear" w:color="000000" w:fill="FFFFFF"/>
            <w:vAlign w:val="center"/>
          </w:tcPr>
          <w:p>
            <w:pPr>
              <w:pStyle w:val="39"/>
              <w:rPr>
                <w:rFonts w:ascii="Times New Roman" w:hAnsi="Times New Roman"/>
              </w:rPr>
            </w:pPr>
            <w:r>
              <w:rPr>
                <w:rFonts w:ascii="Times New Roman" w:hAnsi="Times New Roman"/>
              </w:rPr>
              <w:t>距离(m)</w:t>
            </w:r>
          </w:p>
        </w:tc>
        <w:tc>
          <w:tcPr>
            <w:tcW w:w="1429" w:type="pct"/>
            <w:gridSpan w:val="2"/>
            <w:shd w:val="clear" w:color="auto" w:fill="auto"/>
            <w:vAlign w:val="bottom"/>
          </w:tcPr>
          <w:p>
            <w:pPr>
              <w:pStyle w:val="39"/>
              <w:rPr>
                <w:rFonts w:ascii="Times New Roman" w:hAnsi="Times New Roman"/>
              </w:rPr>
            </w:pPr>
            <w:r>
              <w:rPr>
                <w:rFonts w:ascii="Times New Roman" w:hAnsi="Times New Roman"/>
              </w:rPr>
              <w:t>污染物SO</w:t>
            </w:r>
            <w:r>
              <w:rPr>
                <w:rFonts w:ascii="Times New Roman" w:hAnsi="Times New Roman"/>
                <w:vertAlign w:val="subscript"/>
              </w:rPr>
              <w:t>2</w:t>
            </w:r>
          </w:p>
        </w:tc>
        <w:tc>
          <w:tcPr>
            <w:tcW w:w="1429" w:type="pct"/>
            <w:gridSpan w:val="2"/>
            <w:shd w:val="clear" w:color="auto" w:fill="auto"/>
            <w:vAlign w:val="bottom"/>
          </w:tcPr>
          <w:p>
            <w:pPr>
              <w:pStyle w:val="39"/>
              <w:rPr>
                <w:rFonts w:ascii="Times New Roman" w:hAnsi="Times New Roman"/>
              </w:rPr>
            </w:pPr>
            <w:r>
              <w:rPr>
                <w:rFonts w:ascii="Times New Roman" w:hAnsi="Times New Roman"/>
              </w:rPr>
              <w:t>污染物NO</w:t>
            </w:r>
            <w:r>
              <w:rPr>
                <w:rFonts w:ascii="Times New Roman" w:hAnsi="Times New Roman"/>
                <w:vertAlign w:val="subscript"/>
              </w:rPr>
              <w:t>X</w:t>
            </w:r>
          </w:p>
        </w:tc>
        <w:tc>
          <w:tcPr>
            <w:tcW w:w="1428" w:type="pct"/>
            <w:gridSpan w:val="2"/>
            <w:shd w:val="clear" w:color="auto" w:fill="auto"/>
            <w:vAlign w:val="bottom"/>
          </w:tcPr>
          <w:p>
            <w:pPr>
              <w:pStyle w:val="39"/>
              <w:rPr>
                <w:rFonts w:ascii="Times New Roman" w:hAnsi="Times New Roman"/>
              </w:rPr>
            </w:pPr>
            <w:r>
              <w:rPr>
                <w:rFonts w:ascii="Times New Roman" w:hAnsi="Times New Roman"/>
              </w:rPr>
              <w:t>污染物PM</w:t>
            </w:r>
            <w:r>
              <w:rPr>
                <w:rFonts w:ascii="Times New Roman" w:hAnsi="Times New Roman"/>
                <w:vertAlign w:val="subscript"/>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714" w:type="pct"/>
            <w:vMerge w:val="continue"/>
            <w:vAlign w:val="center"/>
          </w:tcPr>
          <w:p>
            <w:pPr>
              <w:pStyle w:val="39"/>
              <w:rPr>
                <w:rFonts w:ascii="Times New Roman" w:hAnsi="Times New Roman"/>
              </w:rPr>
            </w:pPr>
          </w:p>
        </w:tc>
        <w:tc>
          <w:tcPr>
            <w:tcW w:w="714" w:type="pct"/>
            <w:shd w:val="clear" w:color="000000" w:fill="FFFFFF"/>
            <w:vAlign w:val="center"/>
          </w:tcPr>
          <w:p>
            <w:pPr>
              <w:pStyle w:val="39"/>
              <w:rPr>
                <w:rFonts w:ascii="Times New Roman" w:hAnsi="Times New Roman"/>
              </w:rPr>
            </w:pPr>
            <w:r>
              <w:rPr>
                <w:rFonts w:ascii="Times New Roman" w:hAnsi="Times New Roman"/>
              </w:rPr>
              <w:t>浓度(μg/m</w:t>
            </w:r>
            <w:r>
              <w:rPr>
                <w:rFonts w:ascii="Times New Roman" w:hAnsi="Times New Roman"/>
                <w:vertAlign w:val="superscript"/>
              </w:rPr>
              <w:t>3</w:t>
            </w:r>
            <w:r>
              <w:rPr>
                <w:rFonts w:ascii="Times New Roman" w:hAnsi="Times New Roman"/>
              </w:rPr>
              <w:t>)</w:t>
            </w:r>
          </w:p>
        </w:tc>
        <w:tc>
          <w:tcPr>
            <w:tcW w:w="715" w:type="pct"/>
            <w:shd w:val="clear" w:color="000000" w:fill="FFFFFF"/>
            <w:vAlign w:val="center"/>
          </w:tcPr>
          <w:p>
            <w:pPr>
              <w:pStyle w:val="39"/>
              <w:rPr>
                <w:rFonts w:ascii="Times New Roman" w:hAnsi="Times New Roman"/>
              </w:rPr>
            </w:pPr>
            <w:r>
              <w:rPr>
                <w:rFonts w:ascii="Times New Roman" w:hAnsi="Times New Roman"/>
              </w:rPr>
              <w:t>占标率(%)</w:t>
            </w:r>
          </w:p>
        </w:tc>
        <w:tc>
          <w:tcPr>
            <w:tcW w:w="714" w:type="pct"/>
            <w:shd w:val="clear" w:color="000000" w:fill="FFFFFF"/>
            <w:vAlign w:val="center"/>
          </w:tcPr>
          <w:p>
            <w:pPr>
              <w:pStyle w:val="39"/>
              <w:rPr>
                <w:rFonts w:ascii="Times New Roman" w:hAnsi="Times New Roman"/>
              </w:rPr>
            </w:pPr>
            <w:r>
              <w:rPr>
                <w:rFonts w:ascii="Times New Roman" w:hAnsi="Times New Roman"/>
              </w:rPr>
              <w:t>浓度(μg/m</w:t>
            </w:r>
            <w:r>
              <w:rPr>
                <w:rFonts w:ascii="Times New Roman" w:hAnsi="Times New Roman"/>
                <w:vertAlign w:val="superscript"/>
              </w:rPr>
              <w:t>3</w:t>
            </w:r>
            <w:r>
              <w:rPr>
                <w:rFonts w:ascii="Times New Roman" w:hAnsi="Times New Roman"/>
              </w:rPr>
              <w:t>)</w:t>
            </w:r>
          </w:p>
        </w:tc>
        <w:tc>
          <w:tcPr>
            <w:tcW w:w="715" w:type="pct"/>
            <w:shd w:val="clear" w:color="000000" w:fill="FFFFFF"/>
            <w:vAlign w:val="center"/>
          </w:tcPr>
          <w:p>
            <w:pPr>
              <w:pStyle w:val="39"/>
              <w:rPr>
                <w:rFonts w:ascii="Times New Roman" w:hAnsi="Times New Roman"/>
              </w:rPr>
            </w:pPr>
            <w:r>
              <w:rPr>
                <w:rFonts w:ascii="Times New Roman" w:hAnsi="Times New Roman"/>
              </w:rPr>
              <w:t>占标率(%)</w:t>
            </w:r>
          </w:p>
        </w:tc>
        <w:tc>
          <w:tcPr>
            <w:tcW w:w="714" w:type="pct"/>
            <w:shd w:val="clear" w:color="000000" w:fill="FFFFFF"/>
            <w:vAlign w:val="center"/>
          </w:tcPr>
          <w:p>
            <w:pPr>
              <w:pStyle w:val="39"/>
              <w:rPr>
                <w:rFonts w:ascii="Times New Roman" w:hAnsi="Times New Roman"/>
              </w:rPr>
            </w:pPr>
            <w:r>
              <w:rPr>
                <w:rFonts w:ascii="Times New Roman" w:hAnsi="Times New Roman"/>
              </w:rPr>
              <w:t>浓度(μg/m</w:t>
            </w:r>
            <w:r>
              <w:rPr>
                <w:rFonts w:ascii="Times New Roman" w:hAnsi="Times New Roman"/>
                <w:vertAlign w:val="superscript"/>
              </w:rPr>
              <w:t>3</w:t>
            </w:r>
            <w:r>
              <w:rPr>
                <w:rFonts w:ascii="Times New Roman" w:hAnsi="Times New Roman"/>
              </w:rPr>
              <w:t>)</w:t>
            </w:r>
          </w:p>
        </w:tc>
        <w:tc>
          <w:tcPr>
            <w:tcW w:w="714" w:type="pct"/>
            <w:shd w:val="clear" w:color="000000" w:fill="FFFFFF"/>
            <w:vAlign w:val="center"/>
          </w:tcPr>
          <w:p>
            <w:pPr>
              <w:pStyle w:val="39"/>
              <w:rPr>
                <w:rFonts w:ascii="Times New Roman" w:hAnsi="Times New Roman"/>
              </w:rPr>
            </w:pPr>
            <w:r>
              <w:rPr>
                <w:rFonts w:ascii="Times New Roman" w:hAnsi="Times New Roman"/>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10</w:t>
            </w:r>
          </w:p>
        </w:tc>
        <w:tc>
          <w:tcPr>
            <w:tcW w:w="714" w:type="pct"/>
            <w:shd w:val="clear" w:color="auto" w:fill="auto"/>
            <w:noWrap/>
            <w:vAlign w:val="center"/>
          </w:tcPr>
          <w:p>
            <w:pPr>
              <w:pStyle w:val="39"/>
              <w:rPr>
                <w:rFonts w:ascii="Times New Roman" w:hAnsi="Times New Roman"/>
              </w:rPr>
            </w:pPr>
            <w:r>
              <w:rPr>
                <w:rFonts w:ascii="Times New Roman" w:hAnsi="Times New Roman"/>
              </w:rPr>
              <w:t>0.056</w:t>
            </w:r>
          </w:p>
        </w:tc>
        <w:tc>
          <w:tcPr>
            <w:tcW w:w="715" w:type="pct"/>
            <w:shd w:val="clear" w:color="auto" w:fill="auto"/>
            <w:noWrap/>
            <w:vAlign w:val="center"/>
          </w:tcPr>
          <w:p>
            <w:pPr>
              <w:pStyle w:val="39"/>
              <w:rPr>
                <w:rFonts w:ascii="Times New Roman" w:hAnsi="Times New Roman"/>
              </w:rPr>
            </w:pPr>
            <w:r>
              <w:rPr>
                <w:rFonts w:ascii="Times New Roman" w:hAnsi="Times New Roman"/>
              </w:rPr>
              <w:t>0.01</w:t>
            </w:r>
          </w:p>
        </w:tc>
        <w:tc>
          <w:tcPr>
            <w:tcW w:w="714" w:type="pct"/>
            <w:shd w:val="clear" w:color="auto" w:fill="auto"/>
            <w:noWrap/>
            <w:vAlign w:val="center"/>
          </w:tcPr>
          <w:p>
            <w:pPr>
              <w:pStyle w:val="39"/>
              <w:rPr>
                <w:rFonts w:ascii="Times New Roman" w:hAnsi="Times New Roman"/>
              </w:rPr>
            </w:pPr>
            <w:r>
              <w:rPr>
                <w:rFonts w:ascii="Times New Roman" w:hAnsi="Times New Roman"/>
              </w:rPr>
              <w:t>2.203</w:t>
            </w:r>
          </w:p>
        </w:tc>
        <w:tc>
          <w:tcPr>
            <w:tcW w:w="715" w:type="pct"/>
            <w:shd w:val="clear" w:color="auto" w:fill="auto"/>
            <w:noWrap/>
            <w:vAlign w:val="center"/>
          </w:tcPr>
          <w:p>
            <w:pPr>
              <w:pStyle w:val="39"/>
              <w:rPr>
                <w:rFonts w:ascii="Times New Roman" w:hAnsi="Times New Roman"/>
              </w:rPr>
            </w:pPr>
            <w:r>
              <w:rPr>
                <w:rFonts w:ascii="Times New Roman" w:hAnsi="Times New Roman"/>
              </w:rPr>
              <w:t>0.88</w:t>
            </w:r>
          </w:p>
        </w:tc>
        <w:tc>
          <w:tcPr>
            <w:tcW w:w="714" w:type="pct"/>
            <w:shd w:val="clear" w:color="auto" w:fill="auto"/>
            <w:noWrap/>
            <w:vAlign w:val="center"/>
          </w:tcPr>
          <w:p>
            <w:pPr>
              <w:pStyle w:val="39"/>
              <w:rPr>
                <w:rFonts w:ascii="Times New Roman" w:hAnsi="Times New Roman"/>
              </w:rPr>
            </w:pPr>
            <w:r>
              <w:rPr>
                <w:rFonts w:ascii="Times New Roman" w:hAnsi="Times New Roman"/>
              </w:rPr>
              <w:t>0.222</w:t>
            </w:r>
          </w:p>
        </w:tc>
        <w:tc>
          <w:tcPr>
            <w:tcW w:w="714" w:type="pct"/>
            <w:shd w:val="clear" w:color="auto" w:fill="auto"/>
            <w:noWrap/>
            <w:vAlign w:val="center"/>
          </w:tcPr>
          <w:p>
            <w:pPr>
              <w:pStyle w:val="39"/>
              <w:rPr>
                <w:rFonts w:ascii="Times New Roman" w:hAnsi="Times New Roman"/>
              </w:rPr>
            </w:pPr>
            <w:r>
              <w:rPr>
                <w:rFonts w:ascii="Times New Roman" w:hAnsi="Times New Roma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15</w:t>
            </w:r>
          </w:p>
        </w:tc>
        <w:tc>
          <w:tcPr>
            <w:tcW w:w="714" w:type="pct"/>
            <w:shd w:val="clear" w:color="auto" w:fill="auto"/>
            <w:noWrap/>
            <w:vAlign w:val="center"/>
          </w:tcPr>
          <w:p>
            <w:pPr>
              <w:pStyle w:val="39"/>
              <w:rPr>
                <w:rFonts w:ascii="Times New Roman" w:hAnsi="Times New Roman"/>
              </w:rPr>
            </w:pPr>
            <w:r>
              <w:rPr>
                <w:rFonts w:ascii="Times New Roman" w:hAnsi="Times New Roman"/>
              </w:rPr>
              <w:t>0.103</w:t>
            </w:r>
          </w:p>
        </w:tc>
        <w:tc>
          <w:tcPr>
            <w:tcW w:w="715" w:type="pct"/>
            <w:shd w:val="clear" w:color="auto" w:fill="auto"/>
            <w:noWrap/>
            <w:vAlign w:val="center"/>
          </w:tcPr>
          <w:p>
            <w:pPr>
              <w:pStyle w:val="39"/>
              <w:rPr>
                <w:rFonts w:ascii="Times New Roman" w:hAnsi="Times New Roman"/>
              </w:rPr>
            </w:pPr>
            <w:r>
              <w:rPr>
                <w:rFonts w:ascii="Times New Roman" w:hAnsi="Times New Roman"/>
              </w:rPr>
              <w:t>0.02</w:t>
            </w:r>
          </w:p>
        </w:tc>
        <w:tc>
          <w:tcPr>
            <w:tcW w:w="714" w:type="pct"/>
            <w:shd w:val="clear" w:color="auto" w:fill="auto"/>
            <w:noWrap/>
            <w:vAlign w:val="center"/>
          </w:tcPr>
          <w:p>
            <w:pPr>
              <w:pStyle w:val="39"/>
              <w:rPr>
                <w:rFonts w:ascii="Times New Roman" w:hAnsi="Times New Roman"/>
              </w:rPr>
            </w:pPr>
            <w:r>
              <w:rPr>
                <w:rFonts w:ascii="Times New Roman" w:hAnsi="Times New Roman"/>
              </w:rPr>
              <w:t>4.038</w:t>
            </w:r>
          </w:p>
        </w:tc>
        <w:tc>
          <w:tcPr>
            <w:tcW w:w="715" w:type="pct"/>
            <w:shd w:val="clear" w:color="auto" w:fill="auto"/>
            <w:noWrap/>
            <w:vAlign w:val="center"/>
          </w:tcPr>
          <w:p>
            <w:pPr>
              <w:pStyle w:val="39"/>
              <w:rPr>
                <w:rFonts w:ascii="Times New Roman" w:hAnsi="Times New Roman"/>
              </w:rPr>
            </w:pPr>
            <w:r>
              <w:rPr>
                <w:rFonts w:ascii="Times New Roman" w:hAnsi="Times New Roman"/>
              </w:rPr>
              <w:t>1.62</w:t>
            </w:r>
          </w:p>
        </w:tc>
        <w:tc>
          <w:tcPr>
            <w:tcW w:w="714" w:type="pct"/>
            <w:shd w:val="clear" w:color="auto" w:fill="auto"/>
            <w:noWrap/>
            <w:vAlign w:val="center"/>
          </w:tcPr>
          <w:p>
            <w:pPr>
              <w:pStyle w:val="39"/>
              <w:rPr>
                <w:rFonts w:ascii="Times New Roman" w:hAnsi="Times New Roman"/>
              </w:rPr>
            </w:pPr>
            <w:r>
              <w:rPr>
                <w:rFonts w:ascii="Times New Roman" w:hAnsi="Times New Roman"/>
              </w:rPr>
              <w:t>0.407</w:t>
            </w:r>
          </w:p>
        </w:tc>
        <w:tc>
          <w:tcPr>
            <w:tcW w:w="714" w:type="pct"/>
            <w:shd w:val="clear" w:color="auto" w:fill="auto"/>
            <w:noWrap/>
            <w:vAlign w:val="center"/>
          </w:tcPr>
          <w:p>
            <w:pPr>
              <w:pStyle w:val="39"/>
              <w:rPr>
                <w:rFonts w:ascii="Times New Roman" w:hAnsi="Times New Roman"/>
              </w:rPr>
            </w:pPr>
            <w:r>
              <w:rPr>
                <w:rFonts w:ascii="Times New Roman" w:hAnsi="Times New Roman"/>
              </w:rPr>
              <w:t>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b/>
                <w:bCs/>
              </w:rPr>
            </w:pPr>
            <w:r>
              <w:rPr>
                <w:rFonts w:ascii="Times New Roman" w:hAnsi="Times New Roman"/>
                <w:b/>
                <w:bCs/>
              </w:rPr>
              <w:t>17</w:t>
            </w:r>
          </w:p>
        </w:tc>
        <w:tc>
          <w:tcPr>
            <w:tcW w:w="714" w:type="pct"/>
            <w:shd w:val="clear" w:color="auto" w:fill="auto"/>
            <w:noWrap/>
          </w:tcPr>
          <w:p>
            <w:pPr>
              <w:pStyle w:val="39"/>
              <w:rPr>
                <w:rFonts w:ascii="Times New Roman" w:hAnsi="Times New Roman"/>
                <w:b/>
                <w:bCs/>
              </w:rPr>
            </w:pPr>
            <w:r>
              <w:rPr>
                <w:rFonts w:ascii="Times New Roman" w:hAnsi="Times New Roman"/>
                <w:b/>
                <w:bCs/>
              </w:rPr>
              <w:t>0.103</w:t>
            </w:r>
          </w:p>
        </w:tc>
        <w:tc>
          <w:tcPr>
            <w:tcW w:w="715" w:type="pct"/>
            <w:shd w:val="clear" w:color="auto" w:fill="auto"/>
            <w:noWrap/>
          </w:tcPr>
          <w:p>
            <w:pPr>
              <w:pStyle w:val="39"/>
              <w:rPr>
                <w:rFonts w:ascii="Times New Roman" w:hAnsi="Times New Roman"/>
                <w:b/>
                <w:bCs/>
              </w:rPr>
            </w:pPr>
            <w:r>
              <w:rPr>
                <w:rFonts w:ascii="Times New Roman" w:hAnsi="Times New Roman"/>
                <w:b/>
                <w:bCs/>
              </w:rPr>
              <w:t>0.02</w:t>
            </w:r>
          </w:p>
        </w:tc>
        <w:tc>
          <w:tcPr>
            <w:tcW w:w="714" w:type="pct"/>
            <w:shd w:val="clear" w:color="auto" w:fill="auto"/>
            <w:noWrap/>
          </w:tcPr>
          <w:p>
            <w:pPr>
              <w:pStyle w:val="39"/>
              <w:rPr>
                <w:rFonts w:ascii="Times New Roman" w:hAnsi="Times New Roman"/>
                <w:b/>
                <w:bCs/>
              </w:rPr>
            </w:pPr>
            <w:r>
              <w:rPr>
                <w:rFonts w:ascii="Times New Roman" w:hAnsi="Times New Roman"/>
                <w:b/>
                <w:bCs/>
              </w:rPr>
              <w:t>4.038</w:t>
            </w:r>
          </w:p>
        </w:tc>
        <w:tc>
          <w:tcPr>
            <w:tcW w:w="715" w:type="pct"/>
            <w:shd w:val="clear" w:color="auto" w:fill="auto"/>
            <w:noWrap/>
          </w:tcPr>
          <w:p>
            <w:pPr>
              <w:pStyle w:val="39"/>
              <w:rPr>
                <w:rFonts w:ascii="Times New Roman" w:hAnsi="Times New Roman"/>
                <w:b/>
                <w:bCs/>
              </w:rPr>
            </w:pPr>
            <w:r>
              <w:rPr>
                <w:rFonts w:ascii="Times New Roman" w:hAnsi="Times New Roman"/>
                <w:b/>
                <w:bCs/>
              </w:rPr>
              <w:t>1.62</w:t>
            </w:r>
          </w:p>
        </w:tc>
        <w:tc>
          <w:tcPr>
            <w:tcW w:w="714" w:type="pct"/>
            <w:shd w:val="clear" w:color="auto" w:fill="auto"/>
            <w:noWrap/>
          </w:tcPr>
          <w:p>
            <w:pPr>
              <w:pStyle w:val="39"/>
              <w:rPr>
                <w:rFonts w:ascii="Times New Roman" w:hAnsi="Times New Roman"/>
                <w:b/>
                <w:bCs/>
              </w:rPr>
            </w:pPr>
            <w:r>
              <w:rPr>
                <w:rFonts w:ascii="Times New Roman" w:hAnsi="Times New Roman"/>
                <w:b/>
                <w:bCs/>
              </w:rPr>
              <w:t>0.407</w:t>
            </w:r>
          </w:p>
        </w:tc>
        <w:tc>
          <w:tcPr>
            <w:tcW w:w="714" w:type="pct"/>
            <w:shd w:val="clear" w:color="auto" w:fill="auto"/>
            <w:noWrap/>
          </w:tcPr>
          <w:p>
            <w:pPr>
              <w:pStyle w:val="39"/>
              <w:rPr>
                <w:rFonts w:ascii="Times New Roman" w:hAnsi="Times New Roman"/>
                <w:b/>
                <w:bCs/>
              </w:rPr>
            </w:pPr>
            <w:r>
              <w:rPr>
                <w:rFonts w:ascii="Times New Roman" w:hAnsi="Times New Roman"/>
                <w:b/>
                <w:bCs/>
              </w:rPr>
              <w:t>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25</w:t>
            </w:r>
          </w:p>
        </w:tc>
        <w:tc>
          <w:tcPr>
            <w:tcW w:w="714" w:type="pct"/>
            <w:shd w:val="clear" w:color="auto" w:fill="auto"/>
            <w:noWrap/>
            <w:vAlign w:val="center"/>
          </w:tcPr>
          <w:p>
            <w:pPr>
              <w:pStyle w:val="39"/>
              <w:rPr>
                <w:rFonts w:ascii="Times New Roman" w:hAnsi="Times New Roman"/>
              </w:rPr>
            </w:pPr>
            <w:r>
              <w:rPr>
                <w:rFonts w:ascii="Times New Roman" w:hAnsi="Times New Roman"/>
              </w:rPr>
              <w:t>0.086</w:t>
            </w:r>
          </w:p>
        </w:tc>
        <w:tc>
          <w:tcPr>
            <w:tcW w:w="715" w:type="pct"/>
            <w:shd w:val="clear" w:color="auto" w:fill="auto"/>
            <w:noWrap/>
            <w:vAlign w:val="center"/>
          </w:tcPr>
          <w:p>
            <w:pPr>
              <w:pStyle w:val="39"/>
              <w:rPr>
                <w:rFonts w:ascii="Times New Roman" w:hAnsi="Times New Roman"/>
              </w:rPr>
            </w:pPr>
            <w:r>
              <w:rPr>
                <w:rFonts w:ascii="Times New Roman" w:hAnsi="Times New Roman"/>
              </w:rPr>
              <w:t>0.02</w:t>
            </w:r>
          </w:p>
        </w:tc>
        <w:tc>
          <w:tcPr>
            <w:tcW w:w="714" w:type="pct"/>
            <w:shd w:val="clear" w:color="auto" w:fill="auto"/>
            <w:noWrap/>
            <w:vAlign w:val="center"/>
          </w:tcPr>
          <w:p>
            <w:pPr>
              <w:pStyle w:val="39"/>
              <w:rPr>
                <w:rFonts w:ascii="Times New Roman" w:hAnsi="Times New Roman"/>
              </w:rPr>
            </w:pPr>
            <w:r>
              <w:rPr>
                <w:rFonts w:ascii="Times New Roman" w:hAnsi="Times New Roman"/>
              </w:rPr>
              <w:t>3.377</w:t>
            </w:r>
          </w:p>
        </w:tc>
        <w:tc>
          <w:tcPr>
            <w:tcW w:w="715" w:type="pct"/>
            <w:shd w:val="clear" w:color="auto" w:fill="auto"/>
            <w:noWrap/>
            <w:vAlign w:val="center"/>
          </w:tcPr>
          <w:p>
            <w:pPr>
              <w:pStyle w:val="39"/>
              <w:rPr>
                <w:rFonts w:ascii="Times New Roman" w:hAnsi="Times New Roman"/>
              </w:rPr>
            </w:pPr>
            <w:r>
              <w:rPr>
                <w:rFonts w:ascii="Times New Roman" w:hAnsi="Times New Roman"/>
              </w:rPr>
              <w:t>1.35</w:t>
            </w:r>
          </w:p>
        </w:tc>
        <w:tc>
          <w:tcPr>
            <w:tcW w:w="714" w:type="pct"/>
            <w:shd w:val="clear" w:color="auto" w:fill="auto"/>
            <w:noWrap/>
            <w:vAlign w:val="center"/>
          </w:tcPr>
          <w:p>
            <w:pPr>
              <w:pStyle w:val="39"/>
              <w:rPr>
                <w:rFonts w:ascii="Times New Roman" w:hAnsi="Times New Roman"/>
              </w:rPr>
            </w:pPr>
            <w:r>
              <w:rPr>
                <w:rFonts w:ascii="Times New Roman" w:hAnsi="Times New Roman"/>
              </w:rPr>
              <w:t>0.340</w:t>
            </w:r>
          </w:p>
        </w:tc>
        <w:tc>
          <w:tcPr>
            <w:tcW w:w="714" w:type="pct"/>
            <w:shd w:val="clear" w:color="auto" w:fill="auto"/>
            <w:noWrap/>
            <w:vAlign w:val="center"/>
          </w:tcPr>
          <w:p>
            <w:pPr>
              <w:pStyle w:val="39"/>
              <w:rPr>
                <w:rFonts w:ascii="Times New Roman" w:hAnsi="Times New Roman"/>
              </w:rPr>
            </w:pPr>
            <w:r>
              <w:rPr>
                <w:rFonts w:ascii="Times New Roman" w:hAnsi="Times New Roma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50</w:t>
            </w:r>
          </w:p>
        </w:tc>
        <w:tc>
          <w:tcPr>
            <w:tcW w:w="714" w:type="pct"/>
            <w:shd w:val="clear" w:color="auto" w:fill="auto"/>
            <w:noWrap/>
            <w:vAlign w:val="center"/>
          </w:tcPr>
          <w:p>
            <w:pPr>
              <w:pStyle w:val="39"/>
              <w:rPr>
                <w:rFonts w:ascii="Times New Roman" w:hAnsi="Times New Roman"/>
              </w:rPr>
            </w:pPr>
            <w:r>
              <w:rPr>
                <w:rFonts w:ascii="Times New Roman" w:hAnsi="Times New Roman"/>
              </w:rPr>
              <w:t>0.094</w:t>
            </w:r>
          </w:p>
        </w:tc>
        <w:tc>
          <w:tcPr>
            <w:tcW w:w="715" w:type="pct"/>
            <w:shd w:val="clear" w:color="auto" w:fill="auto"/>
            <w:noWrap/>
            <w:vAlign w:val="center"/>
          </w:tcPr>
          <w:p>
            <w:pPr>
              <w:pStyle w:val="39"/>
              <w:rPr>
                <w:rFonts w:ascii="Times New Roman" w:hAnsi="Times New Roman"/>
              </w:rPr>
            </w:pPr>
            <w:r>
              <w:rPr>
                <w:rFonts w:ascii="Times New Roman" w:hAnsi="Times New Roman"/>
              </w:rPr>
              <w:t>0.02</w:t>
            </w:r>
          </w:p>
        </w:tc>
        <w:tc>
          <w:tcPr>
            <w:tcW w:w="714" w:type="pct"/>
            <w:shd w:val="clear" w:color="auto" w:fill="auto"/>
            <w:noWrap/>
            <w:vAlign w:val="center"/>
          </w:tcPr>
          <w:p>
            <w:pPr>
              <w:pStyle w:val="39"/>
              <w:rPr>
                <w:rFonts w:ascii="Times New Roman" w:hAnsi="Times New Roman"/>
              </w:rPr>
            </w:pPr>
            <w:r>
              <w:rPr>
                <w:rFonts w:ascii="Times New Roman" w:hAnsi="Times New Roman"/>
              </w:rPr>
              <w:t>3.704</w:t>
            </w:r>
          </w:p>
        </w:tc>
        <w:tc>
          <w:tcPr>
            <w:tcW w:w="715" w:type="pct"/>
            <w:shd w:val="clear" w:color="auto" w:fill="auto"/>
            <w:noWrap/>
            <w:vAlign w:val="center"/>
          </w:tcPr>
          <w:p>
            <w:pPr>
              <w:pStyle w:val="39"/>
              <w:rPr>
                <w:rFonts w:ascii="Times New Roman" w:hAnsi="Times New Roman"/>
              </w:rPr>
            </w:pPr>
            <w:r>
              <w:rPr>
                <w:rFonts w:ascii="Times New Roman" w:hAnsi="Times New Roman"/>
              </w:rPr>
              <w:t>1.48</w:t>
            </w:r>
          </w:p>
        </w:tc>
        <w:tc>
          <w:tcPr>
            <w:tcW w:w="714" w:type="pct"/>
            <w:shd w:val="clear" w:color="auto" w:fill="auto"/>
            <w:noWrap/>
            <w:vAlign w:val="center"/>
          </w:tcPr>
          <w:p>
            <w:pPr>
              <w:pStyle w:val="39"/>
              <w:rPr>
                <w:rFonts w:ascii="Times New Roman" w:hAnsi="Times New Roman"/>
              </w:rPr>
            </w:pPr>
            <w:r>
              <w:rPr>
                <w:rFonts w:ascii="Times New Roman" w:hAnsi="Times New Roman"/>
              </w:rPr>
              <w:t>0.373</w:t>
            </w:r>
          </w:p>
        </w:tc>
        <w:tc>
          <w:tcPr>
            <w:tcW w:w="714" w:type="pct"/>
            <w:shd w:val="clear" w:color="auto" w:fill="auto"/>
            <w:noWrap/>
            <w:vAlign w:val="center"/>
          </w:tcPr>
          <w:p>
            <w:pPr>
              <w:pStyle w:val="39"/>
              <w:rPr>
                <w:rFonts w:ascii="Times New Roman" w:hAnsi="Times New Roman"/>
              </w:rPr>
            </w:pPr>
            <w:r>
              <w:rPr>
                <w:rFonts w:ascii="Times New Roman" w:hAnsi="Times New Roma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75</w:t>
            </w:r>
          </w:p>
        </w:tc>
        <w:tc>
          <w:tcPr>
            <w:tcW w:w="714" w:type="pct"/>
            <w:shd w:val="clear" w:color="auto" w:fill="auto"/>
            <w:noWrap/>
            <w:vAlign w:val="center"/>
          </w:tcPr>
          <w:p>
            <w:pPr>
              <w:pStyle w:val="39"/>
              <w:rPr>
                <w:rFonts w:ascii="Times New Roman" w:hAnsi="Times New Roman"/>
              </w:rPr>
            </w:pPr>
            <w:r>
              <w:rPr>
                <w:rFonts w:ascii="Times New Roman" w:hAnsi="Times New Roman"/>
              </w:rPr>
              <w:t>0.078</w:t>
            </w:r>
          </w:p>
        </w:tc>
        <w:tc>
          <w:tcPr>
            <w:tcW w:w="715" w:type="pct"/>
            <w:shd w:val="clear" w:color="auto" w:fill="auto"/>
            <w:noWrap/>
            <w:vAlign w:val="center"/>
          </w:tcPr>
          <w:p>
            <w:pPr>
              <w:pStyle w:val="39"/>
              <w:rPr>
                <w:rFonts w:ascii="Times New Roman" w:hAnsi="Times New Roman"/>
              </w:rPr>
            </w:pPr>
            <w:r>
              <w:rPr>
                <w:rFonts w:ascii="Times New Roman" w:hAnsi="Times New Roman"/>
              </w:rPr>
              <w:t>0.02</w:t>
            </w:r>
          </w:p>
        </w:tc>
        <w:tc>
          <w:tcPr>
            <w:tcW w:w="714" w:type="pct"/>
            <w:shd w:val="clear" w:color="auto" w:fill="auto"/>
            <w:noWrap/>
            <w:vAlign w:val="center"/>
          </w:tcPr>
          <w:p>
            <w:pPr>
              <w:pStyle w:val="39"/>
              <w:rPr>
                <w:rFonts w:ascii="Times New Roman" w:hAnsi="Times New Roman"/>
              </w:rPr>
            </w:pPr>
            <w:r>
              <w:rPr>
                <w:rFonts w:ascii="Times New Roman" w:hAnsi="Times New Roman"/>
              </w:rPr>
              <w:t>3.057</w:t>
            </w:r>
          </w:p>
        </w:tc>
        <w:tc>
          <w:tcPr>
            <w:tcW w:w="715" w:type="pct"/>
            <w:shd w:val="clear" w:color="auto" w:fill="auto"/>
            <w:noWrap/>
            <w:vAlign w:val="center"/>
          </w:tcPr>
          <w:p>
            <w:pPr>
              <w:pStyle w:val="39"/>
              <w:rPr>
                <w:rFonts w:ascii="Times New Roman" w:hAnsi="Times New Roman"/>
              </w:rPr>
            </w:pPr>
            <w:r>
              <w:rPr>
                <w:rFonts w:ascii="Times New Roman" w:hAnsi="Times New Roman"/>
              </w:rPr>
              <w:t>1.22</w:t>
            </w:r>
          </w:p>
        </w:tc>
        <w:tc>
          <w:tcPr>
            <w:tcW w:w="714" w:type="pct"/>
            <w:shd w:val="clear" w:color="auto" w:fill="auto"/>
            <w:noWrap/>
            <w:vAlign w:val="center"/>
          </w:tcPr>
          <w:p>
            <w:pPr>
              <w:pStyle w:val="39"/>
              <w:rPr>
                <w:rFonts w:ascii="Times New Roman" w:hAnsi="Times New Roman"/>
              </w:rPr>
            </w:pPr>
            <w:r>
              <w:rPr>
                <w:rFonts w:ascii="Times New Roman" w:hAnsi="Times New Roman"/>
              </w:rPr>
              <w:t>0.308</w:t>
            </w:r>
          </w:p>
        </w:tc>
        <w:tc>
          <w:tcPr>
            <w:tcW w:w="714" w:type="pct"/>
            <w:shd w:val="clear" w:color="auto" w:fill="auto"/>
            <w:noWrap/>
            <w:vAlign w:val="center"/>
          </w:tcPr>
          <w:p>
            <w:pPr>
              <w:pStyle w:val="39"/>
              <w:rPr>
                <w:rFonts w:ascii="Times New Roman" w:hAnsi="Times New Roman"/>
              </w:rPr>
            </w:pPr>
            <w:r>
              <w:rPr>
                <w:rFonts w:ascii="Times New Roman" w:hAnsi="Times New Roman"/>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100</w:t>
            </w:r>
          </w:p>
        </w:tc>
        <w:tc>
          <w:tcPr>
            <w:tcW w:w="714" w:type="pct"/>
            <w:shd w:val="clear" w:color="auto" w:fill="auto"/>
            <w:noWrap/>
            <w:vAlign w:val="center"/>
          </w:tcPr>
          <w:p>
            <w:pPr>
              <w:pStyle w:val="39"/>
              <w:rPr>
                <w:rFonts w:ascii="Times New Roman" w:hAnsi="Times New Roman"/>
              </w:rPr>
            </w:pPr>
            <w:r>
              <w:rPr>
                <w:rFonts w:ascii="Times New Roman" w:hAnsi="Times New Roman"/>
              </w:rPr>
              <w:t>0.061</w:t>
            </w:r>
          </w:p>
        </w:tc>
        <w:tc>
          <w:tcPr>
            <w:tcW w:w="715" w:type="pct"/>
            <w:shd w:val="clear" w:color="auto" w:fill="auto"/>
            <w:noWrap/>
            <w:vAlign w:val="center"/>
          </w:tcPr>
          <w:p>
            <w:pPr>
              <w:pStyle w:val="39"/>
              <w:rPr>
                <w:rFonts w:ascii="Times New Roman" w:hAnsi="Times New Roman"/>
              </w:rPr>
            </w:pPr>
            <w:r>
              <w:rPr>
                <w:rFonts w:ascii="Times New Roman" w:hAnsi="Times New Roman"/>
              </w:rPr>
              <w:t>0.01</w:t>
            </w:r>
          </w:p>
        </w:tc>
        <w:tc>
          <w:tcPr>
            <w:tcW w:w="714" w:type="pct"/>
            <w:shd w:val="clear" w:color="auto" w:fill="auto"/>
            <w:noWrap/>
            <w:vAlign w:val="center"/>
          </w:tcPr>
          <w:p>
            <w:pPr>
              <w:pStyle w:val="39"/>
              <w:rPr>
                <w:rFonts w:ascii="Times New Roman" w:hAnsi="Times New Roman"/>
              </w:rPr>
            </w:pPr>
            <w:r>
              <w:rPr>
                <w:rFonts w:ascii="Times New Roman" w:hAnsi="Times New Roman"/>
              </w:rPr>
              <w:t>2.385</w:t>
            </w:r>
          </w:p>
        </w:tc>
        <w:tc>
          <w:tcPr>
            <w:tcW w:w="715" w:type="pct"/>
            <w:shd w:val="clear" w:color="auto" w:fill="auto"/>
            <w:noWrap/>
            <w:vAlign w:val="center"/>
          </w:tcPr>
          <w:p>
            <w:pPr>
              <w:pStyle w:val="39"/>
              <w:rPr>
                <w:rFonts w:ascii="Times New Roman" w:hAnsi="Times New Roman"/>
              </w:rPr>
            </w:pPr>
            <w:r>
              <w:rPr>
                <w:rFonts w:ascii="Times New Roman" w:hAnsi="Times New Roman"/>
              </w:rPr>
              <w:t>0.95</w:t>
            </w:r>
          </w:p>
        </w:tc>
        <w:tc>
          <w:tcPr>
            <w:tcW w:w="714" w:type="pct"/>
            <w:shd w:val="clear" w:color="auto" w:fill="auto"/>
            <w:noWrap/>
            <w:vAlign w:val="center"/>
          </w:tcPr>
          <w:p>
            <w:pPr>
              <w:pStyle w:val="39"/>
              <w:rPr>
                <w:rFonts w:ascii="Times New Roman" w:hAnsi="Times New Roman"/>
              </w:rPr>
            </w:pPr>
            <w:r>
              <w:rPr>
                <w:rFonts w:ascii="Times New Roman" w:hAnsi="Times New Roman"/>
              </w:rPr>
              <w:t>0.240</w:t>
            </w:r>
          </w:p>
        </w:tc>
        <w:tc>
          <w:tcPr>
            <w:tcW w:w="714" w:type="pct"/>
            <w:shd w:val="clear" w:color="auto" w:fill="auto"/>
            <w:noWrap/>
            <w:vAlign w:val="center"/>
          </w:tcPr>
          <w:p>
            <w:pPr>
              <w:pStyle w:val="39"/>
              <w:rPr>
                <w:rFonts w:ascii="Times New Roman" w:hAnsi="Times New Roman"/>
              </w:rPr>
            </w:pPr>
            <w:r>
              <w:rPr>
                <w:rFonts w:ascii="Times New Roman" w:hAnsi="Times New Roma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150</w:t>
            </w:r>
          </w:p>
        </w:tc>
        <w:tc>
          <w:tcPr>
            <w:tcW w:w="714" w:type="pct"/>
            <w:shd w:val="clear" w:color="auto" w:fill="auto"/>
            <w:noWrap/>
            <w:vAlign w:val="center"/>
          </w:tcPr>
          <w:p>
            <w:pPr>
              <w:pStyle w:val="39"/>
              <w:rPr>
                <w:rFonts w:ascii="Times New Roman" w:hAnsi="Times New Roman"/>
              </w:rPr>
            </w:pPr>
            <w:r>
              <w:rPr>
                <w:rFonts w:ascii="Times New Roman" w:hAnsi="Times New Roman"/>
              </w:rPr>
              <w:t>0.039</w:t>
            </w:r>
          </w:p>
        </w:tc>
        <w:tc>
          <w:tcPr>
            <w:tcW w:w="715" w:type="pct"/>
            <w:shd w:val="clear" w:color="auto" w:fill="auto"/>
            <w:noWrap/>
            <w:vAlign w:val="center"/>
          </w:tcPr>
          <w:p>
            <w:pPr>
              <w:pStyle w:val="39"/>
              <w:rPr>
                <w:rFonts w:ascii="Times New Roman" w:hAnsi="Times New Roman"/>
              </w:rPr>
            </w:pPr>
            <w:r>
              <w:rPr>
                <w:rFonts w:ascii="Times New Roman" w:hAnsi="Times New Roman"/>
              </w:rPr>
              <w:t>0.01</w:t>
            </w:r>
          </w:p>
        </w:tc>
        <w:tc>
          <w:tcPr>
            <w:tcW w:w="714" w:type="pct"/>
            <w:shd w:val="clear" w:color="auto" w:fill="auto"/>
            <w:noWrap/>
            <w:vAlign w:val="center"/>
          </w:tcPr>
          <w:p>
            <w:pPr>
              <w:pStyle w:val="39"/>
              <w:rPr>
                <w:rFonts w:ascii="Times New Roman" w:hAnsi="Times New Roman"/>
              </w:rPr>
            </w:pPr>
            <w:r>
              <w:rPr>
                <w:rFonts w:ascii="Times New Roman" w:hAnsi="Times New Roman"/>
              </w:rPr>
              <w:t>1.553</w:t>
            </w:r>
          </w:p>
        </w:tc>
        <w:tc>
          <w:tcPr>
            <w:tcW w:w="715" w:type="pct"/>
            <w:shd w:val="clear" w:color="auto" w:fill="auto"/>
            <w:noWrap/>
            <w:vAlign w:val="center"/>
          </w:tcPr>
          <w:p>
            <w:pPr>
              <w:pStyle w:val="39"/>
              <w:rPr>
                <w:rFonts w:ascii="Times New Roman" w:hAnsi="Times New Roman"/>
              </w:rPr>
            </w:pPr>
            <w:r>
              <w:rPr>
                <w:rFonts w:ascii="Times New Roman" w:hAnsi="Times New Roman"/>
              </w:rPr>
              <w:t>0.62</w:t>
            </w:r>
          </w:p>
        </w:tc>
        <w:tc>
          <w:tcPr>
            <w:tcW w:w="714" w:type="pct"/>
            <w:shd w:val="clear" w:color="auto" w:fill="auto"/>
            <w:noWrap/>
            <w:vAlign w:val="center"/>
          </w:tcPr>
          <w:p>
            <w:pPr>
              <w:pStyle w:val="39"/>
              <w:rPr>
                <w:rFonts w:ascii="Times New Roman" w:hAnsi="Times New Roman"/>
              </w:rPr>
            </w:pPr>
            <w:r>
              <w:rPr>
                <w:rFonts w:ascii="Times New Roman" w:hAnsi="Times New Roman"/>
              </w:rPr>
              <w:t>0.156</w:t>
            </w:r>
          </w:p>
        </w:tc>
        <w:tc>
          <w:tcPr>
            <w:tcW w:w="714" w:type="pct"/>
            <w:shd w:val="clear" w:color="auto" w:fill="auto"/>
            <w:noWrap/>
            <w:vAlign w:val="center"/>
          </w:tcPr>
          <w:p>
            <w:pPr>
              <w:pStyle w:val="39"/>
              <w:rPr>
                <w:rFonts w:ascii="Times New Roman" w:hAnsi="Times New Roman"/>
              </w:rPr>
            </w:pPr>
            <w:r>
              <w:rPr>
                <w:rFonts w:ascii="Times New Roman" w:hAnsi="Times New Roma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200</w:t>
            </w:r>
          </w:p>
        </w:tc>
        <w:tc>
          <w:tcPr>
            <w:tcW w:w="714" w:type="pct"/>
            <w:shd w:val="clear" w:color="auto" w:fill="auto"/>
            <w:noWrap/>
            <w:vAlign w:val="center"/>
          </w:tcPr>
          <w:p>
            <w:pPr>
              <w:pStyle w:val="39"/>
              <w:rPr>
                <w:rFonts w:ascii="Times New Roman" w:hAnsi="Times New Roman"/>
              </w:rPr>
            </w:pPr>
            <w:r>
              <w:rPr>
                <w:rFonts w:ascii="Times New Roman" w:hAnsi="Times New Roman"/>
              </w:rPr>
              <w:t>0.028</w:t>
            </w:r>
          </w:p>
        </w:tc>
        <w:tc>
          <w:tcPr>
            <w:tcW w:w="715" w:type="pct"/>
            <w:shd w:val="clear" w:color="auto" w:fill="auto"/>
            <w:noWrap/>
            <w:vAlign w:val="center"/>
          </w:tcPr>
          <w:p>
            <w:pPr>
              <w:pStyle w:val="39"/>
              <w:rPr>
                <w:rFonts w:ascii="Times New Roman" w:hAnsi="Times New Roman"/>
              </w:rPr>
            </w:pPr>
            <w:r>
              <w:rPr>
                <w:rFonts w:ascii="Times New Roman" w:hAnsi="Times New Roman"/>
              </w:rPr>
              <w:t>0.01</w:t>
            </w:r>
          </w:p>
        </w:tc>
        <w:tc>
          <w:tcPr>
            <w:tcW w:w="714" w:type="pct"/>
            <w:shd w:val="clear" w:color="auto" w:fill="auto"/>
            <w:noWrap/>
            <w:vAlign w:val="center"/>
          </w:tcPr>
          <w:p>
            <w:pPr>
              <w:pStyle w:val="39"/>
              <w:rPr>
                <w:rFonts w:ascii="Times New Roman" w:hAnsi="Times New Roman"/>
              </w:rPr>
            </w:pPr>
            <w:r>
              <w:rPr>
                <w:rFonts w:ascii="Times New Roman" w:hAnsi="Times New Roman"/>
              </w:rPr>
              <w:t>1.087</w:t>
            </w:r>
          </w:p>
        </w:tc>
        <w:tc>
          <w:tcPr>
            <w:tcW w:w="715" w:type="pct"/>
            <w:shd w:val="clear" w:color="auto" w:fill="auto"/>
            <w:noWrap/>
            <w:vAlign w:val="center"/>
          </w:tcPr>
          <w:p>
            <w:pPr>
              <w:pStyle w:val="39"/>
              <w:rPr>
                <w:rFonts w:ascii="Times New Roman" w:hAnsi="Times New Roman"/>
              </w:rPr>
            </w:pPr>
            <w:r>
              <w:rPr>
                <w:rFonts w:ascii="Times New Roman" w:hAnsi="Times New Roman"/>
              </w:rPr>
              <w:t>0.43</w:t>
            </w:r>
          </w:p>
        </w:tc>
        <w:tc>
          <w:tcPr>
            <w:tcW w:w="714" w:type="pct"/>
            <w:shd w:val="clear" w:color="auto" w:fill="auto"/>
            <w:noWrap/>
            <w:vAlign w:val="center"/>
          </w:tcPr>
          <w:p>
            <w:pPr>
              <w:pStyle w:val="39"/>
              <w:rPr>
                <w:rFonts w:ascii="Times New Roman" w:hAnsi="Times New Roman"/>
              </w:rPr>
            </w:pPr>
            <w:r>
              <w:rPr>
                <w:rFonts w:ascii="Times New Roman" w:hAnsi="Times New Roman"/>
              </w:rPr>
              <w:t>0.110</w:t>
            </w:r>
          </w:p>
        </w:tc>
        <w:tc>
          <w:tcPr>
            <w:tcW w:w="714" w:type="pct"/>
            <w:shd w:val="clear" w:color="auto" w:fill="auto"/>
            <w:noWrap/>
            <w:vAlign w:val="center"/>
          </w:tcPr>
          <w:p>
            <w:pPr>
              <w:pStyle w:val="39"/>
              <w:rPr>
                <w:rFonts w:ascii="Times New Roman" w:hAnsi="Times New Roman"/>
              </w:rPr>
            </w:pPr>
            <w:r>
              <w:rPr>
                <w:rFonts w:ascii="Times New Roman" w:hAnsi="Times New Roma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250</w:t>
            </w:r>
          </w:p>
        </w:tc>
        <w:tc>
          <w:tcPr>
            <w:tcW w:w="714" w:type="pct"/>
            <w:shd w:val="clear" w:color="auto" w:fill="auto"/>
            <w:noWrap/>
            <w:vAlign w:val="center"/>
          </w:tcPr>
          <w:p>
            <w:pPr>
              <w:pStyle w:val="39"/>
              <w:rPr>
                <w:rFonts w:ascii="Times New Roman" w:hAnsi="Times New Roman"/>
              </w:rPr>
            </w:pPr>
            <w:r>
              <w:rPr>
                <w:rFonts w:ascii="Times New Roman" w:hAnsi="Times New Roman"/>
              </w:rPr>
              <w:t>0.021</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0.832</w:t>
            </w:r>
          </w:p>
        </w:tc>
        <w:tc>
          <w:tcPr>
            <w:tcW w:w="715" w:type="pct"/>
            <w:shd w:val="clear" w:color="auto" w:fill="auto"/>
            <w:noWrap/>
            <w:vAlign w:val="center"/>
          </w:tcPr>
          <w:p>
            <w:pPr>
              <w:pStyle w:val="39"/>
              <w:rPr>
                <w:rFonts w:ascii="Times New Roman" w:hAnsi="Times New Roman"/>
              </w:rPr>
            </w:pPr>
            <w:r>
              <w:rPr>
                <w:rFonts w:ascii="Times New Roman" w:hAnsi="Times New Roman"/>
              </w:rPr>
              <w:t>0.33</w:t>
            </w:r>
          </w:p>
        </w:tc>
        <w:tc>
          <w:tcPr>
            <w:tcW w:w="714" w:type="pct"/>
            <w:shd w:val="clear" w:color="auto" w:fill="auto"/>
            <w:noWrap/>
            <w:vAlign w:val="center"/>
          </w:tcPr>
          <w:p>
            <w:pPr>
              <w:pStyle w:val="39"/>
              <w:rPr>
                <w:rFonts w:ascii="Times New Roman" w:hAnsi="Times New Roman"/>
              </w:rPr>
            </w:pPr>
            <w:r>
              <w:rPr>
                <w:rFonts w:ascii="Times New Roman" w:hAnsi="Times New Roman"/>
              </w:rPr>
              <w:t>0.084</w:t>
            </w:r>
          </w:p>
        </w:tc>
        <w:tc>
          <w:tcPr>
            <w:tcW w:w="714" w:type="pct"/>
            <w:shd w:val="clear" w:color="auto" w:fill="auto"/>
            <w:noWrap/>
            <w:vAlign w:val="center"/>
          </w:tcPr>
          <w:p>
            <w:pPr>
              <w:pStyle w:val="39"/>
              <w:rPr>
                <w:rFonts w:ascii="Times New Roman" w:hAnsi="Times New Roman"/>
              </w:rPr>
            </w:pPr>
            <w:r>
              <w:rPr>
                <w:rFonts w:ascii="Times New Roman" w:hAnsi="Times New Roma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300</w:t>
            </w:r>
          </w:p>
        </w:tc>
        <w:tc>
          <w:tcPr>
            <w:tcW w:w="714" w:type="pct"/>
            <w:shd w:val="clear" w:color="auto" w:fill="auto"/>
            <w:noWrap/>
            <w:vAlign w:val="center"/>
          </w:tcPr>
          <w:p>
            <w:pPr>
              <w:pStyle w:val="39"/>
              <w:rPr>
                <w:rFonts w:ascii="Times New Roman" w:hAnsi="Times New Roman"/>
              </w:rPr>
            </w:pPr>
            <w:r>
              <w:rPr>
                <w:rFonts w:ascii="Times New Roman" w:hAnsi="Times New Roman"/>
              </w:rPr>
              <w:t>0.017</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0.666</w:t>
            </w:r>
          </w:p>
        </w:tc>
        <w:tc>
          <w:tcPr>
            <w:tcW w:w="715" w:type="pct"/>
            <w:shd w:val="clear" w:color="auto" w:fill="auto"/>
            <w:noWrap/>
            <w:vAlign w:val="center"/>
          </w:tcPr>
          <w:p>
            <w:pPr>
              <w:pStyle w:val="39"/>
              <w:rPr>
                <w:rFonts w:ascii="Times New Roman" w:hAnsi="Times New Roman"/>
              </w:rPr>
            </w:pPr>
            <w:r>
              <w:rPr>
                <w:rFonts w:ascii="Times New Roman" w:hAnsi="Times New Roman"/>
              </w:rPr>
              <w:t>0.27</w:t>
            </w:r>
          </w:p>
        </w:tc>
        <w:tc>
          <w:tcPr>
            <w:tcW w:w="714" w:type="pct"/>
            <w:shd w:val="clear" w:color="auto" w:fill="auto"/>
            <w:noWrap/>
            <w:vAlign w:val="center"/>
          </w:tcPr>
          <w:p>
            <w:pPr>
              <w:pStyle w:val="39"/>
              <w:rPr>
                <w:rFonts w:ascii="Times New Roman" w:hAnsi="Times New Roman"/>
              </w:rPr>
            </w:pPr>
            <w:r>
              <w:rPr>
                <w:rFonts w:ascii="Times New Roman" w:hAnsi="Times New Roman"/>
              </w:rPr>
              <w:t>0.067</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400</w:t>
            </w:r>
          </w:p>
        </w:tc>
        <w:tc>
          <w:tcPr>
            <w:tcW w:w="714" w:type="pct"/>
            <w:shd w:val="clear" w:color="auto" w:fill="auto"/>
            <w:noWrap/>
            <w:vAlign w:val="center"/>
          </w:tcPr>
          <w:p>
            <w:pPr>
              <w:pStyle w:val="39"/>
              <w:rPr>
                <w:rFonts w:ascii="Times New Roman" w:hAnsi="Times New Roman"/>
              </w:rPr>
            </w:pPr>
            <w:r>
              <w:rPr>
                <w:rFonts w:ascii="Times New Roman" w:hAnsi="Times New Roman"/>
              </w:rPr>
              <w:t>0.012</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0.457</w:t>
            </w:r>
          </w:p>
        </w:tc>
        <w:tc>
          <w:tcPr>
            <w:tcW w:w="715" w:type="pct"/>
            <w:shd w:val="clear" w:color="auto" w:fill="auto"/>
            <w:noWrap/>
            <w:vAlign w:val="center"/>
          </w:tcPr>
          <w:p>
            <w:pPr>
              <w:pStyle w:val="39"/>
              <w:rPr>
                <w:rFonts w:ascii="Times New Roman" w:hAnsi="Times New Roman"/>
              </w:rPr>
            </w:pPr>
            <w:r>
              <w:rPr>
                <w:rFonts w:ascii="Times New Roman" w:hAnsi="Times New Roman"/>
              </w:rPr>
              <w:t>0.18</w:t>
            </w:r>
          </w:p>
        </w:tc>
        <w:tc>
          <w:tcPr>
            <w:tcW w:w="714" w:type="pct"/>
            <w:shd w:val="clear" w:color="auto" w:fill="auto"/>
            <w:noWrap/>
            <w:vAlign w:val="center"/>
          </w:tcPr>
          <w:p>
            <w:pPr>
              <w:pStyle w:val="39"/>
              <w:rPr>
                <w:rFonts w:ascii="Times New Roman" w:hAnsi="Times New Roman"/>
              </w:rPr>
            </w:pPr>
            <w:r>
              <w:rPr>
                <w:rFonts w:ascii="Times New Roman" w:hAnsi="Times New Roman"/>
              </w:rPr>
              <w:t>0.046</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500</w:t>
            </w:r>
          </w:p>
        </w:tc>
        <w:tc>
          <w:tcPr>
            <w:tcW w:w="714" w:type="pct"/>
            <w:shd w:val="clear" w:color="auto" w:fill="auto"/>
            <w:noWrap/>
            <w:vAlign w:val="center"/>
          </w:tcPr>
          <w:p>
            <w:pPr>
              <w:pStyle w:val="39"/>
              <w:rPr>
                <w:rFonts w:ascii="Times New Roman" w:hAnsi="Times New Roman"/>
              </w:rPr>
            </w:pPr>
            <w:r>
              <w:rPr>
                <w:rFonts w:ascii="Times New Roman" w:hAnsi="Times New Roman"/>
              </w:rPr>
              <w:t>0.010</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0.406</w:t>
            </w:r>
          </w:p>
        </w:tc>
        <w:tc>
          <w:tcPr>
            <w:tcW w:w="715" w:type="pct"/>
            <w:shd w:val="clear" w:color="auto" w:fill="auto"/>
            <w:noWrap/>
            <w:vAlign w:val="center"/>
          </w:tcPr>
          <w:p>
            <w:pPr>
              <w:pStyle w:val="39"/>
              <w:rPr>
                <w:rFonts w:ascii="Times New Roman" w:hAnsi="Times New Roman"/>
              </w:rPr>
            </w:pPr>
            <w:r>
              <w:rPr>
                <w:rFonts w:ascii="Times New Roman" w:hAnsi="Times New Roman"/>
              </w:rPr>
              <w:t>0.16</w:t>
            </w:r>
          </w:p>
        </w:tc>
        <w:tc>
          <w:tcPr>
            <w:tcW w:w="714" w:type="pct"/>
            <w:shd w:val="clear" w:color="auto" w:fill="auto"/>
            <w:noWrap/>
            <w:vAlign w:val="center"/>
          </w:tcPr>
          <w:p>
            <w:pPr>
              <w:pStyle w:val="39"/>
              <w:rPr>
                <w:rFonts w:ascii="Times New Roman" w:hAnsi="Times New Roman"/>
              </w:rPr>
            </w:pPr>
            <w:r>
              <w:rPr>
                <w:rFonts w:ascii="Times New Roman" w:hAnsi="Times New Roman"/>
              </w:rPr>
              <w:t>0.041</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600</w:t>
            </w:r>
          </w:p>
        </w:tc>
        <w:tc>
          <w:tcPr>
            <w:tcW w:w="714" w:type="pct"/>
            <w:shd w:val="clear" w:color="auto" w:fill="auto"/>
            <w:noWrap/>
            <w:vAlign w:val="center"/>
          </w:tcPr>
          <w:p>
            <w:pPr>
              <w:pStyle w:val="39"/>
              <w:rPr>
                <w:rFonts w:ascii="Times New Roman" w:hAnsi="Times New Roman"/>
              </w:rPr>
            </w:pPr>
            <w:r>
              <w:rPr>
                <w:rFonts w:ascii="Times New Roman" w:hAnsi="Times New Roman"/>
              </w:rPr>
              <w:t>0.011</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0.414</w:t>
            </w:r>
          </w:p>
        </w:tc>
        <w:tc>
          <w:tcPr>
            <w:tcW w:w="715" w:type="pct"/>
            <w:shd w:val="clear" w:color="auto" w:fill="auto"/>
            <w:noWrap/>
            <w:vAlign w:val="center"/>
          </w:tcPr>
          <w:p>
            <w:pPr>
              <w:pStyle w:val="39"/>
              <w:rPr>
                <w:rFonts w:ascii="Times New Roman" w:hAnsi="Times New Roman"/>
              </w:rPr>
            </w:pPr>
            <w:r>
              <w:rPr>
                <w:rFonts w:ascii="Times New Roman" w:hAnsi="Times New Roman"/>
              </w:rPr>
              <w:t>0.17</w:t>
            </w:r>
          </w:p>
        </w:tc>
        <w:tc>
          <w:tcPr>
            <w:tcW w:w="714" w:type="pct"/>
            <w:shd w:val="clear" w:color="auto" w:fill="auto"/>
            <w:noWrap/>
            <w:vAlign w:val="center"/>
          </w:tcPr>
          <w:p>
            <w:pPr>
              <w:pStyle w:val="39"/>
              <w:rPr>
                <w:rFonts w:ascii="Times New Roman" w:hAnsi="Times New Roman"/>
              </w:rPr>
            </w:pPr>
            <w:r>
              <w:rPr>
                <w:rFonts w:ascii="Times New Roman" w:hAnsi="Times New Roman"/>
              </w:rPr>
              <w:t>0.042</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700</w:t>
            </w:r>
          </w:p>
        </w:tc>
        <w:tc>
          <w:tcPr>
            <w:tcW w:w="714" w:type="pct"/>
            <w:shd w:val="clear" w:color="auto" w:fill="auto"/>
            <w:noWrap/>
            <w:vAlign w:val="center"/>
          </w:tcPr>
          <w:p>
            <w:pPr>
              <w:pStyle w:val="39"/>
              <w:rPr>
                <w:rFonts w:ascii="Times New Roman" w:hAnsi="Times New Roman"/>
              </w:rPr>
            </w:pPr>
            <w:r>
              <w:rPr>
                <w:rFonts w:ascii="Times New Roman" w:hAnsi="Times New Roman"/>
              </w:rPr>
              <w:t>0.010</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0.411</w:t>
            </w:r>
          </w:p>
        </w:tc>
        <w:tc>
          <w:tcPr>
            <w:tcW w:w="715" w:type="pct"/>
            <w:shd w:val="clear" w:color="auto" w:fill="auto"/>
            <w:noWrap/>
            <w:vAlign w:val="center"/>
          </w:tcPr>
          <w:p>
            <w:pPr>
              <w:pStyle w:val="39"/>
              <w:rPr>
                <w:rFonts w:ascii="Times New Roman" w:hAnsi="Times New Roman"/>
              </w:rPr>
            </w:pPr>
            <w:r>
              <w:rPr>
                <w:rFonts w:ascii="Times New Roman" w:hAnsi="Times New Roman"/>
              </w:rPr>
              <w:t>0.16</w:t>
            </w:r>
          </w:p>
        </w:tc>
        <w:tc>
          <w:tcPr>
            <w:tcW w:w="714" w:type="pct"/>
            <w:shd w:val="clear" w:color="auto" w:fill="auto"/>
            <w:noWrap/>
            <w:vAlign w:val="center"/>
          </w:tcPr>
          <w:p>
            <w:pPr>
              <w:pStyle w:val="39"/>
              <w:rPr>
                <w:rFonts w:ascii="Times New Roman" w:hAnsi="Times New Roman"/>
              </w:rPr>
            </w:pPr>
            <w:r>
              <w:rPr>
                <w:rFonts w:ascii="Times New Roman" w:hAnsi="Times New Roman"/>
              </w:rPr>
              <w:t>0.041</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800</w:t>
            </w:r>
          </w:p>
        </w:tc>
        <w:tc>
          <w:tcPr>
            <w:tcW w:w="714" w:type="pct"/>
            <w:shd w:val="clear" w:color="auto" w:fill="auto"/>
            <w:noWrap/>
            <w:vAlign w:val="center"/>
          </w:tcPr>
          <w:p>
            <w:pPr>
              <w:pStyle w:val="39"/>
              <w:rPr>
                <w:rFonts w:ascii="Times New Roman" w:hAnsi="Times New Roman"/>
              </w:rPr>
            </w:pPr>
            <w:r>
              <w:rPr>
                <w:rFonts w:ascii="Times New Roman" w:hAnsi="Times New Roman"/>
              </w:rPr>
              <w:t>0.010</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0.402</w:t>
            </w:r>
          </w:p>
        </w:tc>
        <w:tc>
          <w:tcPr>
            <w:tcW w:w="715" w:type="pct"/>
            <w:shd w:val="clear" w:color="auto" w:fill="auto"/>
            <w:noWrap/>
            <w:vAlign w:val="center"/>
          </w:tcPr>
          <w:p>
            <w:pPr>
              <w:pStyle w:val="39"/>
              <w:rPr>
                <w:rFonts w:ascii="Times New Roman" w:hAnsi="Times New Roman"/>
              </w:rPr>
            </w:pPr>
            <w:r>
              <w:rPr>
                <w:rFonts w:ascii="Times New Roman" w:hAnsi="Times New Roman"/>
              </w:rPr>
              <w:t>0.16</w:t>
            </w:r>
          </w:p>
        </w:tc>
        <w:tc>
          <w:tcPr>
            <w:tcW w:w="714" w:type="pct"/>
            <w:shd w:val="clear" w:color="auto" w:fill="auto"/>
            <w:noWrap/>
            <w:vAlign w:val="center"/>
          </w:tcPr>
          <w:p>
            <w:pPr>
              <w:pStyle w:val="39"/>
              <w:rPr>
                <w:rFonts w:ascii="Times New Roman" w:hAnsi="Times New Roman"/>
              </w:rPr>
            </w:pPr>
            <w:r>
              <w:rPr>
                <w:rFonts w:ascii="Times New Roman" w:hAnsi="Times New Roman"/>
              </w:rPr>
              <w:t>0.041</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900</w:t>
            </w:r>
          </w:p>
        </w:tc>
        <w:tc>
          <w:tcPr>
            <w:tcW w:w="714" w:type="pct"/>
            <w:shd w:val="clear" w:color="auto" w:fill="auto"/>
            <w:noWrap/>
            <w:vAlign w:val="center"/>
          </w:tcPr>
          <w:p>
            <w:pPr>
              <w:pStyle w:val="39"/>
              <w:rPr>
                <w:rFonts w:ascii="Times New Roman" w:hAnsi="Times New Roman"/>
              </w:rPr>
            </w:pPr>
            <w:r>
              <w:rPr>
                <w:rFonts w:ascii="Times New Roman" w:hAnsi="Times New Roman"/>
              </w:rPr>
              <w:t>0.010</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0.389</w:t>
            </w:r>
          </w:p>
        </w:tc>
        <w:tc>
          <w:tcPr>
            <w:tcW w:w="715" w:type="pct"/>
            <w:shd w:val="clear" w:color="auto" w:fill="auto"/>
            <w:noWrap/>
            <w:vAlign w:val="center"/>
          </w:tcPr>
          <w:p>
            <w:pPr>
              <w:pStyle w:val="39"/>
              <w:rPr>
                <w:rFonts w:ascii="Times New Roman" w:hAnsi="Times New Roman"/>
              </w:rPr>
            </w:pPr>
            <w:r>
              <w:rPr>
                <w:rFonts w:ascii="Times New Roman" w:hAnsi="Times New Roman"/>
              </w:rPr>
              <w:t>0.16</w:t>
            </w:r>
          </w:p>
        </w:tc>
        <w:tc>
          <w:tcPr>
            <w:tcW w:w="714" w:type="pct"/>
            <w:shd w:val="clear" w:color="auto" w:fill="auto"/>
            <w:noWrap/>
            <w:vAlign w:val="center"/>
          </w:tcPr>
          <w:p>
            <w:pPr>
              <w:pStyle w:val="39"/>
              <w:rPr>
                <w:rFonts w:ascii="Times New Roman" w:hAnsi="Times New Roman"/>
              </w:rPr>
            </w:pPr>
            <w:r>
              <w:rPr>
                <w:rFonts w:ascii="Times New Roman" w:hAnsi="Times New Roman"/>
              </w:rPr>
              <w:t>0.039</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1000</w:t>
            </w:r>
          </w:p>
        </w:tc>
        <w:tc>
          <w:tcPr>
            <w:tcW w:w="714" w:type="pct"/>
            <w:shd w:val="clear" w:color="auto" w:fill="auto"/>
            <w:noWrap/>
            <w:vAlign w:val="center"/>
          </w:tcPr>
          <w:p>
            <w:pPr>
              <w:pStyle w:val="39"/>
              <w:rPr>
                <w:rFonts w:ascii="Times New Roman" w:hAnsi="Times New Roman"/>
              </w:rPr>
            </w:pPr>
            <w:r>
              <w:rPr>
                <w:rFonts w:ascii="Times New Roman" w:hAnsi="Times New Roman"/>
              </w:rPr>
              <w:t>0.010</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0.376</w:t>
            </w:r>
          </w:p>
        </w:tc>
        <w:tc>
          <w:tcPr>
            <w:tcW w:w="715" w:type="pct"/>
            <w:shd w:val="clear" w:color="auto" w:fill="auto"/>
            <w:noWrap/>
            <w:vAlign w:val="center"/>
          </w:tcPr>
          <w:p>
            <w:pPr>
              <w:pStyle w:val="39"/>
              <w:rPr>
                <w:rFonts w:ascii="Times New Roman" w:hAnsi="Times New Roman"/>
              </w:rPr>
            </w:pPr>
            <w:r>
              <w:rPr>
                <w:rFonts w:ascii="Times New Roman" w:hAnsi="Times New Roman"/>
              </w:rPr>
              <w:t>0.15</w:t>
            </w:r>
          </w:p>
        </w:tc>
        <w:tc>
          <w:tcPr>
            <w:tcW w:w="714" w:type="pct"/>
            <w:shd w:val="clear" w:color="auto" w:fill="auto"/>
            <w:noWrap/>
            <w:vAlign w:val="center"/>
          </w:tcPr>
          <w:p>
            <w:pPr>
              <w:pStyle w:val="39"/>
              <w:rPr>
                <w:rFonts w:ascii="Times New Roman" w:hAnsi="Times New Roman"/>
              </w:rPr>
            </w:pPr>
            <w:r>
              <w:rPr>
                <w:rFonts w:ascii="Times New Roman" w:hAnsi="Times New Roman"/>
              </w:rPr>
              <w:t>0.038</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1500</w:t>
            </w:r>
          </w:p>
        </w:tc>
        <w:tc>
          <w:tcPr>
            <w:tcW w:w="714" w:type="pct"/>
            <w:shd w:val="clear" w:color="auto" w:fill="auto"/>
            <w:noWrap/>
            <w:vAlign w:val="center"/>
          </w:tcPr>
          <w:p>
            <w:pPr>
              <w:pStyle w:val="39"/>
              <w:rPr>
                <w:rFonts w:ascii="Times New Roman" w:hAnsi="Times New Roman"/>
              </w:rPr>
            </w:pPr>
            <w:r>
              <w:rPr>
                <w:rFonts w:ascii="Times New Roman" w:hAnsi="Times New Roman"/>
              </w:rPr>
              <w:t>0.008</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0.312</w:t>
            </w:r>
          </w:p>
        </w:tc>
        <w:tc>
          <w:tcPr>
            <w:tcW w:w="715" w:type="pct"/>
            <w:shd w:val="clear" w:color="auto" w:fill="auto"/>
            <w:noWrap/>
            <w:vAlign w:val="center"/>
          </w:tcPr>
          <w:p>
            <w:pPr>
              <w:pStyle w:val="39"/>
              <w:rPr>
                <w:rFonts w:ascii="Times New Roman" w:hAnsi="Times New Roman"/>
              </w:rPr>
            </w:pPr>
            <w:r>
              <w:rPr>
                <w:rFonts w:ascii="Times New Roman" w:hAnsi="Times New Roman"/>
              </w:rPr>
              <w:t>0.12</w:t>
            </w:r>
          </w:p>
        </w:tc>
        <w:tc>
          <w:tcPr>
            <w:tcW w:w="714" w:type="pct"/>
            <w:shd w:val="clear" w:color="auto" w:fill="auto"/>
            <w:noWrap/>
            <w:vAlign w:val="center"/>
          </w:tcPr>
          <w:p>
            <w:pPr>
              <w:pStyle w:val="39"/>
              <w:rPr>
                <w:rFonts w:ascii="Times New Roman" w:hAnsi="Times New Roman"/>
              </w:rPr>
            </w:pPr>
            <w:r>
              <w:rPr>
                <w:rFonts w:ascii="Times New Roman" w:hAnsi="Times New Roman"/>
              </w:rPr>
              <w:t>0.031</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2000</w:t>
            </w:r>
          </w:p>
        </w:tc>
        <w:tc>
          <w:tcPr>
            <w:tcW w:w="714" w:type="pct"/>
            <w:shd w:val="clear" w:color="auto" w:fill="auto"/>
            <w:noWrap/>
            <w:vAlign w:val="center"/>
          </w:tcPr>
          <w:p>
            <w:pPr>
              <w:pStyle w:val="39"/>
              <w:rPr>
                <w:rFonts w:ascii="Times New Roman" w:hAnsi="Times New Roman"/>
              </w:rPr>
            </w:pPr>
            <w:r>
              <w:rPr>
                <w:rFonts w:ascii="Times New Roman" w:hAnsi="Times New Roman"/>
              </w:rPr>
              <w:t>0.008</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0.304</w:t>
            </w:r>
          </w:p>
        </w:tc>
        <w:tc>
          <w:tcPr>
            <w:tcW w:w="715" w:type="pct"/>
            <w:shd w:val="clear" w:color="auto" w:fill="auto"/>
            <w:noWrap/>
            <w:vAlign w:val="center"/>
          </w:tcPr>
          <w:p>
            <w:pPr>
              <w:pStyle w:val="39"/>
              <w:rPr>
                <w:rFonts w:ascii="Times New Roman" w:hAnsi="Times New Roman"/>
              </w:rPr>
            </w:pPr>
            <w:r>
              <w:rPr>
                <w:rFonts w:ascii="Times New Roman" w:hAnsi="Times New Roman"/>
              </w:rPr>
              <w:t>0.12</w:t>
            </w:r>
          </w:p>
        </w:tc>
        <w:tc>
          <w:tcPr>
            <w:tcW w:w="714" w:type="pct"/>
            <w:shd w:val="clear" w:color="auto" w:fill="auto"/>
            <w:noWrap/>
            <w:vAlign w:val="center"/>
          </w:tcPr>
          <w:p>
            <w:pPr>
              <w:pStyle w:val="39"/>
              <w:rPr>
                <w:rFonts w:ascii="Times New Roman" w:hAnsi="Times New Roman"/>
              </w:rPr>
            </w:pPr>
            <w:r>
              <w:rPr>
                <w:rFonts w:ascii="Times New Roman" w:hAnsi="Times New Roman"/>
              </w:rPr>
              <w:t>0.031</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2500</w:t>
            </w:r>
          </w:p>
        </w:tc>
        <w:tc>
          <w:tcPr>
            <w:tcW w:w="714" w:type="pct"/>
            <w:shd w:val="clear" w:color="auto" w:fill="auto"/>
            <w:noWrap/>
            <w:vAlign w:val="center"/>
          </w:tcPr>
          <w:p>
            <w:pPr>
              <w:pStyle w:val="39"/>
              <w:rPr>
                <w:rFonts w:ascii="Times New Roman" w:hAnsi="Times New Roman"/>
              </w:rPr>
            </w:pPr>
            <w:r>
              <w:rPr>
                <w:rFonts w:ascii="Times New Roman" w:hAnsi="Times New Roman"/>
              </w:rPr>
              <w:t>0.008</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0.317</w:t>
            </w:r>
          </w:p>
        </w:tc>
        <w:tc>
          <w:tcPr>
            <w:tcW w:w="715" w:type="pct"/>
            <w:shd w:val="clear" w:color="auto" w:fill="auto"/>
            <w:noWrap/>
            <w:vAlign w:val="center"/>
          </w:tcPr>
          <w:p>
            <w:pPr>
              <w:pStyle w:val="39"/>
              <w:rPr>
                <w:rFonts w:ascii="Times New Roman" w:hAnsi="Times New Roman"/>
              </w:rPr>
            </w:pPr>
            <w:r>
              <w:rPr>
                <w:rFonts w:ascii="Times New Roman" w:hAnsi="Times New Roman"/>
              </w:rPr>
              <w:t>0.13</w:t>
            </w:r>
          </w:p>
        </w:tc>
        <w:tc>
          <w:tcPr>
            <w:tcW w:w="714" w:type="pct"/>
            <w:shd w:val="clear" w:color="auto" w:fill="auto"/>
            <w:noWrap/>
            <w:vAlign w:val="center"/>
          </w:tcPr>
          <w:p>
            <w:pPr>
              <w:pStyle w:val="39"/>
              <w:rPr>
                <w:rFonts w:ascii="Times New Roman" w:hAnsi="Times New Roman"/>
              </w:rPr>
            </w:pPr>
            <w:r>
              <w:rPr>
                <w:rFonts w:ascii="Times New Roman" w:hAnsi="Times New Roman"/>
              </w:rPr>
              <w:t>0.032</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3000</w:t>
            </w:r>
          </w:p>
        </w:tc>
        <w:tc>
          <w:tcPr>
            <w:tcW w:w="714" w:type="pct"/>
            <w:shd w:val="clear" w:color="auto" w:fill="auto"/>
            <w:noWrap/>
            <w:vAlign w:val="center"/>
          </w:tcPr>
          <w:p>
            <w:pPr>
              <w:pStyle w:val="39"/>
              <w:rPr>
                <w:rFonts w:ascii="Times New Roman" w:hAnsi="Times New Roman"/>
              </w:rPr>
            </w:pPr>
            <w:r>
              <w:rPr>
                <w:rFonts w:ascii="Times New Roman" w:hAnsi="Times New Roman"/>
              </w:rPr>
              <w:t>0.008</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0.312</w:t>
            </w:r>
          </w:p>
        </w:tc>
        <w:tc>
          <w:tcPr>
            <w:tcW w:w="715" w:type="pct"/>
            <w:shd w:val="clear" w:color="auto" w:fill="auto"/>
            <w:noWrap/>
            <w:vAlign w:val="center"/>
          </w:tcPr>
          <w:p>
            <w:pPr>
              <w:pStyle w:val="39"/>
              <w:rPr>
                <w:rFonts w:ascii="Times New Roman" w:hAnsi="Times New Roman"/>
              </w:rPr>
            </w:pPr>
            <w:r>
              <w:rPr>
                <w:rFonts w:ascii="Times New Roman" w:hAnsi="Times New Roman"/>
              </w:rPr>
              <w:t>0.12</w:t>
            </w:r>
          </w:p>
        </w:tc>
        <w:tc>
          <w:tcPr>
            <w:tcW w:w="714" w:type="pct"/>
            <w:shd w:val="clear" w:color="auto" w:fill="auto"/>
            <w:noWrap/>
            <w:vAlign w:val="center"/>
          </w:tcPr>
          <w:p>
            <w:pPr>
              <w:pStyle w:val="39"/>
              <w:rPr>
                <w:rFonts w:ascii="Times New Roman" w:hAnsi="Times New Roman"/>
              </w:rPr>
            </w:pPr>
            <w:r>
              <w:rPr>
                <w:rFonts w:ascii="Times New Roman" w:hAnsi="Times New Roman"/>
              </w:rPr>
              <w:t>0.031</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3500</w:t>
            </w:r>
          </w:p>
        </w:tc>
        <w:tc>
          <w:tcPr>
            <w:tcW w:w="714" w:type="pct"/>
            <w:shd w:val="clear" w:color="auto" w:fill="auto"/>
            <w:noWrap/>
            <w:vAlign w:val="center"/>
          </w:tcPr>
          <w:p>
            <w:pPr>
              <w:pStyle w:val="39"/>
              <w:rPr>
                <w:rFonts w:ascii="Times New Roman" w:hAnsi="Times New Roman"/>
              </w:rPr>
            </w:pPr>
            <w:r>
              <w:rPr>
                <w:rFonts w:ascii="Times New Roman" w:hAnsi="Times New Roman"/>
              </w:rPr>
              <w:t>0.008</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0.300</w:t>
            </w:r>
          </w:p>
        </w:tc>
        <w:tc>
          <w:tcPr>
            <w:tcW w:w="715" w:type="pct"/>
            <w:shd w:val="clear" w:color="auto" w:fill="auto"/>
            <w:noWrap/>
            <w:vAlign w:val="center"/>
          </w:tcPr>
          <w:p>
            <w:pPr>
              <w:pStyle w:val="39"/>
              <w:rPr>
                <w:rFonts w:ascii="Times New Roman" w:hAnsi="Times New Roman"/>
              </w:rPr>
            </w:pPr>
            <w:r>
              <w:rPr>
                <w:rFonts w:ascii="Times New Roman" w:hAnsi="Times New Roman"/>
              </w:rPr>
              <w:t>0.12</w:t>
            </w:r>
          </w:p>
        </w:tc>
        <w:tc>
          <w:tcPr>
            <w:tcW w:w="714" w:type="pct"/>
            <w:shd w:val="clear" w:color="auto" w:fill="auto"/>
            <w:noWrap/>
            <w:vAlign w:val="center"/>
          </w:tcPr>
          <w:p>
            <w:pPr>
              <w:pStyle w:val="39"/>
              <w:rPr>
                <w:rFonts w:ascii="Times New Roman" w:hAnsi="Times New Roman"/>
              </w:rPr>
            </w:pPr>
            <w:r>
              <w:rPr>
                <w:rFonts w:ascii="Times New Roman" w:hAnsi="Times New Roman"/>
              </w:rPr>
              <w:t>0.030</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4000</w:t>
            </w:r>
          </w:p>
        </w:tc>
        <w:tc>
          <w:tcPr>
            <w:tcW w:w="714" w:type="pct"/>
            <w:shd w:val="clear" w:color="auto" w:fill="auto"/>
            <w:noWrap/>
            <w:vAlign w:val="center"/>
          </w:tcPr>
          <w:p>
            <w:pPr>
              <w:pStyle w:val="39"/>
              <w:rPr>
                <w:rFonts w:ascii="Times New Roman" w:hAnsi="Times New Roman"/>
              </w:rPr>
            </w:pPr>
            <w:r>
              <w:rPr>
                <w:rFonts w:ascii="Times New Roman" w:hAnsi="Times New Roman"/>
              </w:rPr>
              <w:t>0.007</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0.285</w:t>
            </w:r>
          </w:p>
        </w:tc>
        <w:tc>
          <w:tcPr>
            <w:tcW w:w="715" w:type="pct"/>
            <w:shd w:val="clear" w:color="auto" w:fill="auto"/>
            <w:noWrap/>
            <w:vAlign w:val="center"/>
          </w:tcPr>
          <w:p>
            <w:pPr>
              <w:pStyle w:val="39"/>
              <w:rPr>
                <w:rFonts w:ascii="Times New Roman" w:hAnsi="Times New Roman"/>
              </w:rPr>
            </w:pPr>
            <w:r>
              <w:rPr>
                <w:rFonts w:ascii="Times New Roman" w:hAnsi="Times New Roman"/>
              </w:rPr>
              <w:t>0.11</w:t>
            </w:r>
          </w:p>
        </w:tc>
        <w:tc>
          <w:tcPr>
            <w:tcW w:w="714" w:type="pct"/>
            <w:shd w:val="clear" w:color="auto" w:fill="auto"/>
            <w:noWrap/>
            <w:vAlign w:val="center"/>
          </w:tcPr>
          <w:p>
            <w:pPr>
              <w:pStyle w:val="39"/>
              <w:rPr>
                <w:rFonts w:ascii="Times New Roman" w:hAnsi="Times New Roman"/>
              </w:rPr>
            </w:pPr>
            <w:r>
              <w:rPr>
                <w:rFonts w:ascii="Times New Roman" w:hAnsi="Times New Roman"/>
              </w:rPr>
              <w:t>0.029</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4500</w:t>
            </w:r>
          </w:p>
        </w:tc>
        <w:tc>
          <w:tcPr>
            <w:tcW w:w="714" w:type="pct"/>
            <w:shd w:val="clear" w:color="auto" w:fill="auto"/>
            <w:noWrap/>
            <w:vAlign w:val="center"/>
          </w:tcPr>
          <w:p>
            <w:pPr>
              <w:pStyle w:val="39"/>
              <w:rPr>
                <w:rFonts w:ascii="Times New Roman" w:hAnsi="Times New Roman"/>
              </w:rPr>
            </w:pPr>
            <w:r>
              <w:rPr>
                <w:rFonts w:ascii="Times New Roman" w:hAnsi="Times New Roman"/>
              </w:rPr>
              <w:t>0.007</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0.270</w:t>
            </w:r>
          </w:p>
        </w:tc>
        <w:tc>
          <w:tcPr>
            <w:tcW w:w="715" w:type="pct"/>
            <w:shd w:val="clear" w:color="auto" w:fill="auto"/>
            <w:noWrap/>
            <w:vAlign w:val="center"/>
          </w:tcPr>
          <w:p>
            <w:pPr>
              <w:pStyle w:val="39"/>
              <w:rPr>
                <w:rFonts w:ascii="Times New Roman" w:hAnsi="Times New Roman"/>
              </w:rPr>
            </w:pPr>
            <w:r>
              <w:rPr>
                <w:rFonts w:ascii="Times New Roman" w:hAnsi="Times New Roman"/>
              </w:rPr>
              <w:t>0.11</w:t>
            </w:r>
          </w:p>
        </w:tc>
        <w:tc>
          <w:tcPr>
            <w:tcW w:w="714" w:type="pct"/>
            <w:shd w:val="clear" w:color="auto" w:fill="auto"/>
            <w:noWrap/>
            <w:vAlign w:val="center"/>
          </w:tcPr>
          <w:p>
            <w:pPr>
              <w:pStyle w:val="39"/>
              <w:rPr>
                <w:rFonts w:ascii="Times New Roman" w:hAnsi="Times New Roman"/>
              </w:rPr>
            </w:pPr>
            <w:r>
              <w:rPr>
                <w:rFonts w:ascii="Times New Roman" w:hAnsi="Times New Roman"/>
              </w:rPr>
              <w:t>0.027</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5000</w:t>
            </w:r>
          </w:p>
        </w:tc>
        <w:tc>
          <w:tcPr>
            <w:tcW w:w="714" w:type="pct"/>
            <w:shd w:val="clear" w:color="auto" w:fill="auto"/>
            <w:noWrap/>
            <w:vAlign w:val="center"/>
          </w:tcPr>
          <w:p>
            <w:pPr>
              <w:pStyle w:val="39"/>
              <w:rPr>
                <w:rFonts w:ascii="Times New Roman" w:hAnsi="Times New Roman"/>
              </w:rPr>
            </w:pPr>
            <w:r>
              <w:rPr>
                <w:rFonts w:ascii="Times New Roman" w:hAnsi="Times New Roman"/>
              </w:rPr>
              <w:t>0.006</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0.256</w:t>
            </w:r>
          </w:p>
        </w:tc>
        <w:tc>
          <w:tcPr>
            <w:tcW w:w="715" w:type="pct"/>
            <w:shd w:val="clear" w:color="auto" w:fill="auto"/>
            <w:noWrap/>
            <w:vAlign w:val="center"/>
          </w:tcPr>
          <w:p>
            <w:pPr>
              <w:pStyle w:val="39"/>
              <w:rPr>
                <w:rFonts w:ascii="Times New Roman" w:hAnsi="Times New Roman"/>
              </w:rPr>
            </w:pPr>
            <w:r>
              <w:rPr>
                <w:rFonts w:ascii="Times New Roman" w:hAnsi="Times New Roman"/>
              </w:rPr>
              <w:t>0.10</w:t>
            </w:r>
          </w:p>
        </w:tc>
        <w:tc>
          <w:tcPr>
            <w:tcW w:w="714" w:type="pct"/>
            <w:shd w:val="clear" w:color="auto" w:fill="auto"/>
            <w:noWrap/>
            <w:vAlign w:val="center"/>
          </w:tcPr>
          <w:p>
            <w:pPr>
              <w:pStyle w:val="39"/>
              <w:rPr>
                <w:rFonts w:ascii="Times New Roman" w:hAnsi="Times New Roman"/>
              </w:rPr>
            </w:pPr>
            <w:r>
              <w:rPr>
                <w:rFonts w:ascii="Times New Roman" w:hAnsi="Times New Roman"/>
              </w:rPr>
              <w:t>0.026</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6000</w:t>
            </w:r>
          </w:p>
        </w:tc>
        <w:tc>
          <w:tcPr>
            <w:tcW w:w="714" w:type="pct"/>
            <w:shd w:val="clear" w:color="auto" w:fill="auto"/>
            <w:noWrap/>
            <w:vAlign w:val="center"/>
          </w:tcPr>
          <w:p>
            <w:pPr>
              <w:pStyle w:val="39"/>
              <w:rPr>
                <w:rFonts w:ascii="Times New Roman" w:hAnsi="Times New Roman"/>
              </w:rPr>
            </w:pPr>
            <w:r>
              <w:rPr>
                <w:rFonts w:ascii="Times New Roman" w:hAnsi="Times New Roman"/>
              </w:rPr>
              <w:t>0.006</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0.230</w:t>
            </w:r>
          </w:p>
        </w:tc>
        <w:tc>
          <w:tcPr>
            <w:tcW w:w="715" w:type="pct"/>
            <w:shd w:val="clear" w:color="auto" w:fill="auto"/>
            <w:noWrap/>
            <w:vAlign w:val="center"/>
          </w:tcPr>
          <w:p>
            <w:pPr>
              <w:pStyle w:val="39"/>
              <w:rPr>
                <w:rFonts w:ascii="Times New Roman" w:hAnsi="Times New Roman"/>
              </w:rPr>
            </w:pPr>
            <w:r>
              <w:rPr>
                <w:rFonts w:ascii="Times New Roman" w:hAnsi="Times New Roman"/>
              </w:rPr>
              <w:t>0.09</w:t>
            </w:r>
          </w:p>
        </w:tc>
        <w:tc>
          <w:tcPr>
            <w:tcW w:w="714" w:type="pct"/>
            <w:shd w:val="clear" w:color="auto" w:fill="auto"/>
            <w:noWrap/>
            <w:vAlign w:val="center"/>
          </w:tcPr>
          <w:p>
            <w:pPr>
              <w:pStyle w:val="39"/>
              <w:rPr>
                <w:rFonts w:ascii="Times New Roman" w:hAnsi="Times New Roman"/>
              </w:rPr>
            </w:pPr>
            <w:r>
              <w:rPr>
                <w:rFonts w:ascii="Times New Roman" w:hAnsi="Times New Roman"/>
              </w:rPr>
              <w:t>0.023</w:t>
            </w:r>
          </w:p>
        </w:tc>
        <w:tc>
          <w:tcPr>
            <w:tcW w:w="714"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7000</w:t>
            </w:r>
          </w:p>
        </w:tc>
        <w:tc>
          <w:tcPr>
            <w:tcW w:w="714" w:type="pct"/>
            <w:shd w:val="clear" w:color="auto" w:fill="auto"/>
            <w:noWrap/>
            <w:vAlign w:val="center"/>
          </w:tcPr>
          <w:p>
            <w:pPr>
              <w:pStyle w:val="39"/>
              <w:rPr>
                <w:rFonts w:ascii="Times New Roman" w:hAnsi="Times New Roman"/>
              </w:rPr>
            </w:pPr>
            <w:r>
              <w:rPr>
                <w:rFonts w:ascii="Times New Roman" w:hAnsi="Times New Roman"/>
              </w:rPr>
              <w:t>0.005</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0.208</w:t>
            </w:r>
          </w:p>
        </w:tc>
        <w:tc>
          <w:tcPr>
            <w:tcW w:w="715" w:type="pct"/>
            <w:shd w:val="clear" w:color="auto" w:fill="auto"/>
            <w:noWrap/>
            <w:vAlign w:val="center"/>
          </w:tcPr>
          <w:p>
            <w:pPr>
              <w:pStyle w:val="39"/>
              <w:rPr>
                <w:rFonts w:ascii="Times New Roman" w:hAnsi="Times New Roman"/>
              </w:rPr>
            </w:pPr>
            <w:r>
              <w:rPr>
                <w:rFonts w:ascii="Times New Roman" w:hAnsi="Times New Roman"/>
              </w:rPr>
              <w:t>0.08</w:t>
            </w:r>
          </w:p>
        </w:tc>
        <w:tc>
          <w:tcPr>
            <w:tcW w:w="714" w:type="pct"/>
            <w:shd w:val="clear" w:color="auto" w:fill="auto"/>
            <w:noWrap/>
            <w:vAlign w:val="center"/>
          </w:tcPr>
          <w:p>
            <w:pPr>
              <w:pStyle w:val="39"/>
              <w:rPr>
                <w:rFonts w:ascii="Times New Roman" w:hAnsi="Times New Roman"/>
              </w:rPr>
            </w:pPr>
            <w:r>
              <w:rPr>
                <w:rFonts w:ascii="Times New Roman" w:hAnsi="Times New Roman"/>
              </w:rPr>
              <w:t>0.021</w:t>
            </w:r>
          </w:p>
        </w:tc>
        <w:tc>
          <w:tcPr>
            <w:tcW w:w="71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8000</w:t>
            </w:r>
          </w:p>
        </w:tc>
        <w:tc>
          <w:tcPr>
            <w:tcW w:w="714" w:type="pct"/>
            <w:shd w:val="clear" w:color="auto" w:fill="auto"/>
            <w:noWrap/>
            <w:vAlign w:val="center"/>
          </w:tcPr>
          <w:p>
            <w:pPr>
              <w:pStyle w:val="39"/>
              <w:rPr>
                <w:rFonts w:ascii="Times New Roman" w:hAnsi="Times New Roman"/>
              </w:rPr>
            </w:pPr>
            <w:r>
              <w:rPr>
                <w:rFonts w:ascii="Times New Roman" w:hAnsi="Times New Roman"/>
              </w:rPr>
              <w:t>0.005</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0.190</w:t>
            </w:r>
          </w:p>
        </w:tc>
        <w:tc>
          <w:tcPr>
            <w:tcW w:w="715" w:type="pct"/>
            <w:shd w:val="clear" w:color="auto" w:fill="auto"/>
            <w:noWrap/>
            <w:vAlign w:val="center"/>
          </w:tcPr>
          <w:p>
            <w:pPr>
              <w:pStyle w:val="39"/>
              <w:rPr>
                <w:rFonts w:ascii="Times New Roman" w:hAnsi="Times New Roman"/>
              </w:rPr>
            </w:pPr>
            <w:r>
              <w:rPr>
                <w:rFonts w:ascii="Times New Roman" w:hAnsi="Times New Roman"/>
              </w:rPr>
              <w:t>0.08</w:t>
            </w:r>
          </w:p>
        </w:tc>
        <w:tc>
          <w:tcPr>
            <w:tcW w:w="714" w:type="pct"/>
            <w:shd w:val="clear" w:color="auto" w:fill="auto"/>
            <w:noWrap/>
            <w:vAlign w:val="center"/>
          </w:tcPr>
          <w:p>
            <w:pPr>
              <w:pStyle w:val="39"/>
              <w:rPr>
                <w:rFonts w:ascii="Times New Roman" w:hAnsi="Times New Roman"/>
              </w:rPr>
            </w:pPr>
            <w:r>
              <w:rPr>
                <w:rFonts w:ascii="Times New Roman" w:hAnsi="Times New Roman"/>
              </w:rPr>
              <w:t>0.019</w:t>
            </w:r>
          </w:p>
        </w:tc>
        <w:tc>
          <w:tcPr>
            <w:tcW w:w="71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9000</w:t>
            </w:r>
          </w:p>
        </w:tc>
        <w:tc>
          <w:tcPr>
            <w:tcW w:w="714" w:type="pct"/>
            <w:shd w:val="clear" w:color="auto" w:fill="auto"/>
            <w:noWrap/>
            <w:vAlign w:val="center"/>
          </w:tcPr>
          <w:p>
            <w:pPr>
              <w:pStyle w:val="39"/>
              <w:rPr>
                <w:rFonts w:ascii="Times New Roman" w:hAnsi="Times New Roman"/>
              </w:rPr>
            </w:pPr>
            <w:r>
              <w:rPr>
                <w:rFonts w:ascii="Times New Roman" w:hAnsi="Times New Roman"/>
              </w:rPr>
              <w:t>0.004</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0.175</w:t>
            </w:r>
          </w:p>
        </w:tc>
        <w:tc>
          <w:tcPr>
            <w:tcW w:w="715" w:type="pct"/>
            <w:shd w:val="clear" w:color="auto" w:fill="auto"/>
            <w:noWrap/>
            <w:vAlign w:val="center"/>
          </w:tcPr>
          <w:p>
            <w:pPr>
              <w:pStyle w:val="39"/>
              <w:rPr>
                <w:rFonts w:ascii="Times New Roman" w:hAnsi="Times New Roman"/>
              </w:rPr>
            </w:pPr>
            <w:r>
              <w:rPr>
                <w:rFonts w:ascii="Times New Roman" w:hAnsi="Times New Roman"/>
              </w:rPr>
              <w:t>0.07</w:t>
            </w:r>
          </w:p>
        </w:tc>
        <w:tc>
          <w:tcPr>
            <w:tcW w:w="714" w:type="pct"/>
            <w:shd w:val="clear" w:color="auto" w:fill="auto"/>
            <w:noWrap/>
            <w:vAlign w:val="center"/>
          </w:tcPr>
          <w:p>
            <w:pPr>
              <w:pStyle w:val="39"/>
              <w:rPr>
                <w:rFonts w:ascii="Times New Roman" w:hAnsi="Times New Roman"/>
              </w:rPr>
            </w:pPr>
            <w:r>
              <w:rPr>
                <w:rFonts w:ascii="Times New Roman" w:hAnsi="Times New Roman"/>
              </w:rPr>
              <w:t>0.018</w:t>
            </w:r>
          </w:p>
        </w:tc>
        <w:tc>
          <w:tcPr>
            <w:tcW w:w="71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10000</w:t>
            </w:r>
          </w:p>
        </w:tc>
        <w:tc>
          <w:tcPr>
            <w:tcW w:w="714" w:type="pct"/>
            <w:shd w:val="clear" w:color="auto" w:fill="auto"/>
            <w:noWrap/>
            <w:vAlign w:val="center"/>
          </w:tcPr>
          <w:p>
            <w:pPr>
              <w:pStyle w:val="39"/>
              <w:rPr>
                <w:rFonts w:ascii="Times New Roman" w:hAnsi="Times New Roman"/>
              </w:rPr>
            </w:pPr>
            <w:r>
              <w:rPr>
                <w:rFonts w:ascii="Times New Roman" w:hAnsi="Times New Roman"/>
              </w:rPr>
              <w:t>0.004</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0.162</w:t>
            </w:r>
          </w:p>
        </w:tc>
        <w:tc>
          <w:tcPr>
            <w:tcW w:w="715" w:type="pct"/>
            <w:shd w:val="clear" w:color="auto" w:fill="auto"/>
            <w:noWrap/>
            <w:vAlign w:val="center"/>
          </w:tcPr>
          <w:p>
            <w:pPr>
              <w:pStyle w:val="39"/>
              <w:rPr>
                <w:rFonts w:ascii="Times New Roman" w:hAnsi="Times New Roman"/>
              </w:rPr>
            </w:pPr>
            <w:r>
              <w:rPr>
                <w:rFonts w:ascii="Times New Roman" w:hAnsi="Times New Roman"/>
              </w:rPr>
              <w:t>0.06</w:t>
            </w:r>
          </w:p>
        </w:tc>
        <w:tc>
          <w:tcPr>
            <w:tcW w:w="714" w:type="pct"/>
            <w:shd w:val="clear" w:color="auto" w:fill="auto"/>
            <w:noWrap/>
            <w:vAlign w:val="center"/>
          </w:tcPr>
          <w:p>
            <w:pPr>
              <w:pStyle w:val="39"/>
              <w:rPr>
                <w:rFonts w:ascii="Times New Roman" w:hAnsi="Times New Roman"/>
              </w:rPr>
            </w:pPr>
            <w:r>
              <w:rPr>
                <w:rFonts w:ascii="Times New Roman" w:hAnsi="Times New Roman"/>
              </w:rPr>
              <w:t>0.016</w:t>
            </w:r>
          </w:p>
        </w:tc>
        <w:tc>
          <w:tcPr>
            <w:tcW w:w="71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11000</w:t>
            </w:r>
          </w:p>
        </w:tc>
        <w:tc>
          <w:tcPr>
            <w:tcW w:w="714" w:type="pct"/>
            <w:shd w:val="clear" w:color="auto" w:fill="auto"/>
            <w:noWrap/>
            <w:vAlign w:val="center"/>
          </w:tcPr>
          <w:p>
            <w:pPr>
              <w:pStyle w:val="39"/>
              <w:rPr>
                <w:rFonts w:ascii="Times New Roman" w:hAnsi="Times New Roman"/>
              </w:rPr>
            </w:pPr>
            <w:r>
              <w:rPr>
                <w:rFonts w:ascii="Times New Roman" w:hAnsi="Times New Roman"/>
              </w:rPr>
              <w:t>0.004</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0.150</w:t>
            </w:r>
          </w:p>
        </w:tc>
        <w:tc>
          <w:tcPr>
            <w:tcW w:w="715" w:type="pct"/>
            <w:shd w:val="clear" w:color="auto" w:fill="auto"/>
            <w:noWrap/>
            <w:vAlign w:val="center"/>
          </w:tcPr>
          <w:p>
            <w:pPr>
              <w:pStyle w:val="39"/>
              <w:rPr>
                <w:rFonts w:ascii="Times New Roman" w:hAnsi="Times New Roman"/>
              </w:rPr>
            </w:pPr>
            <w:r>
              <w:rPr>
                <w:rFonts w:ascii="Times New Roman" w:hAnsi="Times New Roman"/>
              </w:rPr>
              <w:t>0.06</w:t>
            </w:r>
          </w:p>
        </w:tc>
        <w:tc>
          <w:tcPr>
            <w:tcW w:w="714" w:type="pct"/>
            <w:shd w:val="clear" w:color="auto" w:fill="auto"/>
            <w:noWrap/>
            <w:vAlign w:val="center"/>
          </w:tcPr>
          <w:p>
            <w:pPr>
              <w:pStyle w:val="39"/>
              <w:rPr>
                <w:rFonts w:ascii="Times New Roman" w:hAnsi="Times New Roman"/>
              </w:rPr>
            </w:pPr>
            <w:r>
              <w:rPr>
                <w:rFonts w:ascii="Times New Roman" w:hAnsi="Times New Roman"/>
              </w:rPr>
              <w:t>0.015</w:t>
            </w:r>
          </w:p>
        </w:tc>
        <w:tc>
          <w:tcPr>
            <w:tcW w:w="71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12000</w:t>
            </w:r>
          </w:p>
        </w:tc>
        <w:tc>
          <w:tcPr>
            <w:tcW w:w="714" w:type="pct"/>
            <w:shd w:val="clear" w:color="auto" w:fill="auto"/>
            <w:noWrap/>
            <w:vAlign w:val="center"/>
          </w:tcPr>
          <w:p>
            <w:pPr>
              <w:pStyle w:val="39"/>
              <w:rPr>
                <w:rFonts w:ascii="Times New Roman" w:hAnsi="Times New Roman"/>
              </w:rPr>
            </w:pPr>
            <w:r>
              <w:rPr>
                <w:rFonts w:ascii="Times New Roman" w:hAnsi="Times New Roman"/>
              </w:rPr>
              <w:t>0.004</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0.140</w:t>
            </w:r>
          </w:p>
        </w:tc>
        <w:tc>
          <w:tcPr>
            <w:tcW w:w="715" w:type="pct"/>
            <w:shd w:val="clear" w:color="auto" w:fill="auto"/>
            <w:noWrap/>
            <w:vAlign w:val="center"/>
          </w:tcPr>
          <w:p>
            <w:pPr>
              <w:pStyle w:val="39"/>
              <w:rPr>
                <w:rFonts w:ascii="Times New Roman" w:hAnsi="Times New Roman"/>
              </w:rPr>
            </w:pPr>
            <w:r>
              <w:rPr>
                <w:rFonts w:ascii="Times New Roman" w:hAnsi="Times New Roman"/>
              </w:rPr>
              <w:t>0.06</w:t>
            </w:r>
          </w:p>
        </w:tc>
        <w:tc>
          <w:tcPr>
            <w:tcW w:w="714" w:type="pct"/>
            <w:shd w:val="clear" w:color="auto" w:fill="auto"/>
            <w:noWrap/>
            <w:vAlign w:val="center"/>
          </w:tcPr>
          <w:p>
            <w:pPr>
              <w:pStyle w:val="39"/>
              <w:rPr>
                <w:rFonts w:ascii="Times New Roman" w:hAnsi="Times New Roman"/>
              </w:rPr>
            </w:pPr>
            <w:r>
              <w:rPr>
                <w:rFonts w:ascii="Times New Roman" w:hAnsi="Times New Roman"/>
              </w:rPr>
              <w:t>0.014</w:t>
            </w:r>
          </w:p>
        </w:tc>
        <w:tc>
          <w:tcPr>
            <w:tcW w:w="71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13000</w:t>
            </w:r>
          </w:p>
        </w:tc>
        <w:tc>
          <w:tcPr>
            <w:tcW w:w="714" w:type="pct"/>
            <w:shd w:val="clear" w:color="auto" w:fill="auto"/>
            <w:noWrap/>
            <w:vAlign w:val="center"/>
          </w:tcPr>
          <w:p>
            <w:pPr>
              <w:pStyle w:val="39"/>
              <w:rPr>
                <w:rFonts w:ascii="Times New Roman" w:hAnsi="Times New Roman"/>
              </w:rPr>
            </w:pPr>
            <w:r>
              <w:rPr>
                <w:rFonts w:ascii="Times New Roman" w:hAnsi="Times New Roman"/>
              </w:rPr>
              <w:t>0.003</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0.132</w:t>
            </w:r>
          </w:p>
        </w:tc>
        <w:tc>
          <w:tcPr>
            <w:tcW w:w="715" w:type="pct"/>
            <w:shd w:val="clear" w:color="auto" w:fill="auto"/>
            <w:noWrap/>
            <w:vAlign w:val="center"/>
          </w:tcPr>
          <w:p>
            <w:pPr>
              <w:pStyle w:val="39"/>
              <w:rPr>
                <w:rFonts w:ascii="Times New Roman" w:hAnsi="Times New Roman"/>
              </w:rPr>
            </w:pPr>
            <w:r>
              <w:rPr>
                <w:rFonts w:ascii="Times New Roman" w:hAnsi="Times New Roman"/>
              </w:rPr>
              <w:t>0.05</w:t>
            </w:r>
          </w:p>
        </w:tc>
        <w:tc>
          <w:tcPr>
            <w:tcW w:w="714" w:type="pct"/>
            <w:shd w:val="clear" w:color="auto" w:fill="auto"/>
            <w:noWrap/>
            <w:vAlign w:val="center"/>
          </w:tcPr>
          <w:p>
            <w:pPr>
              <w:pStyle w:val="39"/>
              <w:rPr>
                <w:rFonts w:ascii="Times New Roman" w:hAnsi="Times New Roman"/>
              </w:rPr>
            </w:pPr>
            <w:r>
              <w:rPr>
                <w:rFonts w:ascii="Times New Roman" w:hAnsi="Times New Roman"/>
              </w:rPr>
              <w:t>0.013</w:t>
            </w:r>
          </w:p>
        </w:tc>
        <w:tc>
          <w:tcPr>
            <w:tcW w:w="71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14000</w:t>
            </w:r>
          </w:p>
        </w:tc>
        <w:tc>
          <w:tcPr>
            <w:tcW w:w="714" w:type="pct"/>
            <w:shd w:val="clear" w:color="auto" w:fill="auto"/>
            <w:noWrap/>
            <w:vAlign w:val="center"/>
          </w:tcPr>
          <w:p>
            <w:pPr>
              <w:pStyle w:val="39"/>
              <w:rPr>
                <w:rFonts w:ascii="Times New Roman" w:hAnsi="Times New Roman"/>
              </w:rPr>
            </w:pPr>
            <w:r>
              <w:rPr>
                <w:rFonts w:ascii="Times New Roman" w:hAnsi="Times New Roman"/>
              </w:rPr>
              <w:t>0.003</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0.124</w:t>
            </w:r>
          </w:p>
        </w:tc>
        <w:tc>
          <w:tcPr>
            <w:tcW w:w="715" w:type="pct"/>
            <w:shd w:val="clear" w:color="auto" w:fill="auto"/>
            <w:noWrap/>
            <w:vAlign w:val="center"/>
          </w:tcPr>
          <w:p>
            <w:pPr>
              <w:pStyle w:val="39"/>
              <w:rPr>
                <w:rFonts w:ascii="Times New Roman" w:hAnsi="Times New Roman"/>
              </w:rPr>
            </w:pPr>
            <w:r>
              <w:rPr>
                <w:rFonts w:ascii="Times New Roman" w:hAnsi="Times New Roman"/>
              </w:rPr>
              <w:t>0.05</w:t>
            </w:r>
          </w:p>
        </w:tc>
        <w:tc>
          <w:tcPr>
            <w:tcW w:w="714" w:type="pct"/>
            <w:shd w:val="clear" w:color="auto" w:fill="auto"/>
            <w:noWrap/>
            <w:vAlign w:val="center"/>
          </w:tcPr>
          <w:p>
            <w:pPr>
              <w:pStyle w:val="39"/>
              <w:rPr>
                <w:rFonts w:ascii="Times New Roman" w:hAnsi="Times New Roman"/>
              </w:rPr>
            </w:pPr>
            <w:r>
              <w:rPr>
                <w:rFonts w:ascii="Times New Roman" w:hAnsi="Times New Roman"/>
              </w:rPr>
              <w:t>0.012</w:t>
            </w:r>
          </w:p>
        </w:tc>
        <w:tc>
          <w:tcPr>
            <w:tcW w:w="71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15000</w:t>
            </w:r>
          </w:p>
        </w:tc>
        <w:tc>
          <w:tcPr>
            <w:tcW w:w="714" w:type="pct"/>
            <w:shd w:val="clear" w:color="auto" w:fill="auto"/>
            <w:noWrap/>
            <w:vAlign w:val="center"/>
          </w:tcPr>
          <w:p>
            <w:pPr>
              <w:pStyle w:val="39"/>
              <w:rPr>
                <w:rFonts w:ascii="Times New Roman" w:hAnsi="Times New Roman"/>
              </w:rPr>
            </w:pPr>
            <w:r>
              <w:rPr>
                <w:rFonts w:ascii="Times New Roman" w:hAnsi="Times New Roman"/>
              </w:rPr>
              <w:t>0.003</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0.117</w:t>
            </w:r>
          </w:p>
        </w:tc>
        <w:tc>
          <w:tcPr>
            <w:tcW w:w="715" w:type="pct"/>
            <w:shd w:val="clear" w:color="auto" w:fill="auto"/>
            <w:noWrap/>
            <w:vAlign w:val="center"/>
          </w:tcPr>
          <w:p>
            <w:pPr>
              <w:pStyle w:val="39"/>
              <w:rPr>
                <w:rFonts w:ascii="Times New Roman" w:hAnsi="Times New Roman"/>
              </w:rPr>
            </w:pPr>
            <w:r>
              <w:rPr>
                <w:rFonts w:ascii="Times New Roman" w:hAnsi="Times New Roman"/>
              </w:rPr>
              <w:t>0.05</w:t>
            </w:r>
          </w:p>
        </w:tc>
        <w:tc>
          <w:tcPr>
            <w:tcW w:w="714" w:type="pct"/>
            <w:shd w:val="clear" w:color="auto" w:fill="auto"/>
            <w:noWrap/>
            <w:vAlign w:val="center"/>
          </w:tcPr>
          <w:p>
            <w:pPr>
              <w:pStyle w:val="39"/>
              <w:rPr>
                <w:rFonts w:ascii="Times New Roman" w:hAnsi="Times New Roman"/>
              </w:rPr>
            </w:pPr>
            <w:r>
              <w:rPr>
                <w:rFonts w:ascii="Times New Roman" w:hAnsi="Times New Roman"/>
              </w:rPr>
              <w:t>0.012</w:t>
            </w:r>
          </w:p>
        </w:tc>
        <w:tc>
          <w:tcPr>
            <w:tcW w:w="71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20000</w:t>
            </w:r>
          </w:p>
        </w:tc>
        <w:tc>
          <w:tcPr>
            <w:tcW w:w="714" w:type="pct"/>
            <w:shd w:val="clear" w:color="auto" w:fill="auto"/>
            <w:noWrap/>
            <w:vAlign w:val="center"/>
          </w:tcPr>
          <w:p>
            <w:pPr>
              <w:pStyle w:val="39"/>
              <w:rPr>
                <w:rFonts w:ascii="Times New Roman" w:hAnsi="Times New Roman"/>
              </w:rPr>
            </w:pPr>
            <w:r>
              <w:rPr>
                <w:rFonts w:ascii="Times New Roman" w:hAnsi="Times New Roman"/>
              </w:rPr>
              <w:t>0.002</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0.090</w:t>
            </w:r>
          </w:p>
        </w:tc>
        <w:tc>
          <w:tcPr>
            <w:tcW w:w="715" w:type="pct"/>
            <w:shd w:val="clear" w:color="auto" w:fill="auto"/>
            <w:noWrap/>
            <w:vAlign w:val="center"/>
          </w:tcPr>
          <w:p>
            <w:pPr>
              <w:pStyle w:val="39"/>
              <w:rPr>
                <w:rFonts w:ascii="Times New Roman" w:hAnsi="Times New Roman"/>
              </w:rPr>
            </w:pPr>
            <w:r>
              <w:rPr>
                <w:rFonts w:ascii="Times New Roman" w:hAnsi="Times New Roman"/>
              </w:rPr>
              <w:t>0.04</w:t>
            </w:r>
          </w:p>
        </w:tc>
        <w:tc>
          <w:tcPr>
            <w:tcW w:w="714" w:type="pct"/>
            <w:shd w:val="clear" w:color="auto" w:fill="auto"/>
            <w:noWrap/>
            <w:vAlign w:val="center"/>
          </w:tcPr>
          <w:p>
            <w:pPr>
              <w:pStyle w:val="39"/>
              <w:rPr>
                <w:rFonts w:ascii="Times New Roman" w:hAnsi="Times New Roman"/>
              </w:rPr>
            </w:pPr>
            <w:r>
              <w:rPr>
                <w:rFonts w:ascii="Times New Roman" w:hAnsi="Times New Roman"/>
              </w:rPr>
              <w:t>0.009</w:t>
            </w:r>
          </w:p>
        </w:tc>
        <w:tc>
          <w:tcPr>
            <w:tcW w:w="714"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14" w:type="pct"/>
            <w:shd w:val="clear" w:color="auto" w:fill="auto"/>
            <w:vAlign w:val="center"/>
          </w:tcPr>
          <w:p>
            <w:pPr>
              <w:pStyle w:val="39"/>
              <w:rPr>
                <w:rFonts w:ascii="Times New Roman" w:hAnsi="Times New Roman"/>
              </w:rPr>
            </w:pPr>
            <w:r>
              <w:rPr>
                <w:rFonts w:ascii="Times New Roman" w:hAnsi="Times New Roman"/>
              </w:rPr>
              <w:t>25000</w:t>
            </w:r>
          </w:p>
        </w:tc>
        <w:tc>
          <w:tcPr>
            <w:tcW w:w="714" w:type="pct"/>
            <w:shd w:val="clear" w:color="auto" w:fill="auto"/>
            <w:noWrap/>
            <w:vAlign w:val="center"/>
          </w:tcPr>
          <w:p>
            <w:pPr>
              <w:pStyle w:val="39"/>
              <w:rPr>
                <w:rFonts w:ascii="Times New Roman" w:hAnsi="Times New Roman"/>
              </w:rPr>
            </w:pPr>
            <w:r>
              <w:rPr>
                <w:rFonts w:ascii="Times New Roman" w:hAnsi="Times New Roman"/>
              </w:rPr>
              <w:t>0.002</w:t>
            </w:r>
          </w:p>
        </w:tc>
        <w:tc>
          <w:tcPr>
            <w:tcW w:w="715" w:type="pct"/>
            <w:shd w:val="clear" w:color="auto" w:fill="auto"/>
            <w:noWrap/>
            <w:vAlign w:val="center"/>
          </w:tcPr>
          <w:p>
            <w:pPr>
              <w:pStyle w:val="39"/>
              <w:rPr>
                <w:rFonts w:ascii="Times New Roman" w:hAnsi="Times New Roman"/>
              </w:rPr>
            </w:pPr>
            <w:r>
              <w:rPr>
                <w:rFonts w:ascii="Times New Roman" w:hAnsi="Times New Roman"/>
              </w:rPr>
              <w:t>0.00</w:t>
            </w:r>
          </w:p>
        </w:tc>
        <w:tc>
          <w:tcPr>
            <w:tcW w:w="714" w:type="pct"/>
            <w:shd w:val="clear" w:color="auto" w:fill="auto"/>
            <w:noWrap/>
            <w:vAlign w:val="center"/>
          </w:tcPr>
          <w:p>
            <w:pPr>
              <w:pStyle w:val="39"/>
              <w:rPr>
                <w:rFonts w:ascii="Times New Roman" w:hAnsi="Times New Roman"/>
              </w:rPr>
            </w:pPr>
            <w:r>
              <w:rPr>
                <w:rFonts w:ascii="Times New Roman" w:hAnsi="Times New Roman"/>
              </w:rPr>
              <w:t>0.073</w:t>
            </w:r>
          </w:p>
        </w:tc>
        <w:tc>
          <w:tcPr>
            <w:tcW w:w="715" w:type="pct"/>
            <w:shd w:val="clear" w:color="auto" w:fill="auto"/>
            <w:noWrap/>
            <w:vAlign w:val="center"/>
          </w:tcPr>
          <w:p>
            <w:pPr>
              <w:pStyle w:val="39"/>
              <w:rPr>
                <w:rFonts w:ascii="Times New Roman" w:hAnsi="Times New Roman"/>
              </w:rPr>
            </w:pPr>
            <w:r>
              <w:rPr>
                <w:rFonts w:ascii="Times New Roman" w:hAnsi="Times New Roman"/>
              </w:rPr>
              <w:t>0.03</w:t>
            </w:r>
          </w:p>
        </w:tc>
        <w:tc>
          <w:tcPr>
            <w:tcW w:w="714" w:type="pct"/>
            <w:shd w:val="clear" w:color="auto" w:fill="auto"/>
            <w:noWrap/>
            <w:vAlign w:val="center"/>
          </w:tcPr>
          <w:p>
            <w:pPr>
              <w:pStyle w:val="39"/>
              <w:rPr>
                <w:rFonts w:ascii="Times New Roman" w:hAnsi="Times New Roman"/>
              </w:rPr>
            </w:pPr>
            <w:r>
              <w:rPr>
                <w:rFonts w:ascii="Times New Roman" w:hAnsi="Times New Roman"/>
              </w:rPr>
              <w:t>0.007</w:t>
            </w:r>
          </w:p>
        </w:tc>
        <w:tc>
          <w:tcPr>
            <w:tcW w:w="714" w:type="pct"/>
            <w:shd w:val="clear" w:color="auto" w:fill="auto"/>
            <w:noWrap/>
            <w:vAlign w:val="center"/>
          </w:tcPr>
          <w:p>
            <w:pPr>
              <w:pStyle w:val="39"/>
              <w:rPr>
                <w:rFonts w:ascii="Times New Roman" w:hAnsi="Times New Roman"/>
              </w:rPr>
            </w:pPr>
            <w:r>
              <w:rPr>
                <w:rFonts w:ascii="Times New Roman" w:hAnsi="Times New Roman"/>
              </w:rPr>
              <w:t>0.00</w:t>
            </w:r>
          </w:p>
        </w:tc>
      </w:tr>
    </w:tbl>
    <w:p>
      <w:pPr>
        <w:pStyle w:val="37"/>
        <w:rPr>
          <w:rFonts w:ascii="Times New Roman" w:hAnsi="Times New Roman" w:cs="Times New Roman"/>
        </w:rPr>
      </w:pPr>
      <w:bookmarkStart w:id="205" w:name="_Ref15623150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bookmarkEnd w:id="205"/>
      <w:r>
        <w:rPr>
          <w:rFonts w:ascii="Times New Roman" w:hAnsi="Times New Roman" w:cs="Times New Roman"/>
        </w:rPr>
        <w:t xml:space="preserve">  宣探1井站及宣兴1井站无组织面源下风向最大落地浓度及占标率</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7"/>
        <w:gridCol w:w="948"/>
        <w:gridCol w:w="948"/>
        <w:gridCol w:w="948"/>
        <w:gridCol w:w="949"/>
        <w:gridCol w:w="948"/>
        <w:gridCol w:w="949"/>
        <w:gridCol w:w="948"/>
        <w:gridCol w:w="9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vMerge w:val="restart"/>
            <w:shd w:val="clear" w:color="000000" w:fill="FFFFFF"/>
            <w:vAlign w:val="center"/>
          </w:tcPr>
          <w:p>
            <w:pPr>
              <w:pStyle w:val="39"/>
              <w:rPr>
                <w:rFonts w:ascii="Times New Roman" w:hAnsi="Times New Roman"/>
              </w:rPr>
            </w:pPr>
            <w:r>
              <w:rPr>
                <w:rFonts w:ascii="Times New Roman" w:hAnsi="Times New Roman"/>
              </w:rPr>
              <w:t>距离(m)</w:t>
            </w:r>
          </w:p>
        </w:tc>
        <w:tc>
          <w:tcPr>
            <w:tcW w:w="2224" w:type="pct"/>
            <w:gridSpan w:val="4"/>
            <w:shd w:val="clear" w:color="auto" w:fill="auto"/>
            <w:vAlign w:val="bottom"/>
          </w:tcPr>
          <w:p>
            <w:pPr>
              <w:pStyle w:val="39"/>
              <w:rPr>
                <w:rFonts w:ascii="Times New Roman" w:hAnsi="Times New Roman"/>
              </w:rPr>
            </w:pPr>
            <w:r>
              <w:rPr>
                <w:rFonts w:ascii="Times New Roman" w:hAnsi="Times New Roman"/>
              </w:rPr>
              <w:t>宣探</w:t>
            </w:r>
          </w:p>
        </w:tc>
        <w:tc>
          <w:tcPr>
            <w:tcW w:w="2220" w:type="pct"/>
            <w:gridSpan w:val="4"/>
            <w:shd w:val="clear" w:color="auto" w:fill="auto"/>
            <w:vAlign w:val="bottom"/>
          </w:tcPr>
          <w:p>
            <w:pPr>
              <w:pStyle w:val="39"/>
              <w:rPr>
                <w:rFonts w:ascii="Times New Roman" w:hAnsi="Times New Roman"/>
              </w:rPr>
            </w:pPr>
            <w:r>
              <w:rPr>
                <w:rFonts w:ascii="Times New Roman" w:hAnsi="Times New Roman"/>
              </w:rPr>
              <w:t>宣兴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vMerge w:val="continue"/>
            <w:vAlign w:val="center"/>
          </w:tcPr>
          <w:p>
            <w:pPr>
              <w:pStyle w:val="39"/>
              <w:rPr>
                <w:rFonts w:ascii="Times New Roman" w:hAnsi="Times New Roman"/>
              </w:rPr>
            </w:pPr>
          </w:p>
        </w:tc>
        <w:tc>
          <w:tcPr>
            <w:tcW w:w="1111" w:type="pct"/>
            <w:gridSpan w:val="2"/>
            <w:shd w:val="clear" w:color="auto" w:fill="auto"/>
            <w:vAlign w:val="bottom"/>
          </w:tcPr>
          <w:p>
            <w:pPr>
              <w:pStyle w:val="39"/>
              <w:rPr>
                <w:rFonts w:ascii="Times New Roman" w:hAnsi="Times New Roman"/>
              </w:rPr>
            </w:pPr>
            <w:r>
              <w:rPr>
                <w:rFonts w:ascii="Times New Roman" w:hAnsi="Times New Roman"/>
              </w:rPr>
              <w:t>污染物H</w:t>
            </w:r>
            <w:r>
              <w:rPr>
                <w:rFonts w:ascii="Times New Roman" w:hAnsi="Times New Roman"/>
                <w:vertAlign w:val="subscript"/>
              </w:rPr>
              <w:t>2</w:t>
            </w:r>
            <w:r>
              <w:rPr>
                <w:rFonts w:ascii="Times New Roman" w:hAnsi="Times New Roman"/>
              </w:rPr>
              <w:t>S</w:t>
            </w:r>
          </w:p>
        </w:tc>
        <w:tc>
          <w:tcPr>
            <w:tcW w:w="1113" w:type="pct"/>
            <w:gridSpan w:val="2"/>
            <w:shd w:val="clear" w:color="auto" w:fill="auto"/>
            <w:vAlign w:val="bottom"/>
          </w:tcPr>
          <w:p>
            <w:pPr>
              <w:pStyle w:val="39"/>
              <w:rPr>
                <w:rFonts w:ascii="Times New Roman" w:hAnsi="Times New Roman"/>
              </w:rPr>
            </w:pPr>
            <w:r>
              <w:rPr>
                <w:rFonts w:ascii="Times New Roman" w:hAnsi="Times New Roman"/>
              </w:rPr>
              <w:t>污染物NMHC</w:t>
            </w:r>
          </w:p>
        </w:tc>
        <w:tc>
          <w:tcPr>
            <w:tcW w:w="1113" w:type="pct"/>
            <w:gridSpan w:val="2"/>
            <w:shd w:val="clear" w:color="auto" w:fill="auto"/>
            <w:vAlign w:val="bottom"/>
          </w:tcPr>
          <w:p>
            <w:pPr>
              <w:pStyle w:val="39"/>
              <w:rPr>
                <w:rFonts w:ascii="Times New Roman" w:hAnsi="Times New Roman"/>
              </w:rPr>
            </w:pPr>
            <w:r>
              <w:rPr>
                <w:rFonts w:ascii="Times New Roman" w:hAnsi="Times New Roman"/>
              </w:rPr>
              <w:t>污染物H</w:t>
            </w:r>
            <w:r>
              <w:rPr>
                <w:rFonts w:ascii="Times New Roman" w:hAnsi="Times New Roman"/>
                <w:vertAlign w:val="subscript"/>
              </w:rPr>
              <w:t>2</w:t>
            </w:r>
            <w:r>
              <w:rPr>
                <w:rFonts w:ascii="Times New Roman" w:hAnsi="Times New Roman"/>
              </w:rPr>
              <w:t>S</w:t>
            </w:r>
          </w:p>
        </w:tc>
        <w:tc>
          <w:tcPr>
            <w:tcW w:w="1107" w:type="pct"/>
            <w:gridSpan w:val="2"/>
            <w:shd w:val="clear" w:color="auto" w:fill="auto"/>
            <w:vAlign w:val="bottom"/>
          </w:tcPr>
          <w:p>
            <w:pPr>
              <w:pStyle w:val="39"/>
              <w:rPr>
                <w:rFonts w:ascii="Times New Roman" w:hAnsi="Times New Roman"/>
              </w:rPr>
            </w:pPr>
            <w:r>
              <w:rPr>
                <w:rFonts w:ascii="Times New Roman" w:hAnsi="Times New Roman"/>
              </w:rPr>
              <w:t>污染物NMHC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556" w:type="pct"/>
            <w:vMerge w:val="continue"/>
            <w:vAlign w:val="center"/>
          </w:tcPr>
          <w:p>
            <w:pPr>
              <w:pStyle w:val="39"/>
              <w:rPr>
                <w:rFonts w:ascii="Times New Roman" w:hAnsi="Times New Roman"/>
              </w:rPr>
            </w:pPr>
          </w:p>
        </w:tc>
        <w:tc>
          <w:tcPr>
            <w:tcW w:w="556" w:type="pct"/>
            <w:shd w:val="clear" w:color="000000" w:fill="FFFFFF"/>
            <w:vAlign w:val="center"/>
          </w:tcPr>
          <w:p>
            <w:pPr>
              <w:pStyle w:val="39"/>
              <w:rPr>
                <w:rFonts w:ascii="Times New Roman" w:hAnsi="Times New Roman"/>
              </w:rPr>
            </w:pPr>
            <w:r>
              <w:rPr>
                <w:rFonts w:ascii="Times New Roman" w:hAnsi="Times New Roman"/>
              </w:rPr>
              <w:t>浓度(μg/m</w:t>
            </w:r>
            <w:r>
              <w:rPr>
                <w:rFonts w:ascii="Times New Roman" w:hAnsi="Times New Roman"/>
                <w:vertAlign w:val="superscript"/>
              </w:rPr>
              <w:t>3</w:t>
            </w:r>
            <w:r>
              <w:rPr>
                <w:rFonts w:ascii="Times New Roman" w:hAnsi="Times New Roman"/>
              </w:rPr>
              <w:t>)</w:t>
            </w:r>
          </w:p>
        </w:tc>
        <w:tc>
          <w:tcPr>
            <w:tcW w:w="556" w:type="pct"/>
            <w:shd w:val="clear" w:color="000000" w:fill="FFFFFF"/>
            <w:vAlign w:val="center"/>
          </w:tcPr>
          <w:p>
            <w:pPr>
              <w:pStyle w:val="39"/>
              <w:rPr>
                <w:rFonts w:ascii="Times New Roman" w:hAnsi="Times New Roman"/>
              </w:rPr>
            </w:pPr>
            <w:r>
              <w:rPr>
                <w:rFonts w:ascii="Times New Roman" w:hAnsi="Times New Roman"/>
              </w:rPr>
              <w:t>占标率(%)</w:t>
            </w:r>
          </w:p>
        </w:tc>
        <w:tc>
          <w:tcPr>
            <w:tcW w:w="556" w:type="pct"/>
            <w:shd w:val="clear" w:color="000000" w:fill="FFFFFF"/>
            <w:vAlign w:val="center"/>
          </w:tcPr>
          <w:p>
            <w:pPr>
              <w:pStyle w:val="39"/>
              <w:rPr>
                <w:rFonts w:ascii="Times New Roman" w:hAnsi="Times New Roman"/>
              </w:rPr>
            </w:pPr>
            <w:r>
              <w:rPr>
                <w:rFonts w:ascii="Times New Roman" w:hAnsi="Times New Roman"/>
              </w:rPr>
              <w:t>浓度(μg/m</w:t>
            </w:r>
            <w:r>
              <w:rPr>
                <w:rFonts w:ascii="Times New Roman" w:hAnsi="Times New Roman"/>
                <w:vertAlign w:val="superscript"/>
              </w:rPr>
              <w:t>3</w:t>
            </w:r>
            <w:r>
              <w:rPr>
                <w:rFonts w:ascii="Times New Roman" w:hAnsi="Times New Roman"/>
              </w:rPr>
              <w:t>)</w:t>
            </w:r>
          </w:p>
        </w:tc>
        <w:tc>
          <w:tcPr>
            <w:tcW w:w="556" w:type="pct"/>
            <w:shd w:val="clear" w:color="000000" w:fill="FFFFFF"/>
            <w:vAlign w:val="center"/>
          </w:tcPr>
          <w:p>
            <w:pPr>
              <w:pStyle w:val="39"/>
              <w:rPr>
                <w:rFonts w:ascii="Times New Roman" w:hAnsi="Times New Roman"/>
              </w:rPr>
            </w:pPr>
            <w:r>
              <w:rPr>
                <w:rFonts w:ascii="Times New Roman" w:hAnsi="Times New Roman"/>
              </w:rPr>
              <w:t>占标率(%)</w:t>
            </w:r>
          </w:p>
        </w:tc>
        <w:tc>
          <w:tcPr>
            <w:tcW w:w="556" w:type="pct"/>
            <w:shd w:val="clear" w:color="000000" w:fill="FFFFFF"/>
            <w:vAlign w:val="center"/>
          </w:tcPr>
          <w:p>
            <w:pPr>
              <w:pStyle w:val="39"/>
              <w:rPr>
                <w:rFonts w:ascii="Times New Roman" w:hAnsi="Times New Roman"/>
              </w:rPr>
            </w:pPr>
            <w:r>
              <w:rPr>
                <w:rFonts w:ascii="Times New Roman" w:hAnsi="Times New Roman"/>
              </w:rPr>
              <w:t>浓度(μg/m</w:t>
            </w:r>
            <w:r>
              <w:rPr>
                <w:rFonts w:ascii="Times New Roman" w:hAnsi="Times New Roman"/>
                <w:vertAlign w:val="superscript"/>
              </w:rPr>
              <w:t>3</w:t>
            </w:r>
            <w:r>
              <w:rPr>
                <w:rFonts w:ascii="Times New Roman" w:hAnsi="Times New Roman"/>
              </w:rPr>
              <w:t>)</w:t>
            </w:r>
          </w:p>
        </w:tc>
        <w:tc>
          <w:tcPr>
            <w:tcW w:w="557" w:type="pct"/>
            <w:shd w:val="clear" w:color="000000" w:fill="FFFFFF"/>
            <w:vAlign w:val="center"/>
          </w:tcPr>
          <w:p>
            <w:pPr>
              <w:pStyle w:val="39"/>
              <w:rPr>
                <w:rFonts w:ascii="Times New Roman" w:hAnsi="Times New Roman"/>
              </w:rPr>
            </w:pPr>
            <w:r>
              <w:rPr>
                <w:rFonts w:ascii="Times New Roman" w:hAnsi="Times New Roman"/>
              </w:rPr>
              <w:t>占标率(%)</w:t>
            </w:r>
          </w:p>
        </w:tc>
        <w:tc>
          <w:tcPr>
            <w:tcW w:w="556" w:type="pct"/>
            <w:shd w:val="clear" w:color="000000" w:fill="FFFFFF"/>
            <w:vAlign w:val="center"/>
          </w:tcPr>
          <w:p>
            <w:pPr>
              <w:pStyle w:val="39"/>
              <w:rPr>
                <w:rFonts w:ascii="Times New Roman" w:hAnsi="Times New Roman"/>
              </w:rPr>
            </w:pPr>
            <w:r>
              <w:rPr>
                <w:rFonts w:ascii="Times New Roman" w:hAnsi="Times New Roman"/>
              </w:rPr>
              <w:t>浓度(μg/m</w:t>
            </w:r>
            <w:r>
              <w:rPr>
                <w:rFonts w:ascii="Times New Roman" w:hAnsi="Times New Roman"/>
                <w:vertAlign w:val="superscript"/>
              </w:rPr>
              <w:t>3</w:t>
            </w:r>
            <w:r>
              <w:rPr>
                <w:rFonts w:ascii="Times New Roman" w:hAnsi="Times New Roman"/>
              </w:rPr>
              <w:t>)</w:t>
            </w:r>
          </w:p>
        </w:tc>
        <w:tc>
          <w:tcPr>
            <w:tcW w:w="551" w:type="pct"/>
            <w:shd w:val="clear" w:color="000000" w:fill="FFFFFF"/>
            <w:vAlign w:val="center"/>
          </w:tcPr>
          <w:p>
            <w:pPr>
              <w:pStyle w:val="39"/>
              <w:rPr>
                <w:rFonts w:ascii="Times New Roman" w:hAnsi="Times New Roman"/>
              </w:rPr>
            </w:pPr>
            <w:r>
              <w:rPr>
                <w:rFonts w:ascii="Times New Roman" w:hAnsi="Times New Roman"/>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10</w:t>
            </w:r>
          </w:p>
        </w:tc>
        <w:tc>
          <w:tcPr>
            <w:tcW w:w="556" w:type="pct"/>
            <w:shd w:val="clear" w:color="auto" w:fill="auto"/>
            <w:noWrap/>
            <w:vAlign w:val="center"/>
          </w:tcPr>
          <w:p>
            <w:pPr>
              <w:pStyle w:val="39"/>
              <w:rPr>
                <w:rFonts w:ascii="Times New Roman" w:hAnsi="Times New Roman"/>
              </w:rPr>
            </w:pPr>
            <w:r>
              <w:rPr>
                <w:rFonts w:ascii="Times New Roman" w:hAnsi="Times New Roman"/>
              </w:rPr>
              <w:t>0.171</w:t>
            </w:r>
          </w:p>
        </w:tc>
        <w:tc>
          <w:tcPr>
            <w:tcW w:w="556" w:type="pct"/>
            <w:shd w:val="clear" w:color="auto" w:fill="auto"/>
            <w:noWrap/>
            <w:vAlign w:val="center"/>
          </w:tcPr>
          <w:p>
            <w:pPr>
              <w:pStyle w:val="39"/>
              <w:rPr>
                <w:rFonts w:ascii="Times New Roman" w:hAnsi="Times New Roman"/>
              </w:rPr>
            </w:pPr>
            <w:r>
              <w:rPr>
                <w:rFonts w:ascii="Times New Roman" w:hAnsi="Times New Roman"/>
              </w:rPr>
              <w:t>1.71</w:t>
            </w:r>
          </w:p>
        </w:tc>
        <w:tc>
          <w:tcPr>
            <w:tcW w:w="556" w:type="pct"/>
            <w:shd w:val="clear" w:color="auto" w:fill="auto"/>
            <w:noWrap/>
            <w:vAlign w:val="center"/>
          </w:tcPr>
          <w:p>
            <w:pPr>
              <w:pStyle w:val="39"/>
              <w:rPr>
                <w:rFonts w:ascii="Times New Roman" w:hAnsi="Times New Roman"/>
              </w:rPr>
            </w:pPr>
            <w:r>
              <w:rPr>
                <w:rFonts w:ascii="Times New Roman" w:hAnsi="Times New Roman"/>
              </w:rPr>
              <w:t>1.282</w:t>
            </w:r>
          </w:p>
        </w:tc>
        <w:tc>
          <w:tcPr>
            <w:tcW w:w="556" w:type="pct"/>
            <w:shd w:val="clear" w:color="auto" w:fill="auto"/>
            <w:noWrap/>
            <w:vAlign w:val="center"/>
          </w:tcPr>
          <w:p>
            <w:pPr>
              <w:pStyle w:val="39"/>
              <w:rPr>
                <w:rFonts w:ascii="Times New Roman" w:hAnsi="Times New Roman"/>
              </w:rPr>
            </w:pPr>
            <w:r>
              <w:rPr>
                <w:rFonts w:ascii="Times New Roman" w:hAnsi="Times New Roman"/>
              </w:rPr>
              <w:t>0.06</w:t>
            </w:r>
          </w:p>
        </w:tc>
        <w:tc>
          <w:tcPr>
            <w:tcW w:w="556" w:type="pct"/>
            <w:shd w:val="clear" w:color="auto" w:fill="auto"/>
            <w:noWrap/>
            <w:vAlign w:val="center"/>
          </w:tcPr>
          <w:p>
            <w:pPr>
              <w:pStyle w:val="39"/>
              <w:rPr>
                <w:rFonts w:ascii="Times New Roman" w:hAnsi="Times New Roman"/>
              </w:rPr>
            </w:pPr>
            <w:r>
              <w:rPr>
                <w:rFonts w:ascii="Times New Roman" w:hAnsi="Times New Roman"/>
              </w:rPr>
              <w:t>0.740</w:t>
            </w:r>
          </w:p>
        </w:tc>
        <w:tc>
          <w:tcPr>
            <w:tcW w:w="557" w:type="pct"/>
            <w:shd w:val="clear" w:color="auto" w:fill="auto"/>
            <w:noWrap/>
            <w:vAlign w:val="center"/>
          </w:tcPr>
          <w:p>
            <w:pPr>
              <w:pStyle w:val="39"/>
              <w:rPr>
                <w:rFonts w:ascii="Times New Roman" w:hAnsi="Times New Roman"/>
              </w:rPr>
            </w:pPr>
            <w:r>
              <w:rPr>
                <w:rFonts w:ascii="Times New Roman" w:hAnsi="Times New Roman"/>
              </w:rPr>
              <w:t>7.40</w:t>
            </w:r>
          </w:p>
        </w:tc>
        <w:tc>
          <w:tcPr>
            <w:tcW w:w="556" w:type="pct"/>
            <w:shd w:val="clear" w:color="auto" w:fill="auto"/>
            <w:noWrap/>
            <w:vAlign w:val="center"/>
          </w:tcPr>
          <w:p>
            <w:pPr>
              <w:pStyle w:val="39"/>
              <w:rPr>
                <w:rFonts w:ascii="Times New Roman" w:hAnsi="Times New Roman"/>
              </w:rPr>
            </w:pPr>
            <w:r>
              <w:rPr>
                <w:rFonts w:ascii="Times New Roman" w:hAnsi="Times New Roman"/>
              </w:rPr>
              <w:t>3.327</w:t>
            </w:r>
          </w:p>
        </w:tc>
        <w:tc>
          <w:tcPr>
            <w:tcW w:w="551" w:type="pct"/>
            <w:shd w:val="clear" w:color="auto" w:fill="auto"/>
            <w:noWrap/>
            <w:vAlign w:val="center"/>
          </w:tcPr>
          <w:p>
            <w:pPr>
              <w:pStyle w:val="39"/>
              <w:rPr>
                <w:rFonts w:ascii="Times New Roman" w:hAnsi="Times New Roman"/>
              </w:rPr>
            </w:pPr>
            <w:r>
              <w:rPr>
                <w:rFonts w:ascii="Times New Roman" w:hAnsi="Times New Roman"/>
              </w:rPr>
              <w:t>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25</w:t>
            </w:r>
          </w:p>
        </w:tc>
        <w:tc>
          <w:tcPr>
            <w:tcW w:w="556" w:type="pct"/>
            <w:shd w:val="clear" w:color="auto" w:fill="auto"/>
            <w:noWrap/>
            <w:vAlign w:val="center"/>
          </w:tcPr>
          <w:p>
            <w:pPr>
              <w:pStyle w:val="39"/>
              <w:rPr>
                <w:rFonts w:ascii="Times New Roman" w:hAnsi="Times New Roman"/>
              </w:rPr>
            </w:pPr>
            <w:r>
              <w:rPr>
                <w:rFonts w:ascii="Times New Roman" w:hAnsi="Times New Roman"/>
              </w:rPr>
              <w:t>0.174</w:t>
            </w:r>
          </w:p>
        </w:tc>
        <w:tc>
          <w:tcPr>
            <w:tcW w:w="556" w:type="pct"/>
            <w:shd w:val="clear" w:color="auto" w:fill="auto"/>
            <w:noWrap/>
            <w:vAlign w:val="center"/>
          </w:tcPr>
          <w:p>
            <w:pPr>
              <w:pStyle w:val="39"/>
              <w:rPr>
                <w:rFonts w:ascii="Times New Roman" w:hAnsi="Times New Roman"/>
              </w:rPr>
            </w:pPr>
            <w:r>
              <w:rPr>
                <w:rFonts w:ascii="Times New Roman" w:hAnsi="Times New Roman"/>
              </w:rPr>
              <w:t>1.74</w:t>
            </w:r>
          </w:p>
        </w:tc>
        <w:tc>
          <w:tcPr>
            <w:tcW w:w="556" w:type="pct"/>
            <w:shd w:val="clear" w:color="auto" w:fill="auto"/>
            <w:noWrap/>
            <w:vAlign w:val="center"/>
          </w:tcPr>
          <w:p>
            <w:pPr>
              <w:pStyle w:val="39"/>
              <w:rPr>
                <w:rFonts w:ascii="Times New Roman" w:hAnsi="Times New Roman"/>
              </w:rPr>
            </w:pPr>
            <w:r>
              <w:rPr>
                <w:rFonts w:ascii="Times New Roman" w:hAnsi="Times New Roman"/>
              </w:rPr>
              <w:t>1.302</w:t>
            </w:r>
          </w:p>
        </w:tc>
        <w:tc>
          <w:tcPr>
            <w:tcW w:w="556" w:type="pct"/>
            <w:shd w:val="clear" w:color="auto" w:fill="auto"/>
            <w:noWrap/>
            <w:vAlign w:val="center"/>
          </w:tcPr>
          <w:p>
            <w:pPr>
              <w:pStyle w:val="39"/>
              <w:rPr>
                <w:rFonts w:ascii="Times New Roman" w:hAnsi="Times New Roman"/>
              </w:rPr>
            </w:pPr>
            <w:r>
              <w:rPr>
                <w:rFonts w:ascii="Times New Roman" w:hAnsi="Times New Roman"/>
              </w:rPr>
              <w:t>0.07</w:t>
            </w:r>
          </w:p>
        </w:tc>
        <w:tc>
          <w:tcPr>
            <w:tcW w:w="556" w:type="pct"/>
            <w:shd w:val="clear" w:color="auto" w:fill="auto"/>
            <w:noWrap/>
            <w:vAlign w:val="center"/>
          </w:tcPr>
          <w:p>
            <w:pPr>
              <w:pStyle w:val="39"/>
              <w:rPr>
                <w:rFonts w:ascii="Times New Roman" w:hAnsi="Times New Roman"/>
              </w:rPr>
            </w:pPr>
            <w:r>
              <w:rPr>
                <w:rFonts w:ascii="Times New Roman" w:hAnsi="Times New Roman"/>
              </w:rPr>
              <w:t>0.752</w:t>
            </w:r>
          </w:p>
        </w:tc>
        <w:tc>
          <w:tcPr>
            <w:tcW w:w="557" w:type="pct"/>
            <w:shd w:val="clear" w:color="auto" w:fill="auto"/>
            <w:noWrap/>
            <w:vAlign w:val="center"/>
          </w:tcPr>
          <w:p>
            <w:pPr>
              <w:pStyle w:val="39"/>
              <w:rPr>
                <w:rFonts w:ascii="Times New Roman" w:hAnsi="Times New Roman"/>
              </w:rPr>
            </w:pPr>
            <w:r>
              <w:rPr>
                <w:rFonts w:ascii="Times New Roman" w:hAnsi="Times New Roman"/>
              </w:rPr>
              <w:t>7.52</w:t>
            </w:r>
          </w:p>
        </w:tc>
        <w:tc>
          <w:tcPr>
            <w:tcW w:w="556" w:type="pct"/>
            <w:shd w:val="clear" w:color="auto" w:fill="auto"/>
            <w:noWrap/>
            <w:vAlign w:val="center"/>
          </w:tcPr>
          <w:p>
            <w:pPr>
              <w:pStyle w:val="39"/>
              <w:rPr>
                <w:rFonts w:ascii="Times New Roman" w:hAnsi="Times New Roman"/>
              </w:rPr>
            </w:pPr>
            <w:r>
              <w:rPr>
                <w:rFonts w:ascii="Times New Roman" w:hAnsi="Times New Roman"/>
              </w:rPr>
              <w:t>3.379</w:t>
            </w:r>
          </w:p>
        </w:tc>
        <w:tc>
          <w:tcPr>
            <w:tcW w:w="551" w:type="pct"/>
            <w:shd w:val="clear" w:color="auto" w:fill="auto"/>
            <w:noWrap/>
            <w:vAlign w:val="center"/>
          </w:tcPr>
          <w:p>
            <w:pPr>
              <w:pStyle w:val="39"/>
              <w:rPr>
                <w:rFonts w:ascii="Times New Roman" w:hAnsi="Times New Roman"/>
              </w:rPr>
            </w:pPr>
            <w:r>
              <w:rPr>
                <w:rFonts w:ascii="Times New Roman" w:hAnsi="Times New Roman"/>
              </w:rPr>
              <w:t>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50</w:t>
            </w:r>
          </w:p>
        </w:tc>
        <w:tc>
          <w:tcPr>
            <w:tcW w:w="556" w:type="pct"/>
            <w:shd w:val="clear" w:color="auto" w:fill="auto"/>
            <w:noWrap/>
            <w:vAlign w:val="center"/>
          </w:tcPr>
          <w:p>
            <w:pPr>
              <w:pStyle w:val="39"/>
              <w:rPr>
                <w:rFonts w:ascii="Times New Roman" w:hAnsi="Times New Roman"/>
              </w:rPr>
            </w:pPr>
            <w:r>
              <w:rPr>
                <w:rFonts w:ascii="Times New Roman" w:hAnsi="Times New Roman"/>
              </w:rPr>
              <w:t>0.181</w:t>
            </w:r>
          </w:p>
        </w:tc>
        <w:tc>
          <w:tcPr>
            <w:tcW w:w="556" w:type="pct"/>
            <w:shd w:val="clear" w:color="auto" w:fill="auto"/>
            <w:noWrap/>
            <w:vAlign w:val="center"/>
          </w:tcPr>
          <w:p>
            <w:pPr>
              <w:pStyle w:val="39"/>
              <w:rPr>
                <w:rFonts w:ascii="Times New Roman" w:hAnsi="Times New Roman"/>
              </w:rPr>
            </w:pPr>
            <w:r>
              <w:rPr>
                <w:rFonts w:ascii="Times New Roman" w:hAnsi="Times New Roman"/>
              </w:rPr>
              <w:t>1.81</w:t>
            </w:r>
          </w:p>
        </w:tc>
        <w:tc>
          <w:tcPr>
            <w:tcW w:w="556" w:type="pct"/>
            <w:shd w:val="clear" w:color="auto" w:fill="auto"/>
            <w:noWrap/>
            <w:vAlign w:val="center"/>
          </w:tcPr>
          <w:p>
            <w:pPr>
              <w:pStyle w:val="39"/>
              <w:rPr>
                <w:rFonts w:ascii="Times New Roman" w:hAnsi="Times New Roman"/>
              </w:rPr>
            </w:pPr>
            <w:r>
              <w:rPr>
                <w:rFonts w:ascii="Times New Roman" w:hAnsi="Times New Roman"/>
              </w:rPr>
              <w:t>1.359</w:t>
            </w:r>
          </w:p>
        </w:tc>
        <w:tc>
          <w:tcPr>
            <w:tcW w:w="556" w:type="pct"/>
            <w:shd w:val="clear" w:color="auto" w:fill="auto"/>
            <w:noWrap/>
            <w:vAlign w:val="center"/>
          </w:tcPr>
          <w:p>
            <w:pPr>
              <w:pStyle w:val="39"/>
              <w:rPr>
                <w:rFonts w:ascii="Times New Roman" w:hAnsi="Times New Roman"/>
              </w:rPr>
            </w:pPr>
            <w:r>
              <w:rPr>
                <w:rFonts w:ascii="Times New Roman" w:hAnsi="Times New Roman"/>
              </w:rPr>
              <w:t>0.07</w:t>
            </w:r>
          </w:p>
        </w:tc>
        <w:tc>
          <w:tcPr>
            <w:tcW w:w="556" w:type="pct"/>
            <w:shd w:val="clear" w:color="auto" w:fill="auto"/>
            <w:noWrap/>
            <w:vAlign w:val="center"/>
          </w:tcPr>
          <w:p>
            <w:pPr>
              <w:pStyle w:val="39"/>
              <w:rPr>
                <w:rFonts w:ascii="Times New Roman" w:hAnsi="Times New Roman"/>
              </w:rPr>
            </w:pPr>
            <w:r>
              <w:rPr>
                <w:rFonts w:ascii="Times New Roman" w:hAnsi="Times New Roman"/>
              </w:rPr>
              <w:t>0.785</w:t>
            </w:r>
          </w:p>
        </w:tc>
        <w:tc>
          <w:tcPr>
            <w:tcW w:w="557" w:type="pct"/>
            <w:shd w:val="clear" w:color="auto" w:fill="auto"/>
            <w:noWrap/>
            <w:vAlign w:val="center"/>
          </w:tcPr>
          <w:p>
            <w:pPr>
              <w:pStyle w:val="39"/>
              <w:rPr>
                <w:rFonts w:ascii="Times New Roman" w:hAnsi="Times New Roman"/>
              </w:rPr>
            </w:pPr>
            <w:r>
              <w:rPr>
                <w:rFonts w:ascii="Times New Roman" w:hAnsi="Times New Roman"/>
              </w:rPr>
              <w:t>7.85</w:t>
            </w:r>
          </w:p>
        </w:tc>
        <w:tc>
          <w:tcPr>
            <w:tcW w:w="556" w:type="pct"/>
            <w:shd w:val="clear" w:color="auto" w:fill="auto"/>
            <w:noWrap/>
            <w:vAlign w:val="center"/>
          </w:tcPr>
          <w:p>
            <w:pPr>
              <w:pStyle w:val="39"/>
              <w:rPr>
                <w:rFonts w:ascii="Times New Roman" w:hAnsi="Times New Roman"/>
              </w:rPr>
            </w:pPr>
            <w:r>
              <w:rPr>
                <w:rFonts w:ascii="Times New Roman" w:hAnsi="Times New Roman"/>
              </w:rPr>
              <w:t>3.527</w:t>
            </w:r>
          </w:p>
        </w:tc>
        <w:tc>
          <w:tcPr>
            <w:tcW w:w="551" w:type="pct"/>
            <w:shd w:val="clear" w:color="auto" w:fill="auto"/>
            <w:noWrap/>
            <w:vAlign w:val="center"/>
          </w:tcPr>
          <w:p>
            <w:pPr>
              <w:pStyle w:val="39"/>
              <w:rPr>
                <w:rFonts w:ascii="Times New Roman" w:hAnsi="Times New Roman"/>
              </w:rPr>
            </w:pPr>
            <w:r>
              <w:rPr>
                <w:rFonts w:ascii="Times New Roman" w:hAnsi="Times New Roman"/>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75</w:t>
            </w:r>
          </w:p>
        </w:tc>
        <w:tc>
          <w:tcPr>
            <w:tcW w:w="556" w:type="pct"/>
            <w:shd w:val="clear" w:color="auto" w:fill="auto"/>
            <w:noWrap/>
            <w:vAlign w:val="center"/>
          </w:tcPr>
          <w:p>
            <w:pPr>
              <w:pStyle w:val="39"/>
              <w:rPr>
                <w:rFonts w:ascii="Times New Roman" w:hAnsi="Times New Roman"/>
              </w:rPr>
            </w:pPr>
            <w:r>
              <w:rPr>
                <w:rFonts w:ascii="Times New Roman" w:hAnsi="Times New Roman"/>
              </w:rPr>
              <w:t>0.188</w:t>
            </w:r>
          </w:p>
        </w:tc>
        <w:tc>
          <w:tcPr>
            <w:tcW w:w="556" w:type="pct"/>
            <w:shd w:val="clear" w:color="auto" w:fill="auto"/>
            <w:noWrap/>
            <w:vAlign w:val="center"/>
          </w:tcPr>
          <w:p>
            <w:pPr>
              <w:pStyle w:val="39"/>
              <w:rPr>
                <w:rFonts w:ascii="Times New Roman" w:hAnsi="Times New Roman"/>
              </w:rPr>
            </w:pPr>
            <w:r>
              <w:rPr>
                <w:rFonts w:ascii="Times New Roman" w:hAnsi="Times New Roman"/>
              </w:rPr>
              <w:t>1.88</w:t>
            </w:r>
          </w:p>
        </w:tc>
        <w:tc>
          <w:tcPr>
            <w:tcW w:w="556" w:type="pct"/>
            <w:shd w:val="clear" w:color="auto" w:fill="auto"/>
            <w:noWrap/>
            <w:vAlign w:val="center"/>
          </w:tcPr>
          <w:p>
            <w:pPr>
              <w:pStyle w:val="39"/>
              <w:rPr>
                <w:rFonts w:ascii="Times New Roman" w:hAnsi="Times New Roman"/>
              </w:rPr>
            </w:pPr>
            <w:r>
              <w:rPr>
                <w:rFonts w:ascii="Times New Roman" w:hAnsi="Times New Roman"/>
              </w:rPr>
              <w:t>1.412</w:t>
            </w:r>
          </w:p>
        </w:tc>
        <w:tc>
          <w:tcPr>
            <w:tcW w:w="556" w:type="pct"/>
            <w:shd w:val="clear" w:color="auto" w:fill="auto"/>
            <w:noWrap/>
            <w:vAlign w:val="center"/>
          </w:tcPr>
          <w:p>
            <w:pPr>
              <w:pStyle w:val="39"/>
              <w:rPr>
                <w:rFonts w:ascii="Times New Roman" w:hAnsi="Times New Roman"/>
              </w:rPr>
            </w:pPr>
            <w:r>
              <w:rPr>
                <w:rFonts w:ascii="Times New Roman" w:hAnsi="Times New Roman"/>
              </w:rPr>
              <w:t>0.07</w:t>
            </w:r>
          </w:p>
        </w:tc>
        <w:tc>
          <w:tcPr>
            <w:tcW w:w="556" w:type="pct"/>
            <w:shd w:val="clear" w:color="auto" w:fill="auto"/>
            <w:noWrap/>
            <w:vAlign w:val="center"/>
          </w:tcPr>
          <w:p>
            <w:pPr>
              <w:pStyle w:val="39"/>
              <w:rPr>
                <w:rFonts w:ascii="Times New Roman" w:hAnsi="Times New Roman"/>
              </w:rPr>
            </w:pPr>
            <w:r>
              <w:rPr>
                <w:rFonts w:ascii="Times New Roman" w:hAnsi="Times New Roman"/>
              </w:rPr>
              <w:t>0.816</w:t>
            </w:r>
          </w:p>
        </w:tc>
        <w:tc>
          <w:tcPr>
            <w:tcW w:w="557" w:type="pct"/>
            <w:shd w:val="clear" w:color="auto" w:fill="auto"/>
            <w:noWrap/>
            <w:vAlign w:val="center"/>
          </w:tcPr>
          <w:p>
            <w:pPr>
              <w:pStyle w:val="39"/>
              <w:rPr>
                <w:rFonts w:ascii="Times New Roman" w:hAnsi="Times New Roman"/>
              </w:rPr>
            </w:pPr>
            <w:r>
              <w:rPr>
                <w:rFonts w:ascii="Times New Roman" w:hAnsi="Times New Roman"/>
              </w:rPr>
              <w:t>8.16</w:t>
            </w:r>
          </w:p>
        </w:tc>
        <w:tc>
          <w:tcPr>
            <w:tcW w:w="556" w:type="pct"/>
            <w:shd w:val="clear" w:color="auto" w:fill="auto"/>
            <w:noWrap/>
            <w:vAlign w:val="center"/>
          </w:tcPr>
          <w:p>
            <w:pPr>
              <w:pStyle w:val="39"/>
              <w:rPr>
                <w:rFonts w:ascii="Times New Roman" w:hAnsi="Times New Roman"/>
              </w:rPr>
            </w:pPr>
            <w:r>
              <w:rPr>
                <w:rFonts w:ascii="Times New Roman" w:hAnsi="Times New Roman"/>
              </w:rPr>
              <w:t>3.665</w:t>
            </w:r>
          </w:p>
        </w:tc>
        <w:tc>
          <w:tcPr>
            <w:tcW w:w="551" w:type="pct"/>
            <w:shd w:val="clear" w:color="auto" w:fill="auto"/>
            <w:noWrap/>
            <w:vAlign w:val="center"/>
          </w:tcPr>
          <w:p>
            <w:pPr>
              <w:pStyle w:val="39"/>
              <w:rPr>
                <w:rFonts w:ascii="Times New Roman" w:hAnsi="Times New Roman"/>
              </w:rPr>
            </w:pPr>
            <w:r>
              <w:rPr>
                <w:rFonts w:ascii="Times New Roman" w:hAnsi="Times New Roman"/>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100</w:t>
            </w:r>
          </w:p>
        </w:tc>
        <w:tc>
          <w:tcPr>
            <w:tcW w:w="556" w:type="pct"/>
            <w:shd w:val="clear" w:color="auto" w:fill="auto"/>
            <w:noWrap/>
            <w:vAlign w:val="center"/>
          </w:tcPr>
          <w:p>
            <w:pPr>
              <w:pStyle w:val="39"/>
              <w:rPr>
                <w:rFonts w:ascii="Times New Roman" w:hAnsi="Times New Roman"/>
              </w:rPr>
            </w:pPr>
            <w:r>
              <w:rPr>
                <w:rFonts w:ascii="Times New Roman" w:hAnsi="Times New Roman"/>
              </w:rPr>
              <w:t>0.195</w:t>
            </w:r>
          </w:p>
        </w:tc>
        <w:tc>
          <w:tcPr>
            <w:tcW w:w="556" w:type="pct"/>
            <w:shd w:val="clear" w:color="auto" w:fill="auto"/>
            <w:noWrap/>
            <w:vAlign w:val="center"/>
          </w:tcPr>
          <w:p>
            <w:pPr>
              <w:pStyle w:val="39"/>
              <w:rPr>
                <w:rFonts w:ascii="Times New Roman" w:hAnsi="Times New Roman"/>
              </w:rPr>
            </w:pPr>
            <w:r>
              <w:rPr>
                <w:rFonts w:ascii="Times New Roman" w:hAnsi="Times New Roman"/>
              </w:rPr>
              <w:t>1.95</w:t>
            </w:r>
          </w:p>
        </w:tc>
        <w:tc>
          <w:tcPr>
            <w:tcW w:w="556" w:type="pct"/>
            <w:shd w:val="clear" w:color="auto" w:fill="auto"/>
            <w:noWrap/>
            <w:vAlign w:val="center"/>
          </w:tcPr>
          <w:p>
            <w:pPr>
              <w:pStyle w:val="39"/>
              <w:rPr>
                <w:rFonts w:ascii="Times New Roman" w:hAnsi="Times New Roman"/>
              </w:rPr>
            </w:pPr>
            <w:r>
              <w:rPr>
                <w:rFonts w:ascii="Times New Roman" w:hAnsi="Times New Roman"/>
              </w:rPr>
              <w:t>1.461</w:t>
            </w:r>
          </w:p>
        </w:tc>
        <w:tc>
          <w:tcPr>
            <w:tcW w:w="556" w:type="pct"/>
            <w:shd w:val="clear" w:color="auto" w:fill="auto"/>
            <w:noWrap/>
            <w:vAlign w:val="center"/>
          </w:tcPr>
          <w:p>
            <w:pPr>
              <w:pStyle w:val="39"/>
              <w:rPr>
                <w:rFonts w:ascii="Times New Roman" w:hAnsi="Times New Roman"/>
              </w:rPr>
            </w:pPr>
            <w:r>
              <w:rPr>
                <w:rFonts w:ascii="Times New Roman" w:hAnsi="Times New Roman"/>
              </w:rPr>
              <w:t>0.07</w:t>
            </w:r>
          </w:p>
        </w:tc>
        <w:tc>
          <w:tcPr>
            <w:tcW w:w="556" w:type="pct"/>
            <w:shd w:val="clear" w:color="auto" w:fill="auto"/>
            <w:noWrap/>
            <w:vAlign w:val="center"/>
          </w:tcPr>
          <w:p>
            <w:pPr>
              <w:pStyle w:val="39"/>
              <w:rPr>
                <w:rFonts w:ascii="Times New Roman" w:hAnsi="Times New Roman"/>
              </w:rPr>
            </w:pPr>
            <w:r>
              <w:rPr>
                <w:rFonts w:ascii="Times New Roman" w:hAnsi="Times New Roman"/>
              </w:rPr>
              <w:t>0.844</w:t>
            </w:r>
          </w:p>
        </w:tc>
        <w:tc>
          <w:tcPr>
            <w:tcW w:w="557" w:type="pct"/>
            <w:shd w:val="clear" w:color="auto" w:fill="auto"/>
            <w:noWrap/>
            <w:vAlign w:val="center"/>
          </w:tcPr>
          <w:p>
            <w:pPr>
              <w:pStyle w:val="39"/>
              <w:rPr>
                <w:rFonts w:ascii="Times New Roman" w:hAnsi="Times New Roman"/>
              </w:rPr>
            </w:pPr>
            <w:r>
              <w:rPr>
                <w:rFonts w:ascii="Times New Roman" w:hAnsi="Times New Roman"/>
              </w:rPr>
              <w:t>8.44</w:t>
            </w:r>
          </w:p>
        </w:tc>
        <w:tc>
          <w:tcPr>
            <w:tcW w:w="556" w:type="pct"/>
            <w:shd w:val="clear" w:color="auto" w:fill="auto"/>
            <w:noWrap/>
            <w:vAlign w:val="center"/>
          </w:tcPr>
          <w:p>
            <w:pPr>
              <w:pStyle w:val="39"/>
              <w:rPr>
                <w:rFonts w:ascii="Times New Roman" w:hAnsi="Times New Roman"/>
              </w:rPr>
            </w:pPr>
            <w:r>
              <w:rPr>
                <w:rFonts w:ascii="Times New Roman" w:hAnsi="Times New Roman"/>
              </w:rPr>
              <w:t>3.792</w:t>
            </w:r>
          </w:p>
        </w:tc>
        <w:tc>
          <w:tcPr>
            <w:tcW w:w="551" w:type="pct"/>
            <w:shd w:val="clear" w:color="auto" w:fill="auto"/>
            <w:noWrap/>
            <w:vAlign w:val="center"/>
          </w:tcPr>
          <w:p>
            <w:pPr>
              <w:pStyle w:val="39"/>
              <w:rPr>
                <w:rFonts w:ascii="Times New Roman" w:hAnsi="Times New Roman"/>
              </w:rPr>
            </w:pPr>
            <w:r>
              <w:rPr>
                <w:rFonts w:ascii="Times New Roman" w:hAnsi="Times New Roman"/>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125</w:t>
            </w:r>
          </w:p>
        </w:tc>
        <w:tc>
          <w:tcPr>
            <w:tcW w:w="556" w:type="pct"/>
            <w:shd w:val="clear" w:color="auto" w:fill="auto"/>
            <w:noWrap/>
            <w:vAlign w:val="center"/>
          </w:tcPr>
          <w:p>
            <w:pPr>
              <w:pStyle w:val="39"/>
              <w:rPr>
                <w:rFonts w:ascii="Times New Roman" w:hAnsi="Times New Roman"/>
              </w:rPr>
            </w:pPr>
            <w:r>
              <w:rPr>
                <w:rFonts w:ascii="Times New Roman" w:hAnsi="Times New Roman"/>
              </w:rPr>
              <w:t>0.201</w:t>
            </w:r>
          </w:p>
        </w:tc>
        <w:tc>
          <w:tcPr>
            <w:tcW w:w="556" w:type="pct"/>
            <w:shd w:val="clear" w:color="auto" w:fill="auto"/>
            <w:noWrap/>
            <w:vAlign w:val="center"/>
          </w:tcPr>
          <w:p>
            <w:pPr>
              <w:pStyle w:val="39"/>
              <w:rPr>
                <w:rFonts w:ascii="Times New Roman" w:hAnsi="Times New Roman"/>
              </w:rPr>
            </w:pPr>
            <w:r>
              <w:rPr>
                <w:rFonts w:ascii="Times New Roman" w:hAnsi="Times New Roman"/>
              </w:rPr>
              <w:t>2.01</w:t>
            </w:r>
          </w:p>
        </w:tc>
        <w:tc>
          <w:tcPr>
            <w:tcW w:w="556" w:type="pct"/>
            <w:shd w:val="clear" w:color="auto" w:fill="auto"/>
            <w:noWrap/>
            <w:vAlign w:val="center"/>
          </w:tcPr>
          <w:p>
            <w:pPr>
              <w:pStyle w:val="39"/>
              <w:rPr>
                <w:rFonts w:ascii="Times New Roman" w:hAnsi="Times New Roman"/>
              </w:rPr>
            </w:pPr>
            <w:r>
              <w:rPr>
                <w:rFonts w:ascii="Times New Roman" w:hAnsi="Times New Roman"/>
              </w:rPr>
              <w:t>1.507</w:t>
            </w:r>
          </w:p>
        </w:tc>
        <w:tc>
          <w:tcPr>
            <w:tcW w:w="556" w:type="pct"/>
            <w:shd w:val="clear" w:color="auto" w:fill="auto"/>
            <w:noWrap/>
            <w:vAlign w:val="center"/>
          </w:tcPr>
          <w:p>
            <w:pPr>
              <w:pStyle w:val="39"/>
              <w:rPr>
                <w:rFonts w:ascii="Times New Roman" w:hAnsi="Times New Roman"/>
              </w:rPr>
            </w:pPr>
            <w:r>
              <w:rPr>
                <w:rFonts w:ascii="Times New Roman" w:hAnsi="Times New Roman"/>
              </w:rPr>
              <w:t>0.08</w:t>
            </w:r>
          </w:p>
        </w:tc>
        <w:tc>
          <w:tcPr>
            <w:tcW w:w="556" w:type="pct"/>
            <w:shd w:val="clear" w:color="auto" w:fill="auto"/>
            <w:noWrap/>
            <w:vAlign w:val="center"/>
          </w:tcPr>
          <w:p>
            <w:pPr>
              <w:pStyle w:val="39"/>
              <w:rPr>
                <w:rFonts w:ascii="Times New Roman" w:hAnsi="Times New Roman"/>
              </w:rPr>
            </w:pPr>
            <w:r>
              <w:rPr>
                <w:rFonts w:ascii="Times New Roman" w:hAnsi="Times New Roman"/>
              </w:rPr>
              <w:t>0.871</w:t>
            </w:r>
          </w:p>
        </w:tc>
        <w:tc>
          <w:tcPr>
            <w:tcW w:w="557" w:type="pct"/>
            <w:shd w:val="clear" w:color="auto" w:fill="auto"/>
            <w:noWrap/>
            <w:vAlign w:val="center"/>
          </w:tcPr>
          <w:p>
            <w:pPr>
              <w:pStyle w:val="39"/>
              <w:rPr>
                <w:rFonts w:ascii="Times New Roman" w:hAnsi="Times New Roman"/>
              </w:rPr>
            </w:pPr>
            <w:r>
              <w:rPr>
                <w:rFonts w:ascii="Times New Roman" w:hAnsi="Times New Roman"/>
              </w:rPr>
              <w:t>8.71</w:t>
            </w:r>
          </w:p>
        </w:tc>
        <w:tc>
          <w:tcPr>
            <w:tcW w:w="556" w:type="pct"/>
            <w:shd w:val="clear" w:color="auto" w:fill="auto"/>
            <w:noWrap/>
            <w:vAlign w:val="center"/>
          </w:tcPr>
          <w:p>
            <w:pPr>
              <w:pStyle w:val="39"/>
              <w:rPr>
                <w:rFonts w:ascii="Times New Roman" w:hAnsi="Times New Roman"/>
              </w:rPr>
            </w:pPr>
            <w:r>
              <w:rPr>
                <w:rFonts w:ascii="Times New Roman" w:hAnsi="Times New Roman"/>
              </w:rPr>
              <w:t>3.911</w:t>
            </w:r>
          </w:p>
        </w:tc>
        <w:tc>
          <w:tcPr>
            <w:tcW w:w="551" w:type="pct"/>
            <w:shd w:val="clear" w:color="auto" w:fill="auto"/>
            <w:noWrap/>
            <w:vAlign w:val="center"/>
          </w:tcPr>
          <w:p>
            <w:pPr>
              <w:pStyle w:val="39"/>
              <w:rPr>
                <w:rFonts w:ascii="Times New Roman" w:hAnsi="Times New Roman"/>
              </w:rPr>
            </w:pPr>
            <w:r>
              <w:rPr>
                <w:rFonts w:ascii="Times New Roman" w:hAnsi="Times New Roman"/>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b/>
                <w:bCs/>
              </w:rPr>
            </w:pPr>
            <w:r>
              <w:rPr>
                <w:rFonts w:ascii="Times New Roman" w:hAnsi="Times New Roman"/>
                <w:b/>
                <w:bCs/>
              </w:rPr>
              <w:t>143</w:t>
            </w:r>
          </w:p>
        </w:tc>
        <w:tc>
          <w:tcPr>
            <w:tcW w:w="556" w:type="pct"/>
            <w:shd w:val="clear" w:color="auto" w:fill="auto"/>
            <w:noWrap/>
            <w:vAlign w:val="center"/>
          </w:tcPr>
          <w:p>
            <w:pPr>
              <w:pStyle w:val="39"/>
              <w:rPr>
                <w:rFonts w:ascii="Times New Roman" w:hAnsi="Times New Roman"/>
                <w:b/>
                <w:bCs/>
              </w:rPr>
            </w:pPr>
            <w:r>
              <w:rPr>
                <w:rFonts w:ascii="Times New Roman" w:hAnsi="Times New Roman"/>
                <w:b/>
                <w:bCs/>
              </w:rPr>
              <w:t>0.205</w:t>
            </w:r>
          </w:p>
        </w:tc>
        <w:tc>
          <w:tcPr>
            <w:tcW w:w="556" w:type="pct"/>
            <w:shd w:val="clear" w:color="auto" w:fill="auto"/>
            <w:noWrap/>
            <w:vAlign w:val="center"/>
          </w:tcPr>
          <w:p>
            <w:pPr>
              <w:pStyle w:val="39"/>
              <w:rPr>
                <w:rFonts w:ascii="Times New Roman" w:hAnsi="Times New Roman"/>
                <w:b/>
                <w:bCs/>
              </w:rPr>
            </w:pPr>
            <w:r>
              <w:rPr>
                <w:rFonts w:ascii="Times New Roman" w:hAnsi="Times New Roman"/>
                <w:b/>
                <w:bCs/>
              </w:rPr>
              <w:t>2.05</w:t>
            </w:r>
          </w:p>
        </w:tc>
        <w:tc>
          <w:tcPr>
            <w:tcW w:w="556" w:type="pct"/>
            <w:shd w:val="clear" w:color="auto" w:fill="auto"/>
            <w:noWrap/>
            <w:vAlign w:val="center"/>
          </w:tcPr>
          <w:p>
            <w:pPr>
              <w:pStyle w:val="39"/>
              <w:rPr>
                <w:rFonts w:ascii="Times New Roman" w:hAnsi="Times New Roman"/>
                <w:b/>
                <w:bCs/>
              </w:rPr>
            </w:pPr>
            <w:r>
              <w:rPr>
                <w:rFonts w:ascii="Times New Roman" w:hAnsi="Times New Roman"/>
                <w:b/>
                <w:bCs/>
              </w:rPr>
              <w:t>1.538</w:t>
            </w:r>
          </w:p>
        </w:tc>
        <w:tc>
          <w:tcPr>
            <w:tcW w:w="556" w:type="pct"/>
            <w:shd w:val="clear" w:color="auto" w:fill="auto"/>
            <w:noWrap/>
            <w:vAlign w:val="center"/>
          </w:tcPr>
          <w:p>
            <w:pPr>
              <w:pStyle w:val="39"/>
              <w:rPr>
                <w:rFonts w:ascii="Times New Roman" w:hAnsi="Times New Roman"/>
                <w:b/>
                <w:bCs/>
              </w:rPr>
            </w:pPr>
            <w:r>
              <w:rPr>
                <w:rFonts w:ascii="Times New Roman" w:hAnsi="Times New Roman"/>
                <w:b/>
                <w:bCs/>
              </w:rPr>
              <w:t>0.08</w:t>
            </w:r>
          </w:p>
        </w:tc>
        <w:tc>
          <w:tcPr>
            <w:tcW w:w="556" w:type="pct"/>
            <w:shd w:val="clear" w:color="auto" w:fill="auto"/>
            <w:noWrap/>
            <w:vAlign w:val="center"/>
          </w:tcPr>
          <w:p>
            <w:pPr>
              <w:pStyle w:val="39"/>
              <w:rPr>
                <w:rFonts w:ascii="Times New Roman" w:hAnsi="Times New Roman"/>
                <w:b/>
                <w:bCs/>
              </w:rPr>
            </w:pPr>
            <w:r>
              <w:rPr>
                <w:rFonts w:ascii="Times New Roman" w:hAnsi="Times New Roman"/>
                <w:b/>
                <w:bCs/>
              </w:rPr>
              <w:t>0.888</w:t>
            </w:r>
          </w:p>
        </w:tc>
        <w:tc>
          <w:tcPr>
            <w:tcW w:w="557" w:type="pct"/>
            <w:shd w:val="clear" w:color="auto" w:fill="auto"/>
            <w:noWrap/>
            <w:vAlign w:val="center"/>
          </w:tcPr>
          <w:p>
            <w:pPr>
              <w:pStyle w:val="39"/>
              <w:rPr>
                <w:rFonts w:ascii="Times New Roman" w:hAnsi="Times New Roman"/>
                <w:b/>
                <w:bCs/>
              </w:rPr>
            </w:pPr>
            <w:r>
              <w:rPr>
                <w:rFonts w:ascii="Times New Roman" w:hAnsi="Times New Roman"/>
                <w:b/>
                <w:bCs/>
              </w:rPr>
              <w:t>8.88</w:t>
            </w:r>
          </w:p>
        </w:tc>
        <w:tc>
          <w:tcPr>
            <w:tcW w:w="556" w:type="pct"/>
            <w:shd w:val="clear" w:color="auto" w:fill="auto"/>
            <w:noWrap/>
            <w:vAlign w:val="center"/>
          </w:tcPr>
          <w:p>
            <w:pPr>
              <w:pStyle w:val="39"/>
              <w:rPr>
                <w:rFonts w:ascii="Times New Roman" w:hAnsi="Times New Roman"/>
                <w:b/>
                <w:bCs/>
              </w:rPr>
            </w:pPr>
            <w:r>
              <w:rPr>
                <w:rFonts w:ascii="Times New Roman" w:hAnsi="Times New Roman"/>
                <w:b/>
                <w:bCs/>
              </w:rPr>
              <w:t>3.991</w:t>
            </w:r>
          </w:p>
        </w:tc>
        <w:tc>
          <w:tcPr>
            <w:tcW w:w="551" w:type="pct"/>
            <w:shd w:val="clear" w:color="auto" w:fill="auto"/>
            <w:noWrap/>
            <w:vAlign w:val="center"/>
          </w:tcPr>
          <w:p>
            <w:pPr>
              <w:pStyle w:val="39"/>
              <w:rPr>
                <w:rFonts w:ascii="Times New Roman" w:hAnsi="Times New Roman"/>
                <w:b/>
                <w:bCs/>
              </w:rPr>
            </w:pPr>
            <w:r>
              <w:rPr>
                <w:rFonts w:ascii="Times New Roman" w:hAnsi="Times New Roman"/>
                <w:b/>
                <w:bCs/>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150</w:t>
            </w:r>
          </w:p>
        </w:tc>
        <w:tc>
          <w:tcPr>
            <w:tcW w:w="556" w:type="pct"/>
            <w:shd w:val="clear" w:color="auto" w:fill="auto"/>
            <w:noWrap/>
            <w:vAlign w:val="center"/>
          </w:tcPr>
          <w:p>
            <w:pPr>
              <w:pStyle w:val="39"/>
              <w:rPr>
                <w:rFonts w:ascii="Times New Roman" w:hAnsi="Times New Roman"/>
              </w:rPr>
            </w:pPr>
            <w:r>
              <w:rPr>
                <w:rFonts w:ascii="Times New Roman" w:hAnsi="Times New Roman"/>
              </w:rPr>
              <w:t>0.167</w:t>
            </w:r>
          </w:p>
        </w:tc>
        <w:tc>
          <w:tcPr>
            <w:tcW w:w="556" w:type="pct"/>
            <w:shd w:val="clear" w:color="auto" w:fill="auto"/>
            <w:noWrap/>
            <w:vAlign w:val="center"/>
          </w:tcPr>
          <w:p>
            <w:pPr>
              <w:pStyle w:val="39"/>
              <w:rPr>
                <w:rFonts w:ascii="Times New Roman" w:hAnsi="Times New Roman"/>
              </w:rPr>
            </w:pPr>
            <w:r>
              <w:rPr>
                <w:rFonts w:ascii="Times New Roman" w:hAnsi="Times New Roman"/>
              </w:rPr>
              <w:t>1.67</w:t>
            </w:r>
          </w:p>
        </w:tc>
        <w:tc>
          <w:tcPr>
            <w:tcW w:w="556" w:type="pct"/>
            <w:shd w:val="clear" w:color="auto" w:fill="auto"/>
            <w:noWrap/>
            <w:vAlign w:val="center"/>
          </w:tcPr>
          <w:p>
            <w:pPr>
              <w:pStyle w:val="39"/>
              <w:rPr>
                <w:rFonts w:ascii="Times New Roman" w:hAnsi="Times New Roman"/>
              </w:rPr>
            </w:pPr>
            <w:r>
              <w:rPr>
                <w:rFonts w:ascii="Times New Roman" w:hAnsi="Times New Roman"/>
              </w:rPr>
              <w:t>1.250</w:t>
            </w:r>
          </w:p>
        </w:tc>
        <w:tc>
          <w:tcPr>
            <w:tcW w:w="556" w:type="pct"/>
            <w:shd w:val="clear" w:color="auto" w:fill="auto"/>
            <w:noWrap/>
            <w:vAlign w:val="center"/>
          </w:tcPr>
          <w:p>
            <w:pPr>
              <w:pStyle w:val="39"/>
              <w:rPr>
                <w:rFonts w:ascii="Times New Roman" w:hAnsi="Times New Roman"/>
              </w:rPr>
            </w:pPr>
            <w:r>
              <w:rPr>
                <w:rFonts w:ascii="Times New Roman" w:hAnsi="Times New Roman"/>
              </w:rPr>
              <w:t>0.06</w:t>
            </w:r>
          </w:p>
        </w:tc>
        <w:tc>
          <w:tcPr>
            <w:tcW w:w="556" w:type="pct"/>
            <w:shd w:val="clear" w:color="auto" w:fill="auto"/>
            <w:noWrap/>
            <w:vAlign w:val="center"/>
          </w:tcPr>
          <w:p>
            <w:pPr>
              <w:pStyle w:val="39"/>
              <w:rPr>
                <w:rFonts w:ascii="Times New Roman" w:hAnsi="Times New Roman"/>
              </w:rPr>
            </w:pPr>
            <w:r>
              <w:rPr>
                <w:rFonts w:ascii="Times New Roman" w:hAnsi="Times New Roman"/>
              </w:rPr>
              <w:t>0.722</w:t>
            </w:r>
          </w:p>
        </w:tc>
        <w:tc>
          <w:tcPr>
            <w:tcW w:w="557" w:type="pct"/>
            <w:shd w:val="clear" w:color="auto" w:fill="auto"/>
            <w:noWrap/>
            <w:vAlign w:val="center"/>
          </w:tcPr>
          <w:p>
            <w:pPr>
              <w:pStyle w:val="39"/>
              <w:rPr>
                <w:rFonts w:ascii="Times New Roman" w:hAnsi="Times New Roman"/>
              </w:rPr>
            </w:pPr>
            <w:r>
              <w:rPr>
                <w:rFonts w:ascii="Times New Roman" w:hAnsi="Times New Roman"/>
              </w:rPr>
              <w:t>7.22</w:t>
            </w:r>
          </w:p>
        </w:tc>
        <w:tc>
          <w:tcPr>
            <w:tcW w:w="556" w:type="pct"/>
            <w:shd w:val="clear" w:color="auto" w:fill="auto"/>
            <w:noWrap/>
            <w:vAlign w:val="center"/>
          </w:tcPr>
          <w:p>
            <w:pPr>
              <w:pStyle w:val="39"/>
              <w:rPr>
                <w:rFonts w:ascii="Times New Roman" w:hAnsi="Times New Roman"/>
              </w:rPr>
            </w:pPr>
            <w:r>
              <w:rPr>
                <w:rFonts w:ascii="Times New Roman" w:hAnsi="Times New Roman"/>
              </w:rPr>
              <w:t>3.244</w:t>
            </w:r>
          </w:p>
        </w:tc>
        <w:tc>
          <w:tcPr>
            <w:tcW w:w="551" w:type="pct"/>
            <w:shd w:val="clear" w:color="auto" w:fill="auto"/>
            <w:noWrap/>
            <w:vAlign w:val="center"/>
          </w:tcPr>
          <w:p>
            <w:pPr>
              <w:pStyle w:val="39"/>
              <w:rPr>
                <w:rFonts w:ascii="Times New Roman" w:hAnsi="Times New Roman"/>
              </w:rPr>
            </w:pPr>
            <w:r>
              <w:rPr>
                <w:rFonts w:ascii="Times New Roman" w:hAnsi="Times New Roman"/>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200</w:t>
            </w:r>
          </w:p>
        </w:tc>
        <w:tc>
          <w:tcPr>
            <w:tcW w:w="556" w:type="pct"/>
            <w:shd w:val="clear" w:color="auto" w:fill="auto"/>
            <w:noWrap/>
            <w:vAlign w:val="center"/>
          </w:tcPr>
          <w:p>
            <w:pPr>
              <w:pStyle w:val="39"/>
              <w:rPr>
                <w:rFonts w:ascii="Times New Roman" w:hAnsi="Times New Roman"/>
              </w:rPr>
            </w:pPr>
            <w:r>
              <w:rPr>
                <w:rFonts w:ascii="Times New Roman" w:hAnsi="Times New Roman"/>
              </w:rPr>
              <w:t>0.084</w:t>
            </w:r>
          </w:p>
        </w:tc>
        <w:tc>
          <w:tcPr>
            <w:tcW w:w="556" w:type="pct"/>
            <w:shd w:val="clear" w:color="auto" w:fill="auto"/>
            <w:noWrap/>
            <w:vAlign w:val="center"/>
          </w:tcPr>
          <w:p>
            <w:pPr>
              <w:pStyle w:val="39"/>
              <w:rPr>
                <w:rFonts w:ascii="Times New Roman" w:hAnsi="Times New Roman"/>
              </w:rPr>
            </w:pPr>
            <w:r>
              <w:rPr>
                <w:rFonts w:ascii="Times New Roman" w:hAnsi="Times New Roman"/>
              </w:rPr>
              <w:t>0.84</w:t>
            </w:r>
          </w:p>
        </w:tc>
        <w:tc>
          <w:tcPr>
            <w:tcW w:w="556" w:type="pct"/>
            <w:shd w:val="clear" w:color="auto" w:fill="auto"/>
            <w:noWrap/>
            <w:vAlign w:val="center"/>
          </w:tcPr>
          <w:p>
            <w:pPr>
              <w:pStyle w:val="39"/>
              <w:rPr>
                <w:rFonts w:ascii="Times New Roman" w:hAnsi="Times New Roman"/>
              </w:rPr>
            </w:pPr>
            <w:r>
              <w:rPr>
                <w:rFonts w:ascii="Times New Roman" w:hAnsi="Times New Roman"/>
              </w:rPr>
              <w:t>0.632</w:t>
            </w:r>
          </w:p>
        </w:tc>
        <w:tc>
          <w:tcPr>
            <w:tcW w:w="556" w:type="pct"/>
            <w:shd w:val="clear" w:color="auto" w:fill="auto"/>
            <w:noWrap/>
            <w:vAlign w:val="center"/>
          </w:tcPr>
          <w:p>
            <w:pPr>
              <w:pStyle w:val="39"/>
              <w:rPr>
                <w:rFonts w:ascii="Times New Roman" w:hAnsi="Times New Roman"/>
              </w:rPr>
            </w:pPr>
            <w:r>
              <w:rPr>
                <w:rFonts w:ascii="Times New Roman" w:hAnsi="Times New Roman"/>
              </w:rPr>
              <w:t>0.03</w:t>
            </w:r>
          </w:p>
        </w:tc>
        <w:tc>
          <w:tcPr>
            <w:tcW w:w="556" w:type="pct"/>
            <w:shd w:val="clear" w:color="auto" w:fill="auto"/>
            <w:noWrap/>
            <w:vAlign w:val="center"/>
          </w:tcPr>
          <w:p>
            <w:pPr>
              <w:pStyle w:val="39"/>
              <w:rPr>
                <w:rFonts w:ascii="Times New Roman" w:hAnsi="Times New Roman"/>
              </w:rPr>
            </w:pPr>
            <w:r>
              <w:rPr>
                <w:rFonts w:ascii="Times New Roman" w:hAnsi="Times New Roman"/>
              </w:rPr>
              <w:t>0.365</w:t>
            </w:r>
          </w:p>
        </w:tc>
        <w:tc>
          <w:tcPr>
            <w:tcW w:w="557" w:type="pct"/>
            <w:shd w:val="clear" w:color="auto" w:fill="auto"/>
            <w:noWrap/>
            <w:vAlign w:val="center"/>
          </w:tcPr>
          <w:p>
            <w:pPr>
              <w:pStyle w:val="39"/>
              <w:rPr>
                <w:rFonts w:ascii="Times New Roman" w:hAnsi="Times New Roman"/>
              </w:rPr>
            </w:pPr>
            <w:r>
              <w:rPr>
                <w:rFonts w:ascii="Times New Roman" w:hAnsi="Times New Roman"/>
              </w:rPr>
              <w:t>3.65</w:t>
            </w:r>
          </w:p>
        </w:tc>
        <w:tc>
          <w:tcPr>
            <w:tcW w:w="556" w:type="pct"/>
            <w:shd w:val="clear" w:color="auto" w:fill="auto"/>
            <w:noWrap/>
            <w:vAlign w:val="center"/>
          </w:tcPr>
          <w:p>
            <w:pPr>
              <w:pStyle w:val="39"/>
              <w:rPr>
                <w:rFonts w:ascii="Times New Roman" w:hAnsi="Times New Roman"/>
              </w:rPr>
            </w:pPr>
            <w:r>
              <w:rPr>
                <w:rFonts w:ascii="Times New Roman" w:hAnsi="Times New Roman"/>
              </w:rPr>
              <w:t>1.640</w:t>
            </w:r>
          </w:p>
        </w:tc>
        <w:tc>
          <w:tcPr>
            <w:tcW w:w="551" w:type="pct"/>
            <w:shd w:val="clear" w:color="auto" w:fill="auto"/>
            <w:noWrap/>
            <w:vAlign w:val="center"/>
          </w:tcPr>
          <w:p>
            <w:pPr>
              <w:pStyle w:val="39"/>
              <w:rPr>
                <w:rFonts w:ascii="Times New Roman" w:hAnsi="Times New Roman"/>
              </w:rPr>
            </w:pPr>
            <w:r>
              <w:rPr>
                <w:rFonts w:ascii="Times New Roman" w:hAnsi="Times New Roma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250</w:t>
            </w:r>
          </w:p>
        </w:tc>
        <w:tc>
          <w:tcPr>
            <w:tcW w:w="556" w:type="pct"/>
            <w:shd w:val="clear" w:color="auto" w:fill="auto"/>
            <w:noWrap/>
            <w:vAlign w:val="center"/>
          </w:tcPr>
          <w:p>
            <w:pPr>
              <w:pStyle w:val="39"/>
              <w:rPr>
                <w:rFonts w:ascii="Times New Roman" w:hAnsi="Times New Roman"/>
              </w:rPr>
            </w:pPr>
            <w:r>
              <w:rPr>
                <w:rFonts w:ascii="Times New Roman" w:hAnsi="Times New Roman"/>
              </w:rPr>
              <w:t>0.067</w:t>
            </w:r>
          </w:p>
        </w:tc>
        <w:tc>
          <w:tcPr>
            <w:tcW w:w="556" w:type="pct"/>
            <w:shd w:val="clear" w:color="auto" w:fill="auto"/>
            <w:noWrap/>
            <w:vAlign w:val="center"/>
          </w:tcPr>
          <w:p>
            <w:pPr>
              <w:pStyle w:val="39"/>
              <w:rPr>
                <w:rFonts w:ascii="Times New Roman" w:hAnsi="Times New Roman"/>
              </w:rPr>
            </w:pPr>
            <w:r>
              <w:rPr>
                <w:rFonts w:ascii="Times New Roman" w:hAnsi="Times New Roman"/>
              </w:rPr>
              <w:t>0.67</w:t>
            </w:r>
          </w:p>
        </w:tc>
        <w:tc>
          <w:tcPr>
            <w:tcW w:w="556" w:type="pct"/>
            <w:shd w:val="clear" w:color="auto" w:fill="auto"/>
            <w:noWrap/>
            <w:vAlign w:val="center"/>
          </w:tcPr>
          <w:p>
            <w:pPr>
              <w:pStyle w:val="39"/>
              <w:rPr>
                <w:rFonts w:ascii="Times New Roman" w:hAnsi="Times New Roman"/>
              </w:rPr>
            </w:pPr>
            <w:r>
              <w:rPr>
                <w:rFonts w:ascii="Times New Roman" w:hAnsi="Times New Roman"/>
              </w:rPr>
              <w:t>0.506</w:t>
            </w:r>
          </w:p>
        </w:tc>
        <w:tc>
          <w:tcPr>
            <w:tcW w:w="556" w:type="pct"/>
            <w:shd w:val="clear" w:color="auto" w:fill="auto"/>
            <w:noWrap/>
            <w:vAlign w:val="center"/>
          </w:tcPr>
          <w:p>
            <w:pPr>
              <w:pStyle w:val="39"/>
              <w:rPr>
                <w:rFonts w:ascii="Times New Roman" w:hAnsi="Times New Roman"/>
              </w:rPr>
            </w:pPr>
            <w:r>
              <w:rPr>
                <w:rFonts w:ascii="Times New Roman" w:hAnsi="Times New Roman"/>
              </w:rPr>
              <w:t>0.03</w:t>
            </w:r>
          </w:p>
        </w:tc>
        <w:tc>
          <w:tcPr>
            <w:tcW w:w="556" w:type="pct"/>
            <w:shd w:val="clear" w:color="auto" w:fill="auto"/>
            <w:noWrap/>
            <w:vAlign w:val="center"/>
          </w:tcPr>
          <w:p>
            <w:pPr>
              <w:pStyle w:val="39"/>
              <w:rPr>
                <w:rFonts w:ascii="Times New Roman" w:hAnsi="Times New Roman"/>
              </w:rPr>
            </w:pPr>
            <w:r>
              <w:rPr>
                <w:rFonts w:ascii="Times New Roman" w:hAnsi="Times New Roman"/>
              </w:rPr>
              <w:t>0.292</w:t>
            </w:r>
          </w:p>
        </w:tc>
        <w:tc>
          <w:tcPr>
            <w:tcW w:w="557" w:type="pct"/>
            <w:shd w:val="clear" w:color="auto" w:fill="auto"/>
            <w:noWrap/>
            <w:vAlign w:val="center"/>
          </w:tcPr>
          <w:p>
            <w:pPr>
              <w:pStyle w:val="39"/>
              <w:rPr>
                <w:rFonts w:ascii="Times New Roman" w:hAnsi="Times New Roman"/>
              </w:rPr>
            </w:pPr>
            <w:r>
              <w:rPr>
                <w:rFonts w:ascii="Times New Roman" w:hAnsi="Times New Roman"/>
              </w:rPr>
              <w:t>2.92</w:t>
            </w:r>
          </w:p>
        </w:tc>
        <w:tc>
          <w:tcPr>
            <w:tcW w:w="556" w:type="pct"/>
            <w:shd w:val="clear" w:color="auto" w:fill="auto"/>
            <w:noWrap/>
            <w:vAlign w:val="center"/>
          </w:tcPr>
          <w:p>
            <w:pPr>
              <w:pStyle w:val="39"/>
              <w:rPr>
                <w:rFonts w:ascii="Times New Roman" w:hAnsi="Times New Roman"/>
              </w:rPr>
            </w:pPr>
            <w:r>
              <w:rPr>
                <w:rFonts w:ascii="Times New Roman" w:hAnsi="Times New Roman"/>
              </w:rPr>
              <w:t>1.313</w:t>
            </w:r>
          </w:p>
        </w:tc>
        <w:tc>
          <w:tcPr>
            <w:tcW w:w="551" w:type="pct"/>
            <w:shd w:val="clear" w:color="auto" w:fill="auto"/>
            <w:noWrap/>
            <w:vAlign w:val="center"/>
          </w:tcPr>
          <w:p>
            <w:pPr>
              <w:pStyle w:val="39"/>
              <w:rPr>
                <w:rFonts w:ascii="Times New Roman" w:hAnsi="Times New Roman"/>
              </w:rPr>
            </w:pPr>
            <w:r>
              <w:rPr>
                <w:rFonts w:ascii="Times New Roman" w:hAnsi="Times New Roman"/>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300</w:t>
            </w:r>
          </w:p>
        </w:tc>
        <w:tc>
          <w:tcPr>
            <w:tcW w:w="556" w:type="pct"/>
            <w:shd w:val="clear" w:color="auto" w:fill="auto"/>
            <w:noWrap/>
            <w:vAlign w:val="center"/>
          </w:tcPr>
          <w:p>
            <w:pPr>
              <w:pStyle w:val="39"/>
              <w:rPr>
                <w:rFonts w:ascii="Times New Roman" w:hAnsi="Times New Roman"/>
              </w:rPr>
            </w:pPr>
            <w:r>
              <w:rPr>
                <w:rFonts w:ascii="Times New Roman" w:hAnsi="Times New Roman"/>
              </w:rPr>
              <w:t>0.061</w:t>
            </w:r>
          </w:p>
        </w:tc>
        <w:tc>
          <w:tcPr>
            <w:tcW w:w="556" w:type="pct"/>
            <w:shd w:val="clear" w:color="auto" w:fill="auto"/>
            <w:noWrap/>
            <w:vAlign w:val="center"/>
          </w:tcPr>
          <w:p>
            <w:pPr>
              <w:pStyle w:val="39"/>
              <w:rPr>
                <w:rFonts w:ascii="Times New Roman" w:hAnsi="Times New Roman"/>
              </w:rPr>
            </w:pPr>
            <w:r>
              <w:rPr>
                <w:rFonts w:ascii="Times New Roman" w:hAnsi="Times New Roman"/>
              </w:rPr>
              <w:t>0.61</w:t>
            </w:r>
          </w:p>
        </w:tc>
        <w:tc>
          <w:tcPr>
            <w:tcW w:w="556" w:type="pct"/>
            <w:shd w:val="clear" w:color="auto" w:fill="auto"/>
            <w:noWrap/>
            <w:vAlign w:val="center"/>
          </w:tcPr>
          <w:p>
            <w:pPr>
              <w:pStyle w:val="39"/>
              <w:rPr>
                <w:rFonts w:ascii="Times New Roman" w:hAnsi="Times New Roman"/>
              </w:rPr>
            </w:pPr>
            <w:r>
              <w:rPr>
                <w:rFonts w:ascii="Times New Roman" w:hAnsi="Times New Roman"/>
              </w:rPr>
              <w:t>0.458</w:t>
            </w:r>
          </w:p>
        </w:tc>
        <w:tc>
          <w:tcPr>
            <w:tcW w:w="556" w:type="pct"/>
            <w:shd w:val="clear" w:color="auto" w:fill="auto"/>
            <w:noWrap/>
            <w:vAlign w:val="center"/>
          </w:tcPr>
          <w:p>
            <w:pPr>
              <w:pStyle w:val="39"/>
              <w:rPr>
                <w:rFonts w:ascii="Times New Roman" w:hAnsi="Times New Roman"/>
              </w:rPr>
            </w:pPr>
            <w:r>
              <w:rPr>
                <w:rFonts w:ascii="Times New Roman" w:hAnsi="Times New Roman"/>
              </w:rPr>
              <w:t>0.02</w:t>
            </w:r>
          </w:p>
        </w:tc>
        <w:tc>
          <w:tcPr>
            <w:tcW w:w="556" w:type="pct"/>
            <w:shd w:val="clear" w:color="auto" w:fill="auto"/>
            <w:noWrap/>
            <w:vAlign w:val="center"/>
          </w:tcPr>
          <w:p>
            <w:pPr>
              <w:pStyle w:val="39"/>
              <w:rPr>
                <w:rFonts w:ascii="Times New Roman" w:hAnsi="Times New Roman"/>
              </w:rPr>
            </w:pPr>
            <w:r>
              <w:rPr>
                <w:rFonts w:ascii="Times New Roman" w:hAnsi="Times New Roman"/>
              </w:rPr>
              <w:t>0.264</w:t>
            </w:r>
          </w:p>
        </w:tc>
        <w:tc>
          <w:tcPr>
            <w:tcW w:w="557" w:type="pct"/>
            <w:shd w:val="clear" w:color="auto" w:fill="auto"/>
            <w:noWrap/>
            <w:vAlign w:val="center"/>
          </w:tcPr>
          <w:p>
            <w:pPr>
              <w:pStyle w:val="39"/>
              <w:rPr>
                <w:rFonts w:ascii="Times New Roman" w:hAnsi="Times New Roman"/>
              </w:rPr>
            </w:pPr>
            <w:r>
              <w:rPr>
                <w:rFonts w:ascii="Times New Roman" w:hAnsi="Times New Roman"/>
              </w:rPr>
              <w:t>2.64</w:t>
            </w:r>
          </w:p>
        </w:tc>
        <w:tc>
          <w:tcPr>
            <w:tcW w:w="556" w:type="pct"/>
            <w:shd w:val="clear" w:color="auto" w:fill="auto"/>
            <w:noWrap/>
            <w:vAlign w:val="center"/>
          </w:tcPr>
          <w:p>
            <w:pPr>
              <w:pStyle w:val="39"/>
              <w:rPr>
                <w:rFonts w:ascii="Times New Roman" w:hAnsi="Times New Roman"/>
              </w:rPr>
            </w:pPr>
            <w:r>
              <w:rPr>
                <w:rFonts w:ascii="Times New Roman" w:hAnsi="Times New Roman"/>
              </w:rPr>
              <w:t>1.188</w:t>
            </w:r>
          </w:p>
        </w:tc>
        <w:tc>
          <w:tcPr>
            <w:tcW w:w="551" w:type="pct"/>
            <w:shd w:val="clear" w:color="auto" w:fill="auto"/>
            <w:noWrap/>
            <w:vAlign w:val="center"/>
          </w:tcPr>
          <w:p>
            <w:pPr>
              <w:pStyle w:val="39"/>
              <w:rPr>
                <w:rFonts w:ascii="Times New Roman" w:hAnsi="Times New Roman"/>
              </w:rPr>
            </w:pPr>
            <w:r>
              <w:rPr>
                <w:rFonts w:ascii="Times New Roman" w:hAnsi="Times New Roma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400</w:t>
            </w:r>
          </w:p>
        </w:tc>
        <w:tc>
          <w:tcPr>
            <w:tcW w:w="556" w:type="pct"/>
            <w:shd w:val="clear" w:color="auto" w:fill="auto"/>
            <w:noWrap/>
            <w:vAlign w:val="center"/>
          </w:tcPr>
          <w:p>
            <w:pPr>
              <w:pStyle w:val="39"/>
              <w:rPr>
                <w:rFonts w:ascii="Times New Roman" w:hAnsi="Times New Roman"/>
              </w:rPr>
            </w:pPr>
            <w:r>
              <w:rPr>
                <w:rFonts w:ascii="Times New Roman" w:hAnsi="Times New Roman"/>
              </w:rPr>
              <w:t>0.063</w:t>
            </w:r>
          </w:p>
        </w:tc>
        <w:tc>
          <w:tcPr>
            <w:tcW w:w="556" w:type="pct"/>
            <w:shd w:val="clear" w:color="auto" w:fill="auto"/>
            <w:noWrap/>
            <w:vAlign w:val="center"/>
          </w:tcPr>
          <w:p>
            <w:pPr>
              <w:pStyle w:val="39"/>
              <w:rPr>
                <w:rFonts w:ascii="Times New Roman" w:hAnsi="Times New Roman"/>
              </w:rPr>
            </w:pPr>
            <w:r>
              <w:rPr>
                <w:rFonts w:ascii="Times New Roman" w:hAnsi="Times New Roman"/>
              </w:rPr>
              <w:t>0.63</w:t>
            </w:r>
          </w:p>
        </w:tc>
        <w:tc>
          <w:tcPr>
            <w:tcW w:w="556" w:type="pct"/>
            <w:shd w:val="clear" w:color="auto" w:fill="auto"/>
            <w:noWrap/>
            <w:vAlign w:val="center"/>
          </w:tcPr>
          <w:p>
            <w:pPr>
              <w:pStyle w:val="39"/>
              <w:rPr>
                <w:rFonts w:ascii="Times New Roman" w:hAnsi="Times New Roman"/>
              </w:rPr>
            </w:pPr>
            <w:r>
              <w:rPr>
                <w:rFonts w:ascii="Times New Roman" w:hAnsi="Times New Roman"/>
              </w:rPr>
              <w:t>0.470</w:t>
            </w:r>
          </w:p>
        </w:tc>
        <w:tc>
          <w:tcPr>
            <w:tcW w:w="556" w:type="pct"/>
            <w:shd w:val="clear" w:color="auto" w:fill="auto"/>
            <w:noWrap/>
            <w:vAlign w:val="center"/>
          </w:tcPr>
          <w:p>
            <w:pPr>
              <w:pStyle w:val="39"/>
              <w:rPr>
                <w:rFonts w:ascii="Times New Roman" w:hAnsi="Times New Roman"/>
              </w:rPr>
            </w:pPr>
            <w:r>
              <w:rPr>
                <w:rFonts w:ascii="Times New Roman" w:hAnsi="Times New Roman"/>
              </w:rPr>
              <w:t>0.02</w:t>
            </w:r>
          </w:p>
        </w:tc>
        <w:tc>
          <w:tcPr>
            <w:tcW w:w="556" w:type="pct"/>
            <w:shd w:val="clear" w:color="auto" w:fill="auto"/>
            <w:noWrap/>
            <w:vAlign w:val="center"/>
          </w:tcPr>
          <w:p>
            <w:pPr>
              <w:pStyle w:val="39"/>
              <w:rPr>
                <w:rFonts w:ascii="Times New Roman" w:hAnsi="Times New Roman"/>
              </w:rPr>
            </w:pPr>
            <w:r>
              <w:rPr>
                <w:rFonts w:ascii="Times New Roman" w:hAnsi="Times New Roman"/>
              </w:rPr>
              <w:t>0.271</w:t>
            </w:r>
          </w:p>
        </w:tc>
        <w:tc>
          <w:tcPr>
            <w:tcW w:w="557" w:type="pct"/>
            <w:shd w:val="clear" w:color="auto" w:fill="auto"/>
            <w:noWrap/>
            <w:vAlign w:val="center"/>
          </w:tcPr>
          <w:p>
            <w:pPr>
              <w:pStyle w:val="39"/>
              <w:rPr>
                <w:rFonts w:ascii="Times New Roman" w:hAnsi="Times New Roman"/>
              </w:rPr>
            </w:pPr>
            <w:r>
              <w:rPr>
                <w:rFonts w:ascii="Times New Roman" w:hAnsi="Times New Roman"/>
              </w:rPr>
              <w:t>2.71</w:t>
            </w:r>
          </w:p>
        </w:tc>
        <w:tc>
          <w:tcPr>
            <w:tcW w:w="556" w:type="pct"/>
            <w:shd w:val="clear" w:color="auto" w:fill="auto"/>
            <w:noWrap/>
            <w:vAlign w:val="center"/>
          </w:tcPr>
          <w:p>
            <w:pPr>
              <w:pStyle w:val="39"/>
              <w:rPr>
                <w:rFonts w:ascii="Times New Roman" w:hAnsi="Times New Roman"/>
              </w:rPr>
            </w:pPr>
            <w:r>
              <w:rPr>
                <w:rFonts w:ascii="Times New Roman" w:hAnsi="Times New Roman"/>
              </w:rPr>
              <w:t>1.219</w:t>
            </w:r>
          </w:p>
        </w:tc>
        <w:tc>
          <w:tcPr>
            <w:tcW w:w="551" w:type="pct"/>
            <w:shd w:val="clear" w:color="auto" w:fill="auto"/>
            <w:noWrap/>
            <w:vAlign w:val="center"/>
          </w:tcPr>
          <w:p>
            <w:pPr>
              <w:pStyle w:val="39"/>
              <w:rPr>
                <w:rFonts w:ascii="Times New Roman" w:hAnsi="Times New Roman"/>
              </w:rPr>
            </w:pPr>
            <w:r>
              <w:rPr>
                <w:rFonts w:ascii="Times New Roman" w:hAnsi="Times New Roma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500</w:t>
            </w:r>
          </w:p>
        </w:tc>
        <w:tc>
          <w:tcPr>
            <w:tcW w:w="556" w:type="pct"/>
            <w:shd w:val="clear" w:color="auto" w:fill="auto"/>
            <w:noWrap/>
            <w:vAlign w:val="center"/>
          </w:tcPr>
          <w:p>
            <w:pPr>
              <w:pStyle w:val="39"/>
              <w:rPr>
                <w:rFonts w:ascii="Times New Roman" w:hAnsi="Times New Roman"/>
              </w:rPr>
            </w:pPr>
            <w:r>
              <w:rPr>
                <w:rFonts w:ascii="Times New Roman" w:hAnsi="Times New Roman"/>
              </w:rPr>
              <w:t>0.069</w:t>
            </w:r>
          </w:p>
        </w:tc>
        <w:tc>
          <w:tcPr>
            <w:tcW w:w="556" w:type="pct"/>
            <w:shd w:val="clear" w:color="auto" w:fill="auto"/>
            <w:noWrap/>
            <w:vAlign w:val="center"/>
          </w:tcPr>
          <w:p>
            <w:pPr>
              <w:pStyle w:val="39"/>
              <w:rPr>
                <w:rFonts w:ascii="Times New Roman" w:hAnsi="Times New Roman"/>
              </w:rPr>
            </w:pPr>
            <w:r>
              <w:rPr>
                <w:rFonts w:ascii="Times New Roman" w:hAnsi="Times New Roman"/>
              </w:rPr>
              <w:t>0.69</w:t>
            </w:r>
          </w:p>
        </w:tc>
        <w:tc>
          <w:tcPr>
            <w:tcW w:w="556" w:type="pct"/>
            <w:shd w:val="clear" w:color="auto" w:fill="auto"/>
            <w:noWrap/>
            <w:vAlign w:val="center"/>
          </w:tcPr>
          <w:p>
            <w:pPr>
              <w:pStyle w:val="39"/>
              <w:rPr>
                <w:rFonts w:ascii="Times New Roman" w:hAnsi="Times New Roman"/>
              </w:rPr>
            </w:pPr>
            <w:r>
              <w:rPr>
                <w:rFonts w:ascii="Times New Roman" w:hAnsi="Times New Roman"/>
              </w:rPr>
              <w:t>0.518</w:t>
            </w:r>
          </w:p>
        </w:tc>
        <w:tc>
          <w:tcPr>
            <w:tcW w:w="556" w:type="pct"/>
            <w:shd w:val="clear" w:color="auto" w:fill="auto"/>
            <w:noWrap/>
            <w:vAlign w:val="center"/>
          </w:tcPr>
          <w:p>
            <w:pPr>
              <w:pStyle w:val="39"/>
              <w:rPr>
                <w:rFonts w:ascii="Times New Roman" w:hAnsi="Times New Roman"/>
              </w:rPr>
            </w:pPr>
            <w:r>
              <w:rPr>
                <w:rFonts w:ascii="Times New Roman" w:hAnsi="Times New Roman"/>
              </w:rPr>
              <w:t>0.03</w:t>
            </w:r>
          </w:p>
        </w:tc>
        <w:tc>
          <w:tcPr>
            <w:tcW w:w="556" w:type="pct"/>
            <w:shd w:val="clear" w:color="auto" w:fill="auto"/>
            <w:noWrap/>
            <w:vAlign w:val="center"/>
          </w:tcPr>
          <w:p>
            <w:pPr>
              <w:pStyle w:val="39"/>
              <w:rPr>
                <w:rFonts w:ascii="Times New Roman" w:hAnsi="Times New Roman"/>
              </w:rPr>
            </w:pPr>
            <w:r>
              <w:rPr>
                <w:rFonts w:ascii="Times New Roman" w:hAnsi="Times New Roman"/>
              </w:rPr>
              <w:t>0.299</w:t>
            </w:r>
          </w:p>
        </w:tc>
        <w:tc>
          <w:tcPr>
            <w:tcW w:w="557" w:type="pct"/>
            <w:shd w:val="clear" w:color="auto" w:fill="auto"/>
            <w:noWrap/>
            <w:vAlign w:val="center"/>
          </w:tcPr>
          <w:p>
            <w:pPr>
              <w:pStyle w:val="39"/>
              <w:rPr>
                <w:rFonts w:ascii="Times New Roman" w:hAnsi="Times New Roman"/>
              </w:rPr>
            </w:pPr>
            <w:r>
              <w:rPr>
                <w:rFonts w:ascii="Times New Roman" w:hAnsi="Times New Roman"/>
              </w:rPr>
              <w:t>2.99</w:t>
            </w:r>
          </w:p>
        </w:tc>
        <w:tc>
          <w:tcPr>
            <w:tcW w:w="556" w:type="pct"/>
            <w:shd w:val="clear" w:color="auto" w:fill="auto"/>
            <w:noWrap/>
            <w:vAlign w:val="center"/>
          </w:tcPr>
          <w:p>
            <w:pPr>
              <w:pStyle w:val="39"/>
              <w:rPr>
                <w:rFonts w:ascii="Times New Roman" w:hAnsi="Times New Roman"/>
              </w:rPr>
            </w:pPr>
            <w:r>
              <w:rPr>
                <w:rFonts w:ascii="Times New Roman" w:hAnsi="Times New Roman"/>
              </w:rPr>
              <w:t>1.344</w:t>
            </w:r>
          </w:p>
        </w:tc>
        <w:tc>
          <w:tcPr>
            <w:tcW w:w="551" w:type="pct"/>
            <w:shd w:val="clear" w:color="auto" w:fill="auto"/>
            <w:noWrap/>
            <w:vAlign w:val="center"/>
          </w:tcPr>
          <w:p>
            <w:pPr>
              <w:pStyle w:val="39"/>
              <w:rPr>
                <w:rFonts w:ascii="Times New Roman" w:hAnsi="Times New Roman"/>
              </w:rPr>
            </w:pPr>
            <w:r>
              <w:rPr>
                <w:rFonts w:ascii="Times New Roman" w:hAnsi="Times New Roman"/>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600</w:t>
            </w:r>
          </w:p>
        </w:tc>
        <w:tc>
          <w:tcPr>
            <w:tcW w:w="556" w:type="pct"/>
            <w:shd w:val="clear" w:color="auto" w:fill="auto"/>
            <w:noWrap/>
            <w:vAlign w:val="center"/>
          </w:tcPr>
          <w:p>
            <w:pPr>
              <w:pStyle w:val="39"/>
              <w:rPr>
                <w:rFonts w:ascii="Times New Roman" w:hAnsi="Times New Roman"/>
              </w:rPr>
            </w:pPr>
            <w:r>
              <w:rPr>
                <w:rFonts w:ascii="Times New Roman" w:hAnsi="Times New Roman"/>
              </w:rPr>
              <w:t>0.072</w:t>
            </w:r>
          </w:p>
        </w:tc>
        <w:tc>
          <w:tcPr>
            <w:tcW w:w="556" w:type="pct"/>
            <w:shd w:val="clear" w:color="auto" w:fill="auto"/>
            <w:noWrap/>
            <w:vAlign w:val="center"/>
          </w:tcPr>
          <w:p>
            <w:pPr>
              <w:pStyle w:val="39"/>
              <w:rPr>
                <w:rFonts w:ascii="Times New Roman" w:hAnsi="Times New Roman"/>
              </w:rPr>
            </w:pPr>
            <w:r>
              <w:rPr>
                <w:rFonts w:ascii="Times New Roman" w:hAnsi="Times New Roman"/>
              </w:rPr>
              <w:t>0.72</w:t>
            </w:r>
          </w:p>
        </w:tc>
        <w:tc>
          <w:tcPr>
            <w:tcW w:w="556" w:type="pct"/>
            <w:shd w:val="clear" w:color="auto" w:fill="auto"/>
            <w:noWrap/>
            <w:vAlign w:val="center"/>
          </w:tcPr>
          <w:p>
            <w:pPr>
              <w:pStyle w:val="39"/>
              <w:rPr>
                <w:rFonts w:ascii="Times New Roman" w:hAnsi="Times New Roman"/>
              </w:rPr>
            </w:pPr>
            <w:r>
              <w:rPr>
                <w:rFonts w:ascii="Times New Roman" w:hAnsi="Times New Roman"/>
              </w:rPr>
              <w:t>0.538</w:t>
            </w:r>
          </w:p>
        </w:tc>
        <w:tc>
          <w:tcPr>
            <w:tcW w:w="556" w:type="pct"/>
            <w:shd w:val="clear" w:color="auto" w:fill="auto"/>
            <w:noWrap/>
            <w:vAlign w:val="center"/>
          </w:tcPr>
          <w:p>
            <w:pPr>
              <w:pStyle w:val="39"/>
              <w:rPr>
                <w:rFonts w:ascii="Times New Roman" w:hAnsi="Times New Roman"/>
              </w:rPr>
            </w:pPr>
            <w:r>
              <w:rPr>
                <w:rFonts w:ascii="Times New Roman" w:hAnsi="Times New Roman"/>
              </w:rPr>
              <w:t>0.03</w:t>
            </w:r>
          </w:p>
        </w:tc>
        <w:tc>
          <w:tcPr>
            <w:tcW w:w="556" w:type="pct"/>
            <w:shd w:val="clear" w:color="auto" w:fill="auto"/>
            <w:noWrap/>
            <w:vAlign w:val="center"/>
          </w:tcPr>
          <w:p>
            <w:pPr>
              <w:pStyle w:val="39"/>
              <w:rPr>
                <w:rFonts w:ascii="Times New Roman" w:hAnsi="Times New Roman"/>
              </w:rPr>
            </w:pPr>
            <w:r>
              <w:rPr>
                <w:rFonts w:ascii="Times New Roman" w:hAnsi="Times New Roman"/>
              </w:rPr>
              <w:t>0.311</w:t>
            </w:r>
          </w:p>
        </w:tc>
        <w:tc>
          <w:tcPr>
            <w:tcW w:w="557" w:type="pct"/>
            <w:shd w:val="clear" w:color="auto" w:fill="auto"/>
            <w:noWrap/>
            <w:vAlign w:val="center"/>
          </w:tcPr>
          <w:p>
            <w:pPr>
              <w:pStyle w:val="39"/>
              <w:rPr>
                <w:rFonts w:ascii="Times New Roman" w:hAnsi="Times New Roman"/>
              </w:rPr>
            </w:pPr>
            <w:r>
              <w:rPr>
                <w:rFonts w:ascii="Times New Roman" w:hAnsi="Times New Roman"/>
              </w:rPr>
              <w:t>3.11</w:t>
            </w:r>
          </w:p>
        </w:tc>
        <w:tc>
          <w:tcPr>
            <w:tcW w:w="556" w:type="pct"/>
            <w:shd w:val="clear" w:color="auto" w:fill="auto"/>
            <w:noWrap/>
            <w:vAlign w:val="center"/>
          </w:tcPr>
          <w:p>
            <w:pPr>
              <w:pStyle w:val="39"/>
              <w:rPr>
                <w:rFonts w:ascii="Times New Roman" w:hAnsi="Times New Roman"/>
              </w:rPr>
            </w:pPr>
            <w:r>
              <w:rPr>
                <w:rFonts w:ascii="Times New Roman" w:hAnsi="Times New Roman"/>
              </w:rPr>
              <w:t>1.396</w:t>
            </w:r>
          </w:p>
        </w:tc>
        <w:tc>
          <w:tcPr>
            <w:tcW w:w="551" w:type="pct"/>
            <w:shd w:val="clear" w:color="auto" w:fill="auto"/>
            <w:noWrap/>
            <w:vAlign w:val="center"/>
          </w:tcPr>
          <w:p>
            <w:pPr>
              <w:pStyle w:val="39"/>
              <w:rPr>
                <w:rFonts w:ascii="Times New Roman" w:hAnsi="Times New Roman"/>
              </w:rPr>
            </w:pPr>
            <w:r>
              <w:rPr>
                <w:rFonts w:ascii="Times New Roman" w:hAnsi="Times New Roman"/>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700</w:t>
            </w:r>
          </w:p>
        </w:tc>
        <w:tc>
          <w:tcPr>
            <w:tcW w:w="556" w:type="pct"/>
            <w:shd w:val="clear" w:color="auto" w:fill="auto"/>
            <w:noWrap/>
            <w:vAlign w:val="center"/>
          </w:tcPr>
          <w:p>
            <w:pPr>
              <w:pStyle w:val="39"/>
              <w:rPr>
                <w:rFonts w:ascii="Times New Roman" w:hAnsi="Times New Roman"/>
              </w:rPr>
            </w:pPr>
            <w:r>
              <w:rPr>
                <w:rFonts w:ascii="Times New Roman" w:hAnsi="Times New Roman"/>
              </w:rPr>
              <w:t>0.066</w:t>
            </w:r>
          </w:p>
        </w:tc>
        <w:tc>
          <w:tcPr>
            <w:tcW w:w="556" w:type="pct"/>
            <w:shd w:val="clear" w:color="auto" w:fill="auto"/>
            <w:noWrap/>
            <w:vAlign w:val="center"/>
          </w:tcPr>
          <w:p>
            <w:pPr>
              <w:pStyle w:val="39"/>
              <w:rPr>
                <w:rFonts w:ascii="Times New Roman" w:hAnsi="Times New Roman"/>
              </w:rPr>
            </w:pPr>
            <w:r>
              <w:rPr>
                <w:rFonts w:ascii="Times New Roman" w:hAnsi="Times New Roman"/>
              </w:rPr>
              <w:t>0.66</w:t>
            </w:r>
          </w:p>
        </w:tc>
        <w:tc>
          <w:tcPr>
            <w:tcW w:w="556" w:type="pct"/>
            <w:shd w:val="clear" w:color="auto" w:fill="auto"/>
            <w:noWrap/>
            <w:vAlign w:val="center"/>
          </w:tcPr>
          <w:p>
            <w:pPr>
              <w:pStyle w:val="39"/>
              <w:rPr>
                <w:rFonts w:ascii="Times New Roman" w:hAnsi="Times New Roman"/>
              </w:rPr>
            </w:pPr>
            <w:r>
              <w:rPr>
                <w:rFonts w:ascii="Times New Roman" w:hAnsi="Times New Roman"/>
              </w:rPr>
              <w:t>0.495</w:t>
            </w:r>
          </w:p>
        </w:tc>
        <w:tc>
          <w:tcPr>
            <w:tcW w:w="556" w:type="pct"/>
            <w:shd w:val="clear" w:color="auto" w:fill="auto"/>
            <w:noWrap/>
            <w:vAlign w:val="center"/>
          </w:tcPr>
          <w:p>
            <w:pPr>
              <w:pStyle w:val="39"/>
              <w:rPr>
                <w:rFonts w:ascii="Times New Roman" w:hAnsi="Times New Roman"/>
              </w:rPr>
            </w:pPr>
            <w:r>
              <w:rPr>
                <w:rFonts w:ascii="Times New Roman" w:hAnsi="Times New Roman"/>
              </w:rPr>
              <w:t>0.02</w:t>
            </w:r>
          </w:p>
        </w:tc>
        <w:tc>
          <w:tcPr>
            <w:tcW w:w="556" w:type="pct"/>
            <w:shd w:val="clear" w:color="auto" w:fill="auto"/>
            <w:noWrap/>
            <w:vAlign w:val="center"/>
          </w:tcPr>
          <w:p>
            <w:pPr>
              <w:pStyle w:val="39"/>
              <w:rPr>
                <w:rFonts w:ascii="Times New Roman" w:hAnsi="Times New Roman"/>
              </w:rPr>
            </w:pPr>
            <w:r>
              <w:rPr>
                <w:rFonts w:ascii="Times New Roman" w:hAnsi="Times New Roman"/>
              </w:rPr>
              <w:t>0.286</w:t>
            </w:r>
          </w:p>
        </w:tc>
        <w:tc>
          <w:tcPr>
            <w:tcW w:w="557" w:type="pct"/>
            <w:shd w:val="clear" w:color="auto" w:fill="auto"/>
            <w:noWrap/>
            <w:vAlign w:val="center"/>
          </w:tcPr>
          <w:p>
            <w:pPr>
              <w:pStyle w:val="39"/>
              <w:rPr>
                <w:rFonts w:ascii="Times New Roman" w:hAnsi="Times New Roman"/>
              </w:rPr>
            </w:pPr>
            <w:r>
              <w:rPr>
                <w:rFonts w:ascii="Times New Roman" w:hAnsi="Times New Roman"/>
              </w:rPr>
              <w:t>2.86</w:t>
            </w:r>
          </w:p>
        </w:tc>
        <w:tc>
          <w:tcPr>
            <w:tcW w:w="556" w:type="pct"/>
            <w:shd w:val="clear" w:color="auto" w:fill="auto"/>
            <w:noWrap/>
            <w:vAlign w:val="center"/>
          </w:tcPr>
          <w:p>
            <w:pPr>
              <w:pStyle w:val="39"/>
              <w:rPr>
                <w:rFonts w:ascii="Times New Roman" w:hAnsi="Times New Roman"/>
              </w:rPr>
            </w:pPr>
            <w:r>
              <w:rPr>
                <w:rFonts w:ascii="Times New Roman" w:hAnsi="Times New Roman"/>
              </w:rPr>
              <w:t>1.286</w:t>
            </w:r>
          </w:p>
        </w:tc>
        <w:tc>
          <w:tcPr>
            <w:tcW w:w="551" w:type="pct"/>
            <w:shd w:val="clear" w:color="auto" w:fill="auto"/>
            <w:noWrap/>
            <w:vAlign w:val="center"/>
          </w:tcPr>
          <w:p>
            <w:pPr>
              <w:pStyle w:val="39"/>
              <w:rPr>
                <w:rFonts w:ascii="Times New Roman" w:hAnsi="Times New Roman"/>
              </w:rPr>
            </w:pPr>
            <w:r>
              <w:rPr>
                <w:rFonts w:ascii="Times New Roman" w:hAnsi="Times New Roma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800</w:t>
            </w:r>
          </w:p>
        </w:tc>
        <w:tc>
          <w:tcPr>
            <w:tcW w:w="556" w:type="pct"/>
            <w:shd w:val="clear" w:color="auto" w:fill="auto"/>
            <w:noWrap/>
            <w:vAlign w:val="center"/>
          </w:tcPr>
          <w:p>
            <w:pPr>
              <w:pStyle w:val="39"/>
              <w:rPr>
                <w:rFonts w:ascii="Times New Roman" w:hAnsi="Times New Roman"/>
              </w:rPr>
            </w:pPr>
            <w:r>
              <w:rPr>
                <w:rFonts w:ascii="Times New Roman" w:hAnsi="Times New Roman"/>
              </w:rPr>
              <w:t>0.055</w:t>
            </w:r>
          </w:p>
        </w:tc>
        <w:tc>
          <w:tcPr>
            <w:tcW w:w="556" w:type="pct"/>
            <w:shd w:val="clear" w:color="auto" w:fill="auto"/>
            <w:noWrap/>
            <w:vAlign w:val="center"/>
          </w:tcPr>
          <w:p>
            <w:pPr>
              <w:pStyle w:val="39"/>
              <w:rPr>
                <w:rFonts w:ascii="Times New Roman" w:hAnsi="Times New Roman"/>
              </w:rPr>
            </w:pPr>
            <w:r>
              <w:rPr>
                <w:rFonts w:ascii="Times New Roman" w:hAnsi="Times New Roman"/>
              </w:rPr>
              <w:t>0.55</w:t>
            </w:r>
          </w:p>
        </w:tc>
        <w:tc>
          <w:tcPr>
            <w:tcW w:w="556" w:type="pct"/>
            <w:shd w:val="clear" w:color="auto" w:fill="auto"/>
            <w:noWrap/>
            <w:vAlign w:val="center"/>
          </w:tcPr>
          <w:p>
            <w:pPr>
              <w:pStyle w:val="39"/>
              <w:rPr>
                <w:rFonts w:ascii="Times New Roman" w:hAnsi="Times New Roman"/>
              </w:rPr>
            </w:pPr>
            <w:r>
              <w:rPr>
                <w:rFonts w:ascii="Times New Roman" w:hAnsi="Times New Roman"/>
              </w:rPr>
              <w:t>0.415</w:t>
            </w:r>
          </w:p>
        </w:tc>
        <w:tc>
          <w:tcPr>
            <w:tcW w:w="556" w:type="pct"/>
            <w:shd w:val="clear" w:color="auto" w:fill="auto"/>
            <w:noWrap/>
            <w:vAlign w:val="center"/>
          </w:tcPr>
          <w:p>
            <w:pPr>
              <w:pStyle w:val="39"/>
              <w:rPr>
                <w:rFonts w:ascii="Times New Roman" w:hAnsi="Times New Roman"/>
              </w:rPr>
            </w:pPr>
            <w:r>
              <w:rPr>
                <w:rFonts w:ascii="Times New Roman" w:hAnsi="Times New Roman"/>
              </w:rPr>
              <w:t>0.02</w:t>
            </w:r>
          </w:p>
        </w:tc>
        <w:tc>
          <w:tcPr>
            <w:tcW w:w="556" w:type="pct"/>
            <w:shd w:val="clear" w:color="auto" w:fill="auto"/>
            <w:noWrap/>
            <w:vAlign w:val="center"/>
          </w:tcPr>
          <w:p>
            <w:pPr>
              <w:pStyle w:val="39"/>
              <w:rPr>
                <w:rFonts w:ascii="Times New Roman" w:hAnsi="Times New Roman"/>
              </w:rPr>
            </w:pPr>
            <w:r>
              <w:rPr>
                <w:rFonts w:ascii="Times New Roman" w:hAnsi="Times New Roman"/>
              </w:rPr>
              <w:t>0.240</w:t>
            </w:r>
          </w:p>
        </w:tc>
        <w:tc>
          <w:tcPr>
            <w:tcW w:w="557" w:type="pct"/>
            <w:shd w:val="clear" w:color="auto" w:fill="auto"/>
            <w:noWrap/>
            <w:vAlign w:val="center"/>
          </w:tcPr>
          <w:p>
            <w:pPr>
              <w:pStyle w:val="39"/>
              <w:rPr>
                <w:rFonts w:ascii="Times New Roman" w:hAnsi="Times New Roman"/>
              </w:rPr>
            </w:pPr>
            <w:r>
              <w:rPr>
                <w:rFonts w:ascii="Times New Roman" w:hAnsi="Times New Roman"/>
              </w:rPr>
              <w:t>2.40</w:t>
            </w:r>
          </w:p>
        </w:tc>
        <w:tc>
          <w:tcPr>
            <w:tcW w:w="556" w:type="pct"/>
            <w:shd w:val="clear" w:color="auto" w:fill="auto"/>
            <w:noWrap/>
            <w:vAlign w:val="center"/>
          </w:tcPr>
          <w:p>
            <w:pPr>
              <w:pStyle w:val="39"/>
              <w:rPr>
                <w:rFonts w:ascii="Times New Roman" w:hAnsi="Times New Roman"/>
              </w:rPr>
            </w:pPr>
            <w:r>
              <w:rPr>
                <w:rFonts w:ascii="Times New Roman" w:hAnsi="Times New Roman"/>
              </w:rPr>
              <w:t>1.076</w:t>
            </w:r>
          </w:p>
        </w:tc>
        <w:tc>
          <w:tcPr>
            <w:tcW w:w="551" w:type="pct"/>
            <w:shd w:val="clear" w:color="auto" w:fill="auto"/>
            <w:noWrap/>
            <w:vAlign w:val="center"/>
          </w:tcPr>
          <w:p>
            <w:pPr>
              <w:pStyle w:val="39"/>
              <w:rPr>
                <w:rFonts w:ascii="Times New Roman" w:hAnsi="Times New Roman"/>
              </w:rPr>
            </w:pPr>
            <w:r>
              <w:rPr>
                <w:rFonts w:ascii="Times New Roman" w:hAnsi="Times New Roma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900</w:t>
            </w:r>
          </w:p>
        </w:tc>
        <w:tc>
          <w:tcPr>
            <w:tcW w:w="556" w:type="pct"/>
            <w:shd w:val="clear" w:color="auto" w:fill="auto"/>
            <w:noWrap/>
            <w:vAlign w:val="center"/>
          </w:tcPr>
          <w:p>
            <w:pPr>
              <w:pStyle w:val="39"/>
              <w:rPr>
                <w:rFonts w:ascii="Times New Roman" w:hAnsi="Times New Roman"/>
              </w:rPr>
            </w:pPr>
            <w:r>
              <w:rPr>
                <w:rFonts w:ascii="Times New Roman" w:hAnsi="Times New Roman"/>
              </w:rPr>
              <w:t>0.047</w:t>
            </w:r>
          </w:p>
        </w:tc>
        <w:tc>
          <w:tcPr>
            <w:tcW w:w="556" w:type="pct"/>
            <w:shd w:val="clear" w:color="auto" w:fill="auto"/>
            <w:noWrap/>
            <w:vAlign w:val="center"/>
          </w:tcPr>
          <w:p>
            <w:pPr>
              <w:pStyle w:val="39"/>
              <w:rPr>
                <w:rFonts w:ascii="Times New Roman" w:hAnsi="Times New Roman"/>
              </w:rPr>
            </w:pPr>
            <w:r>
              <w:rPr>
                <w:rFonts w:ascii="Times New Roman" w:hAnsi="Times New Roman"/>
              </w:rPr>
              <w:t>0.47</w:t>
            </w:r>
          </w:p>
        </w:tc>
        <w:tc>
          <w:tcPr>
            <w:tcW w:w="556" w:type="pct"/>
            <w:shd w:val="clear" w:color="auto" w:fill="auto"/>
            <w:noWrap/>
            <w:vAlign w:val="center"/>
          </w:tcPr>
          <w:p>
            <w:pPr>
              <w:pStyle w:val="39"/>
              <w:rPr>
                <w:rFonts w:ascii="Times New Roman" w:hAnsi="Times New Roman"/>
              </w:rPr>
            </w:pPr>
            <w:r>
              <w:rPr>
                <w:rFonts w:ascii="Times New Roman" w:hAnsi="Times New Roman"/>
              </w:rPr>
              <w:t>0.349</w:t>
            </w:r>
          </w:p>
        </w:tc>
        <w:tc>
          <w:tcPr>
            <w:tcW w:w="556" w:type="pct"/>
            <w:shd w:val="clear" w:color="auto" w:fill="auto"/>
            <w:noWrap/>
            <w:vAlign w:val="center"/>
          </w:tcPr>
          <w:p>
            <w:pPr>
              <w:pStyle w:val="39"/>
              <w:rPr>
                <w:rFonts w:ascii="Times New Roman" w:hAnsi="Times New Roman"/>
              </w:rPr>
            </w:pPr>
            <w:r>
              <w:rPr>
                <w:rFonts w:ascii="Times New Roman" w:hAnsi="Times New Roman"/>
              </w:rPr>
              <w:t>0.02</w:t>
            </w:r>
          </w:p>
        </w:tc>
        <w:tc>
          <w:tcPr>
            <w:tcW w:w="556" w:type="pct"/>
            <w:shd w:val="clear" w:color="auto" w:fill="auto"/>
            <w:noWrap/>
            <w:vAlign w:val="center"/>
          </w:tcPr>
          <w:p>
            <w:pPr>
              <w:pStyle w:val="39"/>
              <w:rPr>
                <w:rFonts w:ascii="Times New Roman" w:hAnsi="Times New Roman"/>
              </w:rPr>
            </w:pPr>
            <w:r>
              <w:rPr>
                <w:rFonts w:ascii="Times New Roman" w:hAnsi="Times New Roman"/>
              </w:rPr>
              <w:t>0.202</w:t>
            </w:r>
          </w:p>
        </w:tc>
        <w:tc>
          <w:tcPr>
            <w:tcW w:w="557" w:type="pct"/>
            <w:shd w:val="clear" w:color="auto" w:fill="auto"/>
            <w:noWrap/>
            <w:vAlign w:val="center"/>
          </w:tcPr>
          <w:p>
            <w:pPr>
              <w:pStyle w:val="39"/>
              <w:rPr>
                <w:rFonts w:ascii="Times New Roman" w:hAnsi="Times New Roman"/>
              </w:rPr>
            </w:pPr>
            <w:r>
              <w:rPr>
                <w:rFonts w:ascii="Times New Roman" w:hAnsi="Times New Roman"/>
              </w:rPr>
              <w:t>2.02</w:t>
            </w:r>
          </w:p>
        </w:tc>
        <w:tc>
          <w:tcPr>
            <w:tcW w:w="556" w:type="pct"/>
            <w:shd w:val="clear" w:color="auto" w:fill="auto"/>
            <w:noWrap/>
            <w:vAlign w:val="center"/>
          </w:tcPr>
          <w:p>
            <w:pPr>
              <w:pStyle w:val="39"/>
              <w:rPr>
                <w:rFonts w:ascii="Times New Roman" w:hAnsi="Times New Roman"/>
              </w:rPr>
            </w:pPr>
            <w:r>
              <w:rPr>
                <w:rFonts w:ascii="Times New Roman" w:hAnsi="Times New Roman"/>
              </w:rPr>
              <w:t>0.907</w:t>
            </w:r>
          </w:p>
        </w:tc>
        <w:tc>
          <w:tcPr>
            <w:tcW w:w="551" w:type="pct"/>
            <w:shd w:val="clear" w:color="auto" w:fill="auto"/>
            <w:noWrap/>
            <w:vAlign w:val="center"/>
          </w:tcPr>
          <w:p>
            <w:pPr>
              <w:pStyle w:val="39"/>
              <w:rPr>
                <w:rFonts w:ascii="Times New Roman" w:hAnsi="Times New Roman"/>
              </w:rPr>
            </w:pPr>
            <w:r>
              <w:rPr>
                <w:rFonts w:ascii="Times New Roman" w:hAnsi="Times New Roma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1000</w:t>
            </w:r>
          </w:p>
        </w:tc>
        <w:tc>
          <w:tcPr>
            <w:tcW w:w="556" w:type="pct"/>
            <w:shd w:val="clear" w:color="auto" w:fill="auto"/>
            <w:noWrap/>
            <w:vAlign w:val="center"/>
          </w:tcPr>
          <w:p>
            <w:pPr>
              <w:pStyle w:val="39"/>
              <w:rPr>
                <w:rFonts w:ascii="Times New Roman" w:hAnsi="Times New Roman"/>
              </w:rPr>
            </w:pPr>
            <w:r>
              <w:rPr>
                <w:rFonts w:ascii="Times New Roman" w:hAnsi="Times New Roman"/>
              </w:rPr>
              <w:t>0.040</w:t>
            </w:r>
          </w:p>
        </w:tc>
        <w:tc>
          <w:tcPr>
            <w:tcW w:w="556" w:type="pct"/>
            <w:shd w:val="clear" w:color="auto" w:fill="auto"/>
            <w:noWrap/>
            <w:vAlign w:val="center"/>
          </w:tcPr>
          <w:p>
            <w:pPr>
              <w:pStyle w:val="39"/>
              <w:rPr>
                <w:rFonts w:ascii="Times New Roman" w:hAnsi="Times New Roman"/>
              </w:rPr>
            </w:pPr>
            <w:r>
              <w:rPr>
                <w:rFonts w:ascii="Times New Roman" w:hAnsi="Times New Roman"/>
              </w:rPr>
              <w:t>0.40</w:t>
            </w:r>
          </w:p>
        </w:tc>
        <w:tc>
          <w:tcPr>
            <w:tcW w:w="556" w:type="pct"/>
            <w:shd w:val="clear" w:color="auto" w:fill="auto"/>
            <w:noWrap/>
            <w:vAlign w:val="center"/>
          </w:tcPr>
          <w:p>
            <w:pPr>
              <w:pStyle w:val="39"/>
              <w:rPr>
                <w:rFonts w:ascii="Times New Roman" w:hAnsi="Times New Roman"/>
              </w:rPr>
            </w:pPr>
            <w:r>
              <w:rPr>
                <w:rFonts w:ascii="Times New Roman" w:hAnsi="Times New Roman"/>
              </w:rPr>
              <w:t>0.299</w:t>
            </w:r>
          </w:p>
        </w:tc>
        <w:tc>
          <w:tcPr>
            <w:tcW w:w="556" w:type="pct"/>
            <w:shd w:val="clear" w:color="auto" w:fill="auto"/>
            <w:noWrap/>
            <w:vAlign w:val="center"/>
          </w:tcPr>
          <w:p>
            <w:pPr>
              <w:pStyle w:val="39"/>
              <w:rPr>
                <w:rFonts w:ascii="Times New Roman" w:hAnsi="Times New Roman"/>
              </w:rPr>
            </w:pPr>
            <w:r>
              <w:rPr>
                <w:rFonts w:ascii="Times New Roman" w:hAnsi="Times New Roman"/>
              </w:rPr>
              <w:t>0.01</w:t>
            </w:r>
          </w:p>
        </w:tc>
        <w:tc>
          <w:tcPr>
            <w:tcW w:w="556" w:type="pct"/>
            <w:shd w:val="clear" w:color="auto" w:fill="auto"/>
            <w:noWrap/>
            <w:vAlign w:val="center"/>
          </w:tcPr>
          <w:p>
            <w:pPr>
              <w:pStyle w:val="39"/>
              <w:rPr>
                <w:rFonts w:ascii="Times New Roman" w:hAnsi="Times New Roman"/>
              </w:rPr>
            </w:pPr>
            <w:r>
              <w:rPr>
                <w:rFonts w:ascii="Times New Roman" w:hAnsi="Times New Roman"/>
              </w:rPr>
              <w:t>0.173</w:t>
            </w:r>
          </w:p>
        </w:tc>
        <w:tc>
          <w:tcPr>
            <w:tcW w:w="557" w:type="pct"/>
            <w:shd w:val="clear" w:color="auto" w:fill="auto"/>
            <w:noWrap/>
            <w:vAlign w:val="center"/>
          </w:tcPr>
          <w:p>
            <w:pPr>
              <w:pStyle w:val="39"/>
              <w:rPr>
                <w:rFonts w:ascii="Times New Roman" w:hAnsi="Times New Roman"/>
              </w:rPr>
            </w:pPr>
            <w:r>
              <w:rPr>
                <w:rFonts w:ascii="Times New Roman" w:hAnsi="Times New Roman"/>
              </w:rPr>
              <w:t>1.73</w:t>
            </w:r>
          </w:p>
        </w:tc>
        <w:tc>
          <w:tcPr>
            <w:tcW w:w="556" w:type="pct"/>
            <w:shd w:val="clear" w:color="auto" w:fill="auto"/>
            <w:noWrap/>
            <w:vAlign w:val="center"/>
          </w:tcPr>
          <w:p>
            <w:pPr>
              <w:pStyle w:val="39"/>
              <w:rPr>
                <w:rFonts w:ascii="Times New Roman" w:hAnsi="Times New Roman"/>
              </w:rPr>
            </w:pPr>
            <w:r>
              <w:rPr>
                <w:rFonts w:ascii="Times New Roman" w:hAnsi="Times New Roman"/>
              </w:rPr>
              <w:t>0.776</w:t>
            </w:r>
          </w:p>
        </w:tc>
        <w:tc>
          <w:tcPr>
            <w:tcW w:w="551" w:type="pct"/>
            <w:shd w:val="clear" w:color="auto" w:fill="auto"/>
            <w:noWrap/>
            <w:vAlign w:val="center"/>
          </w:tcPr>
          <w:p>
            <w:pPr>
              <w:pStyle w:val="39"/>
              <w:rPr>
                <w:rFonts w:ascii="Times New Roman" w:hAnsi="Times New Roman"/>
              </w:rPr>
            </w:pPr>
            <w:r>
              <w:rPr>
                <w:rFonts w:ascii="Times New Roman" w:hAnsi="Times New Roma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1500</w:t>
            </w:r>
          </w:p>
        </w:tc>
        <w:tc>
          <w:tcPr>
            <w:tcW w:w="556" w:type="pct"/>
            <w:shd w:val="clear" w:color="auto" w:fill="auto"/>
            <w:noWrap/>
            <w:vAlign w:val="center"/>
          </w:tcPr>
          <w:p>
            <w:pPr>
              <w:pStyle w:val="39"/>
              <w:rPr>
                <w:rFonts w:ascii="Times New Roman" w:hAnsi="Times New Roman"/>
              </w:rPr>
            </w:pPr>
            <w:r>
              <w:rPr>
                <w:rFonts w:ascii="Times New Roman" w:hAnsi="Times New Roman"/>
              </w:rPr>
              <w:t>0.024</w:t>
            </w:r>
          </w:p>
        </w:tc>
        <w:tc>
          <w:tcPr>
            <w:tcW w:w="556" w:type="pct"/>
            <w:shd w:val="clear" w:color="auto" w:fill="auto"/>
            <w:noWrap/>
            <w:vAlign w:val="center"/>
          </w:tcPr>
          <w:p>
            <w:pPr>
              <w:pStyle w:val="39"/>
              <w:rPr>
                <w:rFonts w:ascii="Times New Roman" w:hAnsi="Times New Roman"/>
              </w:rPr>
            </w:pPr>
            <w:r>
              <w:rPr>
                <w:rFonts w:ascii="Times New Roman" w:hAnsi="Times New Roman"/>
              </w:rPr>
              <w:t>0.24</w:t>
            </w:r>
          </w:p>
        </w:tc>
        <w:tc>
          <w:tcPr>
            <w:tcW w:w="556" w:type="pct"/>
            <w:shd w:val="clear" w:color="auto" w:fill="auto"/>
            <w:noWrap/>
            <w:vAlign w:val="center"/>
          </w:tcPr>
          <w:p>
            <w:pPr>
              <w:pStyle w:val="39"/>
              <w:rPr>
                <w:rFonts w:ascii="Times New Roman" w:hAnsi="Times New Roman"/>
              </w:rPr>
            </w:pPr>
            <w:r>
              <w:rPr>
                <w:rFonts w:ascii="Times New Roman" w:hAnsi="Times New Roman"/>
              </w:rPr>
              <w:t>0.180</w:t>
            </w:r>
          </w:p>
        </w:tc>
        <w:tc>
          <w:tcPr>
            <w:tcW w:w="556" w:type="pct"/>
            <w:shd w:val="clear" w:color="auto" w:fill="auto"/>
            <w:noWrap/>
            <w:vAlign w:val="center"/>
          </w:tcPr>
          <w:p>
            <w:pPr>
              <w:pStyle w:val="39"/>
              <w:rPr>
                <w:rFonts w:ascii="Times New Roman" w:hAnsi="Times New Roman"/>
              </w:rPr>
            </w:pPr>
            <w:r>
              <w:rPr>
                <w:rFonts w:ascii="Times New Roman" w:hAnsi="Times New Roman"/>
              </w:rPr>
              <w:t>0.01</w:t>
            </w:r>
          </w:p>
        </w:tc>
        <w:tc>
          <w:tcPr>
            <w:tcW w:w="556" w:type="pct"/>
            <w:shd w:val="clear" w:color="auto" w:fill="auto"/>
            <w:noWrap/>
            <w:vAlign w:val="center"/>
          </w:tcPr>
          <w:p>
            <w:pPr>
              <w:pStyle w:val="39"/>
              <w:rPr>
                <w:rFonts w:ascii="Times New Roman" w:hAnsi="Times New Roman"/>
              </w:rPr>
            </w:pPr>
            <w:r>
              <w:rPr>
                <w:rFonts w:ascii="Times New Roman" w:hAnsi="Times New Roman"/>
              </w:rPr>
              <w:t>0.104</w:t>
            </w:r>
          </w:p>
        </w:tc>
        <w:tc>
          <w:tcPr>
            <w:tcW w:w="557" w:type="pct"/>
            <w:shd w:val="clear" w:color="auto" w:fill="auto"/>
            <w:noWrap/>
            <w:vAlign w:val="center"/>
          </w:tcPr>
          <w:p>
            <w:pPr>
              <w:pStyle w:val="39"/>
              <w:rPr>
                <w:rFonts w:ascii="Times New Roman" w:hAnsi="Times New Roman"/>
              </w:rPr>
            </w:pPr>
            <w:r>
              <w:rPr>
                <w:rFonts w:ascii="Times New Roman" w:hAnsi="Times New Roman"/>
              </w:rPr>
              <w:t>1.04</w:t>
            </w:r>
          </w:p>
        </w:tc>
        <w:tc>
          <w:tcPr>
            <w:tcW w:w="556" w:type="pct"/>
            <w:shd w:val="clear" w:color="auto" w:fill="auto"/>
            <w:noWrap/>
            <w:vAlign w:val="center"/>
          </w:tcPr>
          <w:p>
            <w:pPr>
              <w:pStyle w:val="39"/>
              <w:rPr>
                <w:rFonts w:ascii="Times New Roman" w:hAnsi="Times New Roman"/>
              </w:rPr>
            </w:pPr>
            <w:r>
              <w:rPr>
                <w:rFonts w:ascii="Times New Roman" w:hAnsi="Times New Roman"/>
              </w:rPr>
              <w:t>0.467</w:t>
            </w:r>
          </w:p>
        </w:tc>
        <w:tc>
          <w:tcPr>
            <w:tcW w:w="551" w:type="pct"/>
            <w:shd w:val="clear" w:color="auto" w:fill="auto"/>
            <w:noWrap/>
            <w:vAlign w:val="center"/>
          </w:tcPr>
          <w:p>
            <w:pPr>
              <w:pStyle w:val="39"/>
              <w:rPr>
                <w:rFonts w:ascii="Times New Roman" w:hAnsi="Times New Roman"/>
              </w:rPr>
            </w:pPr>
            <w:r>
              <w:rPr>
                <w:rFonts w:ascii="Times New Roman" w:hAnsi="Times New Roma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2000</w:t>
            </w:r>
          </w:p>
        </w:tc>
        <w:tc>
          <w:tcPr>
            <w:tcW w:w="556" w:type="pct"/>
            <w:shd w:val="clear" w:color="auto" w:fill="auto"/>
            <w:noWrap/>
            <w:vAlign w:val="center"/>
          </w:tcPr>
          <w:p>
            <w:pPr>
              <w:pStyle w:val="39"/>
              <w:rPr>
                <w:rFonts w:ascii="Times New Roman" w:hAnsi="Times New Roman"/>
              </w:rPr>
            </w:pPr>
            <w:r>
              <w:rPr>
                <w:rFonts w:ascii="Times New Roman" w:hAnsi="Times New Roman"/>
              </w:rPr>
              <w:t>0.017</w:t>
            </w:r>
          </w:p>
        </w:tc>
        <w:tc>
          <w:tcPr>
            <w:tcW w:w="556" w:type="pct"/>
            <w:shd w:val="clear" w:color="auto" w:fill="auto"/>
            <w:noWrap/>
            <w:vAlign w:val="center"/>
          </w:tcPr>
          <w:p>
            <w:pPr>
              <w:pStyle w:val="39"/>
              <w:rPr>
                <w:rFonts w:ascii="Times New Roman" w:hAnsi="Times New Roman"/>
              </w:rPr>
            </w:pPr>
            <w:r>
              <w:rPr>
                <w:rFonts w:ascii="Times New Roman" w:hAnsi="Times New Roman"/>
              </w:rPr>
              <w:t>0.17</w:t>
            </w:r>
          </w:p>
        </w:tc>
        <w:tc>
          <w:tcPr>
            <w:tcW w:w="556" w:type="pct"/>
            <w:shd w:val="clear" w:color="auto" w:fill="auto"/>
            <w:noWrap/>
            <w:vAlign w:val="center"/>
          </w:tcPr>
          <w:p>
            <w:pPr>
              <w:pStyle w:val="39"/>
              <w:rPr>
                <w:rFonts w:ascii="Times New Roman" w:hAnsi="Times New Roman"/>
              </w:rPr>
            </w:pPr>
            <w:r>
              <w:rPr>
                <w:rFonts w:ascii="Times New Roman" w:hAnsi="Times New Roman"/>
              </w:rPr>
              <w:t>0.131</w:t>
            </w:r>
          </w:p>
        </w:tc>
        <w:tc>
          <w:tcPr>
            <w:tcW w:w="556" w:type="pct"/>
            <w:shd w:val="clear" w:color="auto" w:fill="auto"/>
            <w:noWrap/>
            <w:vAlign w:val="center"/>
          </w:tcPr>
          <w:p>
            <w:pPr>
              <w:pStyle w:val="39"/>
              <w:rPr>
                <w:rFonts w:ascii="Times New Roman" w:hAnsi="Times New Roman"/>
              </w:rPr>
            </w:pPr>
            <w:r>
              <w:rPr>
                <w:rFonts w:ascii="Times New Roman" w:hAnsi="Times New Roman"/>
              </w:rPr>
              <w:t>0.01</w:t>
            </w:r>
          </w:p>
        </w:tc>
        <w:tc>
          <w:tcPr>
            <w:tcW w:w="556" w:type="pct"/>
            <w:shd w:val="clear" w:color="auto" w:fill="auto"/>
            <w:noWrap/>
            <w:vAlign w:val="center"/>
          </w:tcPr>
          <w:p>
            <w:pPr>
              <w:pStyle w:val="39"/>
              <w:rPr>
                <w:rFonts w:ascii="Times New Roman" w:hAnsi="Times New Roman"/>
              </w:rPr>
            </w:pPr>
            <w:r>
              <w:rPr>
                <w:rFonts w:ascii="Times New Roman" w:hAnsi="Times New Roman"/>
              </w:rPr>
              <w:t>0.076</w:t>
            </w:r>
          </w:p>
        </w:tc>
        <w:tc>
          <w:tcPr>
            <w:tcW w:w="557" w:type="pct"/>
            <w:shd w:val="clear" w:color="auto" w:fill="auto"/>
            <w:noWrap/>
            <w:vAlign w:val="center"/>
          </w:tcPr>
          <w:p>
            <w:pPr>
              <w:pStyle w:val="39"/>
              <w:rPr>
                <w:rFonts w:ascii="Times New Roman" w:hAnsi="Times New Roman"/>
              </w:rPr>
            </w:pPr>
            <w:r>
              <w:rPr>
                <w:rFonts w:ascii="Times New Roman" w:hAnsi="Times New Roman"/>
              </w:rPr>
              <w:t>0.76</w:t>
            </w:r>
          </w:p>
        </w:tc>
        <w:tc>
          <w:tcPr>
            <w:tcW w:w="556" w:type="pct"/>
            <w:shd w:val="clear" w:color="auto" w:fill="auto"/>
            <w:noWrap/>
            <w:vAlign w:val="center"/>
          </w:tcPr>
          <w:p>
            <w:pPr>
              <w:pStyle w:val="39"/>
              <w:rPr>
                <w:rFonts w:ascii="Times New Roman" w:hAnsi="Times New Roman"/>
              </w:rPr>
            </w:pPr>
            <w:r>
              <w:rPr>
                <w:rFonts w:ascii="Times New Roman" w:hAnsi="Times New Roman"/>
              </w:rPr>
              <w:t>0.340</w:t>
            </w:r>
          </w:p>
        </w:tc>
        <w:tc>
          <w:tcPr>
            <w:tcW w:w="551" w:type="pct"/>
            <w:shd w:val="clear" w:color="auto" w:fill="auto"/>
            <w:noWrap/>
            <w:vAlign w:val="center"/>
          </w:tcPr>
          <w:p>
            <w:pPr>
              <w:pStyle w:val="39"/>
              <w:rPr>
                <w:rFonts w:ascii="Times New Roman" w:hAnsi="Times New Roman"/>
              </w:rPr>
            </w:pPr>
            <w:r>
              <w:rPr>
                <w:rFonts w:ascii="Times New Roman" w:hAnsi="Times New Roma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2500</w:t>
            </w:r>
          </w:p>
        </w:tc>
        <w:tc>
          <w:tcPr>
            <w:tcW w:w="556" w:type="pct"/>
            <w:shd w:val="clear" w:color="auto" w:fill="auto"/>
            <w:noWrap/>
            <w:vAlign w:val="center"/>
          </w:tcPr>
          <w:p>
            <w:pPr>
              <w:pStyle w:val="39"/>
              <w:rPr>
                <w:rFonts w:ascii="Times New Roman" w:hAnsi="Times New Roman"/>
              </w:rPr>
            </w:pPr>
            <w:r>
              <w:rPr>
                <w:rFonts w:ascii="Times New Roman" w:hAnsi="Times New Roman"/>
              </w:rPr>
              <w:t>0.016</w:t>
            </w:r>
          </w:p>
        </w:tc>
        <w:tc>
          <w:tcPr>
            <w:tcW w:w="556" w:type="pct"/>
            <w:shd w:val="clear" w:color="auto" w:fill="auto"/>
            <w:noWrap/>
            <w:vAlign w:val="center"/>
          </w:tcPr>
          <w:p>
            <w:pPr>
              <w:pStyle w:val="39"/>
              <w:rPr>
                <w:rFonts w:ascii="Times New Roman" w:hAnsi="Times New Roman"/>
              </w:rPr>
            </w:pPr>
            <w:r>
              <w:rPr>
                <w:rFonts w:ascii="Times New Roman" w:hAnsi="Times New Roman"/>
              </w:rPr>
              <w:t>0.16</w:t>
            </w:r>
          </w:p>
        </w:tc>
        <w:tc>
          <w:tcPr>
            <w:tcW w:w="556" w:type="pct"/>
            <w:shd w:val="clear" w:color="auto" w:fill="auto"/>
            <w:noWrap/>
            <w:vAlign w:val="center"/>
          </w:tcPr>
          <w:p>
            <w:pPr>
              <w:pStyle w:val="39"/>
              <w:rPr>
                <w:rFonts w:ascii="Times New Roman" w:hAnsi="Times New Roman"/>
              </w:rPr>
            </w:pPr>
            <w:r>
              <w:rPr>
                <w:rFonts w:ascii="Times New Roman" w:hAnsi="Times New Roman"/>
              </w:rPr>
              <w:t>0.117</w:t>
            </w:r>
          </w:p>
        </w:tc>
        <w:tc>
          <w:tcPr>
            <w:tcW w:w="556" w:type="pct"/>
            <w:shd w:val="clear" w:color="auto" w:fill="auto"/>
            <w:noWrap/>
            <w:vAlign w:val="center"/>
          </w:tcPr>
          <w:p>
            <w:pPr>
              <w:pStyle w:val="39"/>
              <w:rPr>
                <w:rFonts w:ascii="Times New Roman" w:hAnsi="Times New Roman"/>
              </w:rPr>
            </w:pPr>
            <w:r>
              <w:rPr>
                <w:rFonts w:ascii="Times New Roman" w:hAnsi="Times New Roman"/>
              </w:rPr>
              <w:t>0.01</w:t>
            </w:r>
          </w:p>
        </w:tc>
        <w:tc>
          <w:tcPr>
            <w:tcW w:w="556" w:type="pct"/>
            <w:shd w:val="clear" w:color="auto" w:fill="auto"/>
            <w:noWrap/>
            <w:vAlign w:val="center"/>
          </w:tcPr>
          <w:p>
            <w:pPr>
              <w:pStyle w:val="39"/>
              <w:rPr>
                <w:rFonts w:ascii="Times New Roman" w:hAnsi="Times New Roman"/>
              </w:rPr>
            </w:pPr>
            <w:r>
              <w:rPr>
                <w:rFonts w:ascii="Times New Roman" w:hAnsi="Times New Roman"/>
              </w:rPr>
              <w:t>0.068</w:t>
            </w:r>
          </w:p>
        </w:tc>
        <w:tc>
          <w:tcPr>
            <w:tcW w:w="557" w:type="pct"/>
            <w:shd w:val="clear" w:color="auto" w:fill="auto"/>
            <w:noWrap/>
            <w:vAlign w:val="center"/>
          </w:tcPr>
          <w:p>
            <w:pPr>
              <w:pStyle w:val="39"/>
              <w:rPr>
                <w:rFonts w:ascii="Times New Roman" w:hAnsi="Times New Roman"/>
              </w:rPr>
            </w:pPr>
            <w:r>
              <w:rPr>
                <w:rFonts w:ascii="Times New Roman" w:hAnsi="Times New Roman"/>
              </w:rPr>
              <w:t>0.68</w:t>
            </w:r>
          </w:p>
        </w:tc>
        <w:tc>
          <w:tcPr>
            <w:tcW w:w="556" w:type="pct"/>
            <w:shd w:val="clear" w:color="auto" w:fill="auto"/>
            <w:noWrap/>
            <w:vAlign w:val="center"/>
          </w:tcPr>
          <w:p>
            <w:pPr>
              <w:pStyle w:val="39"/>
              <w:rPr>
                <w:rFonts w:ascii="Times New Roman" w:hAnsi="Times New Roman"/>
              </w:rPr>
            </w:pPr>
            <w:r>
              <w:rPr>
                <w:rFonts w:ascii="Times New Roman" w:hAnsi="Times New Roman"/>
              </w:rPr>
              <w:t>0.304</w:t>
            </w:r>
          </w:p>
        </w:tc>
        <w:tc>
          <w:tcPr>
            <w:tcW w:w="551" w:type="pct"/>
            <w:shd w:val="clear" w:color="auto" w:fill="auto"/>
            <w:noWrap/>
            <w:vAlign w:val="center"/>
          </w:tcPr>
          <w:p>
            <w:pPr>
              <w:pStyle w:val="39"/>
              <w:rPr>
                <w:rFonts w:ascii="Times New Roman" w:hAnsi="Times New Roman"/>
              </w:rPr>
            </w:pPr>
            <w:r>
              <w:rPr>
                <w:rFonts w:ascii="Times New Roman" w:hAnsi="Times New Roma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3000</w:t>
            </w:r>
          </w:p>
        </w:tc>
        <w:tc>
          <w:tcPr>
            <w:tcW w:w="556" w:type="pct"/>
            <w:shd w:val="clear" w:color="auto" w:fill="auto"/>
            <w:noWrap/>
            <w:vAlign w:val="center"/>
          </w:tcPr>
          <w:p>
            <w:pPr>
              <w:pStyle w:val="39"/>
              <w:rPr>
                <w:rFonts w:ascii="Times New Roman" w:hAnsi="Times New Roman"/>
              </w:rPr>
            </w:pPr>
            <w:r>
              <w:rPr>
                <w:rFonts w:ascii="Times New Roman" w:hAnsi="Times New Roman"/>
              </w:rPr>
              <w:t>0.016</w:t>
            </w:r>
          </w:p>
        </w:tc>
        <w:tc>
          <w:tcPr>
            <w:tcW w:w="556" w:type="pct"/>
            <w:shd w:val="clear" w:color="auto" w:fill="auto"/>
            <w:noWrap/>
            <w:vAlign w:val="center"/>
          </w:tcPr>
          <w:p>
            <w:pPr>
              <w:pStyle w:val="39"/>
              <w:rPr>
                <w:rFonts w:ascii="Times New Roman" w:hAnsi="Times New Roman"/>
              </w:rPr>
            </w:pPr>
            <w:r>
              <w:rPr>
                <w:rFonts w:ascii="Times New Roman" w:hAnsi="Times New Roman"/>
              </w:rPr>
              <w:t>0.16</w:t>
            </w:r>
          </w:p>
        </w:tc>
        <w:tc>
          <w:tcPr>
            <w:tcW w:w="556" w:type="pct"/>
            <w:shd w:val="clear" w:color="auto" w:fill="auto"/>
            <w:noWrap/>
            <w:vAlign w:val="center"/>
          </w:tcPr>
          <w:p>
            <w:pPr>
              <w:pStyle w:val="39"/>
              <w:rPr>
                <w:rFonts w:ascii="Times New Roman" w:hAnsi="Times New Roman"/>
              </w:rPr>
            </w:pPr>
            <w:r>
              <w:rPr>
                <w:rFonts w:ascii="Times New Roman" w:hAnsi="Times New Roman"/>
              </w:rPr>
              <w:t>0.118</w:t>
            </w:r>
          </w:p>
        </w:tc>
        <w:tc>
          <w:tcPr>
            <w:tcW w:w="556" w:type="pct"/>
            <w:shd w:val="clear" w:color="auto" w:fill="auto"/>
            <w:noWrap/>
            <w:vAlign w:val="center"/>
          </w:tcPr>
          <w:p>
            <w:pPr>
              <w:pStyle w:val="39"/>
              <w:rPr>
                <w:rFonts w:ascii="Times New Roman" w:hAnsi="Times New Roman"/>
              </w:rPr>
            </w:pPr>
            <w:r>
              <w:rPr>
                <w:rFonts w:ascii="Times New Roman" w:hAnsi="Times New Roman"/>
              </w:rPr>
              <w:t>0.01</w:t>
            </w:r>
          </w:p>
        </w:tc>
        <w:tc>
          <w:tcPr>
            <w:tcW w:w="556" w:type="pct"/>
            <w:shd w:val="clear" w:color="auto" w:fill="auto"/>
            <w:noWrap/>
            <w:vAlign w:val="center"/>
          </w:tcPr>
          <w:p>
            <w:pPr>
              <w:pStyle w:val="39"/>
              <w:rPr>
                <w:rFonts w:ascii="Times New Roman" w:hAnsi="Times New Roman"/>
              </w:rPr>
            </w:pPr>
            <w:r>
              <w:rPr>
                <w:rFonts w:ascii="Times New Roman" w:hAnsi="Times New Roman"/>
              </w:rPr>
              <w:t>0.068</w:t>
            </w:r>
          </w:p>
        </w:tc>
        <w:tc>
          <w:tcPr>
            <w:tcW w:w="557" w:type="pct"/>
            <w:shd w:val="clear" w:color="auto" w:fill="auto"/>
            <w:noWrap/>
            <w:vAlign w:val="center"/>
          </w:tcPr>
          <w:p>
            <w:pPr>
              <w:pStyle w:val="39"/>
              <w:rPr>
                <w:rFonts w:ascii="Times New Roman" w:hAnsi="Times New Roman"/>
              </w:rPr>
            </w:pPr>
            <w:r>
              <w:rPr>
                <w:rFonts w:ascii="Times New Roman" w:hAnsi="Times New Roman"/>
              </w:rPr>
              <w:t>0.68</w:t>
            </w:r>
          </w:p>
        </w:tc>
        <w:tc>
          <w:tcPr>
            <w:tcW w:w="556" w:type="pct"/>
            <w:shd w:val="clear" w:color="auto" w:fill="auto"/>
            <w:noWrap/>
            <w:vAlign w:val="center"/>
          </w:tcPr>
          <w:p>
            <w:pPr>
              <w:pStyle w:val="39"/>
              <w:rPr>
                <w:rFonts w:ascii="Times New Roman" w:hAnsi="Times New Roman"/>
              </w:rPr>
            </w:pPr>
            <w:r>
              <w:rPr>
                <w:rFonts w:ascii="Times New Roman" w:hAnsi="Times New Roman"/>
              </w:rPr>
              <w:t>0.305</w:t>
            </w:r>
          </w:p>
        </w:tc>
        <w:tc>
          <w:tcPr>
            <w:tcW w:w="551" w:type="pct"/>
            <w:shd w:val="clear" w:color="auto" w:fill="auto"/>
            <w:noWrap/>
            <w:vAlign w:val="center"/>
          </w:tcPr>
          <w:p>
            <w:pPr>
              <w:pStyle w:val="39"/>
              <w:rPr>
                <w:rFonts w:ascii="Times New Roman" w:hAnsi="Times New Roman"/>
              </w:rPr>
            </w:pPr>
            <w:r>
              <w:rPr>
                <w:rFonts w:ascii="Times New Roman" w:hAnsi="Times New Roma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3500</w:t>
            </w:r>
          </w:p>
        </w:tc>
        <w:tc>
          <w:tcPr>
            <w:tcW w:w="556" w:type="pct"/>
            <w:shd w:val="clear" w:color="auto" w:fill="auto"/>
            <w:noWrap/>
            <w:vAlign w:val="center"/>
          </w:tcPr>
          <w:p>
            <w:pPr>
              <w:pStyle w:val="39"/>
              <w:rPr>
                <w:rFonts w:ascii="Times New Roman" w:hAnsi="Times New Roman"/>
              </w:rPr>
            </w:pPr>
            <w:r>
              <w:rPr>
                <w:rFonts w:ascii="Times New Roman" w:hAnsi="Times New Roman"/>
              </w:rPr>
              <w:t>0.014</w:t>
            </w:r>
          </w:p>
        </w:tc>
        <w:tc>
          <w:tcPr>
            <w:tcW w:w="556" w:type="pct"/>
            <w:shd w:val="clear" w:color="auto" w:fill="auto"/>
            <w:noWrap/>
            <w:vAlign w:val="center"/>
          </w:tcPr>
          <w:p>
            <w:pPr>
              <w:pStyle w:val="39"/>
              <w:rPr>
                <w:rFonts w:ascii="Times New Roman" w:hAnsi="Times New Roman"/>
              </w:rPr>
            </w:pPr>
            <w:r>
              <w:rPr>
                <w:rFonts w:ascii="Times New Roman" w:hAnsi="Times New Roman"/>
              </w:rPr>
              <w:t>0.14</w:t>
            </w:r>
          </w:p>
        </w:tc>
        <w:tc>
          <w:tcPr>
            <w:tcW w:w="556" w:type="pct"/>
            <w:shd w:val="clear" w:color="auto" w:fill="auto"/>
            <w:noWrap/>
            <w:vAlign w:val="center"/>
          </w:tcPr>
          <w:p>
            <w:pPr>
              <w:pStyle w:val="39"/>
              <w:rPr>
                <w:rFonts w:ascii="Times New Roman" w:hAnsi="Times New Roman"/>
              </w:rPr>
            </w:pPr>
            <w:r>
              <w:rPr>
                <w:rFonts w:ascii="Times New Roman" w:hAnsi="Times New Roman"/>
              </w:rPr>
              <w:t>0.106</w:t>
            </w:r>
          </w:p>
        </w:tc>
        <w:tc>
          <w:tcPr>
            <w:tcW w:w="556" w:type="pct"/>
            <w:shd w:val="clear" w:color="auto" w:fill="auto"/>
            <w:noWrap/>
            <w:vAlign w:val="center"/>
          </w:tcPr>
          <w:p>
            <w:pPr>
              <w:pStyle w:val="39"/>
              <w:rPr>
                <w:rFonts w:ascii="Times New Roman" w:hAnsi="Times New Roman"/>
              </w:rPr>
            </w:pPr>
            <w:r>
              <w:rPr>
                <w:rFonts w:ascii="Times New Roman" w:hAnsi="Times New Roman"/>
              </w:rPr>
              <w:t>0.01</w:t>
            </w:r>
          </w:p>
        </w:tc>
        <w:tc>
          <w:tcPr>
            <w:tcW w:w="556" w:type="pct"/>
            <w:shd w:val="clear" w:color="auto" w:fill="auto"/>
            <w:noWrap/>
            <w:vAlign w:val="center"/>
          </w:tcPr>
          <w:p>
            <w:pPr>
              <w:pStyle w:val="39"/>
              <w:rPr>
                <w:rFonts w:ascii="Times New Roman" w:hAnsi="Times New Roman"/>
              </w:rPr>
            </w:pPr>
            <w:r>
              <w:rPr>
                <w:rFonts w:ascii="Times New Roman" w:hAnsi="Times New Roman"/>
              </w:rPr>
              <w:t>0.061</w:t>
            </w:r>
          </w:p>
        </w:tc>
        <w:tc>
          <w:tcPr>
            <w:tcW w:w="557" w:type="pct"/>
            <w:shd w:val="clear" w:color="auto" w:fill="auto"/>
            <w:noWrap/>
            <w:vAlign w:val="center"/>
          </w:tcPr>
          <w:p>
            <w:pPr>
              <w:pStyle w:val="39"/>
              <w:rPr>
                <w:rFonts w:ascii="Times New Roman" w:hAnsi="Times New Roman"/>
              </w:rPr>
            </w:pPr>
            <w:r>
              <w:rPr>
                <w:rFonts w:ascii="Times New Roman" w:hAnsi="Times New Roman"/>
              </w:rPr>
              <w:t>0.61</w:t>
            </w:r>
          </w:p>
        </w:tc>
        <w:tc>
          <w:tcPr>
            <w:tcW w:w="556" w:type="pct"/>
            <w:shd w:val="clear" w:color="auto" w:fill="auto"/>
            <w:noWrap/>
            <w:vAlign w:val="center"/>
          </w:tcPr>
          <w:p>
            <w:pPr>
              <w:pStyle w:val="39"/>
              <w:rPr>
                <w:rFonts w:ascii="Times New Roman" w:hAnsi="Times New Roman"/>
              </w:rPr>
            </w:pPr>
            <w:r>
              <w:rPr>
                <w:rFonts w:ascii="Times New Roman" w:hAnsi="Times New Roman"/>
              </w:rPr>
              <w:t>0.274</w:t>
            </w:r>
          </w:p>
        </w:tc>
        <w:tc>
          <w:tcPr>
            <w:tcW w:w="551"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4000</w:t>
            </w:r>
          </w:p>
        </w:tc>
        <w:tc>
          <w:tcPr>
            <w:tcW w:w="556" w:type="pct"/>
            <w:shd w:val="clear" w:color="auto" w:fill="auto"/>
            <w:noWrap/>
            <w:vAlign w:val="center"/>
          </w:tcPr>
          <w:p>
            <w:pPr>
              <w:pStyle w:val="39"/>
              <w:rPr>
                <w:rFonts w:ascii="Times New Roman" w:hAnsi="Times New Roman"/>
              </w:rPr>
            </w:pPr>
            <w:r>
              <w:rPr>
                <w:rFonts w:ascii="Times New Roman" w:hAnsi="Times New Roman"/>
              </w:rPr>
              <w:t>0.013</w:t>
            </w:r>
          </w:p>
        </w:tc>
        <w:tc>
          <w:tcPr>
            <w:tcW w:w="556" w:type="pct"/>
            <w:shd w:val="clear" w:color="auto" w:fill="auto"/>
            <w:noWrap/>
            <w:vAlign w:val="center"/>
          </w:tcPr>
          <w:p>
            <w:pPr>
              <w:pStyle w:val="39"/>
              <w:rPr>
                <w:rFonts w:ascii="Times New Roman" w:hAnsi="Times New Roman"/>
              </w:rPr>
            </w:pPr>
            <w:r>
              <w:rPr>
                <w:rFonts w:ascii="Times New Roman" w:hAnsi="Times New Roman"/>
              </w:rPr>
              <w:t>0.13</w:t>
            </w:r>
          </w:p>
        </w:tc>
        <w:tc>
          <w:tcPr>
            <w:tcW w:w="556" w:type="pct"/>
            <w:shd w:val="clear" w:color="auto" w:fill="auto"/>
            <w:noWrap/>
            <w:vAlign w:val="center"/>
          </w:tcPr>
          <w:p>
            <w:pPr>
              <w:pStyle w:val="39"/>
              <w:rPr>
                <w:rFonts w:ascii="Times New Roman" w:hAnsi="Times New Roman"/>
              </w:rPr>
            </w:pPr>
            <w:r>
              <w:rPr>
                <w:rFonts w:ascii="Times New Roman" w:hAnsi="Times New Roman"/>
              </w:rPr>
              <w:t>0.096</w:t>
            </w:r>
          </w:p>
        </w:tc>
        <w:tc>
          <w:tcPr>
            <w:tcW w:w="556" w:type="pct"/>
            <w:shd w:val="clear" w:color="auto" w:fill="auto"/>
            <w:noWrap/>
            <w:vAlign w:val="center"/>
          </w:tcPr>
          <w:p>
            <w:pPr>
              <w:pStyle w:val="39"/>
              <w:rPr>
                <w:rFonts w:ascii="Times New Roman" w:hAnsi="Times New Roman"/>
              </w:rPr>
            </w:pPr>
            <w:r>
              <w:rPr>
                <w:rFonts w:ascii="Times New Roman" w:hAnsi="Times New Roman"/>
              </w:rPr>
              <w:t>0.00</w:t>
            </w:r>
          </w:p>
        </w:tc>
        <w:tc>
          <w:tcPr>
            <w:tcW w:w="556" w:type="pct"/>
            <w:shd w:val="clear" w:color="auto" w:fill="auto"/>
            <w:noWrap/>
            <w:vAlign w:val="center"/>
          </w:tcPr>
          <w:p>
            <w:pPr>
              <w:pStyle w:val="39"/>
              <w:rPr>
                <w:rFonts w:ascii="Times New Roman" w:hAnsi="Times New Roman"/>
              </w:rPr>
            </w:pPr>
            <w:r>
              <w:rPr>
                <w:rFonts w:ascii="Times New Roman" w:hAnsi="Times New Roman"/>
              </w:rPr>
              <w:t>0.056</w:t>
            </w:r>
          </w:p>
        </w:tc>
        <w:tc>
          <w:tcPr>
            <w:tcW w:w="557" w:type="pct"/>
            <w:shd w:val="clear" w:color="auto" w:fill="auto"/>
            <w:noWrap/>
            <w:vAlign w:val="center"/>
          </w:tcPr>
          <w:p>
            <w:pPr>
              <w:pStyle w:val="39"/>
              <w:rPr>
                <w:rFonts w:ascii="Times New Roman" w:hAnsi="Times New Roman"/>
              </w:rPr>
            </w:pPr>
            <w:r>
              <w:rPr>
                <w:rFonts w:ascii="Times New Roman" w:hAnsi="Times New Roman"/>
              </w:rPr>
              <w:t>0.56</w:t>
            </w:r>
          </w:p>
        </w:tc>
        <w:tc>
          <w:tcPr>
            <w:tcW w:w="556" w:type="pct"/>
            <w:shd w:val="clear" w:color="auto" w:fill="auto"/>
            <w:noWrap/>
            <w:vAlign w:val="center"/>
          </w:tcPr>
          <w:p>
            <w:pPr>
              <w:pStyle w:val="39"/>
              <w:rPr>
                <w:rFonts w:ascii="Times New Roman" w:hAnsi="Times New Roman"/>
              </w:rPr>
            </w:pPr>
            <w:r>
              <w:rPr>
                <w:rFonts w:ascii="Times New Roman" w:hAnsi="Times New Roman"/>
              </w:rPr>
              <w:t>0.250</w:t>
            </w:r>
          </w:p>
        </w:tc>
        <w:tc>
          <w:tcPr>
            <w:tcW w:w="551"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4500</w:t>
            </w:r>
          </w:p>
        </w:tc>
        <w:tc>
          <w:tcPr>
            <w:tcW w:w="556" w:type="pct"/>
            <w:shd w:val="clear" w:color="auto" w:fill="auto"/>
            <w:noWrap/>
            <w:vAlign w:val="center"/>
          </w:tcPr>
          <w:p>
            <w:pPr>
              <w:pStyle w:val="39"/>
              <w:rPr>
                <w:rFonts w:ascii="Times New Roman" w:hAnsi="Times New Roman"/>
              </w:rPr>
            </w:pPr>
            <w:r>
              <w:rPr>
                <w:rFonts w:ascii="Times New Roman" w:hAnsi="Times New Roman"/>
              </w:rPr>
              <w:t>0.012</w:t>
            </w:r>
          </w:p>
        </w:tc>
        <w:tc>
          <w:tcPr>
            <w:tcW w:w="556" w:type="pct"/>
            <w:shd w:val="clear" w:color="auto" w:fill="auto"/>
            <w:noWrap/>
            <w:vAlign w:val="center"/>
          </w:tcPr>
          <w:p>
            <w:pPr>
              <w:pStyle w:val="39"/>
              <w:rPr>
                <w:rFonts w:ascii="Times New Roman" w:hAnsi="Times New Roman"/>
              </w:rPr>
            </w:pPr>
            <w:r>
              <w:rPr>
                <w:rFonts w:ascii="Times New Roman" w:hAnsi="Times New Roman"/>
              </w:rPr>
              <w:t>0.12</w:t>
            </w:r>
          </w:p>
        </w:tc>
        <w:tc>
          <w:tcPr>
            <w:tcW w:w="556" w:type="pct"/>
            <w:shd w:val="clear" w:color="auto" w:fill="auto"/>
            <w:noWrap/>
            <w:vAlign w:val="center"/>
          </w:tcPr>
          <w:p>
            <w:pPr>
              <w:pStyle w:val="39"/>
              <w:rPr>
                <w:rFonts w:ascii="Times New Roman" w:hAnsi="Times New Roman"/>
              </w:rPr>
            </w:pPr>
            <w:r>
              <w:rPr>
                <w:rFonts w:ascii="Times New Roman" w:hAnsi="Times New Roman"/>
              </w:rPr>
              <w:t>0.089</w:t>
            </w:r>
          </w:p>
        </w:tc>
        <w:tc>
          <w:tcPr>
            <w:tcW w:w="556" w:type="pct"/>
            <w:shd w:val="clear" w:color="auto" w:fill="auto"/>
            <w:noWrap/>
            <w:vAlign w:val="center"/>
          </w:tcPr>
          <w:p>
            <w:pPr>
              <w:pStyle w:val="39"/>
              <w:rPr>
                <w:rFonts w:ascii="Times New Roman" w:hAnsi="Times New Roman"/>
              </w:rPr>
            </w:pPr>
            <w:r>
              <w:rPr>
                <w:rFonts w:ascii="Times New Roman" w:hAnsi="Times New Roman"/>
              </w:rPr>
              <w:t>0.00</w:t>
            </w:r>
          </w:p>
        </w:tc>
        <w:tc>
          <w:tcPr>
            <w:tcW w:w="556" w:type="pct"/>
            <w:shd w:val="clear" w:color="auto" w:fill="auto"/>
            <w:noWrap/>
            <w:vAlign w:val="center"/>
          </w:tcPr>
          <w:p>
            <w:pPr>
              <w:pStyle w:val="39"/>
              <w:rPr>
                <w:rFonts w:ascii="Times New Roman" w:hAnsi="Times New Roman"/>
              </w:rPr>
            </w:pPr>
            <w:r>
              <w:rPr>
                <w:rFonts w:ascii="Times New Roman" w:hAnsi="Times New Roman"/>
              </w:rPr>
              <w:t>0.051</w:t>
            </w:r>
          </w:p>
        </w:tc>
        <w:tc>
          <w:tcPr>
            <w:tcW w:w="557" w:type="pct"/>
            <w:shd w:val="clear" w:color="auto" w:fill="auto"/>
            <w:noWrap/>
            <w:vAlign w:val="center"/>
          </w:tcPr>
          <w:p>
            <w:pPr>
              <w:pStyle w:val="39"/>
              <w:rPr>
                <w:rFonts w:ascii="Times New Roman" w:hAnsi="Times New Roman"/>
              </w:rPr>
            </w:pPr>
            <w:r>
              <w:rPr>
                <w:rFonts w:ascii="Times New Roman" w:hAnsi="Times New Roman"/>
              </w:rPr>
              <w:t>0.51</w:t>
            </w:r>
          </w:p>
        </w:tc>
        <w:tc>
          <w:tcPr>
            <w:tcW w:w="556" w:type="pct"/>
            <w:shd w:val="clear" w:color="auto" w:fill="auto"/>
            <w:noWrap/>
            <w:vAlign w:val="center"/>
          </w:tcPr>
          <w:p>
            <w:pPr>
              <w:pStyle w:val="39"/>
              <w:rPr>
                <w:rFonts w:ascii="Times New Roman" w:hAnsi="Times New Roman"/>
              </w:rPr>
            </w:pPr>
            <w:r>
              <w:rPr>
                <w:rFonts w:ascii="Times New Roman" w:hAnsi="Times New Roman"/>
              </w:rPr>
              <w:t>0.230</w:t>
            </w:r>
          </w:p>
        </w:tc>
        <w:tc>
          <w:tcPr>
            <w:tcW w:w="551"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5000</w:t>
            </w:r>
          </w:p>
        </w:tc>
        <w:tc>
          <w:tcPr>
            <w:tcW w:w="556" w:type="pct"/>
            <w:shd w:val="clear" w:color="auto" w:fill="auto"/>
            <w:noWrap/>
            <w:vAlign w:val="center"/>
          </w:tcPr>
          <w:p>
            <w:pPr>
              <w:pStyle w:val="39"/>
              <w:rPr>
                <w:rFonts w:ascii="Times New Roman" w:hAnsi="Times New Roman"/>
              </w:rPr>
            </w:pPr>
            <w:r>
              <w:rPr>
                <w:rFonts w:ascii="Times New Roman" w:hAnsi="Times New Roman"/>
              </w:rPr>
              <w:t>0.011</w:t>
            </w:r>
          </w:p>
        </w:tc>
        <w:tc>
          <w:tcPr>
            <w:tcW w:w="556" w:type="pct"/>
            <w:shd w:val="clear" w:color="auto" w:fill="auto"/>
            <w:noWrap/>
            <w:vAlign w:val="center"/>
          </w:tcPr>
          <w:p>
            <w:pPr>
              <w:pStyle w:val="39"/>
              <w:rPr>
                <w:rFonts w:ascii="Times New Roman" w:hAnsi="Times New Roman"/>
              </w:rPr>
            </w:pPr>
            <w:r>
              <w:rPr>
                <w:rFonts w:ascii="Times New Roman" w:hAnsi="Times New Roman"/>
              </w:rPr>
              <w:t>0.11</w:t>
            </w:r>
          </w:p>
        </w:tc>
        <w:tc>
          <w:tcPr>
            <w:tcW w:w="556" w:type="pct"/>
            <w:shd w:val="clear" w:color="auto" w:fill="auto"/>
            <w:noWrap/>
            <w:vAlign w:val="center"/>
          </w:tcPr>
          <w:p>
            <w:pPr>
              <w:pStyle w:val="39"/>
              <w:rPr>
                <w:rFonts w:ascii="Times New Roman" w:hAnsi="Times New Roman"/>
              </w:rPr>
            </w:pPr>
            <w:r>
              <w:rPr>
                <w:rFonts w:ascii="Times New Roman" w:hAnsi="Times New Roman"/>
              </w:rPr>
              <w:t>0.082</w:t>
            </w:r>
          </w:p>
        </w:tc>
        <w:tc>
          <w:tcPr>
            <w:tcW w:w="556" w:type="pct"/>
            <w:shd w:val="clear" w:color="auto" w:fill="auto"/>
            <w:noWrap/>
            <w:vAlign w:val="center"/>
          </w:tcPr>
          <w:p>
            <w:pPr>
              <w:pStyle w:val="39"/>
              <w:rPr>
                <w:rFonts w:ascii="Times New Roman" w:hAnsi="Times New Roman"/>
              </w:rPr>
            </w:pPr>
            <w:r>
              <w:rPr>
                <w:rFonts w:ascii="Times New Roman" w:hAnsi="Times New Roman"/>
              </w:rPr>
              <w:t>0.00</w:t>
            </w:r>
          </w:p>
        </w:tc>
        <w:tc>
          <w:tcPr>
            <w:tcW w:w="556" w:type="pct"/>
            <w:shd w:val="clear" w:color="auto" w:fill="auto"/>
            <w:noWrap/>
            <w:vAlign w:val="center"/>
          </w:tcPr>
          <w:p>
            <w:pPr>
              <w:pStyle w:val="39"/>
              <w:rPr>
                <w:rFonts w:ascii="Times New Roman" w:hAnsi="Times New Roman"/>
              </w:rPr>
            </w:pPr>
            <w:r>
              <w:rPr>
                <w:rFonts w:ascii="Times New Roman" w:hAnsi="Times New Roman"/>
              </w:rPr>
              <w:t>0.048</w:t>
            </w:r>
          </w:p>
        </w:tc>
        <w:tc>
          <w:tcPr>
            <w:tcW w:w="557" w:type="pct"/>
            <w:shd w:val="clear" w:color="auto" w:fill="auto"/>
            <w:noWrap/>
            <w:vAlign w:val="center"/>
          </w:tcPr>
          <w:p>
            <w:pPr>
              <w:pStyle w:val="39"/>
              <w:rPr>
                <w:rFonts w:ascii="Times New Roman" w:hAnsi="Times New Roman"/>
              </w:rPr>
            </w:pPr>
            <w:r>
              <w:rPr>
                <w:rFonts w:ascii="Times New Roman" w:hAnsi="Times New Roman"/>
              </w:rPr>
              <w:t>0.48</w:t>
            </w:r>
          </w:p>
        </w:tc>
        <w:tc>
          <w:tcPr>
            <w:tcW w:w="556" w:type="pct"/>
            <w:shd w:val="clear" w:color="auto" w:fill="auto"/>
            <w:noWrap/>
            <w:vAlign w:val="center"/>
          </w:tcPr>
          <w:p>
            <w:pPr>
              <w:pStyle w:val="39"/>
              <w:rPr>
                <w:rFonts w:ascii="Times New Roman" w:hAnsi="Times New Roman"/>
              </w:rPr>
            </w:pPr>
            <w:r>
              <w:rPr>
                <w:rFonts w:ascii="Times New Roman" w:hAnsi="Times New Roman"/>
              </w:rPr>
              <w:t>0.213</w:t>
            </w:r>
          </w:p>
        </w:tc>
        <w:tc>
          <w:tcPr>
            <w:tcW w:w="551"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6000</w:t>
            </w:r>
          </w:p>
        </w:tc>
        <w:tc>
          <w:tcPr>
            <w:tcW w:w="556" w:type="pct"/>
            <w:shd w:val="clear" w:color="auto" w:fill="auto"/>
            <w:noWrap/>
            <w:vAlign w:val="center"/>
          </w:tcPr>
          <w:p>
            <w:pPr>
              <w:pStyle w:val="39"/>
              <w:rPr>
                <w:rFonts w:ascii="Times New Roman" w:hAnsi="Times New Roman"/>
              </w:rPr>
            </w:pPr>
            <w:r>
              <w:rPr>
                <w:rFonts w:ascii="Times New Roman" w:hAnsi="Times New Roman"/>
              </w:rPr>
              <w:t>0.010</w:t>
            </w:r>
          </w:p>
        </w:tc>
        <w:tc>
          <w:tcPr>
            <w:tcW w:w="556" w:type="pct"/>
            <w:shd w:val="clear" w:color="auto" w:fill="auto"/>
            <w:noWrap/>
            <w:vAlign w:val="center"/>
          </w:tcPr>
          <w:p>
            <w:pPr>
              <w:pStyle w:val="39"/>
              <w:rPr>
                <w:rFonts w:ascii="Times New Roman" w:hAnsi="Times New Roman"/>
              </w:rPr>
            </w:pPr>
            <w:r>
              <w:rPr>
                <w:rFonts w:ascii="Times New Roman" w:hAnsi="Times New Roman"/>
              </w:rPr>
              <w:t>0.10</w:t>
            </w:r>
          </w:p>
        </w:tc>
        <w:tc>
          <w:tcPr>
            <w:tcW w:w="556" w:type="pct"/>
            <w:shd w:val="clear" w:color="auto" w:fill="auto"/>
            <w:noWrap/>
            <w:vAlign w:val="center"/>
          </w:tcPr>
          <w:p>
            <w:pPr>
              <w:pStyle w:val="39"/>
              <w:rPr>
                <w:rFonts w:ascii="Times New Roman" w:hAnsi="Times New Roman"/>
              </w:rPr>
            </w:pPr>
            <w:r>
              <w:rPr>
                <w:rFonts w:ascii="Times New Roman" w:hAnsi="Times New Roman"/>
              </w:rPr>
              <w:t>0.072</w:t>
            </w:r>
          </w:p>
        </w:tc>
        <w:tc>
          <w:tcPr>
            <w:tcW w:w="556" w:type="pct"/>
            <w:shd w:val="clear" w:color="auto" w:fill="auto"/>
            <w:noWrap/>
            <w:vAlign w:val="center"/>
          </w:tcPr>
          <w:p>
            <w:pPr>
              <w:pStyle w:val="39"/>
              <w:rPr>
                <w:rFonts w:ascii="Times New Roman" w:hAnsi="Times New Roman"/>
              </w:rPr>
            </w:pPr>
            <w:r>
              <w:rPr>
                <w:rFonts w:ascii="Times New Roman" w:hAnsi="Times New Roman"/>
              </w:rPr>
              <w:t>0.00</w:t>
            </w:r>
          </w:p>
        </w:tc>
        <w:tc>
          <w:tcPr>
            <w:tcW w:w="556" w:type="pct"/>
            <w:shd w:val="clear" w:color="auto" w:fill="auto"/>
            <w:noWrap/>
            <w:vAlign w:val="center"/>
          </w:tcPr>
          <w:p>
            <w:pPr>
              <w:pStyle w:val="39"/>
              <w:rPr>
                <w:rFonts w:ascii="Times New Roman" w:hAnsi="Times New Roman"/>
              </w:rPr>
            </w:pPr>
            <w:r>
              <w:rPr>
                <w:rFonts w:ascii="Times New Roman" w:hAnsi="Times New Roman"/>
              </w:rPr>
              <w:t>0.042</w:t>
            </w:r>
          </w:p>
        </w:tc>
        <w:tc>
          <w:tcPr>
            <w:tcW w:w="557" w:type="pct"/>
            <w:shd w:val="clear" w:color="auto" w:fill="auto"/>
            <w:noWrap/>
            <w:vAlign w:val="center"/>
          </w:tcPr>
          <w:p>
            <w:pPr>
              <w:pStyle w:val="39"/>
              <w:rPr>
                <w:rFonts w:ascii="Times New Roman" w:hAnsi="Times New Roman"/>
              </w:rPr>
            </w:pPr>
            <w:r>
              <w:rPr>
                <w:rFonts w:ascii="Times New Roman" w:hAnsi="Times New Roman"/>
              </w:rPr>
              <w:t>0.42</w:t>
            </w:r>
          </w:p>
        </w:tc>
        <w:tc>
          <w:tcPr>
            <w:tcW w:w="556" w:type="pct"/>
            <w:shd w:val="clear" w:color="auto" w:fill="auto"/>
            <w:noWrap/>
            <w:vAlign w:val="center"/>
          </w:tcPr>
          <w:p>
            <w:pPr>
              <w:pStyle w:val="39"/>
              <w:rPr>
                <w:rFonts w:ascii="Times New Roman" w:hAnsi="Times New Roman"/>
              </w:rPr>
            </w:pPr>
            <w:r>
              <w:rPr>
                <w:rFonts w:ascii="Times New Roman" w:hAnsi="Times New Roman"/>
              </w:rPr>
              <w:t>0.188</w:t>
            </w:r>
          </w:p>
        </w:tc>
        <w:tc>
          <w:tcPr>
            <w:tcW w:w="551"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7000</w:t>
            </w:r>
          </w:p>
        </w:tc>
        <w:tc>
          <w:tcPr>
            <w:tcW w:w="556" w:type="pct"/>
            <w:shd w:val="clear" w:color="auto" w:fill="auto"/>
            <w:noWrap/>
            <w:vAlign w:val="center"/>
          </w:tcPr>
          <w:p>
            <w:pPr>
              <w:pStyle w:val="39"/>
              <w:rPr>
                <w:rFonts w:ascii="Times New Roman" w:hAnsi="Times New Roman"/>
              </w:rPr>
            </w:pPr>
            <w:r>
              <w:rPr>
                <w:rFonts w:ascii="Times New Roman" w:hAnsi="Times New Roman"/>
              </w:rPr>
              <w:t>0.009</w:t>
            </w:r>
          </w:p>
        </w:tc>
        <w:tc>
          <w:tcPr>
            <w:tcW w:w="556" w:type="pct"/>
            <w:shd w:val="clear" w:color="auto" w:fill="auto"/>
            <w:noWrap/>
            <w:vAlign w:val="center"/>
          </w:tcPr>
          <w:p>
            <w:pPr>
              <w:pStyle w:val="39"/>
              <w:rPr>
                <w:rFonts w:ascii="Times New Roman" w:hAnsi="Times New Roman"/>
              </w:rPr>
            </w:pPr>
            <w:r>
              <w:rPr>
                <w:rFonts w:ascii="Times New Roman" w:hAnsi="Times New Roman"/>
              </w:rPr>
              <w:t>0.09</w:t>
            </w:r>
          </w:p>
        </w:tc>
        <w:tc>
          <w:tcPr>
            <w:tcW w:w="556" w:type="pct"/>
            <w:shd w:val="clear" w:color="auto" w:fill="auto"/>
            <w:noWrap/>
            <w:vAlign w:val="center"/>
          </w:tcPr>
          <w:p>
            <w:pPr>
              <w:pStyle w:val="39"/>
              <w:rPr>
                <w:rFonts w:ascii="Times New Roman" w:hAnsi="Times New Roman"/>
              </w:rPr>
            </w:pPr>
            <w:r>
              <w:rPr>
                <w:rFonts w:ascii="Times New Roman" w:hAnsi="Times New Roman"/>
              </w:rPr>
              <w:t>0.065</w:t>
            </w:r>
          </w:p>
        </w:tc>
        <w:tc>
          <w:tcPr>
            <w:tcW w:w="556" w:type="pct"/>
            <w:shd w:val="clear" w:color="auto" w:fill="auto"/>
            <w:noWrap/>
            <w:vAlign w:val="center"/>
          </w:tcPr>
          <w:p>
            <w:pPr>
              <w:pStyle w:val="39"/>
              <w:rPr>
                <w:rFonts w:ascii="Times New Roman" w:hAnsi="Times New Roman"/>
              </w:rPr>
            </w:pPr>
            <w:r>
              <w:rPr>
                <w:rFonts w:ascii="Times New Roman" w:hAnsi="Times New Roman"/>
              </w:rPr>
              <w:t>0.00</w:t>
            </w:r>
          </w:p>
        </w:tc>
        <w:tc>
          <w:tcPr>
            <w:tcW w:w="556" w:type="pct"/>
            <w:shd w:val="clear" w:color="auto" w:fill="auto"/>
            <w:noWrap/>
            <w:vAlign w:val="center"/>
          </w:tcPr>
          <w:p>
            <w:pPr>
              <w:pStyle w:val="39"/>
              <w:rPr>
                <w:rFonts w:ascii="Times New Roman" w:hAnsi="Times New Roman"/>
              </w:rPr>
            </w:pPr>
            <w:r>
              <w:rPr>
                <w:rFonts w:ascii="Times New Roman" w:hAnsi="Times New Roman"/>
              </w:rPr>
              <w:t>0.038</w:t>
            </w:r>
          </w:p>
        </w:tc>
        <w:tc>
          <w:tcPr>
            <w:tcW w:w="557" w:type="pct"/>
            <w:shd w:val="clear" w:color="auto" w:fill="auto"/>
            <w:noWrap/>
            <w:vAlign w:val="center"/>
          </w:tcPr>
          <w:p>
            <w:pPr>
              <w:pStyle w:val="39"/>
              <w:rPr>
                <w:rFonts w:ascii="Times New Roman" w:hAnsi="Times New Roman"/>
              </w:rPr>
            </w:pPr>
            <w:r>
              <w:rPr>
                <w:rFonts w:ascii="Times New Roman" w:hAnsi="Times New Roman"/>
              </w:rPr>
              <w:t>0.38</w:t>
            </w:r>
          </w:p>
        </w:tc>
        <w:tc>
          <w:tcPr>
            <w:tcW w:w="556" w:type="pct"/>
            <w:shd w:val="clear" w:color="auto" w:fill="auto"/>
            <w:noWrap/>
            <w:vAlign w:val="center"/>
          </w:tcPr>
          <w:p>
            <w:pPr>
              <w:pStyle w:val="39"/>
              <w:rPr>
                <w:rFonts w:ascii="Times New Roman" w:hAnsi="Times New Roman"/>
              </w:rPr>
            </w:pPr>
            <w:r>
              <w:rPr>
                <w:rFonts w:ascii="Times New Roman" w:hAnsi="Times New Roman"/>
              </w:rPr>
              <w:t>0.169</w:t>
            </w:r>
          </w:p>
        </w:tc>
        <w:tc>
          <w:tcPr>
            <w:tcW w:w="551"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8000</w:t>
            </w:r>
          </w:p>
        </w:tc>
        <w:tc>
          <w:tcPr>
            <w:tcW w:w="556" w:type="pct"/>
            <w:shd w:val="clear" w:color="auto" w:fill="auto"/>
            <w:noWrap/>
            <w:vAlign w:val="center"/>
          </w:tcPr>
          <w:p>
            <w:pPr>
              <w:pStyle w:val="39"/>
              <w:rPr>
                <w:rFonts w:ascii="Times New Roman" w:hAnsi="Times New Roman"/>
              </w:rPr>
            </w:pPr>
            <w:r>
              <w:rPr>
                <w:rFonts w:ascii="Times New Roman" w:hAnsi="Times New Roman"/>
              </w:rPr>
              <w:t>0.008</w:t>
            </w:r>
          </w:p>
        </w:tc>
        <w:tc>
          <w:tcPr>
            <w:tcW w:w="556" w:type="pct"/>
            <w:shd w:val="clear" w:color="auto" w:fill="auto"/>
            <w:noWrap/>
            <w:vAlign w:val="center"/>
          </w:tcPr>
          <w:p>
            <w:pPr>
              <w:pStyle w:val="39"/>
              <w:rPr>
                <w:rFonts w:ascii="Times New Roman" w:hAnsi="Times New Roman"/>
              </w:rPr>
            </w:pPr>
            <w:r>
              <w:rPr>
                <w:rFonts w:ascii="Times New Roman" w:hAnsi="Times New Roman"/>
              </w:rPr>
              <w:t>0.08</w:t>
            </w:r>
          </w:p>
        </w:tc>
        <w:tc>
          <w:tcPr>
            <w:tcW w:w="556" w:type="pct"/>
            <w:shd w:val="clear" w:color="auto" w:fill="auto"/>
            <w:noWrap/>
            <w:vAlign w:val="center"/>
          </w:tcPr>
          <w:p>
            <w:pPr>
              <w:pStyle w:val="39"/>
              <w:rPr>
                <w:rFonts w:ascii="Times New Roman" w:hAnsi="Times New Roman"/>
              </w:rPr>
            </w:pPr>
            <w:r>
              <w:rPr>
                <w:rFonts w:ascii="Times New Roman" w:hAnsi="Times New Roman"/>
              </w:rPr>
              <w:t>0.059</w:t>
            </w:r>
          </w:p>
        </w:tc>
        <w:tc>
          <w:tcPr>
            <w:tcW w:w="556" w:type="pct"/>
            <w:shd w:val="clear" w:color="auto" w:fill="auto"/>
            <w:noWrap/>
            <w:vAlign w:val="center"/>
          </w:tcPr>
          <w:p>
            <w:pPr>
              <w:pStyle w:val="39"/>
              <w:rPr>
                <w:rFonts w:ascii="Times New Roman" w:hAnsi="Times New Roman"/>
              </w:rPr>
            </w:pPr>
            <w:r>
              <w:rPr>
                <w:rFonts w:ascii="Times New Roman" w:hAnsi="Times New Roman"/>
              </w:rPr>
              <w:t>0.00</w:t>
            </w:r>
          </w:p>
        </w:tc>
        <w:tc>
          <w:tcPr>
            <w:tcW w:w="556" w:type="pct"/>
            <w:shd w:val="clear" w:color="auto" w:fill="auto"/>
            <w:noWrap/>
            <w:vAlign w:val="center"/>
          </w:tcPr>
          <w:p>
            <w:pPr>
              <w:pStyle w:val="39"/>
              <w:rPr>
                <w:rFonts w:ascii="Times New Roman" w:hAnsi="Times New Roman"/>
              </w:rPr>
            </w:pPr>
            <w:r>
              <w:rPr>
                <w:rFonts w:ascii="Times New Roman" w:hAnsi="Times New Roman"/>
              </w:rPr>
              <w:t>0.034</w:t>
            </w:r>
          </w:p>
        </w:tc>
        <w:tc>
          <w:tcPr>
            <w:tcW w:w="557" w:type="pct"/>
            <w:shd w:val="clear" w:color="auto" w:fill="auto"/>
            <w:noWrap/>
            <w:vAlign w:val="center"/>
          </w:tcPr>
          <w:p>
            <w:pPr>
              <w:pStyle w:val="39"/>
              <w:rPr>
                <w:rFonts w:ascii="Times New Roman" w:hAnsi="Times New Roman"/>
              </w:rPr>
            </w:pPr>
            <w:r>
              <w:rPr>
                <w:rFonts w:ascii="Times New Roman" w:hAnsi="Times New Roman"/>
              </w:rPr>
              <w:t>0.34</w:t>
            </w:r>
          </w:p>
        </w:tc>
        <w:tc>
          <w:tcPr>
            <w:tcW w:w="556" w:type="pct"/>
            <w:shd w:val="clear" w:color="auto" w:fill="auto"/>
            <w:noWrap/>
            <w:vAlign w:val="center"/>
          </w:tcPr>
          <w:p>
            <w:pPr>
              <w:pStyle w:val="39"/>
              <w:rPr>
                <w:rFonts w:ascii="Times New Roman" w:hAnsi="Times New Roman"/>
              </w:rPr>
            </w:pPr>
            <w:r>
              <w:rPr>
                <w:rFonts w:ascii="Times New Roman" w:hAnsi="Times New Roman"/>
              </w:rPr>
              <w:t>0.154</w:t>
            </w:r>
          </w:p>
        </w:tc>
        <w:tc>
          <w:tcPr>
            <w:tcW w:w="551"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9000</w:t>
            </w:r>
          </w:p>
        </w:tc>
        <w:tc>
          <w:tcPr>
            <w:tcW w:w="556" w:type="pct"/>
            <w:shd w:val="clear" w:color="auto" w:fill="auto"/>
            <w:noWrap/>
            <w:vAlign w:val="center"/>
          </w:tcPr>
          <w:p>
            <w:pPr>
              <w:pStyle w:val="39"/>
              <w:rPr>
                <w:rFonts w:ascii="Times New Roman" w:hAnsi="Times New Roman"/>
              </w:rPr>
            </w:pPr>
            <w:r>
              <w:rPr>
                <w:rFonts w:ascii="Times New Roman" w:hAnsi="Times New Roman"/>
              </w:rPr>
              <w:t>0.007</w:t>
            </w:r>
          </w:p>
        </w:tc>
        <w:tc>
          <w:tcPr>
            <w:tcW w:w="556" w:type="pct"/>
            <w:shd w:val="clear" w:color="auto" w:fill="auto"/>
            <w:noWrap/>
            <w:vAlign w:val="center"/>
          </w:tcPr>
          <w:p>
            <w:pPr>
              <w:pStyle w:val="39"/>
              <w:rPr>
                <w:rFonts w:ascii="Times New Roman" w:hAnsi="Times New Roman"/>
              </w:rPr>
            </w:pPr>
            <w:r>
              <w:rPr>
                <w:rFonts w:ascii="Times New Roman" w:hAnsi="Times New Roman"/>
              </w:rPr>
              <w:t>0.07</w:t>
            </w:r>
          </w:p>
        </w:tc>
        <w:tc>
          <w:tcPr>
            <w:tcW w:w="556" w:type="pct"/>
            <w:shd w:val="clear" w:color="auto" w:fill="auto"/>
            <w:noWrap/>
            <w:vAlign w:val="center"/>
          </w:tcPr>
          <w:p>
            <w:pPr>
              <w:pStyle w:val="39"/>
              <w:rPr>
                <w:rFonts w:ascii="Times New Roman" w:hAnsi="Times New Roman"/>
              </w:rPr>
            </w:pPr>
            <w:r>
              <w:rPr>
                <w:rFonts w:ascii="Times New Roman" w:hAnsi="Times New Roman"/>
              </w:rPr>
              <w:t>0.054</w:t>
            </w:r>
          </w:p>
        </w:tc>
        <w:tc>
          <w:tcPr>
            <w:tcW w:w="556" w:type="pct"/>
            <w:shd w:val="clear" w:color="auto" w:fill="auto"/>
            <w:noWrap/>
            <w:vAlign w:val="center"/>
          </w:tcPr>
          <w:p>
            <w:pPr>
              <w:pStyle w:val="39"/>
              <w:rPr>
                <w:rFonts w:ascii="Times New Roman" w:hAnsi="Times New Roman"/>
              </w:rPr>
            </w:pPr>
            <w:r>
              <w:rPr>
                <w:rFonts w:ascii="Times New Roman" w:hAnsi="Times New Roman"/>
              </w:rPr>
              <w:t>0.00</w:t>
            </w:r>
          </w:p>
        </w:tc>
        <w:tc>
          <w:tcPr>
            <w:tcW w:w="556" w:type="pct"/>
            <w:shd w:val="clear" w:color="auto" w:fill="auto"/>
            <w:noWrap/>
            <w:vAlign w:val="center"/>
          </w:tcPr>
          <w:p>
            <w:pPr>
              <w:pStyle w:val="39"/>
              <w:rPr>
                <w:rFonts w:ascii="Times New Roman" w:hAnsi="Times New Roman"/>
              </w:rPr>
            </w:pPr>
            <w:r>
              <w:rPr>
                <w:rFonts w:ascii="Times New Roman" w:hAnsi="Times New Roman"/>
              </w:rPr>
              <w:t>0.031</w:t>
            </w:r>
          </w:p>
        </w:tc>
        <w:tc>
          <w:tcPr>
            <w:tcW w:w="557" w:type="pct"/>
            <w:shd w:val="clear" w:color="auto" w:fill="auto"/>
            <w:noWrap/>
            <w:vAlign w:val="center"/>
          </w:tcPr>
          <w:p>
            <w:pPr>
              <w:pStyle w:val="39"/>
              <w:rPr>
                <w:rFonts w:ascii="Times New Roman" w:hAnsi="Times New Roman"/>
              </w:rPr>
            </w:pPr>
            <w:r>
              <w:rPr>
                <w:rFonts w:ascii="Times New Roman" w:hAnsi="Times New Roman"/>
              </w:rPr>
              <w:t>0.31</w:t>
            </w:r>
          </w:p>
        </w:tc>
        <w:tc>
          <w:tcPr>
            <w:tcW w:w="556" w:type="pct"/>
            <w:shd w:val="clear" w:color="auto" w:fill="auto"/>
            <w:noWrap/>
            <w:vAlign w:val="center"/>
          </w:tcPr>
          <w:p>
            <w:pPr>
              <w:pStyle w:val="39"/>
              <w:rPr>
                <w:rFonts w:ascii="Times New Roman" w:hAnsi="Times New Roman"/>
              </w:rPr>
            </w:pPr>
            <w:r>
              <w:rPr>
                <w:rFonts w:ascii="Times New Roman" w:hAnsi="Times New Roman"/>
              </w:rPr>
              <w:t>0.141</w:t>
            </w:r>
          </w:p>
        </w:tc>
        <w:tc>
          <w:tcPr>
            <w:tcW w:w="551"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10000</w:t>
            </w:r>
          </w:p>
        </w:tc>
        <w:tc>
          <w:tcPr>
            <w:tcW w:w="556" w:type="pct"/>
            <w:shd w:val="clear" w:color="auto" w:fill="auto"/>
            <w:noWrap/>
            <w:vAlign w:val="center"/>
          </w:tcPr>
          <w:p>
            <w:pPr>
              <w:pStyle w:val="39"/>
              <w:rPr>
                <w:rFonts w:ascii="Times New Roman" w:hAnsi="Times New Roman"/>
              </w:rPr>
            </w:pPr>
            <w:r>
              <w:rPr>
                <w:rFonts w:ascii="Times New Roman" w:hAnsi="Times New Roman"/>
              </w:rPr>
              <w:t>0.007</w:t>
            </w:r>
          </w:p>
        </w:tc>
        <w:tc>
          <w:tcPr>
            <w:tcW w:w="556" w:type="pct"/>
            <w:shd w:val="clear" w:color="auto" w:fill="auto"/>
            <w:noWrap/>
            <w:vAlign w:val="center"/>
          </w:tcPr>
          <w:p>
            <w:pPr>
              <w:pStyle w:val="39"/>
              <w:rPr>
                <w:rFonts w:ascii="Times New Roman" w:hAnsi="Times New Roman"/>
              </w:rPr>
            </w:pPr>
            <w:r>
              <w:rPr>
                <w:rFonts w:ascii="Times New Roman" w:hAnsi="Times New Roman"/>
              </w:rPr>
              <w:t>0.07</w:t>
            </w:r>
          </w:p>
        </w:tc>
        <w:tc>
          <w:tcPr>
            <w:tcW w:w="556" w:type="pct"/>
            <w:shd w:val="clear" w:color="auto" w:fill="auto"/>
            <w:noWrap/>
            <w:vAlign w:val="center"/>
          </w:tcPr>
          <w:p>
            <w:pPr>
              <w:pStyle w:val="39"/>
              <w:rPr>
                <w:rFonts w:ascii="Times New Roman" w:hAnsi="Times New Roman"/>
              </w:rPr>
            </w:pPr>
            <w:r>
              <w:rPr>
                <w:rFonts w:ascii="Times New Roman" w:hAnsi="Times New Roman"/>
              </w:rPr>
              <w:t>0.051</w:t>
            </w:r>
          </w:p>
        </w:tc>
        <w:tc>
          <w:tcPr>
            <w:tcW w:w="556" w:type="pct"/>
            <w:shd w:val="clear" w:color="auto" w:fill="auto"/>
            <w:noWrap/>
            <w:vAlign w:val="center"/>
          </w:tcPr>
          <w:p>
            <w:pPr>
              <w:pStyle w:val="39"/>
              <w:rPr>
                <w:rFonts w:ascii="Times New Roman" w:hAnsi="Times New Roman"/>
              </w:rPr>
            </w:pPr>
            <w:r>
              <w:rPr>
                <w:rFonts w:ascii="Times New Roman" w:hAnsi="Times New Roman"/>
              </w:rPr>
              <w:t>0.00</w:t>
            </w:r>
          </w:p>
        </w:tc>
        <w:tc>
          <w:tcPr>
            <w:tcW w:w="556" w:type="pct"/>
            <w:shd w:val="clear" w:color="auto" w:fill="auto"/>
            <w:noWrap/>
            <w:vAlign w:val="center"/>
          </w:tcPr>
          <w:p>
            <w:pPr>
              <w:pStyle w:val="39"/>
              <w:rPr>
                <w:rFonts w:ascii="Times New Roman" w:hAnsi="Times New Roman"/>
              </w:rPr>
            </w:pPr>
            <w:r>
              <w:rPr>
                <w:rFonts w:ascii="Times New Roman" w:hAnsi="Times New Roman"/>
              </w:rPr>
              <w:t>0.029</w:t>
            </w:r>
          </w:p>
        </w:tc>
        <w:tc>
          <w:tcPr>
            <w:tcW w:w="557" w:type="pct"/>
            <w:shd w:val="clear" w:color="auto" w:fill="auto"/>
            <w:noWrap/>
            <w:vAlign w:val="center"/>
          </w:tcPr>
          <w:p>
            <w:pPr>
              <w:pStyle w:val="39"/>
              <w:rPr>
                <w:rFonts w:ascii="Times New Roman" w:hAnsi="Times New Roman"/>
              </w:rPr>
            </w:pPr>
            <w:r>
              <w:rPr>
                <w:rFonts w:ascii="Times New Roman" w:hAnsi="Times New Roman"/>
              </w:rPr>
              <w:t>0.29</w:t>
            </w:r>
          </w:p>
        </w:tc>
        <w:tc>
          <w:tcPr>
            <w:tcW w:w="556" w:type="pct"/>
            <w:shd w:val="clear" w:color="auto" w:fill="auto"/>
            <w:noWrap/>
            <w:vAlign w:val="center"/>
          </w:tcPr>
          <w:p>
            <w:pPr>
              <w:pStyle w:val="39"/>
              <w:rPr>
                <w:rFonts w:ascii="Times New Roman" w:hAnsi="Times New Roman"/>
              </w:rPr>
            </w:pPr>
            <w:r>
              <w:rPr>
                <w:rFonts w:ascii="Times New Roman" w:hAnsi="Times New Roman"/>
              </w:rPr>
              <w:t>0.131</w:t>
            </w:r>
          </w:p>
        </w:tc>
        <w:tc>
          <w:tcPr>
            <w:tcW w:w="551"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11000</w:t>
            </w:r>
          </w:p>
        </w:tc>
        <w:tc>
          <w:tcPr>
            <w:tcW w:w="556" w:type="pct"/>
            <w:shd w:val="clear" w:color="auto" w:fill="auto"/>
            <w:noWrap/>
            <w:vAlign w:val="center"/>
          </w:tcPr>
          <w:p>
            <w:pPr>
              <w:pStyle w:val="39"/>
              <w:rPr>
                <w:rFonts w:ascii="Times New Roman" w:hAnsi="Times New Roman"/>
              </w:rPr>
            </w:pPr>
            <w:r>
              <w:rPr>
                <w:rFonts w:ascii="Times New Roman" w:hAnsi="Times New Roman"/>
              </w:rPr>
              <w:t>0.006</w:t>
            </w:r>
          </w:p>
        </w:tc>
        <w:tc>
          <w:tcPr>
            <w:tcW w:w="556" w:type="pct"/>
            <w:shd w:val="clear" w:color="auto" w:fill="auto"/>
            <w:noWrap/>
            <w:vAlign w:val="center"/>
          </w:tcPr>
          <w:p>
            <w:pPr>
              <w:pStyle w:val="39"/>
              <w:rPr>
                <w:rFonts w:ascii="Times New Roman" w:hAnsi="Times New Roman"/>
              </w:rPr>
            </w:pPr>
            <w:r>
              <w:rPr>
                <w:rFonts w:ascii="Times New Roman" w:hAnsi="Times New Roman"/>
              </w:rPr>
              <w:t>0.06</w:t>
            </w:r>
          </w:p>
        </w:tc>
        <w:tc>
          <w:tcPr>
            <w:tcW w:w="556" w:type="pct"/>
            <w:shd w:val="clear" w:color="auto" w:fill="auto"/>
            <w:noWrap/>
            <w:vAlign w:val="center"/>
          </w:tcPr>
          <w:p>
            <w:pPr>
              <w:pStyle w:val="39"/>
              <w:rPr>
                <w:rFonts w:ascii="Times New Roman" w:hAnsi="Times New Roman"/>
              </w:rPr>
            </w:pPr>
            <w:r>
              <w:rPr>
                <w:rFonts w:ascii="Times New Roman" w:hAnsi="Times New Roman"/>
              </w:rPr>
              <w:t>0.047</w:t>
            </w:r>
          </w:p>
        </w:tc>
        <w:tc>
          <w:tcPr>
            <w:tcW w:w="556" w:type="pct"/>
            <w:shd w:val="clear" w:color="auto" w:fill="auto"/>
            <w:noWrap/>
            <w:vAlign w:val="center"/>
          </w:tcPr>
          <w:p>
            <w:pPr>
              <w:pStyle w:val="39"/>
              <w:rPr>
                <w:rFonts w:ascii="Times New Roman" w:hAnsi="Times New Roman"/>
              </w:rPr>
            </w:pPr>
            <w:r>
              <w:rPr>
                <w:rFonts w:ascii="Times New Roman" w:hAnsi="Times New Roman"/>
              </w:rPr>
              <w:t>0.00</w:t>
            </w:r>
          </w:p>
        </w:tc>
        <w:tc>
          <w:tcPr>
            <w:tcW w:w="556" w:type="pct"/>
            <w:shd w:val="clear" w:color="auto" w:fill="auto"/>
            <w:noWrap/>
            <w:vAlign w:val="center"/>
          </w:tcPr>
          <w:p>
            <w:pPr>
              <w:pStyle w:val="39"/>
              <w:rPr>
                <w:rFonts w:ascii="Times New Roman" w:hAnsi="Times New Roman"/>
              </w:rPr>
            </w:pPr>
            <w:r>
              <w:rPr>
                <w:rFonts w:ascii="Times New Roman" w:hAnsi="Times New Roman"/>
              </w:rPr>
              <w:t>0.027</w:t>
            </w:r>
          </w:p>
        </w:tc>
        <w:tc>
          <w:tcPr>
            <w:tcW w:w="557" w:type="pct"/>
            <w:shd w:val="clear" w:color="auto" w:fill="auto"/>
            <w:noWrap/>
            <w:vAlign w:val="center"/>
          </w:tcPr>
          <w:p>
            <w:pPr>
              <w:pStyle w:val="39"/>
              <w:rPr>
                <w:rFonts w:ascii="Times New Roman" w:hAnsi="Times New Roman"/>
              </w:rPr>
            </w:pPr>
            <w:r>
              <w:rPr>
                <w:rFonts w:ascii="Times New Roman" w:hAnsi="Times New Roman"/>
              </w:rPr>
              <w:t>0.27</w:t>
            </w:r>
          </w:p>
        </w:tc>
        <w:tc>
          <w:tcPr>
            <w:tcW w:w="556" w:type="pct"/>
            <w:shd w:val="clear" w:color="auto" w:fill="auto"/>
            <w:noWrap/>
            <w:vAlign w:val="center"/>
          </w:tcPr>
          <w:p>
            <w:pPr>
              <w:pStyle w:val="39"/>
              <w:rPr>
                <w:rFonts w:ascii="Times New Roman" w:hAnsi="Times New Roman"/>
              </w:rPr>
            </w:pPr>
            <w:r>
              <w:rPr>
                <w:rFonts w:ascii="Times New Roman" w:hAnsi="Times New Roman"/>
              </w:rPr>
              <w:t>0.123</w:t>
            </w:r>
          </w:p>
        </w:tc>
        <w:tc>
          <w:tcPr>
            <w:tcW w:w="551"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12000</w:t>
            </w:r>
          </w:p>
        </w:tc>
        <w:tc>
          <w:tcPr>
            <w:tcW w:w="556" w:type="pct"/>
            <w:shd w:val="clear" w:color="auto" w:fill="auto"/>
            <w:noWrap/>
            <w:vAlign w:val="center"/>
          </w:tcPr>
          <w:p>
            <w:pPr>
              <w:pStyle w:val="39"/>
              <w:rPr>
                <w:rFonts w:ascii="Times New Roman" w:hAnsi="Times New Roman"/>
              </w:rPr>
            </w:pPr>
            <w:r>
              <w:rPr>
                <w:rFonts w:ascii="Times New Roman" w:hAnsi="Times New Roman"/>
              </w:rPr>
              <w:t>0.006</w:t>
            </w:r>
          </w:p>
        </w:tc>
        <w:tc>
          <w:tcPr>
            <w:tcW w:w="556" w:type="pct"/>
            <w:shd w:val="clear" w:color="auto" w:fill="auto"/>
            <w:noWrap/>
            <w:vAlign w:val="center"/>
          </w:tcPr>
          <w:p>
            <w:pPr>
              <w:pStyle w:val="39"/>
              <w:rPr>
                <w:rFonts w:ascii="Times New Roman" w:hAnsi="Times New Roman"/>
              </w:rPr>
            </w:pPr>
            <w:r>
              <w:rPr>
                <w:rFonts w:ascii="Times New Roman" w:hAnsi="Times New Roman"/>
              </w:rPr>
              <w:t>0.06</w:t>
            </w:r>
          </w:p>
        </w:tc>
        <w:tc>
          <w:tcPr>
            <w:tcW w:w="556" w:type="pct"/>
            <w:shd w:val="clear" w:color="auto" w:fill="auto"/>
            <w:noWrap/>
            <w:vAlign w:val="center"/>
          </w:tcPr>
          <w:p>
            <w:pPr>
              <w:pStyle w:val="39"/>
              <w:rPr>
                <w:rFonts w:ascii="Times New Roman" w:hAnsi="Times New Roman"/>
              </w:rPr>
            </w:pPr>
            <w:r>
              <w:rPr>
                <w:rFonts w:ascii="Times New Roman" w:hAnsi="Times New Roman"/>
              </w:rPr>
              <w:t>0.045</w:t>
            </w:r>
          </w:p>
        </w:tc>
        <w:tc>
          <w:tcPr>
            <w:tcW w:w="556" w:type="pct"/>
            <w:shd w:val="clear" w:color="auto" w:fill="auto"/>
            <w:noWrap/>
            <w:vAlign w:val="center"/>
          </w:tcPr>
          <w:p>
            <w:pPr>
              <w:pStyle w:val="39"/>
              <w:rPr>
                <w:rFonts w:ascii="Times New Roman" w:hAnsi="Times New Roman"/>
              </w:rPr>
            </w:pPr>
            <w:r>
              <w:rPr>
                <w:rFonts w:ascii="Times New Roman" w:hAnsi="Times New Roman"/>
              </w:rPr>
              <w:t>0.00</w:t>
            </w:r>
          </w:p>
        </w:tc>
        <w:tc>
          <w:tcPr>
            <w:tcW w:w="556" w:type="pct"/>
            <w:shd w:val="clear" w:color="auto" w:fill="auto"/>
            <w:noWrap/>
            <w:vAlign w:val="center"/>
          </w:tcPr>
          <w:p>
            <w:pPr>
              <w:pStyle w:val="39"/>
              <w:rPr>
                <w:rFonts w:ascii="Times New Roman" w:hAnsi="Times New Roman"/>
              </w:rPr>
            </w:pPr>
            <w:r>
              <w:rPr>
                <w:rFonts w:ascii="Times New Roman" w:hAnsi="Times New Roman"/>
              </w:rPr>
              <w:t>0.026</w:t>
            </w:r>
          </w:p>
        </w:tc>
        <w:tc>
          <w:tcPr>
            <w:tcW w:w="557" w:type="pct"/>
            <w:shd w:val="clear" w:color="auto" w:fill="auto"/>
            <w:noWrap/>
            <w:vAlign w:val="center"/>
          </w:tcPr>
          <w:p>
            <w:pPr>
              <w:pStyle w:val="39"/>
              <w:rPr>
                <w:rFonts w:ascii="Times New Roman" w:hAnsi="Times New Roman"/>
              </w:rPr>
            </w:pPr>
            <w:r>
              <w:rPr>
                <w:rFonts w:ascii="Times New Roman" w:hAnsi="Times New Roman"/>
              </w:rPr>
              <w:t>0.26</w:t>
            </w:r>
          </w:p>
        </w:tc>
        <w:tc>
          <w:tcPr>
            <w:tcW w:w="556" w:type="pct"/>
            <w:shd w:val="clear" w:color="auto" w:fill="auto"/>
            <w:noWrap/>
            <w:vAlign w:val="center"/>
          </w:tcPr>
          <w:p>
            <w:pPr>
              <w:pStyle w:val="39"/>
              <w:rPr>
                <w:rFonts w:ascii="Times New Roman" w:hAnsi="Times New Roman"/>
              </w:rPr>
            </w:pPr>
            <w:r>
              <w:rPr>
                <w:rFonts w:ascii="Times New Roman" w:hAnsi="Times New Roman"/>
              </w:rPr>
              <w:t>0.116</w:t>
            </w:r>
          </w:p>
        </w:tc>
        <w:tc>
          <w:tcPr>
            <w:tcW w:w="551"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13000</w:t>
            </w:r>
          </w:p>
        </w:tc>
        <w:tc>
          <w:tcPr>
            <w:tcW w:w="556" w:type="pct"/>
            <w:shd w:val="clear" w:color="auto" w:fill="auto"/>
            <w:noWrap/>
            <w:vAlign w:val="center"/>
          </w:tcPr>
          <w:p>
            <w:pPr>
              <w:pStyle w:val="39"/>
              <w:rPr>
                <w:rFonts w:ascii="Times New Roman" w:hAnsi="Times New Roman"/>
              </w:rPr>
            </w:pPr>
            <w:r>
              <w:rPr>
                <w:rFonts w:ascii="Times New Roman" w:hAnsi="Times New Roman"/>
              </w:rPr>
              <w:t>0.006</w:t>
            </w:r>
          </w:p>
        </w:tc>
        <w:tc>
          <w:tcPr>
            <w:tcW w:w="556" w:type="pct"/>
            <w:shd w:val="clear" w:color="auto" w:fill="auto"/>
            <w:noWrap/>
            <w:vAlign w:val="center"/>
          </w:tcPr>
          <w:p>
            <w:pPr>
              <w:pStyle w:val="39"/>
              <w:rPr>
                <w:rFonts w:ascii="Times New Roman" w:hAnsi="Times New Roman"/>
              </w:rPr>
            </w:pPr>
            <w:r>
              <w:rPr>
                <w:rFonts w:ascii="Times New Roman" w:hAnsi="Times New Roman"/>
              </w:rPr>
              <w:t>0.06</w:t>
            </w:r>
          </w:p>
        </w:tc>
        <w:tc>
          <w:tcPr>
            <w:tcW w:w="556" w:type="pct"/>
            <w:shd w:val="clear" w:color="auto" w:fill="auto"/>
            <w:noWrap/>
            <w:vAlign w:val="center"/>
          </w:tcPr>
          <w:p>
            <w:pPr>
              <w:pStyle w:val="39"/>
              <w:rPr>
                <w:rFonts w:ascii="Times New Roman" w:hAnsi="Times New Roman"/>
              </w:rPr>
            </w:pPr>
            <w:r>
              <w:rPr>
                <w:rFonts w:ascii="Times New Roman" w:hAnsi="Times New Roman"/>
              </w:rPr>
              <w:t>0.042</w:t>
            </w:r>
          </w:p>
        </w:tc>
        <w:tc>
          <w:tcPr>
            <w:tcW w:w="556" w:type="pct"/>
            <w:shd w:val="clear" w:color="auto" w:fill="auto"/>
            <w:noWrap/>
            <w:vAlign w:val="center"/>
          </w:tcPr>
          <w:p>
            <w:pPr>
              <w:pStyle w:val="39"/>
              <w:rPr>
                <w:rFonts w:ascii="Times New Roman" w:hAnsi="Times New Roman"/>
              </w:rPr>
            </w:pPr>
            <w:r>
              <w:rPr>
                <w:rFonts w:ascii="Times New Roman" w:hAnsi="Times New Roman"/>
              </w:rPr>
              <w:t>0.00</w:t>
            </w:r>
          </w:p>
        </w:tc>
        <w:tc>
          <w:tcPr>
            <w:tcW w:w="556" w:type="pct"/>
            <w:shd w:val="clear" w:color="auto" w:fill="auto"/>
            <w:noWrap/>
            <w:vAlign w:val="center"/>
          </w:tcPr>
          <w:p>
            <w:pPr>
              <w:pStyle w:val="39"/>
              <w:rPr>
                <w:rFonts w:ascii="Times New Roman" w:hAnsi="Times New Roman"/>
              </w:rPr>
            </w:pPr>
            <w:r>
              <w:rPr>
                <w:rFonts w:ascii="Times New Roman" w:hAnsi="Times New Roman"/>
              </w:rPr>
              <w:t>0.024</w:t>
            </w:r>
          </w:p>
        </w:tc>
        <w:tc>
          <w:tcPr>
            <w:tcW w:w="557" w:type="pct"/>
            <w:shd w:val="clear" w:color="auto" w:fill="auto"/>
            <w:noWrap/>
            <w:vAlign w:val="center"/>
          </w:tcPr>
          <w:p>
            <w:pPr>
              <w:pStyle w:val="39"/>
              <w:rPr>
                <w:rFonts w:ascii="Times New Roman" w:hAnsi="Times New Roman"/>
              </w:rPr>
            </w:pPr>
            <w:r>
              <w:rPr>
                <w:rFonts w:ascii="Times New Roman" w:hAnsi="Times New Roman"/>
              </w:rPr>
              <w:t>0.24</w:t>
            </w:r>
          </w:p>
        </w:tc>
        <w:tc>
          <w:tcPr>
            <w:tcW w:w="556" w:type="pct"/>
            <w:shd w:val="clear" w:color="auto" w:fill="auto"/>
            <w:noWrap/>
            <w:vAlign w:val="center"/>
          </w:tcPr>
          <w:p>
            <w:pPr>
              <w:pStyle w:val="39"/>
              <w:rPr>
                <w:rFonts w:ascii="Times New Roman" w:hAnsi="Times New Roman"/>
              </w:rPr>
            </w:pPr>
            <w:r>
              <w:rPr>
                <w:rFonts w:ascii="Times New Roman" w:hAnsi="Times New Roman"/>
              </w:rPr>
              <w:t>0.109</w:t>
            </w:r>
          </w:p>
        </w:tc>
        <w:tc>
          <w:tcPr>
            <w:tcW w:w="551" w:type="pct"/>
            <w:shd w:val="clear" w:color="auto" w:fill="auto"/>
            <w:noWrap/>
            <w:vAlign w:val="center"/>
          </w:tcPr>
          <w:p>
            <w:pPr>
              <w:pStyle w:val="39"/>
              <w:rPr>
                <w:rFonts w:ascii="Times New Roman" w:hAnsi="Times New Roman"/>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15000</w:t>
            </w:r>
          </w:p>
        </w:tc>
        <w:tc>
          <w:tcPr>
            <w:tcW w:w="556" w:type="pct"/>
            <w:shd w:val="clear" w:color="auto" w:fill="auto"/>
            <w:noWrap/>
            <w:vAlign w:val="center"/>
          </w:tcPr>
          <w:p>
            <w:pPr>
              <w:pStyle w:val="39"/>
              <w:rPr>
                <w:rFonts w:ascii="Times New Roman" w:hAnsi="Times New Roman"/>
              </w:rPr>
            </w:pPr>
            <w:r>
              <w:rPr>
                <w:rFonts w:ascii="Times New Roman" w:hAnsi="Times New Roman"/>
              </w:rPr>
              <w:t>0.005</w:t>
            </w:r>
          </w:p>
        </w:tc>
        <w:tc>
          <w:tcPr>
            <w:tcW w:w="556" w:type="pct"/>
            <w:shd w:val="clear" w:color="auto" w:fill="auto"/>
            <w:noWrap/>
            <w:vAlign w:val="center"/>
          </w:tcPr>
          <w:p>
            <w:pPr>
              <w:pStyle w:val="39"/>
              <w:rPr>
                <w:rFonts w:ascii="Times New Roman" w:hAnsi="Times New Roman"/>
              </w:rPr>
            </w:pPr>
            <w:r>
              <w:rPr>
                <w:rFonts w:ascii="Times New Roman" w:hAnsi="Times New Roman"/>
              </w:rPr>
              <w:t>0.05</w:t>
            </w:r>
          </w:p>
        </w:tc>
        <w:tc>
          <w:tcPr>
            <w:tcW w:w="556" w:type="pct"/>
            <w:shd w:val="clear" w:color="auto" w:fill="auto"/>
            <w:noWrap/>
            <w:vAlign w:val="center"/>
          </w:tcPr>
          <w:p>
            <w:pPr>
              <w:pStyle w:val="39"/>
              <w:rPr>
                <w:rFonts w:ascii="Times New Roman" w:hAnsi="Times New Roman"/>
              </w:rPr>
            </w:pPr>
            <w:r>
              <w:rPr>
                <w:rFonts w:ascii="Times New Roman" w:hAnsi="Times New Roman"/>
              </w:rPr>
              <w:t>0.038</w:t>
            </w:r>
          </w:p>
        </w:tc>
        <w:tc>
          <w:tcPr>
            <w:tcW w:w="556" w:type="pct"/>
            <w:shd w:val="clear" w:color="auto" w:fill="auto"/>
            <w:noWrap/>
            <w:vAlign w:val="center"/>
          </w:tcPr>
          <w:p>
            <w:pPr>
              <w:pStyle w:val="39"/>
              <w:rPr>
                <w:rFonts w:ascii="Times New Roman" w:hAnsi="Times New Roman"/>
              </w:rPr>
            </w:pPr>
            <w:r>
              <w:rPr>
                <w:rFonts w:ascii="Times New Roman" w:hAnsi="Times New Roman"/>
              </w:rPr>
              <w:t>0.00</w:t>
            </w:r>
          </w:p>
        </w:tc>
        <w:tc>
          <w:tcPr>
            <w:tcW w:w="556" w:type="pct"/>
            <w:shd w:val="clear" w:color="auto" w:fill="auto"/>
            <w:noWrap/>
            <w:vAlign w:val="center"/>
          </w:tcPr>
          <w:p>
            <w:pPr>
              <w:pStyle w:val="39"/>
              <w:rPr>
                <w:rFonts w:ascii="Times New Roman" w:hAnsi="Times New Roman"/>
              </w:rPr>
            </w:pPr>
            <w:r>
              <w:rPr>
                <w:rFonts w:ascii="Times New Roman" w:hAnsi="Times New Roman"/>
              </w:rPr>
              <w:t>0.022</w:t>
            </w:r>
          </w:p>
        </w:tc>
        <w:tc>
          <w:tcPr>
            <w:tcW w:w="557" w:type="pct"/>
            <w:shd w:val="clear" w:color="auto" w:fill="auto"/>
            <w:noWrap/>
            <w:vAlign w:val="center"/>
          </w:tcPr>
          <w:p>
            <w:pPr>
              <w:pStyle w:val="39"/>
              <w:rPr>
                <w:rFonts w:ascii="Times New Roman" w:hAnsi="Times New Roman"/>
              </w:rPr>
            </w:pPr>
            <w:r>
              <w:rPr>
                <w:rFonts w:ascii="Times New Roman" w:hAnsi="Times New Roman"/>
              </w:rPr>
              <w:t>0.22</w:t>
            </w:r>
          </w:p>
        </w:tc>
        <w:tc>
          <w:tcPr>
            <w:tcW w:w="556" w:type="pct"/>
            <w:shd w:val="clear" w:color="auto" w:fill="auto"/>
            <w:noWrap/>
            <w:vAlign w:val="center"/>
          </w:tcPr>
          <w:p>
            <w:pPr>
              <w:pStyle w:val="39"/>
              <w:rPr>
                <w:rFonts w:ascii="Times New Roman" w:hAnsi="Times New Roman"/>
              </w:rPr>
            </w:pPr>
            <w:r>
              <w:rPr>
                <w:rFonts w:ascii="Times New Roman" w:hAnsi="Times New Roman"/>
              </w:rPr>
              <w:t>0.099</w:t>
            </w:r>
          </w:p>
        </w:tc>
        <w:tc>
          <w:tcPr>
            <w:tcW w:w="551"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20000</w:t>
            </w:r>
          </w:p>
        </w:tc>
        <w:tc>
          <w:tcPr>
            <w:tcW w:w="556" w:type="pct"/>
            <w:shd w:val="clear" w:color="auto" w:fill="auto"/>
            <w:noWrap/>
            <w:vAlign w:val="center"/>
          </w:tcPr>
          <w:p>
            <w:pPr>
              <w:pStyle w:val="39"/>
              <w:rPr>
                <w:rFonts w:ascii="Times New Roman" w:hAnsi="Times New Roman"/>
              </w:rPr>
            </w:pPr>
            <w:r>
              <w:rPr>
                <w:rFonts w:ascii="Times New Roman" w:hAnsi="Times New Roman"/>
              </w:rPr>
              <w:t>0.004</w:t>
            </w:r>
          </w:p>
        </w:tc>
        <w:tc>
          <w:tcPr>
            <w:tcW w:w="556" w:type="pct"/>
            <w:shd w:val="clear" w:color="auto" w:fill="auto"/>
            <w:noWrap/>
            <w:vAlign w:val="center"/>
          </w:tcPr>
          <w:p>
            <w:pPr>
              <w:pStyle w:val="39"/>
              <w:rPr>
                <w:rFonts w:ascii="Times New Roman" w:hAnsi="Times New Roman"/>
              </w:rPr>
            </w:pPr>
            <w:r>
              <w:rPr>
                <w:rFonts w:ascii="Times New Roman" w:hAnsi="Times New Roman"/>
              </w:rPr>
              <w:t>0.04</w:t>
            </w:r>
          </w:p>
        </w:tc>
        <w:tc>
          <w:tcPr>
            <w:tcW w:w="556" w:type="pct"/>
            <w:shd w:val="clear" w:color="auto" w:fill="auto"/>
            <w:noWrap/>
            <w:vAlign w:val="center"/>
          </w:tcPr>
          <w:p>
            <w:pPr>
              <w:pStyle w:val="39"/>
              <w:rPr>
                <w:rFonts w:ascii="Times New Roman" w:hAnsi="Times New Roman"/>
              </w:rPr>
            </w:pPr>
            <w:r>
              <w:rPr>
                <w:rFonts w:ascii="Times New Roman" w:hAnsi="Times New Roman"/>
              </w:rPr>
              <w:t>0.031</w:t>
            </w:r>
          </w:p>
        </w:tc>
        <w:tc>
          <w:tcPr>
            <w:tcW w:w="556" w:type="pct"/>
            <w:shd w:val="clear" w:color="auto" w:fill="auto"/>
            <w:noWrap/>
            <w:vAlign w:val="center"/>
          </w:tcPr>
          <w:p>
            <w:pPr>
              <w:pStyle w:val="39"/>
              <w:rPr>
                <w:rFonts w:ascii="Times New Roman" w:hAnsi="Times New Roman"/>
              </w:rPr>
            </w:pPr>
            <w:r>
              <w:rPr>
                <w:rFonts w:ascii="Times New Roman" w:hAnsi="Times New Roman"/>
              </w:rPr>
              <w:t>0.00</w:t>
            </w:r>
          </w:p>
        </w:tc>
        <w:tc>
          <w:tcPr>
            <w:tcW w:w="556" w:type="pct"/>
            <w:shd w:val="clear" w:color="auto" w:fill="auto"/>
            <w:noWrap/>
            <w:vAlign w:val="center"/>
          </w:tcPr>
          <w:p>
            <w:pPr>
              <w:pStyle w:val="39"/>
              <w:rPr>
                <w:rFonts w:ascii="Times New Roman" w:hAnsi="Times New Roman"/>
              </w:rPr>
            </w:pPr>
            <w:r>
              <w:rPr>
                <w:rFonts w:ascii="Times New Roman" w:hAnsi="Times New Roman"/>
              </w:rPr>
              <w:t>0.018</w:t>
            </w:r>
          </w:p>
        </w:tc>
        <w:tc>
          <w:tcPr>
            <w:tcW w:w="557" w:type="pct"/>
            <w:shd w:val="clear" w:color="auto" w:fill="auto"/>
            <w:noWrap/>
            <w:vAlign w:val="center"/>
          </w:tcPr>
          <w:p>
            <w:pPr>
              <w:pStyle w:val="39"/>
              <w:rPr>
                <w:rFonts w:ascii="Times New Roman" w:hAnsi="Times New Roman"/>
              </w:rPr>
            </w:pPr>
            <w:r>
              <w:rPr>
                <w:rFonts w:ascii="Times New Roman" w:hAnsi="Times New Roman"/>
              </w:rPr>
              <w:t>0.18</w:t>
            </w:r>
          </w:p>
        </w:tc>
        <w:tc>
          <w:tcPr>
            <w:tcW w:w="556" w:type="pct"/>
            <w:shd w:val="clear" w:color="auto" w:fill="auto"/>
            <w:noWrap/>
            <w:vAlign w:val="center"/>
          </w:tcPr>
          <w:p>
            <w:pPr>
              <w:pStyle w:val="39"/>
              <w:rPr>
                <w:rFonts w:ascii="Times New Roman" w:hAnsi="Times New Roman"/>
              </w:rPr>
            </w:pPr>
            <w:r>
              <w:rPr>
                <w:rFonts w:ascii="Times New Roman" w:hAnsi="Times New Roman"/>
              </w:rPr>
              <w:t>0.081</w:t>
            </w:r>
          </w:p>
        </w:tc>
        <w:tc>
          <w:tcPr>
            <w:tcW w:w="551" w:type="pct"/>
            <w:shd w:val="clear" w:color="auto" w:fill="auto"/>
            <w:noWrap/>
            <w:vAlign w:val="center"/>
          </w:tcPr>
          <w:p>
            <w:pPr>
              <w:pStyle w:val="39"/>
              <w:rPr>
                <w:rFonts w:ascii="Times New Roman" w:hAnsi="Times New Roman"/>
              </w:rPr>
            </w:pPr>
            <w:r>
              <w:rPr>
                <w:rFonts w:ascii="Times New Roman" w:hAnsi="Times New Roma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56" w:type="pct"/>
            <w:shd w:val="clear" w:color="auto" w:fill="auto"/>
            <w:noWrap/>
            <w:vAlign w:val="center"/>
          </w:tcPr>
          <w:p>
            <w:pPr>
              <w:pStyle w:val="39"/>
              <w:rPr>
                <w:rFonts w:ascii="Times New Roman" w:hAnsi="Times New Roman"/>
              </w:rPr>
            </w:pPr>
            <w:r>
              <w:rPr>
                <w:rFonts w:ascii="Times New Roman" w:hAnsi="Times New Roman"/>
              </w:rPr>
              <w:t>25000</w:t>
            </w:r>
          </w:p>
        </w:tc>
        <w:tc>
          <w:tcPr>
            <w:tcW w:w="556" w:type="pct"/>
            <w:shd w:val="clear" w:color="auto" w:fill="auto"/>
            <w:noWrap/>
            <w:vAlign w:val="center"/>
          </w:tcPr>
          <w:p>
            <w:pPr>
              <w:pStyle w:val="39"/>
              <w:rPr>
                <w:rFonts w:ascii="Times New Roman" w:hAnsi="Times New Roman"/>
              </w:rPr>
            </w:pPr>
            <w:r>
              <w:rPr>
                <w:rFonts w:ascii="Times New Roman" w:hAnsi="Times New Roman"/>
              </w:rPr>
              <w:t>0.004</w:t>
            </w:r>
          </w:p>
        </w:tc>
        <w:tc>
          <w:tcPr>
            <w:tcW w:w="556" w:type="pct"/>
            <w:shd w:val="clear" w:color="auto" w:fill="auto"/>
            <w:noWrap/>
            <w:vAlign w:val="center"/>
          </w:tcPr>
          <w:p>
            <w:pPr>
              <w:pStyle w:val="39"/>
              <w:rPr>
                <w:rFonts w:ascii="Times New Roman" w:hAnsi="Times New Roman"/>
              </w:rPr>
            </w:pPr>
            <w:r>
              <w:rPr>
                <w:rFonts w:ascii="Times New Roman" w:hAnsi="Times New Roman"/>
              </w:rPr>
              <w:t>0.04</w:t>
            </w:r>
          </w:p>
        </w:tc>
        <w:tc>
          <w:tcPr>
            <w:tcW w:w="556" w:type="pct"/>
            <w:shd w:val="clear" w:color="auto" w:fill="auto"/>
            <w:noWrap/>
            <w:vAlign w:val="center"/>
          </w:tcPr>
          <w:p>
            <w:pPr>
              <w:pStyle w:val="39"/>
              <w:rPr>
                <w:rFonts w:ascii="Times New Roman" w:hAnsi="Times New Roman"/>
              </w:rPr>
            </w:pPr>
            <w:r>
              <w:rPr>
                <w:rFonts w:ascii="Times New Roman" w:hAnsi="Times New Roman"/>
              </w:rPr>
              <w:t>0.027</w:t>
            </w:r>
          </w:p>
        </w:tc>
        <w:tc>
          <w:tcPr>
            <w:tcW w:w="556" w:type="pct"/>
            <w:shd w:val="clear" w:color="auto" w:fill="auto"/>
            <w:noWrap/>
            <w:vAlign w:val="center"/>
          </w:tcPr>
          <w:p>
            <w:pPr>
              <w:pStyle w:val="39"/>
              <w:rPr>
                <w:rFonts w:ascii="Times New Roman" w:hAnsi="Times New Roman"/>
              </w:rPr>
            </w:pPr>
            <w:r>
              <w:rPr>
                <w:rFonts w:ascii="Times New Roman" w:hAnsi="Times New Roman"/>
              </w:rPr>
              <w:t>0.00</w:t>
            </w:r>
          </w:p>
        </w:tc>
        <w:tc>
          <w:tcPr>
            <w:tcW w:w="556" w:type="pct"/>
            <w:shd w:val="clear" w:color="auto" w:fill="auto"/>
            <w:noWrap/>
            <w:vAlign w:val="center"/>
          </w:tcPr>
          <w:p>
            <w:pPr>
              <w:pStyle w:val="39"/>
              <w:rPr>
                <w:rFonts w:ascii="Times New Roman" w:hAnsi="Times New Roman"/>
              </w:rPr>
            </w:pPr>
            <w:r>
              <w:rPr>
                <w:rFonts w:ascii="Times New Roman" w:hAnsi="Times New Roman"/>
              </w:rPr>
              <w:t>0.015</w:t>
            </w:r>
          </w:p>
        </w:tc>
        <w:tc>
          <w:tcPr>
            <w:tcW w:w="557" w:type="pct"/>
            <w:shd w:val="clear" w:color="auto" w:fill="auto"/>
            <w:noWrap/>
            <w:vAlign w:val="center"/>
          </w:tcPr>
          <w:p>
            <w:pPr>
              <w:pStyle w:val="39"/>
              <w:rPr>
                <w:rFonts w:ascii="Times New Roman" w:hAnsi="Times New Roman"/>
              </w:rPr>
            </w:pPr>
            <w:r>
              <w:rPr>
                <w:rFonts w:ascii="Times New Roman" w:hAnsi="Times New Roman"/>
              </w:rPr>
              <w:t>0.15</w:t>
            </w:r>
          </w:p>
        </w:tc>
        <w:tc>
          <w:tcPr>
            <w:tcW w:w="556" w:type="pct"/>
            <w:shd w:val="clear" w:color="auto" w:fill="auto"/>
            <w:noWrap/>
            <w:vAlign w:val="center"/>
          </w:tcPr>
          <w:p>
            <w:pPr>
              <w:pStyle w:val="39"/>
              <w:rPr>
                <w:rFonts w:ascii="Times New Roman" w:hAnsi="Times New Roman"/>
              </w:rPr>
            </w:pPr>
            <w:r>
              <w:rPr>
                <w:rFonts w:ascii="Times New Roman" w:hAnsi="Times New Roman"/>
              </w:rPr>
              <w:t>0.069</w:t>
            </w:r>
          </w:p>
        </w:tc>
        <w:tc>
          <w:tcPr>
            <w:tcW w:w="551" w:type="pct"/>
            <w:shd w:val="clear" w:color="auto" w:fill="auto"/>
            <w:noWrap/>
            <w:vAlign w:val="center"/>
          </w:tcPr>
          <w:p>
            <w:pPr>
              <w:pStyle w:val="39"/>
              <w:rPr>
                <w:rFonts w:ascii="Times New Roman" w:hAnsi="Times New Roman"/>
              </w:rPr>
            </w:pPr>
            <w:r>
              <w:rPr>
                <w:rFonts w:ascii="Times New Roman" w:hAnsi="Times New Roman"/>
              </w:rPr>
              <w:t>0.00</w:t>
            </w:r>
          </w:p>
        </w:tc>
      </w:tr>
    </w:tbl>
    <w:p>
      <w:pPr>
        <w:ind w:firstLine="480"/>
        <w:rPr>
          <w:rFonts w:ascii="Times New Roman" w:hAnsi="Times New Roman"/>
        </w:rPr>
      </w:pPr>
      <w:r>
        <w:rPr>
          <w:rFonts w:ascii="Times New Roman" w:hAnsi="Times New Roman"/>
        </w:rPr>
        <w:t>（5）小结</w:t>
      </w:r>
    </w:p>
    <w:p>
      <w:pPr>
        <w:ind w:firstLine="480"/>
        <w:rPr>
          <w:rFonts w:ascii="Times New Roman" w:hAnsi="Times New Roman"/>
        </w:rPr>
      </w:pPr>
      <w:r>
        <w:rPr>
          <w:rFonts w:ascii="Times New Roman" w:hAnsi="Times New Roman"/>
        </w:rPr>
        <w:t>根据预测结果显示，本项目建成后，宣探1井站正常运行情况下各污染物的最大落地浓度及占标率最大为H</w:t>
      </w:r>
      <w:r>
        <w:rPr>
          <w:rFonts w:ascii="Times New Roman" w:hAnsi="Times New Roman"/>
          <w:vertAlign w:val="subscript"/>
        </w:rPr>
        <w:t>2</w:t>
      </w:r>
      <w:r>
        <w:rPr>
          <w:rFonts w:ascii="Times New Roman" w:hAnsi="Times New Roman"/>
        </w:rPr>
        <w:t>S，占标率为2.05%。宣兴1井站正常运行情况下各污染物的最大落地浓度及占标率最大为H</w:t>
      </w:r>
      <w:r>
        <w:rPr>
          <w:rFonts w:ascii="Times New Roman" w:hAnsi="Times New Roman"/>
          <w:vertAlign w:val="subscript"/>
        </w:rPr>
        <w:t>2</w:t>
      </w:r>
      <w:r>
        <w:rPr>
          <w:rFonts w:ascii="Times New Roman" w:hAnsi="Times New Roman"/>
        </w:rPr>
        <w:t>S，占标率为8.88%。</w:t>
      </w:r>
    </w:p>
    <w:p>
      <w:pPr>
        <w:pStyle w:val="5"/>
        <w:rPr>
          <w:rFonts w:ascii="Times New Roman" w:hAnsi="Times New Roman"/>
        </w:rPr>
      </w:pPr>
      <w:r>
        <w:rPr>
          <w:rFonts w:ascii="Times New Roman" w:hAnsi="Times New Roman"/>
        </w:rPr>
        <w:t>大气环境防护距离</w:t>
      </w:r>
    </w:p>
    <w:p>
      <w:pPr>
        <w:ind w:firstLine="480"/>
        <w:rPr>
          <w:rFonts w:ascii="Times New Roman" w:hAnsi="Times New Roman"/>
        </w:rPr>
      </w:pPr>
      <w:r>
        <w:rPr>
          <w:rFonts w:ascii="Times New Roman" w:hAnsi="Times New Roman"/>
        </w:rPr>
        <w:t>根据预测结果可知，本项目建成后宣探1井站排放的H</w:t>
      </w:r>
      <w:r>
        <w:rPr>
          <w:rFonts w:ascii="Times New Roman" w:hAnsi="Times New Roman"/>
          <w:vertAlign w:val="subscript"/>
        </w:rPr>
        <w:t>2</w:t>
      </w:r>
      <w:r>
        <w:rPr>
          <w:rFonts w:ascii="Times New Roman" w:hAnsi="Times New Roman"/>
        </w:rPr>
        <w:t>S最大落地浓度为0.205μg/m</w:t>
      </w:r>
      <w:r>
        <w:rPr>
          <w:rFonts w:ascii="Times New Roman" w:hAnsi="Times New Roman"/>
          <w:vertAlign w:val="superscript"/>
        </w:rPr>
        <w:t>3</w:t>
      </w:r>
      <w:r>
        <w:rPr>
          <w:rFonts w:ascii="Times New Roman" w:hAnsi="Times New Roman"/>
        </w:rPr>
        <w:t>，占标率为20.5%；NMHC最大落地浓度为1.538μg/m</w:t>
      </w:r>
      <w:r>
        <w:rPr>
          <w:rFonts w:ascii="Times New Roman" w:hAnsi="Times New Roman"/>
          <w:vertAlign w:val="superscript"/>
        </w:rPr>
        <w:t>3</w:t>
      </w:r>
      <w:r>
        <w:rPr>
          <w:rFonts w:ascii="Times New Roman" w:hAnsi="Times New Roman"/>
        </w:rPr>
        <w:t>，占标率为0.08%；宣兴1井站排放的H</w:t>
      </w:r>
      <w:r>
        <w:rPr>
          <w:rFonts w:ascii="Times New Roman" w:hAnsi="Times New Roman"/>
          <w:vertAlign w:val="subscript"/>
        </w:rPr>
        <w:t>2</w:t>
      </w:r>
      <w:r>
        <w:rPr>
          <w:rFonts w:ascii="Times New Roman" w:hAnsi="Times New Roman"/>
        </w:rPr>
        <w:t>S最大落地浓度为0.888μg/m</w:t>
      </w:r>
      <w:r>
        <w:rPr>
          <w:rFonts w:ascii="Times New Roman" w:hAnsi="Times New Roman"/>
          <w:vertAlign w:val="superscript"/>
        </w:rPr>
        <w:t>3</w:t>
      </w:r>
      <w:r>
        <w:rPr>
          <w:rFonts w:ascii="Times New Roman" w:hAnsi="Times New Roman"/>
        </w:rPr>
        <w:t>，占标率为8.88%；NMHC最大落地浓度为3.991μg/m</w:t>
      </w:r>
      <w:r>
        <w:rPr>
          <w:rFonts w:ascii="Times New Roman" w:hAnsi="Times New Roman"/>
          <w:vertAlign w:val="superscript"/>
        </w:rPr>
        <w:t>3</w:t>
      </w:r>
      <w:r>
        <w:rPr>
          <w:rFonts w:ascii="Times New Roman" w:hAnsi="Times New Roman"/>
        </w:rPr>
        <w:t>，占标率为0.2%.最大落地浓度出现距离为143m。厂界外没有超标点，不需要设置大气环境防护距离。</w:t>
      </w:r>
    </w:p>
    <w:p>
      <w:pPr>
        <w:pStyle w:val="5"/>
        <w:rPr>
          <w:rFonts w:ascii="Times New Roman" w:hAnsi="Times New Roman"/>
        </w:rPr>
      </w:pPr>
      <w:r>
        <w:rPr>
          <w:rFonts w:ascii="Times New Roman" w:hAnsi="Times New Roman"/>
        </w:rPr>
        <w:t>污染物排放量核算表</w:t>
      </w:r>
    </w:p>
    <w:p>
      <w:pPr>
        <w:ind w:firstLine="480"/>
        <w:rPr>
          <w:rFonts w:ascii="Times New Roman" w:hAnsi="Times New Roman"/>
        </w:rPr>
      </w:pPr>
      <w:r>
        <w:rPr>
          <w:rFonts w:ascii="Times New Roman" w:hAnsi="Times New Roman"/>
        </w:rPr>
        <w:t>本项目产生的污染物主要为SO</w:t>
      </w:r>
      <w:r>
        <w:rPr>
          <w:rFonts w:ascii="Times New Roman" w:hAnsi="Times New Roman"/>
          <w:vertAlign w:val="subscript"/>
        </w:rPr>
        <w:t>2</w:t>
      </w:r>
      <w:r>
        <w:rPr>
          <w:rFonts w:ascii="Times New Roman" w:hAnsi="Times New Roman"/>
        </w:rPr>
        <w:t>、NO</w:t>
      </w:r>
      <w:r>
        <w:rPr>
          <w:rFonts w:ascii="Times New Roman" w:hAnsi="Times New Roman"/>
          <w:vertAlign w:val="subscript"/>
        </w:rPr>
        <w:t>X</w:t>
      </w:r>
      <w:r>
        <w:rPr>
          <w:rFonts w:ascii="Times New Roman" w:hAnsi="Times New Roman"/>
        </w:rPr>
        <w:t>、颗粒物及无组织排放的NMHC和H</w:t>
      </w:r>
      <w:r>
        <w:rPr>
          <w:rFonts w:ascii="Times New Roman" w:hAnsi="Times New Roman"/>
          <w:vertAlign w:val="subscript"/>
        </w:rPr>
        <w:t>2</w:t>
      </w:r>
      <w:r>
        <w:rPr>
          <w:rFonts w:ascii="Times New Roman" w:hAnsi="Times New Roman"/>
        </w:rPr>
        <w:t>S。结合项目工程分析，计算得到本项目污染物有组织排放量和无组织排放量核算表，见</w:t>
      </w:r>
      <w:r>
        <w:rPr>
          <w:rFonts w:ascii="Times New Roman" w:hAnsi="Times New Roman"/>
        </w:rPr>
        <w:fldChar w:fldCharType="begin"/>
      </w:r>
      <w:r>
        <w:rPr>
          <w:rFonts w:ascii="Times New Roman" w:hAnsi="Times New Roman"/>
        </w:rPr>
        <w:instrText xml:space="preserve"> REF _Ref15335020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9</w:t>
      </w:r>
      <w:r>
        <w:rPr>
          <w:rFonts w:ascii="Times New Roman" w:hAnsi="Times New Roman"/>
        </w:rPr>
        <w:fldChar w:fldCharType="end"/>
      </w:r>
      <w:r>
        <w:rPr>
          <w:rFonts w:ascii="Times New Roman" w:hAnsi="Times New Roman"/>
        </w:rPr>
        <w:t>及</w:t>
      </w:r>
      <w:r>
        <w:rPr>
          <w:rFonts w:ascii="Times New Roman" w:hAnsi="Times New Roman"/>
        </w:rPr>
        <w:fldChar w:fldCharType="begin"/>
      </w:r>
      <w:r>
        <w:rPr>
          <w:rFonts w:ascii="Times New Roman" w:hAnsi="Times New Roman"/>
        </w:rPr>
        <w:instrText xml:space="preserve"> REF _Ref156238817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10</w:t>
      </w:r>
      <w:r>
        <w:rPr>
          <w:rFonts w:ascii="Times New Roman" w:hAnsi="Times New Roman"/>
        </w:rPr>
        <w:fldChar w:fldCharType="end"/>
      </w:r>
      <w:r>
        <w:rPr>
          <w:rFonts w:ascii="Times New Roman" w:hAnsi="Times New Roman"/>
        </w:rPr>
        <w:t>。本项目大气污染物年排放量核算表见</w:t>
      </w:r>
      <w:r>
        <w:rPr>
          <w:rFonts w:ascii="Times New Roman" w:hAnsi="Times New Roman"/>
        </w:rPr>
        <w:fldChar w:fldCharType="begin"/>
      </w:r>
      <w:r>
        <w:rPr>
          <w:rFonts w:ascii="Times New Roman" w:hAnsi="Times New Roman"/>
        </w:rPr>
        <w:instrText xml:space="preserve"> REF _Ref156238847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11</w:t>
      </w:r>
      <w:r>
        <w:rPr>
          <w:rFonts w:ascii="Times New Roman" w:hAnsi="Times New Roman"/>
        </w:rPr>
        <w:fldChar w:fldCharType="end"/>
      </w:r>
      <w:r>
        <w:rPr>
          <w:rFonts w:ascii="Times New Roman" w:hAnsi="Times New Roman"/>
        </w:rPr>
        <w:t>。</w:t>
      </w:r>
    </w:p>
    <w:p>
      <w:pPr>
        <w:pStyle w:val="37"/>
        <w:ind w:firstLine="480"/>
        <w:rPr>
          <w:rFonts w:ascii="Times New Roman" w:hAnsi="Times New Roman" w:cs="Times New Roman"/>
        </w:rPr>
      </w:pPr>
      <w:bookmarkStart w:id="206" w:name="_Ref15335020"/>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bookmarkEnd w:id="206"/>
      <w:r>
        <w:rPr>
          <w:rFonts w:ascii="Times New Roman" w:hAnsi="Times New Roman" w:cs="Times New Roman"/>
        </w:rPr>
        <w:t xml:space="preserve">  大气污染物有组织排放量核算表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134"/>
        <w:gridCol w:w="1701"/>
        <w:gridCol w:w="1701"/>
        <w:gridCol w:w="1673"/>
        <w:gridCol w:w="13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39"/>
              <w:rPr>
                <w:rFonts w:ascii="Times New Roman" w:hAnsi="Times New Roman"/>
              </w:rPr>
            </w:pPr>
            <w:r>
              <w:rPr>
                <w:rFonts w:ascii="Times New Roman" w:hAnsi="Times New Roman"/>
              </w:rPr>
              <w:t>序号</w:t>
            </w:r>
          </w:p>
        </w:tc>
        <w:tc>
          <w:tcPr>
            <w:tcW w:w="1134" w:type="dxa"/>
            <w:vAlign w:val="center"/>
          </w:tcPr>
          <w:p>
            <w:pPr>
              <w:pStyle w:val="39"/>
              <w:rPr>
                <w:rFonts w:ascii="Times New Roman" w:hAnsi="Times New Roman"/>
              </w:rPr>
            </w:pPr>
            <w:r>
              <w:rPr>
                <w:rFonts w:ascii="Times New Roman" w:hAnsi="Times New Roman"/>
              </w:rPr>
              <w:t>排放口编号</w:t>
            </w:r>
          </w:p>
        </w:tc>
        <w:tc>
          <w:tcPr>
            <w:tcW w:w="1701" w:type="dxa"/>
            <w:vAlign w:val="center"/>
          </w:tcPr>
          <w:p>
            <w:pPr>
              <w:pStyle w:val="39"/>
              <w:rPr>
                <w:rFonts w:ascii="Times New Roman" w:hAnsi="Times New Roman"/>
              </w:rPr>
            </w:pPr>
            <w:r>
              <w:rPr>
                <w:rFonts w:ascii="Times New Roman" w:hAnsi="Times New Roman"/>
              </w:rPr>
              <w:t>污染物</w:t>
            </w:r>
          </w:p>
        </w:tc>
        <w:tc>
          <w:tcPr>
            <w:tcW w:w="1701" w:type="dxa"/>
            <w:vAlign w:val="center"/>
          </w:tcPr>
          <w:p>
            <w:pPr>
              <w:pStyle w:val="39"/>
              <w:rPr>
                <w:rFonts w:ascii="Times New Roman" w:hAnsi="Times New Roman"/>
              </w:rPr>
            </w:pPr>
            <w:r>
              <w:rPr>
                <w:rFonts w:ascii="Times New Roman" w:hAnsi="Times New Roman"/>
              </w:rPr>
              <w:t>核算排放浓度/（mg/m</w:t>
            </w:r>
            <w:r>
              <w:rPr>
                <w:rFonts w:ascii="Times New Roman" w:hAnsi="Times New Roman"/>
                <w:vertAlign w:val="superscript"/>
              </w:rPr>
              <w:t>3</w:t>
            </w:r>
            <w:r>
              <w:rPr>
                <w:rFonts w:ascii="Times New Roman" w:hAnsi="Times New Roman"/>
              </w:rPr>
              <w:t>）</w:t>
            </w:r>
          </w:p>
        </w:tc>
        <w:tc>
          <w:tcPr>
            <w:tcW w:w="1673" w:type="dxa"/>
            <w:vAlign w:val="center"/>
          </w:tcPr>
          <w:p>
            <w:pPr>
              <w:pStyle w:val="39"/>
              <w:rPr>
                <w:rFonts w:ascii="Times New Roman" w:hAnsi="Times New Roman"/>
              </w:rPr>
            </w:pPr>
            <w:r>
              <w:rPr>
                <w:rFonts w:ascii="Times New Roman" w:hAnsi="Times New Roman"/>
              </w:rPr>
              <w:t>核算排放速率/（kg/h）</w:t>
            </w:r>
          </w:p>
        </w:tc>
        <w:tc>
          <w:tcPr>
            <w:tcW w:w="1383" w:type="dxa"/>
            <w:vAlign w:val="center"/>
          </w:tcPr>
          <w:p>
            <w:pPr>
              <w:pStyle w:val="39"/>
              <w:rPr>
                <w:rFonts w:ascii="Times New Roman" w:hAnsi="Times New Roman"/>
              </w:rPr>
            </w:pPr>
            <w:r>
              <w:rPr>
                <w:rFonts w:ascii="Times New Roman" w:hAnsi="Times New Roman"/>
              </w:rPr>
              <w:t>核算年排放量/（t/a）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gridSpan w:val="6"/>
            <w:vAlign w:val="center"/>
          </w:tcPr>
          <w:p>
            <w:pPr>
              <w:pStyle w:val="39"/>
              <w:rPr>
                <w:rFonts w:ascii="Times New Roman" w:hAnsi="Times New Roman"/>
              </w:rPr>
            </w:pPr>
            <w:r>
              <w:rPr>
                <w:rFonts w:ascii="Times New Roman" w:hAnsi="Times New Roman"/>
              </w:rPr>
              <w:t>主要排放口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39"/>
              <w:rPr>
                <w:rFonts w:ascii="Times New Roman" w:hAnsi="Times New Roman"/>
              </w:rPr>
            </w:pPr>
            <w:r>
              <w:rPr>
                <w:rFonts w:ascii="Times New Roman" w:hAnsi="Times New Roman"/>
              </w:rPr>
              <w:t>1</w:t>
            </w:r>
          </w:p>
        </w:tc>
        <w:tc>
          <w:tcPr>
            <w:tcW w:w="1134" w:type="dxa"/>
            <w:vMerge w:val="restart"/>
            <w:vAlign w:val="center"/>
          </w:tcPr>
          <w:p>
            <w:pPr>
              <w:pStyle w:val="39"/>
              <w:rPr>
                <w:rFonts w:ascii="Times New Roman" w:hAnsi="Times New Roman"/>
              </w:rPr>
            </w:pPr>
            <w:r>
              <w:rPr>
                <w:rFonts w:ascii="Times New Roman" w:hAnsi="Times New Roman"/>
              </w:rPr>
              <w:t>宣探1井站水套加热炉排气筒</w:t>
            </w:r>
          </w:p>
        </w:tc>
        <w:tc>
          <w:tcPr>
            <w:tcW w:w="1701" w:type="dxa"/>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1701" w:type="dxa"/>
            <w:vAlign w:val="center"/>
          </w:tcPr>
          <w:p>
            <w:pPr>
              <w:pStyle w:val="39"/>
              <w:rPr>
                <w:rFonts w:ascii="Times New Roman" w:hAnsi="Times New Roman"/>
              </w:rPr>
            </w:pPr>
            <w:r>
              <w:rPr>
                <w:rFonts w:ascii="Times New Roman" w:hAnsi="Times New Roman"/>
              </w:rPr>
              <w:t>3.71</w:t>
            </w:r>
          </w:p>
        </w:tc>
        <w:tc>
          <w:tcPr>
            <w:tcW w:w="1673" w:type="dxa"/>
            <w:vAlign w:val="center"/>
          </w:tcPr>
          <w:p>
            <w:pPr>
              <w:pStyle w:val="39"/>
              <w:rPr>
                <w:rFonts w:ascii="Times New Roman" w:hAnsi="Times New Roman"/>
              </w:rPr>
            </w:pPr>
            <w:r>
              <w:rPr>
                <w:rFonts w:ascii="Times New Roman" w:hAnsi="Times New Roman"/>
              </w:rPr>
              <w:t>0.0018</w:t>
            </w:r>
          </w:p>
        </w:tc>
        <w:tc>
          <w:tcPr>
            <w:tcW w:w="1383" w:type="dxa"/>
            <w:vAlign w:val="center"/>
          </w:tcPr>
          <w:p>
            <w:pPr>
              <w:pStyle w:val="39"/>
              <w:rPr>
                <w:rFonts w:ascii="Times New Roman" w:hAnsi="Times New Roman"/>
              </w:rPr>
            </w:pPr>
            <w:r>
              <w:rPr>
                <w:rFonts w:ascii="Times New Roman" w:hAnsi="Times New Roman"/>
              </w:rPr>
              <w:t>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39"/>
              <w:rPr>
                <w:rFonts w:ascii="Times New Roman" w:hAnsi="Times New Roman"/>
              </w:rPr>
            </w:pPr>
            <w:r>
              <w:rPr>
                <w:rFonts w:ascii="Times New Roman" w:hAnsi="Times New Roman"/>
              </w:rPr>
              <w:t>2</w:t>
            </w:r>
          </w:p>
        </w:tc>
        <w:tc>
          <w:tcPr>
            <w:tcW w:w="1134" w:type="dxa"/>
            <w:vMerge w:val="continue"/>
            <w:vAlign w:val="center"/>
          </w:tcPr>
          <w:p>
            <w:pPr>
              <w:pStyle w:val="39"/>
              <w:rPr>
                <w:rFonts w:ascii="Times New Roman" w:hAnsi="Times New Roman"/>
              </w:rPr>
            </w:pPr>
          </w:p>
        </w:tc>
        <w:tc>
          <w:tcPr>
            <w:tcW w:w="1701" w:type="dxa"/>
            <w:vAlign w:val="center"/>
          </w:tcPr>
          <w:p>
            <w:pPr>
              <w:pStyle w:val="39"/>
              <w:rPr>
                <w:rFonts w:ascii="Times New Roman" w:hAnsi="Times New Roman"/>
              </w:rPr>
            </w:pPr>
            <w:r>
              <w:rPr>
                <w:rFonts w:ascii="Times New Roman" w:hAnsi="Times New Roman"/>
              </w:rPr>
              <w:t>NO</w:t>
            </w:r>
            <w:r>
              <w:rPr>
                <w:rFonts w:ascii="Times New Roman" w:hAnsi="Times New Roman"/>
                <w:vertAlign w:val="subscript"/>
              </w:rPr>
              <w:t>X</w:t>
            </w:r>
          </w:p>
        </w:tc>
        <w:tc>
          <w:tcPr>
            <w:tcW w:w="1701" w:type="dxa"/>
            <w:vAlign w:val="center"/>
          </w:tcPr>
          <w:p>
            <w:pPr>
              <w:pStyle w:val="39"/>
              <w:rPr>
                <w:rFonts w:ascii="Times New Roman" w:hAnsi="Times New Roman"/>
              </w:rPr>
            </w:pPr>
            <w:r>
              <w:rPr>
                <w:rFonts w:ascii="Times New Roman" w:hAnsi="Times New Roman"/>
              </w:rPr>
              <w:t>147.28</w:t>
            </w:r>
          </w:p>
        </w:tc>
        <w:tc>
          <w:tcPr>
            <w:tcW w:w="1673" w:type="dxa"/>
            <w:vAlign w:val="center"/>
          </w:tcPr>
          <w:p>
            <w:pPr>
              <w:pStyle w:val="39"/>
              <w:rPr>
                <w:rFonts w:ascii="Times New Roman" w:hAnsi="Times New Roman"/>
              </w:rPr>
            </w:pPr>
            <w:r>
              <w:rPr>
                <w:rFonts w:ascii="Times New Roman" w:hAnsi="Times New Roman"/>
              </w:rPr>
              <w:t>0.0730</w:t>
            </w:r>
          </w:p>
        </w:tc>
        <w:tc>
          <w:tcPr>
            <w:tcW w:w="1383" w:type="dxa"/>
            <w:vAlign w:val="center"/>
          </w:tcPr>
          <w:p>
            <w:pPr>
              <w:pStyle w:val="39"/>
              <w:rPr>
                <w:rFonts w:ascii="Times New Roman" w:hAnsi="Times New Roman"/>
              </w:rPr>
            </w:pPr>
            <w:r>
              <w:rPr>
                <w:rFonts w:ascii="Times New Roman" w:hAnsi="Times New Roman"/>
              </w:rPr>
              <w:t>0.584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39"/>
              <w:rPr>
                <w:rFonts w:ascii="Times New Roman" w:hAnsi="Times New Roman"/>
              </w:rPr>
            </w:pPr>
            <w:r>
              <w:rPr>
                <w:rFonts w:ascii="Times New Roman" w:hAnsi="Times New Roman"/>
              </w:rPr>
              <w:t>3</w:t>
            </w:r>
          </w:p>
        </w:tc>
        <w:tc>
          <w:tcPr>
            <w:tcW w:w="1134" w:type="dxa"/>
            <w:vMerge w:val="continue"/>
            <w:vAlign w:val="center"/>
          </w:tcPr>
          <w:p>
            <w:pPr>
              <w:pStyle w:val="39"/>
              <w:rPr>
                <w:rFonts w:ascii="Times New Roman" w:hAnsi="Times New Roman"/>
              </w:rPr>
            </w:pPr>
          </w:p>
        </w:tc>
        <w:tc>
          <w:tcPr>
            <w:tcW w:w="1701" w:type="dxa"/>
            <w:vAlign w:val="center"/>
          </w:tcPr>
          <w:p>
            <w:pPr>
              <w:pStyle w:val="39"/>
              <w:rPr>
                <w:rFonts w:ascii="Times New Roman" w:hAnsi="Times New Roman"/>
              </w:rPr>
            </w:pPr>
            <w:r>
              <w:rPr>
                <w:rFonts w:ascii="Times New Roman" w:hAnsi="Times New Roman"/>
              </w:rPr>
              <w:t>颗粒物</w:t>
            </w:r>
          </w:p>
        </w:tc>
        <w:tc>
          <w:tcPr>
            <w:tcW w:w="1701" w:type="dxa"/>
            <w:vAlign w:val="center"/>
          </w:tcPr>
          <w:p>
            <w:pPr>
              <w:pStyle w:val="39"/>
              <w:rPr>
                <w:rFonts w:ascii="Times New Roman" w:hAnsi="Times New Roman"/>
              </w:rPr>
            </w:pPr>
            <w:r>
              <w:rPr>
                <w:rFonts w:ascii="Times New Roman" w:hAnsi="Times New Roman"/>
              </w:rPr>
              <w:t>14.85</w:t>
            </w:r>
          </w:p>
        </w:tc>
        <w:tc>
          <w:tcPr>
            <w:tcW w:w="1673" w:type="dxa"/>
            <w:vAlign w:val="center"/>
          </w:tcPr>
          <w:p>
            <w:pPr>
              <w:pStyle w:val="39"/>
              <w:rPr>
                <w:rFonts w:ascii="Times New Roman" w:hAnsi="Times New Roman"/>
              </w:rPr>
            </w:pPr>
            <w:r>
              <w:rPr>
                <w:rFonts w:ascii="Times New Roman" w:hAnsi="Times New Roman"/>
              </w:rPr>
              <w:t>0.0074</w:t>
            </w:r>
          </w:p>
        </w:tc>
        <w:tc>
          <w:tcPr>
            <w:tcW w:w="1383" w:type="dxa"/>
            <w:vAlign w:val="center"/>
          </w:tcPr>
          <w:p>
            <w:pPr>
              <w:pStyle w:val="39"/>
              <w:rPr>
                <w:rFonts w:ascii="Times New Roman" w:hAnsi="Times New Roman"/>
              </w:rPr>
            </w:pPr>
            <w:r>
              <w:rPr>
                <w:rFonts w:ascii="Times New Roman" w:hAnsi="Times New Roman"/>
              </w:rPr>
              <w:t>0.059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39"/>
              <w:rPr>
                <w:rFonts w:ascii="Times New Roman" w:hAnsi="Times New Roman"/>
              </w:rPr>
            </w:pPr>
            <w:r>
              <w:rPr>
                <w:rFonts w:ascii="Times New Roman" w:hAnsi="Times New Roman"/>
              </w:rPr>
              <w:t>4</w:t>
            </w:r>
          </w:p>
        </w:tc>
        <w:tc>
          <w:tcPr>
            <w:tcW w:w="1134" w:type="dxa"/>
            <w:vMerge w:val="restart"/>
            <w:vAlign w:val="center"/>
          </w:tcPr>
          <w:p>
            <w:pPr>
              <w:pStyle w:val="39"/>
              <w:rPr>
                <w:rFonts w:ascii="Times New Roman" w:hAnsi="Times New Roman"/>
              </w:rPr>
            </w:pPr>
            <w:r>
              <w:rPr>
                <w:rFonts w:ascii="Times New Roman" w:hAnsi="Times New Roman"/>
              </w:rPr>
              <w:t>宣兴1井站水套加热炉排气筒</w:t>
            </w:r>
          </w:p>
        </w:tc>
        <w:tc>
          <w:tcPr>
            <w:tcW w:w="1701" w:type="dxa"/>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1701" w:type="dxa"/>
            <w:vAlign w:val="center"/>
          </w:tcPr>
          <w:p>
            <w:pPr>
              <w:pStyle w:val="39"/>
              <w:rPr>
                <w:rFonts w:ascii="Times New Roman" w:hAnsi="Times New Roman"/>
              </w:rPr>
            </w:pPr>
            <w:r>
              <w:rPr>
                <w:rFonts w:ascii="Times New Roman" w:hAnsi="Times New Roman"/>
              </w:rPr>
              <w:t>3.71</w:t>
            </w:r>
          </w:p>
        </w:tc>
        <w:tc>
          <w:tcPr>
            <w:tcW w:w="1673" w:type="dxa"/>
            <w:vAlign w:val="center"/>
          </w:tcPr>
          <w:p>
            <w:pPr>
              <w:pStyle w:val="39"/>
              <w:rPr>
                <w:rFonts w:ascii="Times New Roman" w:hAnsi="Times New Roman"/>
              </w:rPr>
            </w:pPr>
            <w:r>
              <w:rPr>
                <w:rFonts w:ascii="Times New Roman" w:hAnsi="Times New Roman"/>
              </w:rPr>
              <w:t>0.0054</w:t>
            </w:r>
          </w:p>
        </w:tc>
        <w:tc>
          <w:tcPr>
            <w:tcW w:w="1383" w:type="dxa"/>
            <w:vAlign w:val="center"/>
          </w:tcPr>
          <w:p>
            <w:pPr>
              <w:pStyle w:val="39"/>
              <w:rPr>
                <w:rFonts w:ascii="Times New Roman" w:hAnsi="Times New Roman"/>
              </w:rPr>
            </w:pPr>
            <w:r>
              <w:rPr>
                <w:rFonts w:ascii="Times New Roman" w:hAnsi="Times New Roman"/>
              </w:rPr>
              <w:t>0.043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39"/>
              <w:rPr>
                <w:rFonts w:ascii="Times New Roman" w:hAnsi="Times New Roman"/>
              </w:rPr>
            </w:pPr>
            <w:r>
              <w:rPr>
                <w:rFonts w:ascii="Times New Roman" w:hAnsi="Times New Roman"/>
              </w:rPr>
              <w:t>5</w:t>
            </w:r>
          </w:p>
        </w:tc>
        <w:tc>
          <w:tcPr>
            <w:tcW w:w="1134" w:type="dxa"/>
            <w:vMerge w:val="continue"/>
            <w:vAlign w:val="center"/>
          </w:tcPr>
          <w:p>
            <w:pPr>
              <w:pStyle w:val="39"/>
              <w:rPr>
                <w:rFonts w:ascii="Times New Roman" w:hAnsi="Times New Roman"/>
              </w:rPr>
            </w:pPr>
          </w:p>
        </w:tc>
        <w:tc>
          <w:tcPr>
            <w:tcW w:w="1701" w:type="dxa"/>
            <w:vAlign w:val="center"/>
          </w:tcPr>
          <w:p>
            <w:pPr>
              <w:pStyle w:val="39"/>
              <w:rPr>
                <w:rFonts w:ascii="Times New Roman" w:hAnsi="Times New Roman"/>
              </w:rPr>
            </w:pPr>
            <w:r>
              <w:rPr>
                <w:rFonts w:ascii="Times New Roman" w:hAnsi="Times New Roman"/>
              </w:rPr>
              <w:t>NO</w:t>
            </w:r>
            <w:r>
              <w:rPr>
                <w:rFonts w:ascii="Times New Roman" w:hAnsi="Times New Roman"/>
                <w:vertAlign w:val="subscript"/>
              </w:rPr>
              <w:t>X</w:t>
            </w:r>
          </w:p>
        </w:tc>
        <w:tc>
          <w:tcPr>
            <w:tcW w:w="1701" w:type="dxa"/>
            <w:vAlign w:val="center"/>
          </w:tcPr>
          <w:p>
            <w:pPr>
              <w:pStyle w:val="39"/>
              <w:rPr>
                <w:rFonts w:ascii="Times New Roman" w:hAnsi="Times New Roman"/>
              </w:rPr>
            </w:pPr>
            <w:r>
              <w:rPr>
                <w:rFonts w:ascii="Times New Roman" w:hAnsi="Times New Roman"/>
              </w:rPr>
              <w:t>147.28</w:t>
            </w:r>
          </w:p>
        </w:tc>
        <w:tc>
          <w:tcPr>
            <w:tcW w:w="1673" w:type="dxa"/>
            <w:vAlign w:val="center"/>
          </w:tcPr>
          <w:p>
            <w:pPr>
              <w:pStyle w:val="39"/>
              <w:rPr>
                <w:rFonts w:ascii="Times New Roman" w:hAnsi="Times New Roman"/>
              </w:rPr>
            </w:pPr>
            <w:r>
              <w:rPr>
                <w:rFonts w:ascii="Times New Roman" w:hAnsi="Times New Roman"/>
              </w:rPr>
              <w:t>0.2142</w:t>
            </w:r>
          </w:p>
        </w:tc>
        <w:tc>
          <w:tcPr>
            <w:tcW w:w="1383" w:type="dxa"/>
            <w:vAlign w:val="center"/>
          </w:tcPr>
          <w:p>
            <w:pPr>
              <w:pStyle w:val="39"/>
              <w:rPr>
                <w:rFonts w:ascii="Times New Roman" w:hAnsi="Times New Roman"/>
              </w:rPr>
            </w:pPr>
            <w:r>
              <w:rPr>
                <w:rFonts w:ascii="Times New Roman" w:hAnsi="Times New Roman"/>
              </w:rPr>
              <w:t>1.714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39"/>
              <w:rPr>
                <w:rFonts w:ascii="Times New Roman" w:hAnsi="Times New Roman"/>
              </w:rPr>
            </w:pPr>
            <w:r>
              <w:rPr>
                <w:rFonts w:ascii="Times New Roman" w:hAnsi="Times New Roman"/>
              </w:rPr>
              <w:t>6</w:t>
            </w:r>
          </w:p>
        </w:tc>
        <w:tc>
          <w:tcPr>
            <w:tcW w:w="1134" w:type="dxa"/>
            <w:vMerge w:val="continue"/>
            <w:vAlign w:val="center"/>
          </w:tcPr>
          <w:p>
            <w:pPr>
              <w:pStyle w:val="39"/>
              <w:rPr>
                <w:rFonts w:ascii="Times New Roman" w:hAnsi="Times New Roman"/>
              </w:rPr>
            </w:pPr>
          </w:p>
        </w:tc>
        <w:tc>
          <w:tcPr>
            <w:tcW w:w="1701" w:type="dxa"/>
            <w:vAlign w:val="center"/>
          </w:tcPr>
          <w:p>
            <w:pPr>
              <w:pStyle w:val="39"/>
              <w:rPr>
                <w:rFonts w:ascii="Times New Roman" w:hAnsi="Times New Roman"/>
              </w:rPr>
            </w:pPr>
            <w:r>
              <w:rPr>
                <w:rFonts w:ascii="Times New Roman" w:hAnsi="Times New Roman"/>
              </w:rPr>
              <w:t>颗粒物</w:t>
            </w:r>
          </w:p>
        </w:tc>
        <w:tc>
          <w:tcPr>
            <w:tcW w:w="1701" w:type="dxa"/>
            <w:vAlign w:val="center"/>
          </w:tcPr>
          <w:p>
            <w:pPr>
              <w:pStyle w:val="39"/>
              <w:rPr>
                <w:rFonts w:ascii="Times New Roman" w:hAnsi="Times New Roman"/>
              </w:rPr>
            </w:pPr>
            <w:r>
              <w:rPr>
                <w:rFonts w:ascii="Times New Roman" w:hAnsi="Times New Roman"/>
              </w:rPr>
              <w:t>14.85</w:t>
            </w:r>
          </w:p>
        </w:tc>
        <w:tc>
          <w:tcPr>
            <w:tcW w:w="1673" w:type="dxa"/>
            <w:vAlign w:val="center"/>
          </w:tcPr>
          <w:p>
            <w:pPr>
              <w:pStyle w:val="39"/>
              <w:rPr>
                <w:rFonts w:ascii="Times New Roman" w:hAnsi="Times New Roman"/>
              </w:rPr>
            </w:pPr>
            <w:r>
              <w:rPr>
                <w:rFonts w:ascii="Times New Roman" w:hAnsi="Times New Roman"/>
              </w:rPr>
              <w:t>0.0216</w:t>
            </w:r>
          </w:p>
        </w:tc>
        <w:tc>
          <w:tcPr>
            <w:tcW w:w="1383" w:type="dxa"/>
            <w:vAlign w:val="center"/>
          </w:tcPr>
          <w:p>
            <w:pPr>
              <w:pStyle w:val="39"/>
              <w:rPr>
                <w:rFonts w:ascii="Times New Roman" w:hAnsi="Times New Roman"/>
              </w:rPr>
            </w:pPr>
            <w:r>
              <w:rPr>
                <w:rFonts w:ascii="Times New Roman" w:hAnsi="Times New Roman"/>
              </w:rPr>
              <w:t>0.173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8" w:type="dxa"/>
            <w:gridSpan w:val="2"/>
            <w:vMerge w:val="restart"/>
            <w:vAlign w:val="center"/>
          </w:tcPr>
          <w:p>
            <w:pPr>
              <w:pStyle w:val="39"/>
              <w:rPr>
                <w:rFonts w:ascii="Times New Roman" w:hAnsi="Times New Roman"/>
              </w:rPr>
            </w:pPr>
            <w:r>
              <w:rPr>
                <w:rFonts w:ascii="Times New Roman" w:hAnsi="Times New Roman"/>
              </w:rPr>
              <w:t>主要排放口合计/有组织排放总计</w:t>
            </w:r>
          </w:p>
        </w:tc>
        <w:tc>
          <w:tcPr>
            <w:tcW w:w="5075" w:type="dxa"/>
            <w:gridSpan w:val="3"/>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1383" w:type="dxa"/>
            <w:vAlign w:val="center"/>
          </w:tcPr>
          <w:p>
            <w:pPr>
              <w:pStyle w:val="39"/>
              <w:rPr>
                <w:rFonts w:ascii="Times New Roman" w:hAnsi="Times New Roman"/>
              </w:rPr>
            </w:pPr>
            <w:r>
              <w:rPr>
                <w:rFonts w:ascii="Times New Roman" w:hAnsi="Times New Roman"/>
              </w:rPr>
              <w:t>0.058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8" w:type="dxa"/>
            <w:gridSpan w:val="2"/>
            <w:vMerge w:val="continue"/>
            <w:vAlign w:val="center"/>
          </w:tcPr>
          <w:p>
            <w:pPr>
              <w:pStyle w:val="39"/>
              <w:rPr>
                <w:rFonts w:ascii="Times New Roman" w:hAnsi="Times New Roman"/>
              </w:rPr>
            </w:pPr>
          </w:p>
        </w:tc>
        <w:tc>
          <w:tcPr>
            <w:tcW w:w="5075" w:type="dxa"/>
            <w:gridSpan w:val="3"/>
            <w:vAlign w:val="center"/>
          </w:tcPr>
          <w:p>
            <w:pPr>
              <w:pStyle w:val="39"/>
              <w:rPr>
                <w:rFonts w:ascii="Times New Roman" w:hAnsi="Times New Roman"/>
              </w:rPr>
            </w:pPr>
            <w:r>
              <w:rPr>
                <w:rFonts w:ascii="Times New Roman" w:hAnsi="Times New Roman"/>
              </w:rPr>
              <w:t>NO</w:t>
            </w:r>
            <w:r>
              <w:rPr>
                <w:rFonts w:ascii="Times New Roman" w:hAnsi="Times New Roman"/>
                <w:vertAlign w:val="subscript"/>
              </w:rPr>
              <w:t>X</w:t>
            </w:r>
          </w:p>
        </w:tc>
        <w:tc>
          <w:tcPr>
            <w:tcW w:w="1383" w:type="dxa"/>
            <w:vAlign w:val="center"/>
          </w:tcPr>
          <w:p>
            <w:pPr>
              <w:pStyle w:val="39"/>
              <w:rPr>
                <w:rFonts w:ascii="Times New Roman" w:hAnsi="Times New Roman"/>
              </w:rPr>
            </w:pPr>
            <w:r>
              <w:rPr>
                <w:rFonts w:ascii="Times New Roman" w:hAnsi="Times New Roman"/>
              </w:rPr>
              <w:t>2.298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8" w:type="dxa"/>
            <w:gridSpan w:val="2"/>
            <w:vMerge w:val="continue"/>
            <w:vAlign w:val="center"/>
          </w:tcPr>
          <w:p>
            <w:pPr>
              <w:pStyle w:val="39"/>
              <w:rPr>
                <w:rFonts w:ascii="Times New Roman" w:hAnsi="Times New Roman"/>
              </w:rPr>
            </w:pPr>
          </w:p>
        </w:tc>
        <w:tc>
          <w:tcPr>
            <w:tcW w:w="5075" w:type="dxa"/>
            <w:gridSpan w:val="3"/>
            <w:vAlign w:val="center"/>
          </w:tcPr>
          <w:p>
            <w:pPr>
              <w:pStyle w:val="39"/>
              <w:rPr>
                <w:rFonts w:ascii="Times New Roman" w:hAnsi="Times New Roman"/>
              </w:rPr>
            </w:pPr>
            <w:r>
              <w:rPr>
                <w:rFonts w:ascii="Times New Roman" w:hAnsi="Times New Roman"/>
              </w:rPr>
              <w:t>颗粒物</w:t>
            </w:r>
          </w:p>
        </w:tc>
        <w:tc>
          <w:tcPr>
            <w:tcW w:w="1383" w:type="dxa"/>
            <w:vAlign w:val="center"/>
          </w:tcPr>
          <w:p>
            <w:pPr>
              <w:pStyle w:val="39"/>
              <w:rPr>
                <w:rFonts w:ascii="Times New Roman" w:hAnsi="Times New Roman"/>
              </w:rPr>
            </w:pPr>
            <w:r>
              <w:rPr>
                <w:rFonts w:ascii="Times New Roman" w:hAnsi="Times New Roman"/>
              </w:rPr>
              <w:t>0.232</w:t>
            </w:r>
          </w:p>
        </w:tc>
      </w:tr>
    </w:tbl>
    <w:p>
      <w:pPr>
        <w:ind w:firstLine="480"/>
        <w:rPr>
          <w:rFonts w:ascii="Times New Roman" w:hAnsi="Times New Roman"/>
        </w:rPr>
      </w:pPr>
    </w:p>
    <w:p>
      <w:pPr>
        <w:pStyle w:val="37"/>
        <w:rPr>
          <w:rFonts w:ascii="Times New Roman" w:hAnsi="Times New Roman" w:cs="Times New Roman"/>
        </w:rPr>
      </w:pPr>
      <w:bookmarkStart w:id="207" w:name="_Ref15623881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bookmarkEnd w:id="207"/>
      <w:r>
        <w:rPr>
          <w:rFonts w:ascii="Times New Roman" w:hAnsi="Times New Roman" w:cs="Times New Roman"/>
        </w:rPr>
        <w:t xml:space="preserve">  大气污染物无组织排放量核算表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1"/>
        <w:gridCol w:w="611"/>
        <w:gridCol w:w="898"/>
        <w:gridCol w:w="850"/>
        <w:gridCol w:w="709"/>
        <w:gridCol w:w="2552"/>
        <w:gridCol w:w="1150"/>
        <w:gridCol w:w="1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dxa"/>
            <w:vMerge w:val="restart"/>
            <w:vAlign w:val="center"/>
          </w:tcPr>
          <w:p>
            <w:pPr>
              <w:pStyle w:val="39"/>
              <w:rPr>
                <w:rFonts w:ascii="Times New Roman" w:hAnsi="Times New Roman"/>
              </w:rPr>
            </w:pPr>
            <w:r>
              <w:rPr>
                <w:rFonts w:ascii="Times New Roman" w:hAnsi="Times New Roman"/>
              </w:rPr>
              <w:t>序号</w:t>
            </w:r>
          </w:p>
        </w:tc>
        <w:tc>
          <w:tcPr>
            <w:tcW w:w="611" w:type="dxa"/>
            <w:vMerge w:val="restart"/>
            <w:vAlign w:val="center"/>
          </w:tcPr>
          <w:p>
            <w:pPr>
              <w:pStyle w:val="39"/>
              <w:rPr>
                <w:rFonts w:ascii="Times New Roman" w:hAnsi="Times New Roman"/>
              </w:rPr>
            </w:pPr>
            <w:r>
              <w:rPr>
                <w:rFonts w:ascii="Times New Roman" w:hAnsi="Times New Roman"/>
              </w:rPr>
              <w:t>排放口编号</w:t>
            </w:r>
          </w:p>
        </w:tc>
        <w:tc>
          <w:tcPr>
            <w:tcW w:w="898" w:type="dxa"/>
            <w:vMerge w:val="restart"/>
            <w:vAlign w:val="center"/>
          </w:tcPr>
          <w:p>
            <w:pPr>
              <w:pStyle w:val="39"/>
              <w:rPr>
                <w:rFonts w:ascii="Times New Roman" w:hAnsi="Times New Roman"/>
              </w:rPr>
            </w:pPr>
            <w:r>
              <w:rPr>
                <w:rFonts w:ascii="Times New Roman" w:hAnsi="Times New Roman"/>
              </w:rPr>
              <w:t>产污环节</w:t>
            </w:r>
          </w:p>
        </w:tc>
        <w:tc>
          <w:tcPr>
            <w:tcW w:w="850" w:type="dxa"/>
            <w:vMerge w:val="restart"/>
            <w:vAlign w:val="center"/>
          </w:tcPr>
          <w:p>
            <w:pPr>
              <w:pStyle w:val="39"/>
              <w:rPr>
                <w:rFonts w:ascii="Times New Roman" w:hAnsi="Times New Roman"/>
              </w:rPr>
            </w:pPr>
            <w:r>
              <w:rPr>
                <w:rFonts w:ascii="Times New Roman" w:hAnsi="Times New Roman"/>
              </w:rPr>
              <w:t>污染物</w:t>
            </w:r>
          </w:p>
        </w:tc>
        <w:tc>
          <w:tcPr>
            <w:tcW w:w="709" w:type="dxa"/>
            <w:vMerge w:val="restart"/>
            <w:vAlign w:val="center"/>
          </w:tcPr>
          <w:p>
            <w:pPr>
              <w:pStyle w:val="39"/>
              <w:rPr>
                <w:rFonts w:ascii="Times New Roman" w:hAnsi="Times New Roman"/>
              </w:rPr>
            </w:pPr>
            <w:r>
              <w:rPr>
                <w:rFonts w:ascii="Times New Roman" w:hAnsi="Times New Roman"/>
              </w:rPr>
              <w:t>主要污染防治措施</w:t>
            </w:r>
          </w:p>
        </w:tc>
        <w:tc>
          <w:tcPr>
            <w:tcW w:w="3702" w:type="dxa"/>
            <w:gridSpan w:val="2"/>
            <w:vAlign w:val="center"/>
          </w:tcPr>
          <w:p>
            <w:pPr>
              <w:pStyle w:val="39"/>
              <w:rPr>
                <w:rFonts w:ascii="Times New Roman" w:hAnsi="Times New Roman"/>
              </w:rPr>
            </w:pPr>
            <w:r>
              <w:rPr>
                <w:rFonts w:ascii="Times New Roman" w:hAnsi="Times New Roman"/>
              </w:rPr>
              <w:t>国家或地方污染物排放标准</w:t>
            </w:r>
          </w:p>
        </w:tc>
        <w:tc>
          <w:tcPr>
            <w:tcW w:w="1055" w:type="dxa"/>
            <w:vMerge w:val="restart"/>
            <w:vAlign w:val="center"/>
          </w:tcPr>
          <w:p>
            <w:pPr>
              <w:pStyle w:val="39"/>
              <w:rPr>
                <w:rFonts w:ascii="Times New Roman" w:hAnsi="Times New Roman"/>
              </w:rPr>
            </w:pPr>
            <w:r>
              <w:rPr>
                <w:rFonts w:ascii="Times New Roman" w:hAnsi="Times New Roman"/>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dxa"/>
            <w:vMerge w:val="continue"/>
            <w:vAlign w:val="center"/>
          </w:tcPr>
          <w:p>
            <w:pPr>
              <w:pStyle w:val="39"/>
              <w:rPr>
                <w:rFonts w:ascii="Times New Roman" w:hAnsi="Times New Roman"/>
              </w:rPr>
            </w:pPr>
          </w:p>
        </w:tc>
        <w:tc>
          <w:tcPr>
            <w:tcW w:w="611" w:type="dxa"/>
            <w:vMerge w:val="continue"/>
            <w:vAlign w:val="center"/>
          </w:tcPr>
          <w:p>
            <w:pPr>
              <w:pStyle w:val="39"/>
              <w:rPr>
                <w:rFonts w:ascii="Times New Roman" w:hAnsi="Times New Roman"/>
              </w:rPr>
            </w:pPr>
          </w:p>
        </w:tc>
        <w:tc>
          <w:tcPr>
            <w:tcW w:w="898" w:type="dxa"/>
            <w:vMerge w:val="continue"/>
            <w:vAlign w:val="center"/>
          </w:tcPr>
          <w:p>
            <w:pPr>
              <w:pStyle w:val="39"/>
              <w:rPr>
                <w:rFonts w:ascii="Times New Roman" w:hAnsi="Times New Roman"/>
              </w:rPr>
            </w:pPr>
          </w:p>
        </w:tc>
        <w:tc>
          <w:tcPr>
            <w:tcW w:w="850" w:type="dxa"/>
            <w:vMerge w:val="continue"/>
            <w:vAlign w:val="center"/>
          </w:tcPr>
          <w:p>
            <w:pPr>
              <w:pStyle w:val="39"/>
              <w:rPr>
                <w:rFonts w:ascii="Times New Roman" w:hAnsi="Times New Roman"/>
              </w:rPr>
            </w:pPr>
          </w:p>
        </w:tc>
        <w:tc>
          <w:tcPr>
            <w:tcW w:w="709" w:type="dxa"/>
            <w:vMerge w:val="continue"/>
            <w:vAlign w:val="center"/>
          </w:tcPr>
          <w:p>
            <w:pPr>
              <w:pStyle w:val="39"/>
              <w:rPr>
                <w:rFonts w:ascii="Times New Roman" w:hAnsi="Times New Roman"/>
              </w:rPr>
            </w:pPr>
          </w:p>
        </w:tc>
        <w:tc>
          <w:tcPr>
            <w:tcW w:w="2552" w:type="dxa"/>
            <w:vAlign w:val="center"/>
          </w:tcPr>
          <w:p>
            <w:pPr>
              <w:pStyle w:val="39"/>
              <w:rPr>
                <w:rFonts w:ascii="Times New Roman" w:hAnsi="Times New Roman"/>
              </w:rPr>
            </w:pPr>
            <w:r>
              <w:rPr>
                <w:rFonts w:ascii="Times New Roman" w:hAnsi="Times New Roman"/>
              </w:rPr>
              <w:t>标准名称</w:t>
            </w:r>
          </w:p>
        </w:tc>
        <w:tc>
          <w:tcPr>
            <w:tcW w:w="1150" w:type="dxa"/>
            <w:vAlign w:val="center"/>
          </w:tcPr>
          <w:p>
            <w:pPr>
              <w:pStyle w:val="39"/>
              <w:rPr>
                <w:rFonts w:ascii="Times New Roman" w:hAnsi="Times New Roman"/>
              </w:rPr>
            </w:pPr>
            <w:r>
              <w:rPr>
                <w:rFonts w:ascii="Times New Roman" w:hAnsi="Times New Roman"/>
              </w:rPr>
              <w:t>浓度限值/（μg/m</w:t>
            </w:r>
            <w:r>
              <w:rPr>
                <w:rFonts w:ascii="Times New Roman" w:hAnsi="Times New Roman"/>
                <w:vertAlign w:val="superscript"/>
              </w:rPr>
              <w:t>3</w:t>
            </w:r>
            <w:r>
              <w:rPr>
                <w:rFonts w:ascii="Times New Roman" w:hAnsi="Times New Roman"/>
              </w:rPr>
              <w:t>）</w:t>
            </w:r>
          </w:p>
        </w:tc>
        <w:tc>
          <w:tcPr>
            <w:tcW w:w="1055"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dxa"/>
            <w:vAlign w:val="center"/>
          </w:tcPr>
          <w:p>
            <w:pPr>
              <w:pStyle w:val="39"/>
              <w:rPr>
                <w:rFonts w:ascii="Times New Roman" w:hAnsi="Times New Roman"/>
              </w:rPr>
            </w:pPr>
            <w:r>
              <w:rPr>
                <w:rFonts w:ascii="Times New Roman" w:hAnsi="Times New Roman"/>
              </w:rPr>
              <w:t>1</w:t>
            </w:r>
          </w:p>
        </w:tc>
        <w:tc>
          <w:tcPr>
            <w:tcW w:w="611" w:type="dxa"/>
            <w:vAlign w:val="center"/>
          </w:tcPr>
          <w:p>
            <w:pPr>
              <w:pStyle w:val="39"/>
              <w:rPr>
                <w:rFonts w:ascii="Times New Roman" w:hAnsi="Times New Roman"/>
              </w:rPr>
            </w:pPr>
            <w:r>
              <w:rPr>
                <w:rFonts w:ascii="Times New Roman" w:hAnsi="Times New Roman"/>
              </w:rPr>
              <w:t>宣探1井</w:t>
            </w:r>
          </w:p>
        </w:tc>
        <w:tc>
          <w:tcPr>
            <w:tcW w:w="898" w:type="dxa"/>
            <w:vAlign w:val="center"/>
          </w:tcPr>
          <w:p>
            <w:pPr>
              <w:pStyle w:val="39"/>
              <w:rPr>
                <w:rFonts w:ascii="Times New Roman" w:hAnsi="Times New Roman"/>
              </w:rPr>
            </w:pPr>
            <w:r>
              <w:rPr>
                <w:rFonts w:ascii="Times New Roman" w:hAnsi="Times New Roman"/>
              </w:rPr>
              <w:t>动静密封点泄漏</w:t>
            </w:r>
          </w:p>
        </w:tc>
        <w:tc>
          <w:tcPr>
            <w:tcW w:w="850" w:type="dxa"/>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709" w:type="dxa"/>
            <w:vAlign w:val="center"/>
          </w:tcPr>
          <w:p>
            <w:pPr>
              <w:pStyle w:val="39"/>
              <w:rPr>
                <w:rFonts w:ascii="Times New Roman" w:hAnsi="Times New Roman"/>
              </w:rPr>
            </w:pPr>
            <w:r>
              <w:rPr>
                <w:rFonts w:ascii="Times New Roman" w:hAnsi="Times New Roman"/>
              </w:rPr>
              <w:t>/</w:t>
            </w:r>
          </w:p>
        </w:tc>
        <w:tc>
          <w:tcPr>
            <w:tcW w:w="2552" w:type="dxa"/>
            <w:vAlign w:val="center"/>
          </w:tcPr>
          <w:p>
            <w:pPr>
              <w:pStyle w:val="39"/>
              <w:rPr>
                <w:rFonts w:ascii="Times New Roman" w:hAnsi="Times New Roman"/>
              </w:rPr>
            </w:pPr>
            <w:r>
              <w:rPr>
                <w:rFonts w:ascii="Times New Roman" w:hAnsi="Times New Roman"/>
              </w:rPr>
              <w:t>《恶臭污染物排放标准》（GB14554-93）</w:t>
            </w:r>
          </w:p>
        </w:tc>
        <w:tc>
          <w:tcPr>
            <w:tcW w:w="1150" w:type="dxa"/>
            <w:vAlign w:val="center"/>
          </w:tcPr>
          <w:p>
            <w:pPr>
              <w:pStyle w:val="39"/>
              <w:rPr>
                <w:rFonts w:ascii="Times New Roman" w:hAnsi="Times New Roman"/>
              </w:rPr>
            </w:pPr>
            <w:r>
              <w:rPr>
                <w:rFonts w:ascii="Times New Roman" w:hAnsi="Times New Roman"/>
              </w:rPr>
              <w:t>100</w:t>
            </w:r>
          </w:p>
        </w:tc>
        <w:tc>
          <w:tcPr>
            <w:tcW w:w="1055" w:type="dxa"/>
            <w:vAlign w:val="center"/>
          </w:tcPr>
          <w:p>
            <w:pPr>
              <w:pStyle w:val="39"/>
              <w:rPr>
                <w:rFonts w:ascii="Times New Roman" w:hAnsi="Times New Roman"/>
              </w:rPr>
            </w:pPr>
            <w:r>
              <w:rPr>
                <w:rFonts w:ascii="Times New Roman" w:hAnsi="Times New Roman"/>
              </w:rPr>
              <w:t>0.024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dxa"/>
            <w:vAlign w:val="center"/>
          </w:tcPr>
          <w:p>
            <w:pPr>
              <w:pStyle w:val="39"/>
              <w:rPr>
                <w:rFonts w:ascii="Times New Roman" w:hAnsi="Times New Roman"/>
              </w:rPr>
            </w:pPr>
            <w:r>
              <w:rPr>
                <w:rFonts w:ascii="Times New Roman" w:hAnsi="Times New Roman"/>
              </w:rPr>
              <w:t>2</w:t>
            </w:r>
          </w:p>
        </w:tc>
        <w:tc>
          <w:tcPr>
            <w:tcW w:w="611" w:type="dxa"/>
            <w:vAlign w:val="center"/>
          </w:tcPr>
          <w:p>
            <w:pPr>
              <w:pStyle w:val="39"/>
              <w:rPr>
                <w:rFonts w:ascii="Times New Roman" w:hAnsi="Times New Roman"/>
              </w:rPr>
            </w:pPr>
            <w:r>
              <w:rPr>
                <w:rFonts w:ascii="Times New Roman" w:hAnsi="Times New Roman"/>
              </w:rPr>
              <w:t>宣探1井</w:t>
            </w:r>
          </w:p>
        </w:tc>
        <w:tc>
          <w:tcPr>
            <w:tcW w:w="898" w:type="dxa"/>
            <w:vAlign w:val="center"/>
          </w:tcPr>
          <w:p>
            <w:pPr>
              <w:pStyle w:val="39"/>
              <w:rPr>
                <w:rFonts w:ascii="Times New Roman" w:hAnsi="Times New Roman"/>
              </w:rPr>
            </w:pPr>
            <w:r>
              <w:rPr>
                <w:rFonts w:ascii="Times New Roman" w:hAnsi="Times New Roman"/>
              </w:rPr>
              <w:t>动静密封点泄漏</w:t>
            </w:r>
          </w:p>
        </w:tc>
        <w:tc>
          <w:tcPr>
            <w:tcW w:w="850" w:type="dxa"/>
            <w:vAlign w:val="center"/>
          </w:tcPr>
          <w:p>
            <w:pPr>
              <w:pStyle w:val="39"/>
              <w:rPr>
                <w:rFonts w:ascii="Times New Roman" w:hAnsi="Times New Roman"/>
              </w:rPr>
            </w:pPr>
            <w:r>
              <w:rPr>
                <w:rFonts w:ascii="Times New Roman" w:hAnsi="Times New Roman"/>
              </w:rPr>
              <w:t>NMHC</w:t>
            </w:r>
          </w:p>
        </w:tc>
        <w:tc>
          <w:tcPr>
            <w:tcW w:w="709" w:type="dxa"/>
            <w:vAlign w:val="center"/>
          </w:tcPr>
          <w:p>
            <w:pPr>
              <w:pStyle w:val="39"/>
              <w:rPr>
                <w:rFonts w:ascii="Times New Roman" w:hAnsi="Times New Roman"/>
              </w:rPr>
            </w:pPr>
            <w:r>
              <w:rPr>
                <w:rFonts w:ascii="Times New Roman" w:hAnsi="Times New Roman"/>
              </w:rPr>
              <w:t>/</w:t>
            </w:r>
          </w:p>
        </w:tc>
        <w:tc>
          <w:tcPr>
            <w:tcW w:w="2552" w:type="dxa"/>
            <w:vAlign w:val="center"/>
          </w:tcPr>
          <w:p>
            <w:pPr>
              <w:pStyle w:val="39"/>
              <w:rPr>
                <w:rFonts w:ascii="Times New Roman" w:hAnsi="Times New Roman"/>
              </w:rPr>
            </w:pPr>
            <w:r>
              <w:rPr>
                <w:rFonts w:ascii="Times New Roman" w:hAnsi="Times New Roman"/>
              </w:rPr>
              <w:t>《陆上石油天然气开采工业大气污染物排放标准》（GB39728-2020）</w:t>
            </w:r>
          </w:p>
        </w:tc>
        <w:tc>
          <w:tcPr>
            <w:tcW w:w="1150" w:type="dxa"/>
            <w:vAlign w:val="center"/>
          </w:tcPr>
          <w:p>
            <w:pPr>
              <w:pStyle w:val="39"/>
              <w:rPr>
                <w:rFonts w:ascii="Times New Roman" w:hAnsi="Times New Roman"/>
              </w:rPr>
            </w:pPr>
            <w:r>
              <w:rPr>
                <w:rFonts w:ascii="Times New Roman" w:hAnsi="Times New Roman"/>
              </w:rPr>
              <w:t>4000</w:t>
            </w:r>
          </w:p>
        </w:tc>
        <w:tc>
          <w:tcPr>
            <w:tcW w:w="1055" w:type="dxa"/>
            <w:vAlign w:val="center"/>
          </w:tcPr>
          <w:p>
            <w:pPr>
              <w:pStyle w:val="39"/>
              <w:rPr>
                <w:rFonts w:ascii="Times New Roman" w:hAnsi="Times New Roman"/>
              </w:rPr>
            </w:pPr>
            <w:r>
              <w:rPr>
                <w:rFonts w:ascii="Times New Roman" w:hAnsi="Times New Roman"/>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dxa"/>
            <w:vAlign w:val="center"/>
          </w:tcPr>
          <w:p>
            <w:pPr>
              <w:pStyle w:val="39"/>
              <w:rPr>
                <w:rFonts w:ascii="Times New Roman" w:hAnsi="Times New Roman"/>
              </w:rPr>
            </w:pPr>
            <w:r>
              <w:rPr>
                <w:rFonts w:ascii="Times New Roman" w:hAnsi="Times New Roman"/>
              </w:rPr>
              <w:t>3</w:t>
            </w:r>
          </w:p>
        </w:tc>
        <w:tc>
          <w:tcPr>
            <w:tcW w:w="611" w:type="dxa"/>
            <w:vAlign w:val="center"/>
          </w:tcPr>
          <w:p>
            <w:pPr>
              <w:pStyle w:val="39"/>
              <w:rPr>
                <w:rFonts w:ascii="Times New Roman" w:hAnsi="Times New Roman"/>
              </w:rPr>
            </w:pPr>
            <w:r>
              <w:rPr>
                <w:rFonts w:ascii="Times New Roman" w:hAnsi="Times New Roman"/>
              </w:rPr>
              <w:t>宣兴1井</w:t>
            </w:r>
          </w:p>
        </w:tc>
        <w:tc>
          <w:tcPr>
            <w:tcW w:w="898" w:type="dxa"/>
            <w:vAlign w:val="center"/>
          </w:tcPr>
          <w:p>
            <w:pPr>
              <w:pStyle w:val="39"/>
              <w:rPr>
                <w:rFonts w:ascii="Times New Roman" w:hAnsi="Times New Roman"/>
              </w:rPr>
            </w:pPr>
            <w:r>
              <w:rPr>
                <w:rFonts w:ascii="Times New Roman" w:hAnsi="Times New Roman"/>
              </w:rPr>
              <w:t>动静密封点泄漏</w:t>
            </w:r>
          </w:p>
        </w:tc>
        <w:tc>
          <w:tcPr>
            <w:tcW w:w="850" w:type="dxa"/>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709" w:type="dxa"/>
            <w:vAlign w:val="center"/>
          </w:tcPr>
          <w:p>
            <w:pPr>
              <w:pStyle w:val="39"/>
              <w:rPr>
                <w:rFonts w:ascii="Times New Roman" w:hAnsi="Times New Roman"/>
              </w:rPr>
            </w:pPr>
            <w:r>
              <w:rPr>
                <w:rFonts w:ascii="Times New Roman" w:hAnsi="Times New Roman"/>
              </w:rPr>
              <w:t>/</w:t>
            </w:r>
          </w:p>
        </w:tc>
        <w:tc>
          <w:tcPr>
            <w:tcW w:w="2552" w:type="dxa"/>
            <w:vAlign w:val="center"/>
          </w:tcPr>
          <w:p>
            <w:pPr>
              <w:pStyle w:val="39"/>
              <w:rPr>
                <w:rFonts w:ascii="Times New Roman" w:hAnsi="Times New Roman"/>
              </w:rPr>
            </w:pPr>
            <w:r>
              <w:rPr>
                <w:rFonts w:ascii="Times New Roman" w:hAnsi="Times New Roman"/>
              </w:rPr>
              <w:t>《恶臭污染物排放标准》（GB14554-93）</w:t>
            </w:r>
          </w:p>
        </w:tc>
        <w:tc>
          <w:tcPr>
            <w:tcW w:w="1150" w:type="dxa"/>
            <w:vAlign w:val="center"/>
          </w:tcPr>
          <w:p>
            <w:pPr>
              <w:pStyle w:val="39"/>
              <w:rPr>
                <w:rFonts w:ascii="Times New Roman" w:hAnsi="Times New Roman"/>
              </w:rPr>
            </w:pPr>
            <w:r>
              <w:rPr>
                <w:rFonts w:ascii="Times New Roman" w:hAnsi="Times New Roman"/>
              </w:rPr>
              <w:t>100</w:t>
            </w:r>
          </w:p>
        </w:tc>
        <w:tc>
          <w:tcPr>
            <w:tcW w:w="1055" w:type="dxa"/>
            <w:vAlign w:val="center"/>
          </w:tcPr>
          <w:p>
            <w:pPr>
              <w:pStyle w:val="39"/>
              <w:rPr>
                <w:rFonts w:ascii="Times New Roman" w:hAnsi="Times New Roman"/>
              </w:rPr>
            </w:pPr>
            <w:r>
              <w:rPr>
                <w:rFonts w:ascii="Times New Roman" w:hAnsi="Times New Roman"/>
              </w:rPr>
              <w:t>0.104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dxa"/>
            <w:vAlign w:val="center"/>
          </w:tcPr>
          <w:p>
            <w:pPr>
              <w:pStyle w:val="39"/>
              <w:rPr>
                <w:rFonts w:ascii="Times New Roman" w:hAnsi="Times New Roman"/>
              </w:rPr>
            </w:pPr>
            <w:r>
              <w:rPr>
                <w:rFonts w:ascii="Times New Roman" w:hAnsi="Times New Roman"/>
              </w:rPr>
              <w:t>4</w:t>
            </w:r>
          </w:p>
        </w:tc>
        <w:tc>
          <w:tcPr>
            <w:tcW w:w="611" w:type="dxa"/>
            <w:vAlign w:val="center"/>
          </w:tcPr>
          <w:p>
            <w:pPr>
              <w:pStyle w:val="39"/>
              <w:rPr>
                <w:rFonts w:ascii="Times New Roman" w:hAnsi="Times New Roman"/>
              </w:rPr>
            </w:pPr>
            <w:r>
              <w:rPr>
                <w:rFonts w:ascii="Times New Roman" w:hAnsi="Times New Roman"/>
              </w:rPr>
              <w:t>宣探1井</w:t>
            </w:r>
          </w:p>
        </w:tc>
        <w:tc>
          <w:tcPr>
            <w:tcW w:w="898" w:type="dxa"/>
            <w:vAlign w:val="center"/>
          </w:tcPr>
          <w:p>
            <w:pPr>
              <w:pStyle w:val="39"/>
              <w:rPr>
                <w:rFonts w:ascii="Times New Roman" w:hAnsi="Times New Roman"/>
              </w:rPr>
            </w:pPr>
            <w:r>
              <w:rPr>
                <w:rFonts w:ascii="Times New Roman" w:hAnsi="Times New Roman"/>
              </w:rPr>
              <w:t>动静密封点泄漏</w:t>
            </w:r>
          </w:p>
        </w:tc>
        <w:tc>
          <w:tcPr>
            <w:tcW w:w="850" w:type="dxa"/>
            <w:vAlign w:val="center"/>
          </w:tcPr>
          <w:p>
            <w:pPr>
              <w:pStyle w:val="39"/>
              <w:rPr>
                <w:rFonts w:ascii="Times New Roman" w:hAnsi="Times New Roman"/>
              </w:rPr>
            </w:pPr>
            <w:r>
              <w:rPr>
                <w:rFonts w:ascii="Times New Roman" w:hAnsi="Times New Roman"/>
              </w:rPr>
              <w:t>NMHC</w:t>
            </w:r>
          </w:p>
        </w:tc>
        <w:tc>
          <w:tcPr>
            <w:tcW w:w="709" w:type="dxa"/>
            <w:vAlign w:val="center"/>
          </w:tcPr>
          <w:p>
            <w:pPr>
              <w:pStyle w:val="39"/>
              <w:rPr>
                <w:rFonts w:ascii="Times New Roman" w:hAnsi="Times New Roman"/>
              </w:rPr>
            </w:pPr>
            <w:r>
              <w:rPr>
                <w:rFonts w:ascii="Times New Roman" w:hAnsi="Times New Roman"/>
              </w:rPr>
              <w:t>/</w:t>
            </w:r>
          </w:p>
        </w:tc>
        <w:tc>
          <w:tcPr>
            <w:tcW w:w="2552" w:type="dxa"/>
            <w:vAlign w:val="center"/>
          </w:tcPr>
          <w:p>
            <w:pPr>
              <w:pStyle w:val="39"/>
              <w:rPr>
                <w:rFonts w:ascii="Times New Roman" w:hAnsi="Times New Roman"/>
              </w:rPr>
            </w:pPr>
            <w:r>
              <w:rPr>
                <w:rFonts w:ascii="Times New Roman" w:hAnsi="Times New Roman"/>
              </w:rPr>
              <w:t>《陆上石油天然气开采工业大气污染物排放标准》（GB39728-2020）</w:t>
            </w:r>
          </w:p>
        </w:tc>
        <w:tc>
          <w:tcPr>
            <w:tcW w:w="1150" w:type="dxa"/>
            <w:vAlign w:val="center"/>
          </w:tcPr>
          <w:p>
            <w:pPr>
              <w:pStyle w:val="39"/>
              <w:rPr>
                <w:rFonts w:ascii="Times New Roman" w:hAnsi="Times New Roman"/>
              </w:rPr>
            </w:pPr>
            <w:r>
              <w:rPr>
                <w:rFonts w:ascii="Times New Roman" w:hAnsi="Times New Roman"/>
              </w:rPr>
              <w:t>4000</w:t>
            </w:r>
          </w:p>
        </w:tc>
        <w:tc>
          <w:tcPr>
            <w:tcW w:w="1055" w:type="dxa"/>
            <w:vAlign w:val="center"/>
          </w:tcPr>
          <w:p>
            <w:pPr>
              <w:pStyle w:val="39"/>
              <w:rPr>
                <w:rFonts w:ascii="Times New Roman" w:hAnsi="Times New Roman"/>
              </w:rPr>
            </w:pPr>
            <w:r>
              <w:rPr>
                <w:rFonts w:ascii="Times New Roman" w:hAnsi="Times New Roman"/>
              </w:rPr>
              <w:t>0.467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gridSpan w:val="4"/>
            <w:vMerge w:val="restart"/>
            <w:vAlign w:val="center"/>
          </w:tcPr>
          <w:p>
            <w:pPr>
              <w:pStyle w:val="39"/>
              <w:rPr>
                <w:rFonts w:ascii="Times New Roman" w:hAnsi="Times New Roman"/>
              </w:rPr>
            </w:pPr>
            <w:r>
              <w:rPr>
                <w:rFonts w:ascii="Times New Roman" w:hAnsi="Times New Roman"/>
              </w:rPr>
              <w:t>无组织排放总计</w:t>
            </w:r>
          </w:p>
        </w:tc>
        <w:tc>
          <w:tcPr>
            <w:tcW w:w="3261" w:type="dxa"/>
            <w:gridSpan w:val="2"/>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2205" w:type="dxa"/>
            <w:gridSpan w:val="2"/>
            <w:vAlign w:val="center"/>
          </w:tcPr>
          <w:p>
            <w:pPr>
              <w:pStyle w:val="39"/>
              <w:rPr>
                <w:rFonts w:ascii="Times New Roman" w:hAnsi="Times New Roman"/>
              </w:rPr>
            </w:pPr>
            <w:r>
              <w:rPr>
                <w:rFonts w:ascii="Times New Roman" w:hAnsi="Times New Roman"/>
              </w:rPr>
              <w:t>0.128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gridSpan w:val="4"/>
            <w:vMerge w:val="continue"/>
            <w:vAlign w:val="center"/>
          </w:tcPr>
          <w:p>
            <w:pPr>
              <w:pStyle w:val="39"/>
              <w:rPr>
                <w:rFonts w:ascii="Times New Roman" w:hAnsi="Times New Roman"/>
              </w:rPr>
            </w:pPr>
          </w:p>
        </w:tc>
        <w:tc>
          <w:tcPr>
            <w:tcW w:w="3261" w:type="dxa"/>
            <w:gridSpan w:val="2"/>
            <w:vAlign w:val="center"/>
          </w:tcPr>
          <w:p>
            <w:pPr>
              <w:pStyle w:val="39"/>
              <w:rPr>
                <w:rFonts w:ascii="Times New Roman" w:hAnsi="Times New Roman"/>
              </w:rPr>
            </w:pPr>
            <w:r>
              <w:rPr>
                <w:rFonts w:ascii="Times New Roman" w:hAnsi="Times New Roman"/>
              </w:rPr>
              <w:t>NMHC</w:t>
            </w:r>
          </w:p>
        </w:tc>
        <w:tc>
          <w:tcPr>
            <w:tcW w:w="2205" w:type="dxa"/>
            <w:gridSpan w:val="2"/>
            <w:vAlign w:val="center"/>
          </w:tcPr>
          <w:p>
            <w:pPr>
              <w:pStyle w:val="39"/>
              <w:rPr>
                <w:rFonts w:ascii="Times New Roman" w:hAnsi="Times New Roman"/>
              </w:rPr>
            </w:pPr>
            <w:r>
              <w:rPr>
                <w:rFonts w:ascii="Times New Roman" w:hAnsi="Times New Roman"/>
              </w:rPr>
              <w:t>0.647</w:t>
            </w:r>
          </w:p>
        </w:tc>
      </w:tr>
    </w:tbl>
    <w:p>
      <w:pPr>
        <w:ind w:firstLine="0" w:firstLineChars="0"/>
        <w:rPr>
          <w:rFonts w:ascii="Times New Roman" w:hAnsi="Times New Roman"/>
        </w:rPr>
      </w:pPr>
    </w:p>
    <w:p>
      <w:pPr>
        <w:pStyle w:val="37"/>
        <w:rPr>
          <w:rFonts w:ascii="Times New Roman" w:hAnsi="Times New Roman" w:cs="Times New Roman"/>
        </w:rPr>
      </w:pPr>
      <w:bookmarkStart w:id="208" w:name="_Ref15623884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bookmarkEnd w:id="208"/>
      <w:r>
        <w:rPr>
          <w:rFonts w:ascii="Times New Roman" w:hAnsi="Times New Roman" w:cs="Times New Roman"/>
        </w:rPr>
        <w:t xml:space="preserve">  大气污染物年排放量核算表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4684"/>
        <w:gridCol w:w="2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9"/>
              <w:rPr>
                <w:rFonts w:ascii="Times New Roman" w:hAnsi="Times New Roman"/>
              </w:rPr>
            </w:pPr>
            <w:r>
              <w:rPr>
                <w:rFonts w:ascii="Times New Roman" w:hAnsi="Times New Roman"/>
              </w:rPr>
              <w:t>序号</w:t>
            </w:r>
          </w:p>
        </w:tc>
        <w:tc>
          <w:tcPr>
            <w:tcW w:w="4684" w:type="dxa"/>
            <w:vAlign w:val="center"/>
          </w:tcPr>
          <w:p>
            <w:pPr>
              <w:pStyle w:val="39"/>
              <w:rPr>
                <w:rFonts w:ascii="Times New Roman" w:hAnsi="Times New Roman"/>
              </w:rPr>
            </w:pPr>
            <w:r>
              <w:rPr>
                <w:rFonts w:ascii="Times New Roman" w:hAnsi="Times New Roman"/>
              </w:rPr>
              <w:t>污染物</w:t>
            </w:r>
          </w:p>
        </w:tc>
        <w:tc>
          <w:tcPr>
            <w:tcW w:w="2766" w:type="dxa"/>
            <w:vAlign w:val="center"/>
          </w:tcPr>
          <w:p>
            <w:pPr>
              <w:pStyle w:val="39"/>
              <w:rPr>
                <w:rFonts w:ascii="Times New Roman" w:hAnsi="Times New Roman"/>
              </w:rPr>
            </w:pPr>
            <w:r>
              <w:rPr>
                <w:rFonts w:ascii="Times New Roman" w:hAnsi="Times New Roman"/>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9"/>
              <w:rPr>
                <w:rFonts w:ascii="Times New Roman" w:hAnsi="Times New Roman"/>
              </w:rPr>
            </w:pPr>
            <w:r>
              <w:rPr>
                <w:rFonts w:ascii="Times New Roman" w:hAnsi="Times New Roman"/>
              </w:rPr>
              <w:t>1</w:t>
            </w:r>
          </w:p>
        </w:tc>
        <w:tc>
          <w:tcPr>
            <w:tcW w:w="4684" w:type="dxa"/>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2766" w:type="dxa"/>
            <w:vAlign w:val="center"/>
          </w:tcPr>
          <w:p>
            <w:pPr>
              <w:pStyle w:val="39"/>
              <w:rPr>
                <w:rFonts w:ascii="Times New Roman" w:hAnsi="Times New Roman"/>
              </w:rPr>
            </w:pPr>
            <w:r>
              <w:rPr>
                <w:rFonts w:ascii="Times New Roman" w:hAnsi="Times New Roman"/>
              </w:rPr>
              <w:t>0.058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9"/>
              <w:rPr>
                <w:rFonts w:ascii="Times New Roman" w:hAnsi="Times New Roman"/>
              </w:rPr>
            </w:pPr>
            <w:r>
              <w:rPr>
                <w:rFonts w:ascii="Times New Roman" w:hAnsi="Times New Roman"/>
              </w:rPr>
              <w:t>2</w:t>
            </w:r>
          </w:p>
        </w:tc>
        <w:tc>
          <w:tcPr>
            <w:tcW w:w="4684" w:type="dxa"/>
            <w:vAlign w:val="center"/>
          </w:tcPr>
          <w:p>
            <w:pPr>
              <w:pStyle w:val="39"/>
              <w:rPr>
                <w:rFonts w:ascii="Times New Roman" w:hAnsi="Times New Roman"/>
              </w:rPr>
            </w:pPr>
            <w:r>
              <w:rPr>
                <w:rFonts w:ascii="Times New Roman" w:hAnsi="Times New Roman"/>
              </w:rPr>
              <w:t>NO</w:t>
            </w:r>
            <w:r>
              <w:rPr>
                <w:rFonts w:ascii="Times New Roman" w:hAnsi="Times New Roman"/>
                <w:vertAlign w:val="subscript"/>
              </w:rPr>
              <w:t>X</w:t>
            </w:r>
          </w:p>
        </w:tc>
        <w:tc>
          <w:tcPr>
            <w:tcW w:w="2766" w:type="dxa"/>
            <w:vAlign w:val="center"/>
          </w:tcPr>
          <w:p>
            <w:pPr>
              <w:pStyle w:val="39"/>
              <w:rPr>
                <w:rFonts w:ascii="Times New Roman" w:hAnsi="Times New Roman"/>
              </w:rPr>
            </w:pPr>
            <w:r>
              <w:rPr>
                <w:rFonts w:ascii="Times New Roman" w:hAnsi="Times New Roman"/>
              </w:rPr>
              <w:t>2.298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9"/>
              <w:rPr>
                <w:rFonts w:ascii="Times New Roman" w:hAnsi="Times New Roman"/>
              </w:rPr>
            </w:pPr>
            <w:r>
              <w:rPr>
                <w:rFonts w:ascii="Times New Roman" w:hAnsi="Times New Roman"/>
              </w:rPr>
              <w:t>3</w:t>
            </w:r>
          </w:p>
        </w:tc>
        <w:tc>
          <w:tcPr>
            <w:tcW w:w="4684" w:type="dxa"/>
            <w:vAlign w:val="center"/>
          </w:tcPr>
          <w:p>
            <w:pPr>
              <w:pStyle w:val="39"/>
              <w:rPr>
                <w:rFonts w:ascii="Times New Roman" w:hAnsi="Times New Roman"/>
              </w:rPr>
            </w:pPr>
            <w:r>
              <w:rPr>
                <w:rFonts w:ascii="Times New Roman" w:hAnsi="Times New Roman"/>
              </w:rPr>
              <w:t>颗粒物</w:t>
            </w:r>
          </w:p>
        </w:tc>
        <w:tc>
          <w:tcPr>
            <w:tcW w:w="2766" w:type="dxa"/>
            <w:vAlign w:val="center"/>
          </w:tcPr>
          <w:p>
            <w:pPr>
              <w:pStyle w:val="39"/>
              <w:rPr>
                <w:rFonts w:ascii="Times New Roman" w:hAnsi="Times New Roman"/>
              </w:rPr>
            </w:pPr>
            <w:r>
              <w:rPr>
                <w:rFonts w:ascii="Times New Roman" w:hAnsi="Times New Roman"/>
              </w:rPr>
              <w:t>0.232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9"/>
              <w:rPr>
                <w:rFonts w:ascii="Times New Roman" w:hAnsi="Times New Roman"/>
              </w:rPr>
            </w:pPr>
            <w:r>
              <w:rPr>
                <w:rFonts w:ascii="Times New Roman" w:hAnsi="Times New Roman"/>
              </w:rPr>
              <w:t>4</w:t>
            </w:r>
          </w:p>
        </w:tc>
        <w:tc>
          <w:tcPr>
            <w:tcW w:w="4684" w:type="dxa"/>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2766" w:type="dxa"/>
            <w:vAlign w:val="center"/>
          </w:tcPr>
          <w:p>
            <w:pPr>
              <w:pStyle w:val="39"/>
              <w:rPr>
                <w:rFonts w:ascii="Times New Roman" w:hAnsi="Times New Roman"/>
              </w:rPr>
            </w:pPr>
            <w:r>
              <w:rPr>
                <w:rFonts w:ascii="Times New Roman" w:hAnsi="Times New Roman"/>
              </w:rPr>
              <w:t>0.128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9"/>
              <w:rPr>
                <w:rFonts w:ascii="Times New Roman" w:hAnsi="Times New Roman"/>
              </w:rPr>
            </w:pPr>
            <w:r>
              <w:rPr>
                <w:rFonts w:ascii="Times New Roman" w:hAnsi="Times New Roman"/>
              </w:rPr>
              <w:t>5</w:t>
            </w:r>
          </w:p>
        </w:tc>
        <w:tc>
          <w:tcPr>
            <w:tcW w:w="4684" w:type="dxa"/>
            <w:vAlign w:val="center"/>
          </w:tcPr>
          <w:p>
            <w:pPr>
              <w:pStyle w:val="39"/>
              <w:rPr>
                <w:rFonts w:ascii="Times New Roman" w:hAnsi="Times New Roman"/>
              </w:rPr>
            </w:pPr>
            <w:r>
              <w:rPr>
                <w:rFonts w:ascii="Times New Roman" w:hAnsi="Times New Roman"/>
              </w:rPr>
              <w:t>NMHC</w:t>
            </w:r>
          </w:p>
        </w:tc>
        <w:tc>
          <w:tcPr>
            <w:tcW w:w="2766" w:type="dxa"/>
            <w:vAlign w:val="center"/>
          </w:tcPr>
          <w:p>
            <w:pPr>
              <w:pStyle w:val="39"/>
              <w:rPr>
                <w:rFonts w:ascii="Times New Roman" w:hAnsi="Times New Roman"/>
              </w:rPr>
            </w:pPr>
            <w:r>
              <w:rPr>
                <w:rFonts w:ascii="Times New Roman" w:hAnsi="Times New Roman"/>
              </w:rPr>
              <w:t>0.647</w:t>
            </w:r>
          </w:p>
        </w:tc>
      </w:tr>
    </w:tbl>
    <w:p>
      <w:pPr>
        <w:pStyle w:val="3"/>
        <w:rPr>
          <w:rFonts w:ascii="Times New Roman" w:hAnsi="Times New Roman" w:cs="Times New Roman"/>
        </w:rPr>
      </w:pPr>
      <w:bookmarkStart w:id="209" w:name="_Toc162339424"/>
      <w:r>
        <w:rPr>
          <w:rFonts w:ascii="Times New Roman" w:hAnsi="Times New Roman" w:cs="Times New Roman"/>
        </w:rPr>
        <w:t>地表水环境</w:t>
      </w:r>
      <w:bookmarkEnd w:id="209"/>
    </w:p>
    <w:p>
      <w:pPr>
        <w:pStyle w:val="4"/>
        <w:rPr>
          <w:rFonts w:ascii="Times New Roman" w:hAnsi="Times New Roman" w:cs="Times New Roman"/>
        </w:rPr>
      </w:pPr>
      <w:r>
        <w:rPr>
          <w:rFonts w:ascii="Times New Roman" w:hAnsi="Times New Roman" w:cs="Times New Roman"/>
        </w:rPr>
        <w:t>施工期</w:t>
      </w:r>
    </w:p>
    <w:p>
      <w:pPr>
        <w:ind w:firstLine="480"/>
        <w:rPr>
          <w:rFonts w:ascii="Times New Roman" w:hAnsi="Times New Roman"/>
        </w:rPr>
      </w:pPr>
      <w:r>
        <w:rPr>
          <w:rFonts w:ascii="Times New Roman" w:hAnsi="Times New Roman"/>
        </w:rPr>
        <w:t>本项目施工期产生的废水主要有生活污水、施工废水、以及管线的试压废水。</w:t>
      </w:r>
    </w:p>
    <w:p>
      <w:pPr>
        <w:ind w:firstLine="482"/>
        <w:rPr>
          <w:rFonts w:ascii="Times New Roman" w:hAnsi="Times New Roman"/>
          <w:b/>
          <w:bCs/>
        </w:rPr>
      </w:pPr>
      <w:r>
        <w:rPr>
          <w:rFonts w:ascii="Times New Roman" w:hAnsi="Times New Roman"/>
          <w:b/>
          <w:bCs/>
        </w:rPr>
        <w:t>（1）生活污水</w:t>
      </w:r>
    </w:p>
    <w:p>
      <w:pPr>
        <w:ind w:firstLine="480"/>
        <w:rPr>
          <w:rFonts w:ascii="Times New Roman" w:hAnsi="Times New Roman"/>
        </w:rPr>
      </w:pPr>
      <w:r>
        <w:rPr>
          <w:rFonts w:ascii="Times New Roman" w:hAnsi="Times New Roman"/>
        </w:rPr>
        <w:t>施工人员生活依托周边农户，不设野外施工营地，施工人员生活污水利用既有设施处理。且施工期较短，污水量有限，因此对沿线水环境影响较小。</w:t>
      </w:r>
    </w:p>
    <w:p>
      <w:pPr>
        <w:ind w:firstLine="482"/>
        <w:rPr>
          <w:rFonts w:ascii="Times New Roman" w:hAnsi="Times New Roman"/>
          <w:b/>
          <w:bCs/>
        </w:rPr>
      </w:pPr>
      <w:r>
        <w:rPr>
          <w:rFonts w:ascii="Times New Roman" w:hAnsi="Times New Roman"/>
          <w:b/>
          <w:bCs/>
        </w:rPr>
        <w:t>（2）施工废水</w:t>
      </w:r>
    </w:p>
    <w:p>
      <w:pPr>
        <w:ind w:firstLine="480"/>
        <w:rPr>
          <w:rFonts w:ascii="Times New Roman" w:hAnsi="Times New Roman"/>
        </w:rPr>
      </w:pPr>
      <w:r>
        <w:rPr>
          <w:rFonts w:ascii="Times New Roman" w:hAnsi="Times New Roman"/>
        </w:rPr>
        <w:t>施工主要为施工机械冲洗废水，该类废水中主要污染物为SS，并含少量石油类，可通过沉淀处理后，回用于施工场地洒水降尘，不外排，不会对周边地表水环境产生影响。</w:t>
      </w:r>
    </w:p>
    <w:p>
      <w:pPr>
        <w:ind w:firstLine="482"/>
        <w:rPr>
          <w:rFonts w:ascii="Times New Roman" w:hAnsi="Times New Roman"/>
          <w:b/>
          <w:bCs/>
        </w:rPr>
      </w:pPr>
      <w:r>
        <w:rPr>
          <w:rFonts w:ascii="Times New Roman" w:hAnsi="Times New Roman"/>
          <w:b/>
          <w:bCs/>
        </w:rPr>
        <w:t>（3）管线试压废水</w:t>
      </w:r>
    </w:p>
    <w:p>
      <w:pPr>
        <w:ind w:firstLine="480"/>
        <w:rPr>
          <w:rFonts w:ascii="Times New Roman" w:hAnsi="Times New Roman"/>
        </w:rPr>
      </w:pPr>
      <w:r>
        <w:rPr>
          <w:rFonts w:ascii="Times New Roman" w:hAnsi="Times New Roman"/>
        </w:rPr>
        <w:t>本项目管道全线均采用清水分段试压，预计产生试压废水约186m</w:t>
      </w:r>
      <w:r>
        <w:rPr>
          <w:rFonts w:ascii="Times New Roman" w:hAnsi="Times New Roman"/>
          <w:vertAlign w:val="superscript"/>
        </w:rPr>
        <w:t>3</w:t>
      </w:r>
      <w:r>
        <w:rPr>
          <w:rFonts w:ascii="Times New Roman" w:hAnsi="Times New Roman"/>
        </w:rPr>
        <w:t>。主要污染物为少量SS，包括机械杂质和泥沙等，不含有害物质，经简易的沉淀处理后，就近排入附近沟渠（严禁排入清溪河），经过沉淀后，排出水做到无杂质、无铁屑等污染物，试压废水排放应事先做好废水收集和排放的管理工作，禁止排入清溪河，综上措施，试压废水基本不会对周边地表水环境产生影响。</w:t>
      </w:r>
    </w:p>
    <w:p>
      <w:pPr>
        <w:ind w:firstLine="482"/>
        <w:rPr>
          <w:rFonts w:ascii="Times New Roman" w:hAnsi="Times New Roman"/>
          <w:b/>
          <w:bCs/>
        </w:rPr>
      </w:pPr>
      <w:r>
        <w:rPr>
          <w:rFonts w:ascii="Times New Roman" w:hAnsi="Times New Roman"/>
          <w:b/>
          <w:bCs/>
        </w:rPr>
        <w:t>（4）对清溪镇乱石滩河吴家湾集中式饮用水水源地的影响分析</w:t>
      </w:r>
    </w:p>
    <w:p>
      <w:pPr>
        <w:ind w:firstLine="480"/>
        <w:rPr>
          <w:rFonts w:ascii="Times New Roman" w:hAnsi="Times New Roman"/>
        </w:rPr>
      </w:pPr>
      <w:r>
        <w:rPr>
          <w:rFonts w:ascii="Times New Roman" w:hAnsi="Times New Roman"/>
        </w:rPr>
        <w:t>2020年9月29日达州市人民政府发布了《达州市人民政府关于划定万源市、宣汉县和大竹县乡镇及以下集中式饮用水水源地保护区的批复》（达市府函</w:t>
      </w:r>
      <w:r>
        <w:rPr>
          <w:rFonts w:hint="eastAsia" w:ascii="Times New Roman" w:hAnsi="Times New Roman"/>
          <w:lang w:eastAsia="zh-CN"/>
        </w:rPr>
        <w:t>〔2020〕</w:t>
      </w:r>
      <w:r>
        <w:rPr>
          <w:rFonts w:ascii="Times New Roman" w:hAnsi="Times New Roman"/>
        </w:rPr>
        <w:t>124号），确立并确定了清溪镇乱石滩河吴家湾集中式饮用水水源地的保护范围。该水源地设计供水规模为300吨/天，服务范围为清溪镇场镇，取水口位于清溪镇王家坝村3组。水源类型为河流型。保护区划分范围见</w:t>
      </w:r>
      <w:r>
        <w:rPr>
          <w:rFonts w:ascii="Times New Roman" w:hAnsi="Times New Roman"/>
        </w:rPr>
        <w:fldChar w:fldCharType="begin"/>
      </w:r>
      <w:r>
        <w:rPr>
          <w:rFonts w:ascii="Times New Roman" w:hAnsi="Times New Roman"/>
        </w:rPr>
        <w:instrText xml:space="preserve"> REF _Ref155689852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12</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210" w:name="_Ref15568985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bookmarkEnd w:id="210"/>
      <w:r>
        <w:rPr>
          <w:rFonts w:ascii="Times New Roman" w:hAnsi="Times New Roman" w:cs="Times New Roman"/>
          <w:b/>
          <w:bCs/>
        </w:rPr>
        <w:t>清溪镇乱石滩河吴家湾集中式饮用水水源地保护区划分范围</w:t>
      </w:r>
    </w:p>
    <w:tbl>
      <w:tblPr>
        <w:tblStyle w:val="28"/>
        <w:tblW w:w="90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4"/>
        <w:gridCol w:w="2074"/>
        <w:gridCol w:w="2782"/>
        <w:gridCol w:w="2074"/>
        <w:gridCol w:w="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gridSpan w:val="2"/>
          </w:tcPr>
          <w:p>
            <w:pPr>
              <w:pStyle w:val="39"/>
              <w:rPr>
                <w:rFonts w:ascii="Times New Roman" w:hAnsi="Times New Roman"/>
              </w:rPr>
            </w:pPr>
            <w:r>
              <w:rPr>
                <w:rFonts w:ascii="Times New Roman" w:hAnsi="Times New Roman"/>
              </w:rPr>
              <w:t>一级保护区</w:t>
            </w:r>
          </w:p>
        </w:tc>
        <w:tc>
          <w:tcPr>
            <w:tcW w:w="4880" w:type="dxa"/>
            <w:gridSpan w:val="3"/>
          </w:tcPr>
          <w:p>
            <w:pPr>
              <w:pStyle w:val="39"/>
              <w:rPr>
                <w:rFonts w:ascii="Times New Roman" w:hAnsi="Times New Roman"/>
              </w:rPr>
            </w:pPr>
            <w:r>
              <w:rPr>
                <w:rFonts w:ascii="Times New Roman" w:hAnsi="Times New Roman"/>
              </w:rPr>
              <w:t>二级保护区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4" w:type="dxa"/>
        </w:trPr>
        <w:tc>
          <w:tcPr>
            <w:tcW w:w="2074" w:type="dxa"/>
          </w:tcPr>
          <w:p>
            <w:pPr>
              <w:pStyle w:val="39"/>
              <w:rPr>
                <w:rFonts w:ascii="Times New Roman" w:hAnsi="Times New Roman"/>
              </w:rPr>
            </w:pPr>
            <w:r>
              <w:rPr>
                <w:rFonts w:ascii="Times New Roman" w:hAnsi="Times New Roman"/>
              </w:rPr>
              <w:t>水域范围</w:t>
            </w:r>
          </w:p>
        </w:tc>
        <w:tc>
          <w:tcPr>
            <w:tcW w:w="2074" w:type="dxa"/>
          </w:tcPr>
          <w:p>
            <w:pPr>
              <w:pStyle w:val="39"/>
              <w:rPr>
                <w:rFonts w:ascii="Times New Roman" w:hAnsi="Times New Roman"/>
              </w:rPr>
            </w:pPr>
            <w:r>
              <w:rPr>
                <w:rFonts w:ascii="Times New Roman" w:hAnsi="Times New Roman"/>
              </w:rPr>
              <w:t>陆域范围</w:t>
            </w:r>
          </w:p>
        </w:tc>
        <w:tc>
          <w:tcPr>
            <w:tcW w:w="2782" w:type="dxa"/>
          </w:tcPr>
          <w:p>
            <w:pPr>
              <w:pStyle w:val="39"/>
              <w:rPr>
                <w:rFonts w:ascii="Times New Roman" w:hAnsi="Times New Roman"/>
              </w:rPr>
            </w:pPr>
            <w:r>
              <w:rPr>
                <w:rFonts w:ascii="Times New Roman" w:hAnsi="Times New Roman"/>
              </w:rPr>
              <w:t>水域范围</w:t>
            </w:r>
          </w:p>
        </w:tc>
        <w:tc>
          <w:tcPr>
            <w:tcW w:w="2074" w:type="dxa"/>
          </w:tcPr>
          <w:p>
            <w:pPr>
              <w:pStyle w:val="39"/>
              <w:rPr>
                <w:rFonts w:ascii="Times New Roman" w:hAnsi="Times New Roman"/>
              </w:rPr>
            </w:pPr>
            <w:r>
              <w:rPr>
                <w:rFonts w:ascii="Times New Roman" w:hAnsi="Times New Roman"/>
              </w:rPr>
              <w:t>陆域范围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4" w:type="dxa"/>
        </w:trPr>
        <w:tc>
          <w:tcPr>
            <w:tcW w:w="2074" w:type="dxa"/>
          </w:tcPr>
          <w:p>
            <w:pPr>
              <w:pStyle w:val="39"/>
              <w:rPr>
                <w:rFonts w:ascii="Times New Roman" w:hAnsi="Times New Roman"/>
              </w:rPr>
            </w:pPr>
            <w:r>
              <w:rPr>
                <w:rFonts w:ascii="Times New Roman" w:hAnsi="Times New Roman"/>
              </w:rPr>
              <w:t>取水口下游100米至取水口上游1000米，多年平均水位对应的高程线下的水域范围。</w:t>
            </w:r>
          </w:p>
        </w:tc>
        <w:tc>
          <w:tcPr>
            <w:tcW w:w="2074" w:type="dxa"/>
          </w:tcPr>
          <w:p>
            <w:pPr>
              <w:pStyle w:val="39"/>
              <w:rPr>
                <w:rFonts w:ascii="Times New Roman" w:hAnsi="Times New Roman"/>
              </w:rPr>
            </w:pPr>
            <w:r>
              <w:rPr>
                <w:rFonts w:ascii="Times New Roman" w:hAnsi="Times New Roman"/>
              </w:rPr>
              <w:t>与一级保护区水城长度一致，水城边界两岸纵深50米但不超过村道临河侧的全部陆域范围。</w:t>
            </w:r>
          </w:p>
        </w:tc>
        <w:tc>
          <w:tcPr>
            <w:tcW w:w="2782" w:type="dxa"/>
          </w:tcPr>
          <w:p>
            <w:pPr>
              <w:pStyle w:val="39"/>
              <w:rPr>
                <w:rFonts w:ascii="Times New Roman" w:hAnsi="Times New Roman"/>
              </w:rPr>
            </w:pPr>
            <w:r>
              <w:rPr>
                <w:rFonts w:ascii="Times New Roman" w:hAnsi="Times New Roman"/>
              </w:rPr>
              <w:t>一级保护区的下游边界起向下延伸200米，一级保护区的上游边界起向上游(包括汇入的上游支流)延伸至两叉河公路桥(约1700米)，多年平均水位对应的高程线下的水域范围。</w:t>
            </w:r>
          </w:p>
        </w:tc>
        <w:tc>
          <w:tcPr>
            <w:tcW w:w="2074" w:type="dxa"/>
          </w:tcPr>
          <w:p>
            <w:pPr>
              <w:pStyle w:val="39"/>
              <w:rPr>
                <w:rFonts w:ascii="Times New Roman" w:hAnsi="Times New Roman"/>
              </w:rPr>
            </w:pPr>
            <w:r>
              <w:rPr>
                <w:rFonts w:ascii="Times New Roman" w:hAnsi="Times New Roman"/>
              </w:rPr>
              <w:t>除一级保护区外一二级保护区水域边界两岸纵深1000米，但不超过流域分水岭的全部陆域范围。</w:t>
            </w:r>
          </w:p>
        </w:tc>
      </w:tr>
    </w:tbl>
    <w:p>
      <w:pPr>
        <w:ind w:firstLine="480"/>
        <w:rPr>
          <w:rFonts w:ascii="Times New Roman" w:hAnsi="Times New Roman"/>
        </w:rPr>
      </w:pPr>
      <w:r>
        <w:rPr>
          <w:rFonts w:ascii="Times New Roman" w:hAnsi="Times New Roman"/>
        </w:rPr>
        <w:t>本项目集气支线在宣探1井站北约120m处穿越清溪河，穿越方式为开挖方式，管道埋设在穿越河流河床设计冲刷线以下稳定层内（冲刷线以下2m）。</w:t>
      </w:r>
    </w:p>
    <w:p>
      <w:pPr>
        <w:ind w:firstLine="480"/>
        <w:rPr>
          <w:rFonts w:ascii="Times New Roman" w:hAnsi="Times New Roman"/>
        </w:rPr>
      </w:pPr>
      <w:r>
        <w:rPr>
          <w:rFonts w:ascii="Times New Roman" w:hAnsi="Times New Roman"/>
        </w:rPr>
        <w:t>管线穿越清溪河下游约1.5km处为清溪镇乱石滩河吴家湾集中式饮用水水源保护区二级保护区的边界。开挖穿越河流的影响主要表现为施工期扰动水体，短期内增加下游局部河段泥沙含量，取水口距离本项目开挖河段约为4.2km，距离较长，因此对取水水质影响较小。另外本项目在施工阶段需加强管理，严禁施工器械清溪废水、管道试压废水等污水排入清溪河；该段施工过程中加强对施工器械的维护，避免油品的跑冒滴漏等现象发生，从尽量降低对清溪镇乱石滩河吴家湾集中式饮用水水源保护区的影响。</w:t>
      </w:r>
    </w:p>
    <w:p>
      <w:pPr>
        <w:pStyle w:val="4"/>
        <w:rPr>
          <w:rFonts w:ascii="Times New Roman" w:hAnsi="Times New Roman" w:cs="Times New Roman"/>
        </w:rPr>
      </w:pPr>
      <w:r>
        <w:rPr>
          <w:rFonts w:ascii="Times New Roman" w:hAnsi="Times New Roman" w:cs="Times New Roman"/>
        </w:rPr>
        <w:t>运营期</w:t>
      </w:r>
    </w:p>
    <w:p>
      <w:pPr>
        <w:ind w:firstLine="480"/>
        <w:rPr>
          <w:rFonts w:ascii="Times New Roman" w:hAnsi="Times New Roman"/>
        </w:rPr>
      </w:pPr>
      <w:r>
        <w:rPr>
          <w:rFonts w:ascii="Times New Roman" w:hAnsi="Times New Roman"/>
        </w:rPr>
        <w:t>本项目运营期产生的废水主要包括气田水、工作人员产生的生活污水、设备外壁擦洗水和少量的设备检修废水。</w:t>
      </w:r>
    </w:p>
    <w:p>
      <w:pPr>
        <w:ind w:firstLine="480"/>
        <w:rPr>
          <w:rFonts w:ascii="Times New Roman" w:hAnsi="Times New Roman"/>
        </w:rPr>
      </w:pPr>
      <w:r>
        <w:rPr>
          <w:rFonts w:ascii="Times New Roman" w:hAnsi="Times New Roman"/>
        </w:rPr>
        <w:t>本项目产生的气田水和设备检修废水定期装车拉运至渡口河净化厂气田水处理装置处理，处理后通过其下游气田水转输、回注系统送入黄龙5井回注（若本项目先于渡口河净化厂投产，则暂将气田水拉运至黄龙004-X4井后输往黄龙2井回注，或拉运至蒲西4井进行回注）。</w:t>
      </w:r>
    </w:p>
    <w:p>
      <w:pPr>
        <w:ind w:firstLine="480"/>
        <w:rPr>
          <w:rFonts w:ascii="Times New Roman" w:hAnsi="Times New Roman"/>
        </w:rPr>
      </w:pPr>
      <w:r>
        <w:rPr>
          <w:rFonts w:ascii="Times New Roman" w:hAnsi="Times New Roman"/>
        </w:rPr>
        <w:t>气田水定期装车拉运至渡口河净化厂、黄龙004-X4 井、蒲西4 井等水处理装置处理后，回注至黄龙5 井、黄龙2 井或蒲西4井，不外排，对地表水环境影响较小。</w:t>
      </w:r>
    </w:p>
    <w:p>
      <w:pPr>
        <w:ind w:firstLine="480"/>
        <w:rPr>
          <w:rFonts w:ascii="Times New Roman" w:hAnsi="Times New Roman"/>
        </w:rPr>
      </w:pPr>
      <w:r>
        <w:rPr>
          <w:rFonts w:ascii="Times New Roman" w:hAnsi="Times New Roman"/>
        </w:rPr>
        <w:t>两井站和清管站装置设备检修时会产生检修废水排至站内气田水罐和放空分液罐中，拉运至宣兴1井站的气田水罐内，和宣兴1井站气田水统一拉运。</w:t>
      </w:r>
    </w:p>
    <w:p>
      <w:pPr>
        <w:ind w:firstLine="480"/>
        <w:rPr>
          <w:rFonts w:ascii="Times New Roman" w:hAnsi="Times New Roman"/>
        </w:rPr>
      </w:pPr>
      <w:r>
        <w:rPr>
          <w:rFonts w:ascii="Times New Roman" w:hAnsi="Times New Roman"/>
        </w:rPr>
        <w:t>外壁擦洗水要污染物为SS，随站内道路雨水边沟排出站外。</w:t>
      </w:r>
    </w:p>
    <w:p>
      <w:pPr>
        <w:ind w:firstLine="480"/>
        <w:rPr>
          <w:rFonts w:ascii="Times New Roman" w:hAnsi="Times New Roman"/>
        </w:rPr>
      </w:pPr>
      <w:r>
        <w:rPr>
          <w:rFonts w:ascii="Times New Roman" w:hAnsi="Times New Roman"/>
        </w:rPr>
        <w:t>维抢修队常驻人员就</w:t>
      </w:r>
      <w:r>
        <w:rPr>
          <w:rFonts w:hint="eastAsia" w:ascii="Times New Roman" w:hAnsi="Times New Roman"/>
        </w:rPr>
        <w:t>近</w:t>
      </w:r>
      <w:r>
        <w:rPr>
          <w:rFonts w:ascii="Times New Roman" w:hAnsi="Times New Roman"/>
        </w:rPr>
        <w:t>租房居住，生活污水依托租房的排水系统排放处置后还田。</w:t>
      </w:r>
    </w:p>
    <w:p>
      <w:pPr>
        <w:ind w:firstLine="480"/>
        <w:rPr>
          <w:rFonts w:ascii="Times New Roman" w:hAnsi="Times New Roman"/>
        </w:rPr>
      </w:pPr>
      <w:r>
        <w:rPr>
          <w:rFonts w:ascii="Times New Roman" w:hAnsi="Times New Roman"/>
        </w:rPr>
        <w:t>综上，本项目运营期产生的废水较少，经过以上措施处置后对外环境影响较小。</w:t>
      </w:r>
    </w:p>
    <w:p>
      <w:pPr>
        <w:pStyle w:val="3"/>
        <w:rPr>
          <w:rFonts w:ascii="Times New Roman" w:hAnsi="Times New Roman" w:cs="Times New Roman"/>
        </w:rPr>
      </w:pPr>
      <w:bookmarkStart w:id="211" w:name="_Toc162339425"/>
      <w:r>
        <w:rPr>
          <w:rFonts w:ascii="Times New Roman" w:hAnsi="Times New Roman" w:cs="Times New Roman"/>
        </w:rPr>
        <w:t>声环境</w:t>
      </w:r>
      <w:bookmarkEnd w:id="211"/>
    </w:p>
    <w:p>
      <w:pPr>
        <w:pStyle w:val="4"/>
        <w:rPr>
          <w:rFonts w:ascii="Times New Roman" w:hAnsi="Times New Roman" w:cs="Times New Roman"/>
        </w:rPr>
      </w:pPr>
      <w:r>
        <w:rPr>
          <w:rFonts w:ascii="Times New Roman" w:hAnsi="Times New Roman" w:cs="Times New Roman"/>
        </w:rPr>
        <w:t>施工期</w:t>
      </w:r>
    </w:p>
    <w:p>
      <w:pPr>
        <w:ind w:firstLine="480"/>
        <w:rPr>
          <w:rFonts w:ascii="Times New Roman" w:hAnsi="Times New Roman"/>
        </w:rPr>
      </w:pPr>
      <w:r>
        <w:rPr>
          <w:rFonts w:ascii="Times New Roman" w:hAnsi="Times New Roman"/>
        </w:rPr>
        <w:t>（1）噪声声源</w:t>
      </w:r>
    </w:p>
    <w:p>
      <w:pPr>
        <w:ind w:firstLine="480"/>
        <w:rPr>
          <w:rFonts w:ascii="Times New Roman" w:hAnsi="Times New Roman"/>
        </w:rPr>
      </w:pPr>
      <w:r>
        <w:rPr>
          <w:rFonts w:ascii="Times New Roman" w:hAnsi="Times New Roman"/>
        </w:rPr>
        <w:t>本工程主要穿越丘陵地区，经工程分析施工对噪声环境的影响中主要是由机械施工的施工机械和运输车辆造成。</w:t>
      </w:r>
    </w:p>
    <w:p>
      <w:pPr>
        <w:ind w:firstLine="480"/>
        <w:rPr>
          <w:rFonts w:ascii="Times New Roman" w:hAnsi="Times New Roman"/>
        </w:rPr>
      </w:pPr>
      <w:r>
        <w:rPr>
          <w:rFonts w:ascii="Times New Roman" w:hAnsi="Times New Roman"/>
        </w:rPr>
        <w:t>本项目采用人工施工和机械化作业相结合的方式，在挖沟时采用小型挖掘机挖掘，布管时采用人力布管，焊接时使用电焊机及柴油发电机，管线入沟、回填均采用人力施工作业，在公路顶管穿越时采用小型挖掘机和柴油发电机，这些施工均为白天作业，并随施工位置变化移动；站场建设及开挖穿越施工期间所涉及的产噪设备主要为混凝土搅拌机、混凝土翻斗机、柴油发电机、切割机等，这些施工噪声影响均是暂时的，站场建成及穿越施工完成后噪声随之消失。</w:t>
      </w:r>
    </w:p>
    <w:p>
      <w:pPr>
        <w:ind w:firstLine="480"/>
        <w:rPr>
          <w:rFonts w:ascii="Times New Roman" w:hAnsi="Times New Roman"/>
        </w:rPr>
      </w:pPr>
      <w:r>
        <w:rPr>
          <w:rFonts w:ascii="Times New Roman" w:hAnsi="Times New Roman"/>
        </w:rPr>
        <w:t>根据类比调查以及项目初步设计资料提供的主要设备选型等有关资料分析，设备高达85dB（A）以上的噪声源施工机械有：挖掘机、电焊机、混凝土搅拌机、混凝土翻斗机、柴油发电机、切割机等。</w:t>
      </w:r>
    </w:p>
    <w:p>
      <w:pPr>
        <w:ind w:firstLine="480"/>
        <w:rPr>
          <w:rFonts w:ascii="Times New Roman" w:hAnsi="Times New Roman"/>
        </w:rPr>
      </w:pPr>
      <w:r>
        <w:rPr>
          <w:rFonts w:ascii="Times New Roman" w:hAnsi="Times New Roman"/>
        </w:rPr>
        <w:t>（2）施工期噪声评价</w:t>
      </w:r>
    </w:p>
    <w:p>
      <w:pPr>
        <w:ind w:firstLine="480"/>
        <w:rPr>
          <w:rFonts w:ascii="Times New Roman" w:hAnsi="Times New Roman"/>
        </w:rPr>
      </w:pPr>
      <w:r>
        <w:rPr>
          <w:rFonts w:ascii="Times New Roman" w:hAnsi="Times New Roman"/>
        </w:rPr>
        <w:t>a、噪声预测公式的选用</w:t>
      </w:r>
    </w:p>
    <w:p>
      <w:pPr>
        <w:ind w:firstLine="480"/>
        <w:rPr>
          <w:rFonts w:ascii="Times New Roman" w:hAnsi="Times New Roman"/>
        </w:rPr>
      </w:pPr>
      <w:r>
        <w:rPr>
          <w:rFonts w:ascii="Times New Roman" w:hAnsi="Times New Roman"/>
        </w:rPr>
        <w:t>当声源的大小与预测距离相比小得多时，可以将此声源看作点源，声源噪声值随距离衰减的计算公式如下：</w:t>
      </w:r>
    </w:p>
    <w:p>
      <w:pPr>
        <w:ind w:firstLine="2400" w:firstLineChars="1000"/>
        <w:rPr>
          <w:rFonts w:ascii="Times New Roman" w:hAnsi="Times New Roman"/>
        </w:rPr>
      </w:pPr>
      <w:r>
        <w:rPr>
          <w:rFonts w:ascii="Times New Roman" w:hAnsi="Times New Roman"/>
        </w:rPr>
        <w:t>L</w:t>
      </w:r>
      <w:r>
        <w:rPr>
          <w:rFonts w:ascii="Times New Roman" w:hAnsi="Times New Roman"/>
          <w:vertAlign w:val="subscript"/>
        </w:rPr>
        <w:t>2</w:t>
      </w:r>
      <w:r>
        <w:rPr>
          <w:rFonts w:ascii="Times New Roman" w:hAnsi="Times New Roman"/>
        </w:rPr>
        <w:t>=L</w:t>
      </w:r>
      <w:r>
        <w:rPr>
          <w:rFonts w:ascii="Times New Roman" w:hAnsi="Times New Roman"/>
          <w:vertAlign w:val="subscript"/>
        </w:rPr>
        <w:t>1</w:t>
      </w:r>
      <w:r>
        <w:rPr>
          <w:rFonts w:ascii="Times New Roman" w:hAnsi="Times New Roman"/>
        </w:rPr>
        <w:t>－20lg（r</w:t>
      </w:r>
      <w:r>
        <w:rPr>
          <w:rFonts w:ascii="Times New Roman" w:hAnsi="Times New Roman"/>
          <w:vertAlign w:val="subscript"/>
        </w:rPr>
        <w:t>2</w:t>
      </w:r>
      <w:r>
        <w:rPr>
          <w:rFonts w:ascii="Times New Roman" w:hAnsi="Times New Roman"/>
        </w:rPr>
        <w:t>/r</w:t>
      </w:r>
      <w:r>
        <w:rPr>
          <w:rFonts w:ascii="Times New Roman" w:hAnsi="Times New Roman"/>
          <w:vertAlign w:val="subscript"/>
        </w:rPr>
        <w:t>1</w:t>
      </w:r>
      <w:r>
        <w:rPr>
          <w:rFonts w:ascii="Times New Roman" w:hAnsi="Times New Roman"/>
        </w:rPr>
        <w:t>）</w:t>
      </w:r>
    </w:p>
    <w:p>
      <w:pPr>
        <w:ind w:firstLine="480"/>
        <w:rPr>
          <w:rFonts w:ascii="Times New Roman" w:hAnsi="Times New Roman"/>
        </w:rPr>
      </w:pPr>
      <w:r>
        <w:rPr>
          <w:rFonts w:ascii="Times New Roman" w:hAnsi="Times New Roman"/>
        </w:rPr>
        <w:t>式中： r</w:t>
      </w:r>
      <w:r>
        <w:rPr>
          <w:rFonts w:ascii="Times New Roman" w:hAnsi="Times New Roman"/>
          <w:vertAlign w:val="subscript"/>
        </w:rPr>
        <w:t>1</w:t>
      </w:r>
      <w:r>
        <w:rPr>
          <w:rFonts w:ascii="Times New Roman" w:hAnsi="Times New Roman"/>
        </w:rPr>
        <w:t>、r</w:t>
      </w:r>
      <w:r>
        <w:rPr>
          <w:rFonts w:ascii="Times New Roman" w:hAnsi="Times New Roman"/>
          <w:vertAlign w:val="subscript"/>
        </w:rPr>
        <w:t>2</w:t>
      </w:r>
      <w:r>
        <w:rPr>
          <w:rFonts w:ascii="Times New Roman" w:hAnsi="Times New Roman"/>
        </w:rPr>
        <w:t>——为距离声源的距离（m）</w:t>
      </w:r>
    </w:p>
    <w:p>
      <w:pPr>
        <w:ind w:firstLine="480"/>
        <w:rPr>
          <w:rFonts w:ascii="Times New Roman" w:hAnsi="Times New Roman"/>
        </w:rPr>
      </w:pPr>
      <w:r>
        <w:rPr>
          <w:rFonts w:ascii="Times New Roman" w:hAnsi="Times New Roman"/>
        </w:rPr>
        <w:t xml:space="preserve">       L</w:t>
      </w:r>
      <w:r>
        <w:rPr>
          <w:rFonts w:ascii="Times New Roman" w:hAnsi="Times New Roman"/>
          <w:vertAlign w:val="subscript"/>
        </w:rPr>
        <w:t>1</w:t>
      </w:r>
      <w:r>
        <w:rPr>
          <w:rFonts w:ascii="Times New Roman" w:hAnsi="Times New Roman"/>
        </w:rPr>
        <w:t>、L</w:t>
      </w:r>
      <w:r>
        <w:rPr>
          <w:rFonts w:ascii="Times New Roman" w:hAnsi="Times New Roman"/>
          <w:vertAlign w:val="subscript"/>
        </w:rPr>
        <w:t>2</w:t>
      </w:r>
      <w:r>
        <w:rPr>
          <w:rFonts w:ascii="Times New Roman" w:hAnsi="Times New Roman"/>
        </w:rPr>
        <w:t>——为声源相距r</w:t>
      </w:r>
      <w:r>
        <w:rPr>
          <w:rFonts w:ascii="Times New Roman" w:hAnsi="Times New Roman"/>
          <w:vertAlign w:val="subscript"/>
        </w:rPr>
        <w:t>1</w:t>
      </w:r>
      <w:r>
        <w:rPr>
          <w:rFonts w:ascii="Times New Roman" w:hAnsi="Times New Roman"/>
        </w:rPr>
        <w:t>、r</w:t>
      </w:r>
      <w:r>
        <w:rPr>
          <w:rFonts w:ascii="Times New Roman" w:hAnsi="Times New Roman"/>
          <w:vertAlign w:val="subscript"/>
        </w:rPr>
        <w:t>2</w:t>
      </w:r>
      <w:r>
        <w:rPr>
          <w:rFonts w:ascii="Times New Roman" w:hAnsi="Times New Roman"/>
        </w:rPr>
        <w:t>处的噪声声级dB（A）</w:t>
      </w:r>
    </w:p>
    <w:p>
      <w:pPr>
        <w:ind w:firstLine="480"/>
        <w:rPr>
          <w:rFonts w:ascii="Times New Roman" w:hAnsi="Times New Roman"/>
        </w:rPr>
      </w:pPr>
      <w:r>
        <w:rPr>
          <w:rFonts w:ascii="Times New Roman" w:hAnsi="Times New Roman"/>
        </w:rPr>
        <w:t>b、预测结果及评价</w:t>
      </w:r>
    </w:p>
    <w:p>
      <w:pPr>
        <w:ind w:firstLine="480"/>
        <w:rPr>
          <w:rFonts w:ascii="Times New Roman" w:hAnsi="Times New Roman"/>
        </w:rPr>
      </w:pPr>
      <w:r>
        <w:rPr>
          <w:rFonts w:ascii="Times New Roman" w:hAnsi="Times New Roman"/>
        </w:rPr>
        <w:t>通过施工场地上有多台不同种类的施工机械同时作业，它们的辐射声级将叠加，其强度增量视噪声源种类、数量、相对分布的距离等因素而不同，施工噪声随距离衰减后的预测值见</w:t>
      </w:r>
      <w:r>
        <w:rPr>
          <w:rFonts w:ascii="Times New Roman" w:hAnsi="Times New Roman"/>
        </w:rPr>
        <w:fldChar w:fldCharType="begin"/>
      </w:r>
      <w:r>
        <w:rPr>
          <w:rFonts w:ascii="Times New Roman" w:hAnsi="Times New Roman"/>
        </w:rPr>
        <w:instrText xml:space="preserve"> REF _Ref155254215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13</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212" w:name="_Ref155254215"/>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13</w:t>
      </w:r>
      <w:r>
        <w:rPr>
          <w:rFonts w:ascii="Times New Roman" w:hAnsi="Times New Roman" w:cs="Times New Roman"/>
        </w:rPr>
        <w:fldChar w:fldCharType="end"/>
      </w:r>
      <w:bookmarkEnd w:id="212"/>
      <w:r>
        <w:rPr>
          <w:rFonts w:ascii="Times New Roman" w:hAnsi="Times New Roman" w:cs="Times New Roman"/>
        </w:rPr>
        <w:t xml:space="preserve">  施工噪声随距离衰减情况   单位：dB（A）</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8"/>
        <w:gridCol w:w="753"/>
        <w:gridCol w:w="751"/>
        <w:gridCol w:w="753"/>
        <w:gridCol w:w="751"/>
        <w:gridCol w:w="873"/>
        <w:gridCol w:w="873"/>
        <w:gridCol w:w="873"/>
        <w:gridCol w:w="873"/>
        <w:gridCol w:w="8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1698" w:type="dxa"/>
            <w:vAlign w:val="center"/>
          </w:tcPr>
          <w:p>
            <w:pPr>
              <w:pStyle w:val="39"/>
              <w:rPr>
                <w:rFonts w:ascii="Times New Roman" w:hAnsi="Times New Roman"/>
              </w:rPr>
            </w:pPr>
            <w:r>
              <w:rPr>
                <w:rFonts w:ascii="Times New Roman" w:hAnsi="Times New Roman"/>
              </w:rPr>
              <w:t>距离（m）</w:t>
            </w:r>
          </w:p>
        </w:tc>
        <w:tc>
          <w:tcPr>
            <w:tcW w:w="753" w:type="dxa"/>
            <w:vAlign w:val="center"/>
          </w:tcPr>
          <w:p>
            <w:pPr>
              <w:pStyle w:val="39"/>
              <w:rPr>
                <w:rFonts w:ascii="Times New Roman" w:hAnsi="Times New Roman"/>
              </w:rPr>
            </w:pPr>
            <w:r>
              <w:rPr>
                <w:rFonts w:ascii="Times New Roman" w:hAnsi="Times New Roman"/>
              </w:rPr>
              <w:t>10</w:t>
            </w:r>
          </w:p>
        </w:tc>
        <w:tc>
          <w:tcPr>
            <w:tcW w:w="751" w:type="dxa"/>
            <w:vAlign w:val="center"/>
          </w:tcPr>
          <w:p>
            <w:pPr>
              <w:pStyle w:val="39"/>
              <w:rPr>
                <w:rFonts w:ascii="Times New Roman" w:hAnsi="Times New Roman"/>
              </w:rPr>
            </w:pPr>
            <w:r>
              <w:rPr>
                <w:rFonts w:ascii="Times New Roman" w:hAnsi="Times New Roman"/>
              </w:rPr>
              <w:t>20</w:t>
            </w:r>
          </w:p>
        </w:tc>
        <w:tc>
          <w:tcPr>
            <w:tcW w:w="753" w:type="dxa"/>
            <w:vAlign w:val="center"/>
          </w:tcPr>
          <w:p>
            <w:pPr>
              <w:pStyle w:val="39"/>
              <w:rPr>
                <w:rFonts w:ascii="Times New Roman" w:hAnsi="Times New Roman"/>
              </w:rPr>
            </w:pPr>
            <w:r>
              <w:rPr>
                <w:rFonts w:ascii="Times New Roman" w:hAnsi="Times New Roman"/>
              </w:rPr>
              <w:t>40</w:t>
            </w:r>
          </w:p>
        </w:tc>
        <w:tc>
          <w:tcPr>
            <w:tcW w:w="751" w:type="dxa"/>
            <w:vAlign w:val="center"/>
          </w:tcPr>
          <w:p>
            <w:pPr>
              <w:pStyle w:val="39"/>
              <w:rPr>
                <w:rFonts w:ascii="Times New Roman" w:hAnsi="Times New Roman"/>
              </w:rPr>
            </w:pPr>
            <w:r>
              <w:rPr>
                <w:rFonts w:ascii="Times New Roman" w:hAnsi="Times New Roman"/>
              </w:rPr>
              <w:t>80</w:t>
            </w:r>
          </w:p>
        </w:tc>
        <w:tc>
          <w:tcPr>
            <w:tcW w:w="873" w:type="dxa"/>
            <w:vAlign w:val="center"/>
          </w:tcPr>
          <w:p>
            <w:pPr>
              <w:pStyle w:val="39"/>
              <w:rPr>
                <w:rFonts w:ascii="Times New Roman" w:hAnsi="Times New Roman"/>
              </w:rPr>
            </w:pPr>
            <w:r>
              <w:rPr>
                <w:rFonts w:ascii="Times New Roman" w:hAnsi="Times New Roman"/>
              </w:rPr>
              <w:t>100</w:t>
            </w:r>
          </w:p>
        </w:tc>
        <w:tc>
          <w:tcPr>
            <w:tcW w:w="873" w:type="dxa"/>
            <w:vAlign w:val="center"/>
          </w:tcPr>
          <w:p>
            <w:pPr>
              <w:pStyle w:val="39"/>
              <w:rPr>
                <w:rFonts w:ascii="Times New Roman" w:hAnsi="Times New Roman"/>
              </w:rPr>
            </w:pPr>
            <w:r>
              <w:rPr>
                <w:rFonts w:ascii="Times New Roman" w:hAnsi="Times New Roman"/>
              </w:rPr>
              <w:t>150</w:t>
            </w:r>
          </w:p>
        </w:tc>
        <w:tc>
          <w:tcPr>
            <w:tcW w:w="873" w:type="dxa"/>
            <w:vAlign w:val="center"/>
          </w:tcPr>
          <w:p>
            <w:pPr>
              <w:pStyle w:val="39"/>
              <w:rPr>
                <w:rFonts w:ascii="Times New Roman" w:hAnsi="Times New Roman"/>
              </w:rPr>
            </w:pPr>
            <w:r>
              <w:rPr>
                <w:rFonts w:ascii="Times New Roman" w:hAnsi="Times New Roman"/>
              </w:rPr>
              <w:t>200</w:t>
            </w:r>
          </w:p>
        </w:tc>
        <w:tc>
          <w:tcPr>
            <w:tcW w:w="873" w:type="dxa"/>
            <w:vAlign w:val="center"/>
          </w:tcPr>
          <w:p>
            <w:pPr>
              <w:pStyle w:val="39"/>
              <w:rPr>
                <w:rFonts w:ascii="Times New Roman" w:hAnsi="Times New Roman"/>
              </w:rPr>
            </w:pPr>
            <w:r>
              <w:rPr>
                <w:rFonts w:ascii="Times New Roman" w:hAnsi="Times New Roman"/>
              </w:rPr>
              <w:t>300</w:t>
            </w:r>
          </w:p>
        </w:tc>
        <w:tc>
          <w:tcPr>
            <w:tcW w:w="873" w:type="dxa"/>
            <w:vAlign w:val="center"/>
          </w:tcPr>
          <w:p>
            <w:pPr>
              <w:pStyle w:val="39"/>
              <w:rPr>
                <w:rFonts w:ascii="Times New Roman" w:hAnsi="Times New Roman"/>
              </w:rPr>
            </w:pPr>
            <w:r>
              <w:rPr>
                <w:rFonts w:ascii="Times New Roman" w:hAnsi="Times New Roma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1698" w:type="dxa"/>
            <w:vAlign w:val="center"/>
          </w:tcPr>
          <w:p>
            <w:pPr>
              <w:pStyle w:val="39"/>
              <w:rPr>
                <w:rFonts w:ascii="Times New Roman" w:hAnsi="Times New Roman"/>
              </w:rPr>
            </w:pPr>
            <w:r>
              <w:rPr>
                <w:rFonts w:ascii="Times New Roman" w:hAnsi="Times New Roman"/>
              </w:rPr>
              <w:t>挖掘机</w:t>
            </w:r>
          </w:p>
        </w:tc>
        <w:tc>
          <w:tcPr>
            <w:tcW w:w="753" w:type="dxa"/>
            <w:vAlign w:val="center"/>
          </w:tcPr>
          <w:p>
            <w:pPr>
              <w:pStyle w:val="39"/>
              <w:rPr>
                <w:rFonts w:ascii="Times New Roman" w:hAnsi="Times New Roman"/>
              </w:rPr>
            </w:pPr>
            <w:r>
              <w:rPr>
                <w:rFonts w:ascii="Times New Roman" w:hAnsi="Times New Roman"/>
              </w:rPr>
              <w:t>70</w:t>
            </w:r>
          </w:p>
        </w:tc>
        <w:tc>
          <w:tcPr>
            <w:tcW w:w="751" w:type="dxa"/>
            <w:vAlign w:val="center"/>
          </w:tcPr>
          <w:p>
            <w:pPr>
              <w:pStyle w:val="39"/>
              <w:rPr>
                <w:rFonts w:ascii="Times New Roman" w:hAnsi="Times New Roman"/>
              </w:rPr>
            </w:pPr>
            <w:r>
              <w:rPr>
                <w:rFonts w:ascii="Times New Roman" w:hAnsi="Times New Roman"/>
              </w:rPr>
              <w:t>64</w:t>
            </w:r>
          </w:p>
        </w:tc>
        <w:tc>
          <w:tcPr>
            <w:tcW w:w="753" w:type="dxa"/>
            <w:vAlign w:val="center"/>
          </w:tcPr>
          <w:p>
            <w:pPr>
              <w:pStyle w:val="39"/>
              <w:rPr>
                <w:rFonts w:ascii="Times New Roman" w:hAnsi="Times New Roman"/>
              </w:rPr>
            </w:pPr>
            <w:r>
              <w:rPr>
                <w:rFonts w:ascii="Times New Roman" w:hAnsi="Times New Roman"/>
              </w:rPr>
              <w:t>58</w:t>
            </w:r>
          </w:p>
        </w:tc>
        <w:tc>
          <w:tcPr>
            <w:tcW w:w="751" w:type="dxa"/>
            <w:vAlign w:val="center"/>
          </w:tcPr>
          <w:p>
            <w:pPr>
              <w:pStyle w:val="39"/>
              <w:rPr>
                <w:rFonts w:ascii="Times New Roman" w:hAnsi="Times New Roman"/>
              </w:rPr>
            </w:pPr>
            <w:r>
              <w:rPr>
                <w:rFonts w:ascii="Times New Roman" w:hAnsi="Times New Roman"/>
              </w:rPr>
              <w:t>52</w:t>
            </w:r>
          </w:p>
        </w:tc>
        <w:tc>
          <w:tcPr>
            <w:tcW w:w="873" w:type="dxa"/>
            <w:vAlign w:val="center"/>
          </w:tcPr>
          <w:p>
            <w:pPr>
              <w:pStyle w:val="39"/>
              <w:rPr>
                <w:rFonts w:ascii="Times New Roman" w:hAnsi="Times New Roman"/>
              </w:rPr>
            </w:pPr>
            <w:r>
              <w:rPr>
                <w:rFonts w:ascii="Times New Roman" w:hAnsi="Times New Roman"/>
              </w:rPr>
              <w:t>50</w:t>
            </w:r>
          </w:p>
        </w:tc>
        <w:tc>
          <w:tcPr>
            <w:tcW w:w="873" w:type="dxa"/>
            <w:vAlign w:val="center"/>
          </w:tcPr>
          <w:p>
            <w:pPr>
              <w:pStyle w:val="39"/>
              <w:rPr>
                <w:rFonts w:ascii="Times New Roman" w:hAnsi="Times New Roman"/>
              </w:rPr>
            </w:pPr>
            <w:r>
              <w:rPr>
                <w:rFonts w:ascii="Times New Roman" w:hAnsi="Times New Roman"/>
              </w:rPr>
              <w:t>46.5</w:t>
            </w:r>
          </w:p>
        </w:tc>
        <w:tc>
          <w:tcPr>
            <w:tcW w:w="873" w:type="dxa"/>
            <w:vAlign w:val="center"/>
          </w:tcPr>
          <w:p>
            <w:pPr>
              <w:pStyle w:val="39"/>
              <w:rPr>
                <w:rFonts w:ascii="Times New Roman" w:hAnsi="Times New Roman"/>
              </w:rPr>
            </w:pPr>
            <w:r>
              <w:rPr>
                <w:rFonts w:ascii="Times New Roman" w:hAnsi="Times New Roman"/>
              </w:rPr>
              <w:t>44</w:t>
            </w:r>
          </w:p>
        </w:tc>
        <w:tc>
          <w:tcPr>
            <w:tcW w:w="873" w:type="dxa"/>
            <w:vAlign w:val="center"/>
          </w:tcPr>
          <w:p>
            <w:pPr>
              <w:pStyle w:val="39"/>
              <w:rPr>
                <w:rFonts w:ascii="Times New Roman" w:hAnsi="Times New Roman"/>
              </w:rPr>
            </w:pPr>
            <w:r>
              <w:rPr>
                <w:rFonts w:ascii="Times New Roman" w:hAnsi="Times New Roman"/>
              </w:rPr>
              <w:t>40.5</w:t>
            </w:r>
          </w:p>
        </w:tc>
        <w:tc>
          <w:tcPr>
            <w:tcW w:w="873" w:type="dxa"/>
            <w:vAlign w:val="center"/>
          </w:tcPr>
          <w:p>
            <w:pPr>
              <w:pStyle w:val="39"/>
              <w:rPr>
                <w:rFonts w:ascii="Times New Roman" w:hAnsi="Times New Roman"/>
              </w:rPr>
            </w:pPr>
            <w:r>
              <w:rPr>
                <w:rFonts w:ascii="Times New Roman" w:hAnsi="Times New Roma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1698" w:type="dxa"/>
            <w:vAlign w:val="center"/>
          </w:tcPr>
          <w:p>
            <w:pPr>
              <w:pStyle w:val="39"/>
              <w:rPr>
                <w:rFonts w:ascii="Times New Roman" w:hAnsi="Times New Roman"/>
              </w:rPr>
            </w:pPr>
            <w:r>
              <w:rPr>
                <w:rFonts w:ascii="Times New Roman" w:hAnsi="Times New Roman"/>
              </w:rPr>
              <w:t>电焊机</w:t>
            </w:r>
          </w:p>
        </w:tc>
        <w:tc>
          <w:tcPr>
            <w:tcW w:w="753" w:type="dxa"/>
            <w:vAlign w:val="center"/>
          </w:tcPr>
          <w:p>
            <w:pPr>
              <w:pStyle w:val="39"/>
              <w:rPr>
                <w:rFonts w:ascii="Times New Roman" w:hAnsi="Times New Roman"/>
              </w:rPr>
            </w:pPr>
            <w:r>
              <w:rPr>
                <w:rFonts w:ascii="Times New Roman" w:hAnsi="Times New Roman"/>
              </w:rPr>
              <w:t>65</w:t>
            </w:r>
          </w:p>
        </w:tc>
        <w:tc>
          <w:tcPr>
            <w:tcW w:w="751" w:type="dxa"/>
            <w:vAlign w:val="center"/>
          </w:tcPr>
          <w:p>
            <w:pPr>
              <w:pStyle w:val="39"/>
              <w:rPr>
                <w:rFonts w:ascii="Times New Roman" w:hAnsi="Times New Roman"/>
              </w:rPr>
            </w:pPr>
            <w:r>
              <w:rPr>
                <w:rFonts w:ascii="Times New Roman" w:hAnsi="Times New Roman"/>
              </w:rPr>
              <w:t>59</w:t>
            </w:r>
          </w:p>
        </w:tc>
        <w:tc>
          <w:tcPr>
            <w:tcW w:w="753" w:type="dxa"/>
            <w:vAlign w:val="center"/>
          </w:tcPr>
          <w:p>
            <w:pPr>
              <w:pStyle w:val="39"/>
              <w:rPr>
                <w:rFonts w:ascii="Times New Roman" w:hAnsi="Times New Roman"/>
              </w:rPr>
            </w:pPr>
            <w:r>
              <w:rPr>
                <w:rFonts w:ascii="Times New Roman" w:hAnsi="Times New Roman"/>
              </w:rPr>
              <w:t>53</w:t>
            </w:r>
          </w:p>
        </w:tc>
        <w:tc>
          <w:tcPr>
            <w:tcW w:w="751" w:type="dxa"/>
            <w:vAlign w:val="center"/>
          </w:tcPr>
          <w:p>
            <w:pPr>
              <w:pStyle w:val="39"/>
              <w:rPr>
                <w:rFonts w:ascii="Times New Roman" w:hAnsi="Times New Roman"/>
              </w:rPr>
            </w:pPr>
            <w:r>
              <w:rPr>
                <w:rFonts w:ascii="Times New Roman" w:hAnsi="Times New Roman"/>
              </w:rPr>
              <w:t>47</w:t>
            </w:r>
          </w:p>
        </w:tc>
        <w:tc>
          <w:tcPr>
            <w:tcW w:w="873" w:type="dxa"/>
            <w:vAlign w:val="center"/>
          </w:tcPr>
          <w:p>
            <w:pPr>
              <w:pStyle w:val="39"/>
              <w:rPr>
                <w:rFonts w:ascii="Times New Roman" w:hAnsi="Times New Roman"/>
              </w:rPr>
            </w:pPr>
            <w:r>
              <w:rPr>
                <w:rFonts w:ascii="Times New Roman" w:hAnsi="Times New Roman"/>
              </w:rPr>
              <w:t>45</w:t>
            </w:r>
          </w:p>
        </w:tc>
        <w:tc>
          <w:tcPr>
            <w:tcW w:w="873" w:type="dxa"/>
            <w:vAlign w:val="center"/>
          </w:tcPr>
          <w:p>
            <w:pPr>
              <w:pStyle w:val="39"/>
              <w:rPr>
                <w:rFonts w:ascii="Times New Roman" w:hAnsi="Times New Roman"/>
              </w:rPr>
            </w:pPr>
            <w:r>
              <w:rPr>
                <w:rFonts w:ascii="Times New Roman" w:hAnsi="Times New Roman"/>
              </w:rPr>
              <w:t>41.5</w:t>
            </w:r>
          </w:p>
        </w:tc>
        <w:tc>
          <w:tcPr>
            <w:tcW w:w="873" w:type="dxa"/>
            <w:vAlign w:val="center"/>
          </w:tcPr>
          <w:p>
            <w:pPr>
              <w:pStyle w:val="39"/>
              <w:rPr>
                <w:rFonts w:ascii="Times New Roman" w:hAnsi="Times New Roman"/>
              </w:rPr>
            </w:pPr>
            <w:r>
              <w:rPr>
                <w:rFonts w:ascii="Times New Roman" w:hAnsi="Times New Roman"/>
              </w:rPr>
              <w:t>39</w:t>
            </w:r>
          </w:p>
        </w:tc>
        <w:tc>
          <w:tcPr>
            <w:tcW w:w="873" w:type="dxa"/>
            <w:vAlign w:val="center"/>
          </w:tcPr>
          <w:p>
            <w:pPr>
              <w:pStyle w:val="39"/>
              <w:rPr>
                <w:rFonts w:ascii="Times New Roman" w:hAnsi="Times New Roman"/>
              </w:rPr>
            </w:pPr>
            <w:r>
              <w:rPr>
                <w:rFonts w:ascii="Times New Roman" w:hAnsi="Times New Roman"/>
              </w:rPr>
              <w:t>35.5</w:t>
            </w:r>
          </w:p>
        </w:tc>
        <w:tc>
          <w:tcPr>
            <w:tcW w:w="873" w:type="dxa"/>
            <w:vAlign w:val="center"/>
          </w:tcPr>
          <w:p>
            <w:pPr>
              <w:pStyle w:val="39"/>
              <w:rPr>
                <w:rFonts w:ascii="Times New Roman" w:hAnsi="Times New Roman"/>
              </w:rPr>
            </w:pPr>
            <w:r>
              <w:rPr>
                <w:rFonts w:ascii="Times New Roman" w:hAnsi="Times New Roma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1698" w:type="dxa"/>
            <w:vAlign w:val="center"/>
          </w:tcPr>
          <w:p>
            <w:pPr>
              <w:pStyle w:val="39"/>
              <w:rPr>
                <w:rFonts w:ascii="Times New Roman" w:hAnsi="Times New Roman"/>
              </w:rPr>
            </w:pPr>
            <w:r>
              <w:rPr>
                <w:rFonts w:ascii="Times New Roman" w:hAnsi="Times New Roman"/>
              </w:rPr>
              <w:t>混凝土搅拌机</w:t>
            </w:r>
          </w:p>
        </w:tc>
        <w:tc>
          <w:tcPr>
            <w:tcW w:w="753" w:type="dxa"/>
            <w:vAlign w:val="center"/>
          </w:tcPr>
          <w:p>
            <w:pPr>
              <w:pStyle w:val="39"/>
              <w:rPr>
                <w:rFonts w:ascii="Times New Roman" w:hAnsi="Times New Roman"/>
              </w:rPr>
            </w:pPr>
            <w:r>
              <w:rPr>
                <w:rFonts w:ascii="Times New Roman" w:hAnsi="Times New Roman"/>
              </w:rPr>
              <w:t>65</w:t>
            </w:r>
          </w:p>
        </w:tc>
        <w:tc>
          <w:tcPr>
            <w:tcW w:w="751" w:type="dxa"/>
            <w:vAlign w:val="center"/>
          </w:tcPr>
          <w:p>
            <w:pPr>
              <w:pStyle w:val="39"/>
              <w:rPr>
                <w:rFonts w:ascii="Times New Roman" w:hAnsi="Times New Roman"/>
              </w:rPr>
            </w:pPr>
            <w:r>
              <w:rPr>
                <w:rFonts w:ascii="Times New Roman" w:hAnsi="Times New Roman"/>
              </w:rPr>
              <w:t>59</w:t>
            </w:r>
          </w:p>
        </w:tc>
        <w:tc>
          <w:tcPr>
            <w:tcW w:w="753" w:type="dxa"/>
            <w:vAlign w:val="center"/>
          </w:tcPr>
          <w:p>
            <w:pPr>
              <w:pStyle w:val="39"/>
              <w:rPr>
                <w:rFonts w:ascii="Times New Roman" w:hAnsi="Times New Roman"/>
              </w:rPr>
            </w:pPr>
            <w:r>
              <w:rPr>
                <w:rFonts w:ascii="Times New Roman" w:hAnsi="Times New Roman"/>
              </w:rPr>
              <w:t>53</w:t>
            </w:r>
          </w:p>
        </w:tc>
        <w:tc>
          <w:tcPr>
            <w:tcW w:w="751" w:type="dxa"/>
            <w:vAlign w:val="center"/>
          </w:tcPr>
          <w:p>
            <w:pPr>
              <w:pStyle w:val="39"/>
              <w:rPr>
                <w:rFonts w:ascii="Times New Roman" w:hAnsi="Times New Roman"/>
              </w:rPr>
            </w:pPr>
            <w:r>
              <w:rPr>
                <w:rFonts w:ascii="Times New Roman" w:hAnsi="Times New Roman"/>
              </w:rPr>
              <w:t>47</w:t>
            </w:r>
          </w:p>
        </w:tc>
        <w:tc>
          <w:tcPr>
            <w:tcW w:w="873" w:type="dxa"/>
            <w:vAlign w:val="center"/>
          </w:tcPr>
          <w:p>
            <w:pPr>
              <w:pStyle w:val="39"/>
              <w:rPr>
                <w:rFonts w:ascii="Times New Roman" w:hAnsi="Times New Roman"/>
              </w:rPr>
            </w:pPr>
            <w:r>
              <w:rPr>
                <w:rFonts w:ascii="Times New Roman" w:hAnsi="Times New Roman"/>
              </w:rPr>
              <w:t>45</w:t>
            </w:r>
          </w:p>
        </w:tc>
        <w:tc>
          <w:tcPr>
            <w:tcW w:w="873" w:type="dxa"/>
            <w:vAlign w:val="center"/>
          </w:tcPr>
          <w:p>
            <w:pPr>
              <w:pStyle w:val="39"/>
              <w:rPr>
                <w:rFonts w:ascii="Times New Roman" w:hAnsi="Times New Roman"/>
              </w:rPr>
            </w:pPr>
            <w:r>
              <w:rPr>
                <w:rFonts w:ascii="Times New Roman" w:hAnsi="Times New Roman"/>
              </w:rPr>
              <w:t>41.5</w:t>
            </w:r>
          </w:p>
        </w:tc>
        <w:tc>
          <w:tcPr>
            <w:tcW w:w="873" w:type="dxa"/>
            <w:vAlign w:val="center"/>
          </w:tcPr>
          <w:p>
            <w:pPr>
              <w:pStyle w:val="39"/>
              <w:rPr>
                <w:rFonts w:ascii="Times New Roman" w:hAnsi="Times New Roman"/>
              </w:rPr>
            </w:pPr>
            <w:r>
              <w:rPr>
                <w:rFonts w:ascii="Times New Roman" w:hAnsi="Times New Roman"/>
              </w:rPr>
              <w:t>39</w:t>
            </w:r>
          </w:p>
        </w:tc>
        <w:tc>
          <w:tcPr>
            <w:tcW w:w="873" w:type="dxa"/>
            <w:vAlign w:val="center"/>
          </w:tcPr>
          <w:p>
            <w:pPr>
              <w:pStyle w:val="39"/>
              <w:rPr>
                <w:rFonts w:ascii="Times New Roman" w:hAnsi="Times New Roman"/>
              </w:rPr>
            </w:pPr>
            <w:r>
              <w:rPr>
                <w:rFonts w:ascii="Times New Roman" w:hAnsi="Times New Roman"/>
              </w:rPr>
              <w:t>35.5</w:t>
            </w:r>
          </w:p>
        </w:tc>
        <w:tc>
          <w:tcPr>
            <w:tcW w:w="873" w:type="dxa"/>
            <w:vAlign w:val="center"/>
          </w:tcPr>
          <w:p>
            <w:pPr>
              <w:pStyle w:val="39"/>
              <w:rPr>
                <w:rFonts w:ascii="Times New Roman" w:hAnsi="Times New Roman"/>
              </w:rPr>
            </w:pPr>
            <w:r>
              <w:rPr>
                <w:rFonts w:ascii="Times New Roman" w:hAnsi="Times New Roma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1698" w:type="dxa"/>
            <w:vAlign w:val="center"/>
          </w:tcPr>
          <w:p>
            <w:pPr>
              <w:pStyle w:val="39"/>
              <w:rPr>
                <w:rFonts w:ascii="Times New Roman" w:hAnsi="Times New Roman"/>
              </w:rPr>
            </w:pPr>
            <w:r>
              <w:rPr>
                <w:rFonts w:ascii="Times New Roman" w:hAnsi="Times New Roman"/>
              </w:rPr>
              <w:t>混凝土翻斗机</w:t>
            </w:r>
          </w:p>
        </w:tc>
        <w:tc>
          <w:tcPr>
            <w:tcW w:w="753" w:type="dxa"/>
            <w:vAlign w:val="center"/>
          </w:tcPr>
          <w:p>
            <w:pPr>
              <w:pStyle w:val="39"/>
              <w:rPr>
                <w:rFonts w:ascii="Times New Roman" w:hAnsi="Times New Roman"/>
              </w:rPr>
            </w:pPr>
            <w:r>
              <w:rPr>
                <w:rFonts w:ascii="Times New Roman" w:hAnsi="Times New Roman"/>
              </w:rPr>
              <w:t>65</w:t>
            </w:r>
          </w:p>
        </w:tc>
        <w:tc>
          <w:tcPr>
            <w:tcW w:w="751" w:type="dxa"/>
            <w:vAlign w:val="center"/>
          </w:tcPr>
          <w:p>
            <w:pPr>
              <w:pStyle w:val="39"/>
              <w:rPr>
                <w:rFonts w:ascii="Times New Roman" w:hAnsi="Times New Roman"/>
              </w:rPr>
            </w:pPr>
            <w:r>
              <w:rPr>
                <w:rFonts w:ascii="Times New Roman" w:hAnsi="Times New Roman"/>
              </w:rPr>
              <w:t>59</w:t>
            </w:r>
          </w:p>
        </w:tc>
        <w:tc>
          <w:tcPr>
            <w:tcW w:w="753" w:type="dxa"/>
            <w:vAlign w:val="center"/>
          </w:tcPr>
          <w:p>
            <w:pPr>
              <w:pStyle w:val="39"/>
              <w:rPr>
                <w:rFonts w:ascii="Times New Roman" w:hAnsi="Times New Roman"/>
              </w:rPr>
            </w:pPr>
            <w:r>
              <w:rPr>
                <w:rFonts w:ascii="Times New Roman" w:hAnsi="Times New Roman"/>
              </w:rPr>
              <w:t>53</w:t>
            </w:r>
          </w:p>
        </w:tc>
        <w:tc>
          <w:tcPr>
            <w:tcW w:w="751" w:type="dxa"/>
            <w:vAlign w:val="center"/>
          </w:tcPr>
          <w:p>
            <w:pPr>
              <w:pStyle w:val="39"/>
              <w:rPr>
                <w:rFonts w:ascii="Times New Roman" w:hAnsi="Times New Roman"/>
              </w:rPr>
            </w:pPr>
            <w:r>
              <w:rPr>
                <w:rFonts w:ascii="Times New Roman" w:hAnsi="Times New Roman"/>
              </w:rPr>
              <w:t>47</w:t>
            </w:r>
          </w:p>
        </w:tc>
        <w:tc>
          <w:tcPr>
            <w:tcW w:w="873" w:type="dxa"/>
            <w:vAlign w:val="center"/>
          </w:tcPr>
          <w:p>
            <w:pPr>
              <w:pStyle w:val="39"/>
              <w:rPr>
                <w:rFonts w:ascii="Times New Roman" w:hAnsi="Times New Roman"/>
              </w:rPr>
            </w:pPr>
            <w:r>
              <w:rPr>
                <w:rFonts w:ascii="Times New Roman" w:hAnsi="Times New Roman"/>
              </w:rPr>
              <w:t>45</w:t>
            </w:r>
          </w:p>
        </w:tc>
        <w:tc>
          <w:tcPr>
            <w:tcW w:w="873" w:type="dxa"/>
            <w:vAlign w:val="center"/>
          </w:tcPr>
          <w:p>
            <w:pPr>
              <w:pStyle w:val="39"/>
              <w:rPr>
                <w:rFonts w:ascii="Times New Roman" w:hAnsi="Times New Roman"/>
              </w:rPr>
            </w:pPr>
            <w:r>
              <w:rPr>
                <w:rFonts w:ascii="Times New Roman" w:hAnsi="Times New Roman"/>
              </w:rPr>
              <w:t>41.5</w:t>
            </w:r>
          </w:p>
        </w:tc>
        <w:tc>
          <w:tcPr>
            <w:tcW w:w="873" w:type="dxa"/>
            <w:vAlign w:val="center"/>
          </w:tcPr>
          <w:p>
            <w:pPr>
              <w:pStyle w:val="39"/>
              <w:rPr>
                <w:rFonts w:ascii="Times New Roman" w:hAnsi="Times New Roman"/>
              </w:rPr>
            </w:pPr>
            <w:r>
              <w:rPr>
                <w:rFonts w:ascii="Times New Roman" w:hAnsi="Times New Roman"/>
              </w:rPr>
              <w:t>39</w:t>
            </w:r>
          </w:p>
        </w:tc>
        <w:tc>
          <w:tcPr>
            <w:tcW w:w="873" w:type="dxa"/>
            <w:vAlign w:val="center"/>
          </w:tcPr>
          <w:p>
            <w:pPr>
              <w:pStyle w:val="39"/>
              <w:rPr>
                <w:rFonts w:ascii="Times New Roman" w:hAnsi="Times New Roman"/>
              </w:rPr>
            </w:pPr>
            <w:r>
              <w:rPr>
                <w:rFonts w:ascii="Times New Roman" w:hAnsi="Times New Roman"/>
              </w:rPr>
              <w:t>35.5</w:t>
            </w:r>
          </w:p>
        </w:tc>
        <w:tc>
          <w:tcPr>
            <w:tcW w:w="873" w:type="dxa"/>
            <w:vAlign w:val="center"/>
          </w:tcPr>
          <w:p>
            <w:pPr>
              <w:pStyle w:val="39"/>
              <w:rPr>
                <w:rFonts w:ascii="Times New Roman" w:hAnsi="Times New Roman"/>
              </w:rPr>
            </w:pPr>
            <w:r>
              <w:rPr>
                <w:rFonts w:ascii="Times New Roman" w:hAnsi="Times New Roma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1698" w:type="dxa"/>
            <w:vAlign w:val="center"/>
          </w:tcPr>
          <w:p>
            <w:pPr>
              <w:pStyle w:val="39"/>
              <w:rPr>
                <w:rFonts w:ascii="Times New Roman" w:hAnsi="Times New Roman"/>
              </w:rPr>
            </w:pPr>
            <w:r>
              <w:rPr>
                <w:rFonts w:ascii="Times New Roman" w:hAnsi="Times New Roman"/>
              </w:rPr>
              <w:t>切割机</w:t>
            </w:r>
          </w:p>
        </w:tc>
        <w:tc>
          <w:tcPr>
            <w:tcW w:w="753" w:type="dxa"/>
            <w:vAlign w:val="center"/>
          </w:tcPr>
          <w:p>
            <w:pPr>
              <w:pStyle w:val="39"/>
              <w:rPr>
                <w:rFonts w:ascii="Times New Roman" w:hAnsi="Times New Roman"/>
              </w:rPr>
            </w:pPr>
            <w:r>
              <w:rPr>
                <w:rFonts w:ascii="Times New Roman" w:hAnsi="Times New Roman"/>
              </w:rPr>
              <w:t>75</w:t>
            </w:r>
          </w:p>
        </w:tc>
        <w:tc>
          <w:tcPr>
            <w:tcW w:w="751" w:type="dxa"/>
            <w:vAlign w:val="center"/>
          </w:tcPr>
          <w:p>
            <w:pPr>
              <w:pStyle w:val="39"/>
              <w:rPr>
                <w:rFonts w:ascii="Times New Roman" w:hAnsi="Times New Roman"/>
              </w:rPr>
            </w:pPr>
            <w:r>
              <w:rPr>
                <w:rFonts w:ascii="Times New Roman" w:hAnsi="Times New Roman"/>
              </w:rPr>
              <w:t>69</w:t>
            </w:r>
          </w:p>
        </w:tc>
        <w:tc>
          <w:tcPr>
            <w:tcW w:w="753" w:type="dxa"/>
            <w:vAlign w:val="center"/>
          </w:tcPr>
          <w:p>
            <w:pPr>
              <w:pStyle w:val="39"/>
              <w:rPr>
                <w:rFonts w:ascii="Times New Roman" w:hAnsi="Times New Roman"/>
              </w:rPr>
            </w:pPr>
            <w:r>
              <w:rPr>
                <w:rFonts w:ascii="Times New Roman" w:hAnsi="Times New Roman"/>
              </w:rPr>
              <w:t>63</w:t>
            </w:r>
          </w:p>
        </w:tc>
        <w:tc>
          <w:tcPr>
            <w:tcW w:w="751" w:type="dxa"/>
            <w:vAlign w:val="center"/>
          </w:tcPr>
          <w:p>
            <w:pPr>
              <w:pStyle w:val="39"/>
              <w:rPr>
                <w:rFonts w:ascii="Times New Roman" w:hAnsi="Times New Roman"/>
              </w:rPr>
            </w:pPr>
            <w:r>
              <w:rPr>
                <w:rFonts w:ascii="Times New Roman" w:hAnsi="Times New Roman"/>
              </w:rPr>
              <w:t>57</w:t>
            </w:r>
          </w:p>
        </w:tc>
        <w:tc>
          <w:tcPr>
            <w:tcW w:w="873" w:type="dxa"/>
            <w:vAlign w:val="center"/>
          </w:tcPr>
          <w:p>
            <w:pPr>
              <w:pStyle w:val="39"/>
              <w:rPr>
                <w:rFonts w:ascii="Times New Roman" w:hAnsi="Times New Roman"/>
              </w:rPr>
            </w:pPr>
            <w:r>
              <w:rPr>
                <w:rFonts w:ascii="Times New Roman" w:hAnsi="Times New Roman"/>
              </w:rPr>
              <w:t>55</w:t>
            </w:r>
          </w:p>
        </w:tc>
        <w:tc>
          <w:tcPr>
            <w:tcW w:w="873" w:type="dxa"/>
            <w:vAlign w:val="center"/>
          </w:tcPr>
          <w:p>
            <w:pPr>
              <w:pStyle w:val="39"/>
              <w:rPr>
                <w:rFonts w:ascii="Times New Roman" w:hAnsi="Times New Roman"/>
              </w:rPr>
            </w:pPr>
            <w:r>
              <w:rPr>
                <w:rFonts w:ascii="Times New Roman" w:hAnsi="Times New Roman"/>
              </w:rPr>
              <w:t>51.5</w:t>
            </w:r>
          </w:p>
        </w:tc>
        <w:tc>
          <w:tcPr>
            <w:tcW w:w="873" w:type="dxa"/>
            <w:vAlign w:val="center"/>
          </w:tcPr>
          <w:p>
            <w:pPr>
              <w:pStyle w:val="39"/>
              <w:rPr>
                <w:rFonts w:ascii="Times New Roman" w:hAnsi="Times New Roman"/>
              </w:rPr>
            </w:pPr>
            <w:r>
              <w:rPr>
                <w:rFonts w:ascii="Times New Roman" w:hAnsi="Times New Roman"/>
              </w:rPr>
              <w:t>49</w:t>
            </w:r>
          </w:p>
        </w:tc>
        <w:tc>
          <w:tcPr>
            <w:tcW w:w="873" w:type="dxa"/>
            <w:vAlign w:val="center"/>
          </w:tcPr>
          <w:p>
            <w:pPr>
              <w:pStyle w:val="39"/>
              <w:rPr>
                <w:rFonts w:ascii="Times New Roman" w:hAnsi="Times New Roman"/>
              </w:rPr>
            </w:pPr>
            <w:r>
              <w:rPr>
                <w:rFonts w:ascii="Times New Roman" w:hAnsi="Times New Roman"/>
              </w:rPr>
              <w:t>45.5</w:t>
            </w:r>
          </w:p>
        </w:tc>
        <w:tc>
          <w:tcPr>
            <w:tcW w:w="873" w:type="dxa"/>
            <w:vAlign w:val="center"/>
          </w:tcPr>
          <w:p>
            <w:pPr>
              <w:pStyle w:val="39"/>
              <w:rPr>
                <w:rFonts w:ascii="Times New Roman" w:hAnsi="Times New Roman"/>
              </w:rPr>
            </w:pPr>
            <w:r>
              <w:rPr>
                <w:rFonts w:ascii="Times New Roman" w:hAnsi="Times New Roma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698" w:type="dxa"/>
            <w:vAlign w:val="center"/>
          </w:tcPr>
          <w:p>
            <w:pPr>
              <w:pStyle w:val="39"/>
              <w:rPr>
                <w:rFonts w:ascii="Times New Roman" w:hAnsi="Times New Roman"/>
              </w:rPr>
            </w:pPr>
            <w:r>
              <w:rPr>
                <w:rFonts w:ascii="Times New Roman" w:hAnsi="Times New Roman"/>
              </w:rPr>
              <w:t>柴油发电机</w:t>
            </w:r>
          </w:p>
        </w:tc>
        <w:tc>
          <w:tcPr>
            <w:tcW w:w="753" w:type="dxa"/>
            <w:vAlign w:val="center"/>
          </w:tcPr>
          <w:p>
            <w:pPr>
              <w:pStyle w:val="39"/>
              <w:rPr>
                <w:rFonts w:ascii="Times New Roman" w:hAnsi="Times New Roman"/>
              </w:rPr>
            </w:pPr>
            <w:r>
              <w:rPr>
                <w:rFonts w:ascii="Times New Roman" w:hAnsi="Times New Roman"/>
              </w:rPr>
              <w:t>75</w:t>
            </w:r>
          </w:p>
        </w:tc>
        <w:tc>
          <w:tcPr>
            <w:tcW w:w="751" w:type="dxa"/>
            <w:vAlign w:val="center"/>
          </w:tcPr>
          <w:p>
            <w:pPr>
              <w:pStyle w:val="39"/>
              <w:rPr>
                <w:rFonts w:ascii="Times New Roman" w:hAnsi="Times New Roman"/>
              </w:rPr>
            </w:pPr>
            <w:r>
              <w:rPr>
                <w:rFonts w:ascii="Times New Roman" w:hAnsi="Times New Roman"/>
              </w:rPr>
              <w:t>69</w:t>
            </w:r>
          </w:p>
        </w:tc>
        <w:tc>
          <w:tcPr>
            <w:tcW w:w="753" w:type="dxa"/>
            <w:vAlign w:val="center"/>
          </w:tcPr>
          <w:p>
            <w:pPr>
              <w:pStyle w:val="39"/>
              <w:rPr>
                <w:rFonts w:ascii="Times New Roman" w:hAnsi="Times New Roman"/>
              </w:rPr>
            </w:pPr>
            <w:r>
              <w:rPr>
                <w:rFonts w:ascii="Times New Roman" w:hAnsi="Times New Roman"/>
              </w:rPr>
              <w:t>63</w:t>
            </w:r>
          </w:p>
        </w:tc>
        <w:tc>
          <w:tcPr>
            <w:tcW w:w="751" w:type="dxa"/>
            <w:vAlign w:val="center"/>
          </w:tcPr>
          <w:p>
            <w:pPr>
              <w:pStyle w:val="39"/>
              <w:rPr>
                <w:rFonts w:ascii="Times New Roman" w:hAnsi="Times New Roman"/>
              </w:rPr>
            </w:pPr>
            <w:r>
              <w:rPr>
                <w:rFonts w:ascii="Times New Roman" w:hAnsi="Times New Roman"/>
              </w:rPr>
              <w:t>57</w:t>
            </w:r>
          </w:p>
        </w:tc>
        <w:tc>
          <w:tcPr>
            <w:tcW w:w="873" w:type="dxa"/>
            <w:vAlign w:val="center"/>
          </w:tcPr>
          <w:p>
            <w:pPr>
              <w:pStyle w:val="39"/>
              <w:rPr>
                <w:rFonts w:ascii="Times New Roman" w:hAnsi="Times New Roman"/>
              </w:rPr>
            </w:pPr>
            <w:r>
              <w:rPr>
                <w:rFonts w:ascii="Times New Roman" w:hAnsi="Times New Roman"/>
              </w:rPr>
              <w:t>55</w:t>
            </w:r>
          </w:p>
        </w:tc>
        <w:tc>
          <w:tcPr>
            <w:tcW w:w="873" w:type="dxa"/>
            <w:vAlign w:val="center"/>
          </w:tcPr>
          <w:p>
            <w:pPr>
              <w:pStyle w:val="39"/>
              <w:rPr>
                <w:rFonts w:ascii="Times New Roman" w:hAnsi="Times New Roman"/>
              </w:rPr>
            </w:pPr>
            <w:r>
              <w:rPr>
                <w:rFonts w:ascii="Times New Roman" w:hAnsi="Times New Roman"/>
              </w:rPr>
              <w:t>51.5</w:t>
            </w:r>
          </w:p>
        </w:tc>
        <w:tc>
          <w:tcPr>
            <w:tcW w:w="873" w:type="dxa"/>
            <w:vAlign w:val="center"/>
          </w:tcPr>
          <w:p>
            <w:pPr>
              <w:pStyle w:val="39"/>
              <w:rPr>
                <w:rFonts w:ascii="Times New Roman" w:hAnsi="Times New Roman"/>
              </w:rPr>
            </w:pPr>
            <w:r>
              <w:rPr>
                <w:rFonts w:ascii="Times New Roman" w:hAnsi="Times New Roman"/>
              </w:rPr>
              <w:t>49</w:t>
            </w:r>
          </w:p>
        </w:tc>
        <w:tc>
          <w:tcPr>
            <w:tcW w:w="873" w:type="dxa"/>
            <w:vAlign w:val="center"/>
          </w:tcPr>
          <w:p>
            <w:pPr>
              <w:pStyle w:val="39"/>
              <w:rPr>
                <w:rFonts w:ascii="Times New Roman" w:hAnsi="Times New Roman"/>
              </w:rPr>
            </w:pPr>
            <w:r>
              <w:rPr>
                <w:rFonts w:ascii="Times New Roman" w:hAnsi="Times New Roman"/>
              </w:rPr>
              <w:t>45.5</w:t>
            </w:r>
          </w:p>
        </w:tc>
        <w:tc>
          <w:tcPr>
            <w:tcW w:w="873" w:type="dxa"/>
            <w:vAlign w:val="center"/>
          </w:tcPr>
          <w:p>
            <w:pPr>
              <w:pStyle w:val="39"/>
              <w:rPr>
                <w:rFonts w:ascii="Times New Roman" w:hAnsi="Times New Roman"/>
              </w:rPr>
            </w:pPr>
            <w:r>
              <w:rPr>
                <w:rFonts w:ascii="Times New Roman" w:hAnsi="Times New Roman"/>
              </w:rPr>
              <w:t>43</w:t>
            </w:r>
          </w:p>
        </w:tc>
      </w:tr>
    </w:tbl>
    <w:p>
      <w:pPr>
        <w:ind w:firstLine="480"/>
        <w:rPr>
          <w:rFonts w:ascii="Times New Roman" w:hAnsi="Times New Roman"/>
        </w:rPr>
      </w:pPr>
    </w:p>
    <w:p>
      <w:pPr>
        <w:ind w:firstLine="480"/>
        <w:rPr>
          <w:rFonts w:ascii="Times New Roman" w:hAnsi="Times New Roman"/>
        </w:rPr>
      </w:pPr>
      <w:r>
        <w:rPr>
          <w:rFonts w:ascii="Times New Roman" w:hAnsi="Times New Roman"/>
        </w:rPr>
        <w:t>在施工中，使用挖掘机的时间较长，噪声强度较高，持续时间较长，而其他施工机械如混凝土搅拌机、混凝土翻斗机、切割机、柴油发电机等一般间歇使用，且施工时间较短，故挖掘机施工噪声基本反映了管线施工噪声的影响水平。从计算结果可以看出：主要机械在20m以外均不超过建筑物施工场界昼间噪声限值70dB（A），而在夜间若不超过55dB（A）的标准，其间隔距离要达到100m以上。</w:t>
      </w:r>
    </w:p>
    <w:p>
      <w:pPr>
        <w:ind w:firstLine="480"/>
        <w:rPr>
          <w:rFonts w:ascii="Times New Roman" w:hAnsi="Times New Roman"/>
        </w:rPr>
      </w:pPr>
      <w:r>
        <w:rPr>
          <w:rFonts w:ascii="Times New Roman" w:hAnsi="Times New Roman"/>
        </w:rPr>
        <w:t>根据调查，管线沿线两侧100m内有居民分布，这些敏感点的声环境在施工期会受到施工噪声的影响，噪声水平有不同程度的增加，距管线较近的居民噪声值会超过标准限值。但是，施工噪声是短暂的且具有分散性，一般在白天施工，夜间不施工，不会对夜间声环境产生影响，因此，一般施工噪声对周围居民的生活造成的不利影响较小。</w:t>
      </w:r>
    </w:p>
    <w:p>
      <w:pPr>
        <w:ind w:firstLine="480"/>
        <w:rPr>
          <w:rFonts w:ascii="Times New Roman" w:hAnsi="Times New Roman"/>
        </w:rPr>
      </w:pPr>
      <w:r>
        <w:rPr>
          <w:rFonts w:ascii="Times New Roman" w:hAnsi="Times New Roman"/>
        </w:rPr>
        <w:t>综上所述，由于本工程施工期较短，施工机械使用较少，施工时段为白天，夜间一般不施工，且项目施工噪声影响是暂时的，将随着施工期的结束而消失。在采取上述噪声防治措施后，项目施工噪声影响属可接受范围。</w:t>
      </w:r>
    </w:p>
    <w:p>
      <w:pPr>
        <w:pStyle w:val="4"/>
        <w:rPr>
          <w:rFonts w:ascii="Times New Roman" w:hAnsi="Times New Roman" w:cs="Times New Roman"/>
        </w:rPr>
      </w:pPr>
      <w:r>
        <w:rPr>
          <w:rFonts w:ascii="Times New Roman" w:hAnsi="Times New Roman" w:cs="Times New Roman"/>
        </w:rPr>
        <w:t>运营期</w:t>
      </w:r>
    </w:p>
    <w:p>
      <w:pPr>
        <w:pStyle w:val="5"/>
        <w:rPr>
          <w:rFonts w:ascii="Times New Roman" w:hAnsi="Times New Roman"/>
        </w:rPr>
      </w:pPr>
      <w:r>
        <w:rPr>
          <w:rFonts w:ascii="Times New Roman" w:hAnsi="Times New Roman"/>
        </w:rPr>
        <w:t>噪声源</w:t>
      </w:r>
    </w:p>
    <w:p>
      <w:pPr>
        <w:ind w:firstLine="480"/>
        <w:rPr>
          <w:rFonts w:ascii="Times New Roman" w:hAnsi="Times New Roman"/>
        </w:rPr>
      </w:pPr>
      <w:r>
        <w:rPr>
          <w:rFonts w:ascii="Times New Roman" w:hAnsi="Times New Roman"/>
        </w:rPr>
        <w:t>本项目噪声源主要为节流阀和计量分离器等，噪声排放统计见</w:t>
      </w:r>
      <w:r>
        <w:rPr>
          <w:rFonts w:ascii="Times New Roman" w:hAnsi="Times New Roman"/>
        </w:rPr>
        <w:fldChar w:fldCharType="begin"/>
      </w:r>
      <w:r>
        <w:rPr>
          <w:rFonts w:ascii="Times New Roman" w:hAnsi="Times New Roman"/>
        </w:rPr>
        <w:instrText xml:space="preserve"> REF _Ref161922775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14</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213" w:name="_Ref155705484"/>
    </w:p>
    <w:p>
      <w:pPr>
        <w:pStyle w:val="37"/>
        <w:rPr>
          <w:rFonts w:ascii="Times New Roman" w:hAnsi="Times New Roman" w:cs="Times New Roman"/>
        </w:rPr>
      </w:pPr>
      <w:bookmarkStart w:id="214" w:name="_Ref161922775"/>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14</w:t>
      </w:r>
      <w:r>
        <w:rPr>
          <w:rFonts w:ascii="Times New Roman" w:hAnsi="Times New Roman" w:cs="Times New Roman"/>
        </w:rPr>
        <w:fldChar w:fldCharType="end"/>
      </w:r>
      <w:bookmarkEnd w:id="213"/>
      <w:bookmarkEnd w:id="214"/>
      <w:r>
        <w:rPr>
          <w:rFonts w:ascii="Times New Roman" w:hAnsi="Times New Roman" w:cs="Times New Roman"/>
        </w:rPr>
        <w:t xml:space="preserve">  本项目噪声排放统计表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9"/>
        <w:gridCol w:w="1659"/>
        <w:gridCol w:w="1659"/>
        <w:gridCol w:w="1659"/>
        <w:gridCol w:w="1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659" w:type="dxa"/>
            <w:vAlign w:val="center"/>
          </w:tcPr>
          <w:p>
            <w:pPr>
              <w:pStyle w:val="39"/>
              <w:rPr>
                <w:rFonts w:ascii="Times New Roman" w:hAnsi="Times New Roman"/>
              </w:rPr>
            </w:pPr>
            <w:r>
              <w:rPr>
                <w:rFonts w:ascii="Times New Roman" w:hAnsi="Times New Roman"/>
              </w:rPr>
              <w:t>站场</w:t>
            </w:r>
          </w:p>
        </w:tc>
        <w:tc>
          <w:tcPr>
            <w:tcW w:w="1659" w:type="dxa"/>
            <w:vAlign w:val="center"/>
          </w:tcPr>
          <w:p>
            <w:pPr>
              <w:pStyle w:val="39"/>
              <w:rPr>
                <w:rFonts w:ascii="Times New Roman" w:hAnsi="Times New Roman"/>
              </w:rPr>
            </w:pPr>
            <w:r>
              <w:rPr>
                <w:rFonts w:ascii="Times New Roman" w:hAnsi="Times New Roman"/>
              </w:rPr>
              <w:t>噪声源</w:t>
            </w:r>
          </w:p>
        </w:tc>
        <w:tc>
          <w:tcPr>
            <w:tcW w:w="1659" w:type="dxa"/>
            <w:vAlign w:val="center"/>
          </w:tcPr>
          <w:p>
            <w:pPr>
              <w:pStyle w:val="39"/>
              <w:rPr>
                <w:rFonts w:ascii="Times New Roman" w:hAnsi="Times New Roman"/>
              </w:rPr>
            </w:pPr>
            <w:r>
              <w:rPr>
                <w:rFonts w:ascii="Times New Roman" w:hAnsi="Times New Roman"/>
              </w:rPr>
              <w:t>单台声功率级</w:t>
            </w:r>
          </w:p>
          <w:p>
            <w:pPr>
              <w:pStyle w:val="39"/>
              <w:rPr>
                <w:rFonts w:ascii="Times New Roman" w:hAnsi="Times New Roman"/>
              </w:rPr>
            </w:pPr>
            <w:r>
              <w:rPr>
                <w:rFonts w:ascii="Times New Roman" w:hAnsi="Times New Roman"/>
              </w:rPr>
              <w:t>（dB（A））</w:t>
            </w:r>
          </w:p>
        </w:tc>
        <w:tc>
          <w:tcPr>
            <w:tcW w:w="1659" w:type="dxa"/>
            <w:vAlign w:val="center"/>
          </w:tcPr>
          <w:p>
            <w:pPr>
              <w:pStyle w:val="39"/>
              <w:rPr>
                <w:rFonts w:ascii="Times New Roman" w:hAnsi="Times New Roman"/>
              </w:rPr>
            </w:pPr>
            <w:r>
              <w:rPr>
                <w:rFonts w:ascii="Times New Roman" w:hAnsi="Times New Roman"/>
              </w:rPr>
              <w:t>数量</w:t>
            </w:r>
          </w:p>
        </w:tc>
        <w:tc>
          <w:tcPr>
            <w:tcW w:w="1660" w:type="dxa"/>
            <w:vAlign w:val="center"/>
          </w:tcPr>
          <w:p>
            <w:pPr>
              <w:pStyle w:val="39"/>
              <w:rPr>
                <w:rFonts w:ascii="Times New Roman" w:hAnsi="Times New Roman"/>
              </w:rPr>
            </w:pPr>
            <w:r>
              <w:rPr>
                <w:rFonts w:ascii="Times New Roman" w:hAnsi="Times New Roman"/>
              </w:rPr>
              <w:t>排放规律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659" w:type="dxa"/>
            <w:vMerge w:val="restart"/>
            <w:vAlign w:val="center"/>
          </w:tcPr>
          <w:p>
            <w:pPr>
              <w:pStyle w:val="39"/>
              <w:rPr>
                <w:rFonts w:ascii="Times New Roman" w:hAnsi="Times New Roman"/>
              </w:rPr>
            </w:pPr>
            <w:r>
              <w:rPr>
                <w:rFonts w:ascii="Times New Roman" w:hAnsi="Times New Roman"/>
              </w:rPr>
              <w:t>宣探1井站</w:t>
            </w:r>
          </w:p>
        </w:tc>
        <w:tc>
          <w:tcPr>
            <w:tcW w:w="1659" w:type="dxa"/>
            <w:vAlign w:val="center"/>
          </w:tcPr>
          <w:p>
            <w:pPr>
              <w:pStyle w:val="39"/>
              <w:rPr>
                <w:rFonts w:ascii="Times New Roman" w:hAnsi="Times New Roman"/>
              </w:rPr>
            </w:pPr>
            <w:r>
              <w:rPr>
                <w:rFonts w:ascii="Times New Roman" w:hAnsi="Times New Roman"/>
              </w:rPr>
              <w:t>节流阀</w:t>
            </w:r>
          </w:p>
        </w:tc>
        <w:tc>
          <w:tcPr>
            <w:tcW w:w="1659" w:type="dxa"/>
            <w:vAlign w:val="center"/>
          </w:tcPr>
          <w:p>
            <w:pPr>
              <w:pStyle w:val="39"/>
              <w:rPr>
                <w:rFonts w:ascii="Times New Roman" w:hAnsi="Times New Roman"/>
              </w:rPr>
            </w:pPr>
            <w:r>
              <w:rPr>
                <w:rFonts w:ascii="Times New Roman" w:hAnsi="Times New Roman"/>
              </w:rPr>
              <w:t>62</w:t>
            </w:r>
          </w:p>
        </w:tc>
        <w:tc>
          <w:tcPr>
            <w:tcW w:w="1659" w:type="dxa"/>
            <w:vAlign w:val="center"/>
          </w:tcPr>
          <w:p>
            <w:pPr>
              <w:pStyle w:val="39"/>
              <w:rPr>
                <w:rFonts w:ascii="Times New Roman" w:hAnsi="Times New Roman"/>
              </w:rPr>
            </w:pPr>
            <w:r>
              <w:rPr>
                <w:rFonts w:ascii="Times New Roman" w:hAnsi="Times New Roman"/>
              </w:rPr>
              <w:t>2</w:t>
            </w:r>
          </w:p>
        </w:tc>
        <w:tc>
          <w:tcPr>
            <w:tcW w:w="1660" w:type="dxa"/>
            <w:vAlign w:val="center"/>
          </w:tcPr>
          <w:p>
            <w:pPr>
              <w:pStyle w:val="39"/>
              <w:rPr>
                <w:rFonts w:ascii="Times New Roman" w:hAnsi="Times New Roman"/>
              </w:rPr>
            </w:pPr>
            <w:r>
              <w:rPr>
                <w:rFonts w:ascii="Times New Roman" w:hAnsi="Times New Roman"/>
              </w:rPr>
              <w:t>连续排放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659" w:type="dxa"/>
            <w:vMerge w:val="continue"/>
            <w:vAlign w:val="center"/>
          </w:tcPr>
          <w:p>
            <w:pPr>
              <w:pStyle w:val="39"/>
              <w:rPr>
                <w:rFonts w:ascii="Times New Roman" w:hAnsi="Times New Roman"/>
              </w:rPr>
            </w:pPr>
          </w:p>
        </w:tc>
        <w:tc>
          <w:tcPr>
            <w:tcW w:w="1659" w:type="dxa"/>
            <w:vAlign w:val="center"/>
          </w:tcPr>
          <w:p>
            <w:pPr>
              <w:pStyle w:val="39"/>
              <w:rPr>
                <w:rFonts w:ascii="Times New Roman" w:hAnsi="Times New Roman"/>
              </w:rPr>
            </w:pPr>
            <w:r>
              <w:rPr>
                <w:rFonts w:ascii="Times New Roman" w:hAnsi="Times New Roman"/>
              </w:rPr>
              <w:t>计量分离器</w:t>
            </w:r>
          </w:p>
        </w:tc>
        <w:tc>
          <w:tcPr>
            <w:tcW w:w="1659" w:type="dxa"/>
            <w:vAlign w:val="center"/>
          </w:tcPr>
          <w:p>
            <w:pPr>
              <w:pStyle w:val="39"/>
              <w:rPr>
                <w:rFonts w:ascii="Times New Roman" w:hAnsi="Times New Roman"/>
              </w:rPr>
            </w:pPr>
            <w:r>
              <w:rPr>
                <w:rFonts w:ascii="Times New Roman" w:hAnsi="Times New Roman"/>
              </w:rPr>
              <w:t>65</w:t>
            </w:r>
          </w:p>
        </w:tc>
        <w:tc>
          <w:tcPr>
            <w:tcW w:w="1659" w:type="dxa"/>
            <w:vAlign w:val="center"/>
          </w:tcPr>
          <w:p>
            <w:pPr>
              <w:pStyle w:val="39"/>
              <w:rPr>
                <w:rFonts w:ascii="Times New Roman" w:hAnsi="Times New Roman"/>
              </w:rPr>
            </w:pPr>
            <w:r>
              <w:rPr>
                <w:rFonts w:ascii="Times New Roman" w:hAnsi="Times New Roman"/>
              </w:rPr>
              <w:t>1</w:t>
            </w:r>
          </w:p>
        </w:tc>
        <w:tc>
          <w:tcPr>
            <w:tcW w:w="1660" w:type="dxa"/>
            <w:vAlign w:val="center"/>
          </w:tcPr>
          <w:p>
            <w:pPr>
              <w:pStyle w:val="39"/>
              <w:rPr>
                <w:rFonts w:ascii="Times New Roman" w:hAnsi="Times New Roman"/>
              </w:rPr>
            </w:pPr>
            <w:r>
              <w:rPr>
                <w:rFonts w:ascii="Times New Roman" w:hAnsi="Times New Roman"/>
              </w:rPr>
              <w:t>连续排放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659" w:type="dxa"/>
            <w:vMerge w:val="restart"/>
            <w:vAlign w:val="center"/>
          </w:tcPr>
          <w:p>
            <w:pPr>
              <w:pStyle w:val="39"/>
              <w:rPr>
                <w:rFonts w:ascii="Times New Roman" w:hAnsi="Times New Roman"/>
              </w:rPr>
            </w:pPr>
            <w:r>
              <w:rPr>
                <w:rFonts w:ascii="Times New Roman" w:hAnsi="Times New Roman"/>
              </w:rPr>
              <w:t>宣兴1井站</w:t>
            </w:r>
          </w:p>
        </w:tc>
        <w:tc>
          <w:tcPr>
            <w:tcW w:w="1659" w:type="dxa"/>
            <w:vAlign w:val="center"/>
          </w:tcPr>
          <w:p>
            <w:pPr>
              <w:pStyle w:val="39"/>
              <w:rPr>
                <w:rFonts w:ascii="Times New Roman" w:hAnsi="Times New Roman"/>
              </w:rPr>
            </w:pPr>
            <w:r>
              <w:rPr>
                <w:rFonts w:ascii="Times New Roman" w:hAnsi="Times New Roman"/>
              </w:rPr>
              <w:t>节流阀</w:t>
            </w:r>
          </w:p>
        </w:tc>
        <w:tc>
          <w:tcPr>
            <w:tcW w:w="1659" w:type="dxa"/>
            <w:vAlign w:val="center"/>
          </w:tcPr>
          <w:p>
            <w:pPr>
              <w:pStyle w:val="39"/>
              <w:rPr>
                <w:rFonts w:ascii="Times New Roman" w:hAnsi="Times New Roman"/>
              </w:rPr>
            </w:pPr>
            <w:r>
              <w:rPr>
                <w:rFonts w:ascii="Times New Roman" w:hAnsi="Times New Roman"/>
              </w:rPr>
              <w:t>62</w:t>
            </w:r>
          </w:p>
        </w:tc>
        <w:tc>
          <w:tcPr>
            <w:tcW w:w="1659" w:type="dxa"/>
            <w:vAlign w:val="center"/>
          </w:tcPr>
          <w:p>
            <w:pPr>
              <w:pStyle w:val="39"/>
              <w:rPr>
                <w:rFonts w:ascii="Times New Roman" w:hAnsi="Times New Roman"/>
              </w:rPr>
            </w:pPr>
            <w:r>
              <w:rPr>
                <w:rFonts w:ascii="Times New Roman" w:hAnsi="Times New Roman"/>
              </w:rPr>
              <w:t>2</w:t>
            </w:r>
          </w:p>
        </w:tc>
        <w:tc>
          <w:tcPr>
            <w:tcW w:w="1660" w:type="dxa"/>
            <w:vAlign w:val="center"/>
          </w:tcPr>
          <w:p>
            <w:pPr>
              <w:pStyle w:val="39"/>
              <w:rPr>
                <w:rFonts w:ascii="Times New Roman" w:hAnsi="Times New Roman"/>
              </w:rPr>
            </w:pPr>
            <w:r>
              <w:rPr>
                <w:rFonts w:ascii="Times New Roman" w:hAnsi="Times New Roman"/>
              </w:rPr>
              <w:t>连续排放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659" w:type="dxa"/>
            <w:vMerge w:val="continue"/>
            <w:vAlign w:val="center"/>
          </w:tcPr>
          <w:p>
            <w:pPr>
              <w:pStyle w:val="39"/>
              <w:rPr>
                <w:rFonts w:ascii="Times New Roman" w:hAnsi="Times New Roman"/>
              </w:rPr>
            </w:pPr>
          </w:p>
        </w:tc>
        <w:tc>
          <w:tcPr>
            <w:tcW w:w="1659" w:type="dxa"/>
            <w:vAlign w:val="center"/>
          </w:tcPr>
          <w:p>
            <w:pPr>
              <w:pStyle w:val="39"/>
              <w:rPr>
                <w:rFonts w:ascii="Times New Roman" w:hAnsi="Times New Roman"/>
              </w:rPr>
            </w:pPr>
            <w:r>
              <w:rPr>
                <w:rFonts w:ascii="Times New Roman" w:hAnsi="Times New Roman"/>
              </w:rPr>
              <w:t>计量分离器</w:t>
            </w:r>
          </w:p>
        </w:tc>
        <w:tc>
          <w:tcPr>
            <w:tcW w:w="1659" w:type="dxa"/>
            <w:vAlign w:val="center"/>
          </w:tcPr>
          <w:p>
            <w:pPr>
              <w:pStyle w:val="39"/>
              <w:rPr>
                <w:rFonts w:ascii="Times New Roman" w:hAnsi="Times New Roman"/>
              </w:rPr>
            </w:pPr>
            <w:r>
              <w:rPr>
                <w:rFonts w:ascii="Times New Roman" w:hAnsi="Times New Roman"/>
              </w:rPr>
              <w:t>65</w:t>
            </w:r>
          </w:p>
        </w:tc>
        <w:tc>
          <w:tcPr>
            <w:tcW w:w="1659" w:type="dxa"/>
            <w:vAlign w:val="center"/>
          </w:tcPr>
          <w:p>
            <w:pPr>
              <w:pStyle w:val="39"/>
              <w:rPr>
                <w:rFonts w:ascii="Times New Roman" w:hAnsi="Times New Roman"/>
              </w:rPr>
            </w:pPr>
            <w:r>
              <w:rPr>
                <w:rFonts w:ascii="Times New Roman" w:hAnsi="Times New Roman"/>
              </w:rPr>
              <w:t>1</w:t>
            </w:r>
          </w:p>
        </w:tc>
        <w:tc>
          <w:tcPr>
            <w:tcW w:w="1660" w:type="dxa"/>
            <w:vAlign w:val="center"/>
          </w:tcPr>
          <w:p>
            <w:pPr>
              <w:pStyle w:val="39"/>
              <w:rPr>
                <w:rFonts w:ascii="Times New Roman" w:hAnsi="Times New Roman"/>
              </w:rPr>
            </w:pPr>
            <w:r>
              <w:rPr>
                <w:rFonts w:ascii="Times New Roman" w:hAnsi="Times New Roman"/>
              </w:rPr>
              <w:t>连续排放</w:t>
            </w:r>
          </w:p>
        </w:tc>
      </w:tr>
    </w:tbl>
    <w:p>
      <w:pPr>
        <w:pStyle w:val="5"/>
        <w:rPr>
          <w:rFonts w:ascii="Times New Roman" w:hAnsi="Times New Roman"/>
        </w:rPr>
      </w:pPr>
      <w:r>
        <w:rPr>
          <w:rFonts w:ascii="Times New Roman" w:hAnsi="Times New Roman"/>
        </w:rPr>
        <w:t>预测模式</w:t>
      </w:r>
    </w:p>
    <w:p>
      <w:pPr>
        <w:ind w:firstLine="480"/>
        <w:rPr>
          <w:rFonts w:ascii="Times New Roman" w:hAnsi="Times New Roman"/>
        </w:rPr>
      </w:pPr>
      <w:r>
        <w:rPr>
          <w:rFonts w:ascii="Times New Roman" w:hAnsi="Times New Roman"/>
        </w:rPr>
        <w:t>《环境影响评价技术导则 声环境》（HJ 2.4-2021）中推荐的工业噪声预测模式，计算公式如下：</w:t>
      </w:r>
    </w:p>
    <w:p>
      <w:pPr>
        <w:ind w:firstLine="1200" w:firstLineChars="500"/>
        <w:jc w:val="center"/>
        <w:rPr>
          <w:rFonts w:ascii="Times New Roman" w:hAnsi="Times New Roman"/>
        </w:rPr>
      </w:pPr>
      <m:oMathPara>
        <m:oMath>
          <m:sSub>
            <m:sSubPr>
              <m:ctrlPr>
                <w:rPr>
                  <w:rFonts w:ascii="Cambria Math" w:hAnsi="Cambria Math"/>
                  <w:i/>
                </w:rPr>
              </m:ctrlPr>
            </m:sSubPr>
            <m:e>
              <m:r>
                <m:rPr>
                  <m:nor/>
                </m:rPr>
                <w:rPr>
                  <w:rFonts w:ascii="Times New Roman" w:hAnsi="Times New Roman"/>
                  <w:i/>
                </w:rPr>
                <m:t>L</m:t>
              </m:r>
              <m:ctrlPr>
                <w:rPr>
                  <w:rFonts w:ascii="Cambria Math" w:hAnsi="Cambria Math"/>
                  <w:i/>
                </w:rPr>
              </m:ctrlPr>
            </m:e>
            <m:sub>
              <m:r>
                <m:rPr>
                  <m:nor/>
                </m:rPr>
                <w:rPr>
                  <w:rFonts w:ascii="Times New Roman" w:hAnsi="Times New Roman"/>
                  <w:i/>
                </w:rPr>
                <m:t>A</m:t>
              </m:r>
              <m:ctrlPr>
                <w:rPr>
                  <w:rFonts w:ascii="Cambria Math" w:hAnsi="Cambria Math"/>
                  <w:i/>
                </w:rPr>
              </m:ctrlPr>
            </m:sub>
          </m:sSub>
          <m:d>
            <m:dPr>
              <m:ctrlPr>
                <w:rPr>
                  <w:rFonts w:ascii="Cambria Math" w:hAnsi="Cambria Math"/>
                  <w:i/>
                </w:rPr>
              </m:ctrlPr>
            </m:dPr>
            <m:e>
              <m:r>
                <m:rPr>
                  <m:nor/>
                </m:rPr>
                <w:rPr>
                  <w:rFonts w:ascii="Times New Roman" w:hAnsi="Times New Roman"/>
                  <w:i/>
                  <w:iCs/>
                </w:rPr>
                <m:t>r</m:t>
              </m:r>
              <m:ctrlPr>
                <w:rPr>
                  <w:rFonts w:ascii="Cambria Math" w:hAnsi="Cambria Math"/>
                  <w:i/>
                </w:rPr>
              </m:ctrlPr>
            </m:e>
          </m:d>
          <m:r>
            <m:rPr>
              <m:nor/>
              <m:sty m:val="p"/>
            </m:rPr>
            <w:rPr>
              <w:rFonts w:ascii="Times New Roman" w:hAnsi="Times New Roman"/>
              <w:b w:val="0"/>
              <w:i w:val="0"/>
            </w:rPr>
            <m:t>=</m:t>
          </m:r>
          <m:sSub>
            <m:sSubPr>
              <m:ctrlPr>
                <w:rPr>
                  <w:rFonts w:ascii="Cambria Math" w:hAnsi="Cambria Math"/>
                  <w:i/>
                </w:rPr>
              </m:ctrlPr>
            </m:sSubPr>
            <m:e>
              <m:r>
                <m:rPr>
                  <m:nor/>
                </m:rPr>
                <w:rPr>
                  <w:rFonts w:ascii="Times New Roman" w:hAnsi="Times New Roman"/>
                  <w:i/>
                </w:rPr>
                <m:t>L</m:t>
              </m:r>
              <m:ctrlPr>
                <w:rPr>
                  <w:rFonts w:ascii="Cambria Math" w:hAnsi="Cambria Math"/>
                  <w:i/>
                </w:rPr>
              </m:ctrlPr>
            </m:e>
            <m:sub>
              <m:r>
                <m:rPr>
                  <m:nor/>
                </m:rPr>
                <w:rPr>
                  <w:rFonts w:ascii="Times New Roman" w:hAnsi="Times New Roman"/>
                  <w:i/>
                </w:rPr>
                <m:t>A</m:t>
              </m:r>
              <m:ctrlPr>
                <w:rPr>
                  <w:rFonts w:ascii="Cambria Math" w:hAnsi="Cambria Math"/>
                  <w:i/>
                </w:rPr>
              </m:ctrlPr>
            </m:sub>
          </m:sSub>
          <m:d>
            <m:dPr>
              <m:ctrlPr>
                <w:rPr>
                  <w:rFonts w:ascii="Cambria Math" w:hAnsi="Cambria Math"/>
                  <w:i/>
                </w:rPr>
              </m:ctrlPr>
            </m:dPr>
            <m:e>
              <m:sSub>
                <m:sSubPr>
                  <m:ctrlPr>
                    <w:rPr>
                      <w:rFonts w:ascii="Cambria Math" w:hAnsi="Cambria Math"/>
                      <w:iCs/>
                    </w:rPr>
                  </m:ctrlPr>
                </m:sSubPr>
                <m:e>
                  <m:r>
                    <m:rPr>
                      <m:nor/>
                    </m:rPr>
                    <w:rPr>
                      <w:rFonts w:ascii="Times New Roman" w:hAnsi="Times New Roman"/>
                      <w:i/>
                    </w:rPr>
                    <m:t>r</m:t>
                  </m:r>
                  <m:ctrlPr>
                    <w:rPr>
                      <w:rFonts w:ascii="Cambria Math" w:hAnsi="Cambria Math"/>
                      <w:iCs/>
                    </w:rPr>
                  </m:ctrlPr>
                </m:e>
                <m:sub>
                  <m:r>
                    <m:rPr>
                      <m:nor/>
                      <m:sty m:val="p"/>
                    </m:rPr>
                    <w:rPr>
                      <w:rFonts w:ascii="Times New Roman" w:hAnsi="Times New Roman"/>
                      <w:b w:val="0"/>
                      <w:i w:val="0"/>
                      <w:iCs/>
                    </w:rPr>
                    <m:t>0</m:t>
                  </m:r>
                  <m:ctrlPr>
                    <w:rPr>
                      <w:rFonts w:ascii="Cambria Math" w:hAnsi="Cambria Math"/>
                      <w:iCs/>
                    </w:rPr>
                  </m:ctrlPr>
                </m:sub>
              </m:sSub>
              <m:ctrlPr>
                <w:rPr>
                  <w:rFonts w:ascii="Cambria Math" w:hAnsi="Cambria Math"/>
                  <w:i/>
                </w:rPr>
              </m:ctrlPr>
            </m:e>
          </m:d>
          <m:r>
            <m:rPr>
              <m:nor/>
              <m:sty m:val="p"/>
            </m:rPr>
            <w:rPr>
              <w:rFonts w:ascii="Times New Roman" w:hAnsi="Times New Roman"/>
              <w:b w:val="0"/>
              <w:i w:val="0"/>
            </w:rPr>
            <m:t>-</m:t>
          </m:r>
          <m:sSub>
            <m:sSubPr>
              <m:ctrlPr>
                <w:rPr>
                  <w:rFonts w:ascii="Cambria Math" w:hAnsi="Cambria Math"/>
                  <w:i/>
                </w:rPr>
              </m:ctrlPr>
            </m:sSubPr>
            <m:e>
              <m:r>
                <m:rPr>
                  <m:nor/>
                </m:rPr>
                <w:rPr>
                  <w:rFonts w:ascii="Times New Roman" w:hAnsi="Times New Roman"/>
                  <w:i/>
                </w:rPr>
                <m:t>A</m:t>
              </m:r>
              <m:ctrlPr>
                <w:rPr>
                  <w:rFonts w:ascii="Cambria Math" w:hAnsi="Cambria Math"/>
                  <w:i/>
                </w:rPr>
              </m:ctrlPr>
            </m:e>
            <m:sub>
              <m:r>
                <m:rPr>
                  <m:nor/>
                </m:rPr>
                <w:rPr>
                  <w:rFonts w:ascii="Times New Roman" w:hAnsi="Times New Roman"/>
                  <w:i/>
                </w:rPr>
                <m:t>div</m:t>
              </m:r>
              <m:ctrlPr>
                <w:rPr>
                  <w:rFonts w:ascii="Cambria Math" w:hAnsi="Cambria Math"/>
                  <w:i/>
                </w:rPr>
              </m:ctrlPr>
            </m:sub>
          </m:sSub>
        </m:oMath>
      </m:oMathPara>
    </w:p>
    <w:p>
      <w:pPr>
        <w:ind w:firstLine="480"/>
        <w:rPr>
          <w:rFonts w:ascii="Times New Roman" w:hAnsi="Times New Roman"/>
        </w:rPr>
      </w:pPr>
      <w:r>
        <w:rPr>
          <w:rFonts w:ascii="Times New Roman" w:hAnsi="Times New Roman"/>
        </w:rPr>
        <w:t>式中：</w:t>
      </w:r>
      <w:r>
        <w:rPr>
          <w:rFonts w:ascii="Times New Roman" w:hAnsi="Times New Roman"/>
          <w:i/>
          <w:iCs/>
        </w:rPr>
        <w:t>L</w:t>
      </w:r>
      <w:r>
        <w:rPr>
          <w:rFonts w:ascii="Times New Roman" w:hAnsi="Times New Roman"/>
          <w:i/>
          <w:iCs/>
          <w:vertAlign w:val="subscript"/>
        </w:rPr>
        <w:t>A</w:t>
      </w:r>
      <w:r>
        <w:rPr>
          <w:rFonts w:ascii="Times New Roman" w:hAnsi="Times New Roman"/>
        </w:rPr>
        <w:t>(</w:t>
      </w:r>
      <w:r>
        <w:rPr>
          <w:rFonts w:ascii="Times New Roman" w:hAnsi="Times New Roman"/>
          <w:i/>
          <w:iCs/>
        </w:rPr>
        <w:t>r</w:t>
      </w:r>
      <w:r>
        <w:rPr>
          <w:rFonts w:ascii="Times New Roman" w:hAnsi="Times New Roman"/>
        </w:rPr>
        <w:t>)——距声源</w:t>
      </w:r>
      <w:r>
        <w:rPr>
          <w:rFonts w:ascii="Times New Roman" w:hAnsi="Times New Roman"/>
          <w:i/>
          <w:iCs/>
        </w:rPr>
        <w:t>r</w:t>
      </w:r>
      <w:r>
        <w:rPr>
          <w:rFonts w:ascii="Times New Roman" w:hAnsi="Times New Roman"/>
        </w:rPr>
        <w:t>处的A声级，dB(A)；</w:t>
      </w:r>
    </w:p>
    <w:p>
      <w:pPr>
        <w:ind w:firstLine="1200" w:firstLineChars="500"/>
        <w:rPr>
          <w:rFonts w:ascii="Times New Roman" w:hAnsi="Times New Roman"/>
        </w:rPr>
      </w:pPr>
      <w:r>
        <w:rPr>
          <w:rFonts w:ascii="Times New Roman" w:hAnsi="Times New Roman"/>
          <w:i/>
          <w:iCs/>
        </w:rPr>
        <w:t>L</w:t>
      </w:r>
      <w:r>
        <w:rPr>
          <w:rFonts w:ascii="Times New Roman" w:hAnsi="Times New Roman"/>
          <w:i/>
          <w:iCs/>
          <w:vertAlign w:val="subscript"/>
        </w:rPr>
        <w:t>A</w:t>
      </w:r>
      <w:r>
        <w:rPr>
          <w:rFonts w:ascii="Times New Roman" w:hAnsi="Times New Roman"/>
        </w:rPr>
        <w:t>(</w:t>
      </w:r>
      <w:r>
        <w:rPr>
          <w:rFonts w:ascii="Times New Roman" w:hAnsi="Times New Roman"/>
          <w:i/>
          <w:iCs/>
        </w:rPr>
        <w:t>r</w:t>
      </w:r>
      <w:r>
        <w:rPr>
          <w:rFonts w:ascii="Times New Roman" w:hAnsi="Times New Roman"/>
          <w:vertAlign w:val="subscript"/>
        </w:rPr>
        <w:t>0</w:t>
      </w:r>
      <w:r>
        <w:rPr>
          <w:rFonts w:ascii="Times New Roman" w:hAnsi="Times New Roman"/>
        </w:rPr>
        <w:t>)——参考位置</w:t>
      </w:r>
      <w:r>
        <w:rPr>
          <w:rFonts w:ascii="Times New Roman" w:hAnsi="Times New Roman"/>
          <w:i/>
          <w:iCs/>
        </w:rPr>
        <w:t>r</w:t>
      </w:r>
      <w:r>
        <w:rPr>
          <w:rFonts w:ascii="Times New Roman" w:hAnsi="Times New Roman"/>
          <w:vertAlign w:val="subscript"/>
        </w:rPr>
        <w:t>0</w:t>
      </w:r>
      <w:r>
        <w:rPr>
          <w:rFonts w:ascii="Times New Roman" w:hAnsi="Times New Roman"/>
        </w:rPr>
        <w:t>处的A声级，dB(A)；</w:t>
      </w:r>
    </w:p>
    <w:p>
      <w:pPr>
        <w:ind w:left="1984" w:leftChars="500" w:hanging="784" w:hangingChars="327"/>
        <w:rPr>
          <w:rFonts w:ascii="Times New Roman" w:hAnsi="Times New Roman"/>
        </w:rPr>
      </w:pPr>
      <w:r>
        <w:rPr>
          <w:rFonts w:ascii="Times New Roman" w:hAnsi="Times New Roman"/>
          <w:i/>
          <w:iCs/>
        </w:rPr>
        <w:t>A</w:t>
      </w:r>
      <w:r>
        <w:rPr>
          <w:rFonts w:ascii="Times New Roman" w:hAnsi="Times New Roman"/>
          <w:i/>
          <w:iCs/>
          <w:vertAlign w:val="subscript"/>
        </w:rPr>
        <w:t>div</w:t>
      </w:r>
      <w:r>
        <w:rPr>
          <w:rFonts w:ascii="Times New Roman" w:hAnsi="Times New Roman"/>
        </w:rPr>
        <w:t>——几何发散引起的衰减，</w:t>
      </w:r>
      <w:r>
        <w:rPr>
          <w:rFonts w:ascii="Times New Roman" w:hAnsi="Times New Roman"/>
          <w:i/>
          <w:iCs/>
        </w:rPr>
        <w:t>A</w:t>
      </w:r>
      <w:r>
        <w:rPr>
          <w:rFonts w:ascii="Times New Roman" w:hAnsi="Times New Roman"/>
          <w:i/>
          <w:iCs/>
          <w:vertAlign w:val="subscript"/>
        </w:rPr>
        <w:t>div</w:t>
      </w:r>
      <w:r>
        <w:rPr>
          <w:rFonts w:ascii="Times New Roman" w:hAnsi="Times New Roman"/>
        </w:rPr>
        <w:t>=20lg（</w:t>
      </w:r>
      <w:r>
        <w:rPr>
          <w:rFonts w:ascii="Times New Roman" w:hAnsi="Times New Roman"/>
          <w:i/>
          <w:iCs/>
        </w:rPr>
        <w:t>r</w:t>
      </w:r>
      <w:r>
        <w:rPr>
          <w:rFonts w:ascii="Times New Roman" w:hAnsi="Times New Roman"/>
        </w:rPr>
        <w:t>/</w:t>
      </w:r>
      <w:r>
        <w:rPr>
          <w:rFonts w:ascii="Times New Roman" w:hAnsi="Times New Roman"/>
          <w:i/>
          <w:iCs/>
        </w:rPr>
        <w:t>r</w:t>
      </w:r>
      <w:r>
        <w:rPr>
          <w:rFonts w:ascii="Times New Roman" w:hAnsi="Times New Roman"/>
          <w:vertAlign w:val="subscript"/>
        </w:rPr>
        <w:t>0</w:t>
      </w:r>
      <w:r>
        <w:rPr>
          <w:rFonts w:ascii="Times New Roman" w:hAnsi="Times New Roman"/>
        </w:rPr>
        <w:t>），dB。</w:t>
      </w:r>
    </w:p>
    <w:p>
      <w:pPr>
        <w:ind w:firstLine="480"/>
        <w:rPr>
          <w:rFonts w:ascii="Times New Roman" w:hAnsi="Times New Roman"/>
        </w:rPr>
      </w:pPr>
      <w:r>
        <w:rPr>
          <w:rFonts w:ascii="Times New Roman" w:hAnsi="Times New Roman"/>
        </w:rPr>
        <w:t>设第</w:t>
      </w:r>
      <w:r>
        <w:rPr>
          <w:rFonts w:ascii="Times New Roman" w:hAnsi="Times New Roman"/>
          <w:i/>
          <w:iCs/>
        </w:rPr>
        <w:t>i</w:t>
      </w:r>
      <w:r>
        <w:rPr>
          <w:rFonts w:ascii="Times New Roman" w:hAnsi="Times New Roman"/>
        </w:rPr>
        <w:t>个室外声源在预测点产生的A声级为</w:t>
      </w:r>
      <w:r>
        <w:rPr>
          <w:rFonts w:ascii="Times New Roman" w:hAnsi="Times New Roman"/>
          <w:i/>
          <w:iCs/>
        </w:rPr>
        <w:t>L</w:t>
      </w:r>
      <w:r>
        <w:rPr>
          <w:rFonts w:ascii="Times New Roman" w:hAnsi="Times New Roman"/>
          <w:i/>
          <w:iCs/>
          <w:vertAlign w:val="subscript"/>
        </w:rPr>
        <w:t>Ai</w:t>
      </w:r>
      <w:r>
        <w:rPr>
          <w:rFonts w:ascii="Times New Roman" w:hAnsi="Times New Roman"/>
        </w:rPr>
        <w:t>，在</w:t>
      </w:r>
      <w:r>
        <w:rPr>
          <w:rFonts w:ascii="Times New Roman" w:hAnsi="Times New Roman"/>
          <w:i/>
          <w:iCs/>
        </w:rPr>
        <w:t>T</w:t>
      </w:r>
      <w:r>
        <w:rPr>
          <w:rFonts w:ascii="Times New Roman" w:hAnsi="Times New Roman"/>
        </w:rPr>
        <w:t>时间内该声源工作时间为</w:t>
      </w:r>
      <w:r>
        <w:rPr>
          <w:rFonts w:ascii="Times New Roman" w:hAnsi="Times New Roman"/>
          <w:i/>
          <w:iCs/>
        </w:rPr>
        <w:t>t</w:t>
      </w:r>
      <w:r>
        <w:rPr>
          <w:rFonts w:ascii="Times New Roman" w:hAnsi="Times New Roman"/>
          <w:i/>
          <w:iCs/>
          <w:vertAlign w:val="subscript"/>
        </w:rPr>
        <w:t>i</w:t>
      </w:r>
      <w:r>
        <w:rPr>
          <w:rFonts w:ascii="Times New Roman" w:hAnsi="Times New Roman"/>
        </w:rPr>
        <w:t>；第</w:t>
      </w:r>
      <w:r>
        <w:rPr>
          <w:rFonts w:ascii="Times New Roman" w:hAnsi="Times New Roman"/>
          <w:i/>
          <w:iCs/>
        </w:rPr>
        <w:t>j</w:t>
      </w:r>
      <w:r>
        <w:rPr>
          <w:rFonts w:ascii="Times New Roman" w:hAnsi="Times New Roman"/>
        </w:rPr>
        <w:t>个等效室外声源在预测点产生的A声级为</w:t>
      </w:r>
      <w:r>
        <w:rPr>
          <w:rFonts w:ascii="Times New Roman" w:hAnsi="Times New Roman"/>
          <w:i/>
          <w:iCs/>
        </w:rPr>
        <w:t>L</w:t>
      </w:r>
      <w:r>
        <w:rPr>
          <w:rFonts w:ascii="Times New Roman" w:hAnsi="Times New Roman"/>
          <w:i/>
          <w:iCs/>
          <w:vertAlign w:val="subscript"/>
        </w:rPr>
        <w:t>Aj</w:t>
      </w:r>
      <w:r>
        <w:rPr>
          <w:rFonts w:ascii="Times New Roman" w:hAnsi="Times New Roman"/>
        </w:rPr>
        <w:t>，在</w:t>
      </w:r>
      <w:r>
        <w:rPr>
          <w:rFonts w:ascii="Times New Roman" w:hAnsi="Times New Roman"/>
          <w:i/>
          <w:iCs/>
        </w:rPr>
        <w:t>T</w:t>
      </w:r>
      <w:r>
        <w:rPr>
          <w:rFonts w:ascii="Times New Roman" w:hAnsi="Times New Roman"/>
        </w:rPr>
        <w:t>时间内该声源工作时间为</w:t>
      </w:r>
      <w:r>
        <w:rPr>
          <w:rFonts w:ascii="Times New Roman" w:hAnsi="Times New Roman"/>
          <w:i/>
          <w:iCs/>
        </w:rPr>
        <w:t>t</w:t>
      </w:r>
      <w:r>
        <w:rPr>
          <w:rFonts w:ascii="Times New Roman" w:hAnsi="Times New Roman"/>
          <w:i/>
          <w:iCs/>
          <w:vertAlign w:val="subscript"/>
        </w:rPr>
        <w:t>j</w:t>
      </w:r>
      <w:r>
        <w:rPr>
          <w:rFonts w:ascii="Times New Roman" w:hAnsi="Times New Roman"/>
        </w:rPr>
        <w:t>，则拟建工程声源对预测点产生的贡献值（</w:t>
      </w:r>
      <w:r>
        <w:rPr>
          <w:rFonts w:ascii="Times New Roman" w:hAnsi="Times New Roman"/>
          <w:i/>
          <w:iCs/>
        </w:rPr>
        <w:t>L</w:t>
      </w:r>
      <w:r>
        <w:rPr>
          <w:rFonts w:ascii="Times New Roman" w:hAnsi="Times New Roman"/>
          <w:vertAlign w:val="subscript"/>
        </w:rPr>
        <w:t>eq</w:t>
      </w:r>
      <w:r>
        <w:rPr>
          <w:rFonts w:ascii="Times New Roman" w:hAnsi="Times New Roman"/>
          <w:i/>
          <w:iCs/>
          <w:vertAlign w:val="subscript"/>
        </w:rPr>
        <w:t>g</w:t>
      </w:r>
      <w:r>
        <w:rPr>
          <w:rFonts w:ascii="Times New Roman" w:hAnsi="Times New Roman"/>
        </w:rPr>
        <w:t>）为：</w:t>
      </w:r>
    </w:p>
    <w:p>
      <w:pPr>
        <w:ind w:firstLine="1200" w:firstLineChars="500"/>
        <w:jc w:val="center"/>
        <w:rPr>
          <w:rFonts w:ascii="Times New Roman" w:hAnsi="Times New Roman"/>
        </w:rPr>
      </w:pPr>
      <m:oMathPara>
        <m:oMath>
          <m:sSub>
            <m:sSubPr>
              <m:ctrlPr>
                <w:rPr>
                  <w:rFonts w:ascii="Cambria Math" w:hAnsi="Cambria Math"/>
                  <w:i/>
                </w:rPr>
              </m:ctrlPr>
            </m:sSubPr>
            <m:e>
              <m:r>
                <m:rPr>
                  <m:nor/>
                </m:rPr>
                <w:rPr>
                  <w:rFonts w:ascii="Times New Roman" w:hAnsi="Times New Roman"/>
                  <w:i/>
                </w:rPr>
                <m:t>L</m:t>
              </m:r>
              <m:ctrlPr>
                <w:rPr>
                  <w:rFonts w:ascii="Cambria Math" w:hAnsi="Cambria Math"/>
                  <w:i/>
                </w:rPr>
              </m:ctrlPr>
            </m:e>
            <m:sub>
              <m:r>
                <m:rPr>
                  <m:nor/>
                  <m:sty m:val="p"/>
                </m:rPr>
                <w:rPr>
                  <w:rFonts w:ascii="Times New Roman" w:hAnsi="Times New Roman"/>
                  <w:b w:val="0"/>
                  <w:i w:val="0"/>
                  <w:iCs/>
                </w:rPr>
                <m:t>eq</m:t>
              </m:r>
              <m:r>
                <m:rPr>
                  <m:nor/>
                </m:rPr>
                <w:rPr>
                  <w:rFonts w:ascii="Times New Roman" w:hAnsi="Times New Roman"/>
                  <w:i/>
                </w:rPr>
                <m:t>g</m:t>
              </m:r>
              <m:ctrlPr>
                <w:rPr>
                  <w:rFonts w:ascii="Cambria Math" w:hAnsi="Cambria Math"/>
                  <w:i/>
                </w:rPr>
              </m:ctrlPr>
            </m:sub>
          </m:sSub>
          <m:r>
            <m:rPr>
              <m:nor/>
              <m:sty m:val="p"/>
            </m:rPr>
            <w:rPr>
              <w:rFonts w:ascii="Times New Roman" w:hAnsi="Times New Roman"/>
              <w:b w:val="0"/>
              <w:i w:val="0"/>
            </w:rPr>
            <m:t>=10lg</m:t>
          </m:r>
          <m:d>
            <m:dPr>
              <m:begChr m:val="["/>
              <m:endChr m:val="]"/>
              <m:ctrlPr>
                <w:rPr>
                  <w:rFonts w:ascii="Cambria Math" w:hAnsi="Cambria Math"/>
                  <w:i/>
                </w:rPr>
              </m:ctrlPr>
            </m:dPr>
            <m:e>
              <m:f>
                <m:fPr>
                  <m:ctrlPr>
                    <w:rPr>
                      <w:rFonts w:ascii="Cambria Math" w:hAnsi="Cambria Math"/>
                      <w:i/>
                    </w:rPr>
                  </m:ctrlPr>
                </m:fPr>
                <m:num>
                  <m:r>
                    <m:rPr>
                      <m:nor/>
                      <m:sty m:val="p"/>
                    </m:rPr>
                    <w:rPr>
                      <w:rFonts w:ascii="Times New Roman" w:hAnsi="Times New Roman"/>
                      <w:b w:val="0"/>
                      <w:i w:val="0"/>
                    </w:rPr>
                    <m:t>1</m:t>
                  </m:r>
                  <m:ctrlPr>
                    <w:rPr>
                      <w:rFonts w:ascii="Cambria Math" w:hAnsi="Cambria Math"/>
                      <w:i/>
                    </w:rPr>
                  </m:ctrlPr>
                </m:num>
                <m:den>
                  <m:r>
                    <m:rPr>
                      <m:nor/>
                    </m:rPr>
                    <w:rPr>
                      <w:rFonts w:ascii="Times New Roman" w:hAnsi="Times New Roman"/>
                      <w:i/>
                    </w:rPr>
                    <m:t>T</m:t>
                  </m:r>
                  <m:ctrlPr>
                    <w:rPr>
                      <w:rFonts w:ascii="Cambria Math" w:hAnsi="Cambria Math"/>
                      <w:i/>
                    </w:rPr>
                  </m:ctrlPr>
                </m:den>
              </m:f>
              <m:d>
                <m:dPr>
                  <m:ctrlPr>
                    <w:rPr>
                      <w:rFonts w:ascii="Cambria Math" w:hAnsi="Cambria Math"/>
                      <w:i/>
                    </w:rPr>
                  </m:ctrlPr>
                </m:dPr>
                <m:e>
                  <m:nary>
                    <m:naryPr>
                      <m:chr m:val="∑"/>
                      <m:ctrlPr>
                        <w:rPr>
                          <w:rFonts w:ascii="Cambria Math" w:hAnsi="Cambria Math"/>
                          <w:i/>
                        </w:rPr>
                      </m:ctrlPr>
                    </m:naryPr>
                    <m:sub>
                      <m:r>
                        <m:rPr>
                          <m:nor/>
                        </m:rPr>
                        <w:rPr>
                          <w:rFonts w:ascii="Times New Roman" w:hAnsi="Times New Roman"/>
                          <w:i/>
                        </w:rPr>
                        <m:t>i</m:t>
                      </m:r>
                      <m:r>
                        <m:rPr>
                          <m:nor/>
                          <m:sty m:val="p"/>
                        </m:rPr>
                        <w:rPr>
                          <w:rFonts w:ascii="Times New Roman" w:hAnsi="Times New Roman"/>
                          <w:b w:val="0"/>
                          <w:i w:val="0"/>
                        </w:rPr>
                        <m:t>=1</m:t>
                      </m:r>
                      <m:ctrlPr>
                        <w:rPr>
                          <w:rFonts w:ascii="Cambria Math" w:hAnsi="Cambria Math"/>
                          <w:i/>
                        </w:rPr>
                      </m:ctrlPr>
                    </m:sub>
                    <m:sup>
                      <m:r>
                        <m:rPr>
                          <m:nor/>
                        </m:rPr>
                        <w:rPr>
                          <w:rFonts w:ascii="Times New Roman" w:hAnsi="Times New Roman"/>
                          <w:i/>
                        </w:rPr>
                        <m:t>N</m:t>
                      </m:r>
                      <m:ctrlPr>
                        <w:rPr>
                          <w:rFonts w:ascii="Cambria Math" w:hAnsi="Cambria Math"/>
                          <w:i/>
                        </w:rPr>
                      </m:ctrlPr>
                    </m:sup>
                    <m:e>
                      <m:sSub>
                        <m:sSubPr>
                          <m:ctrlPr>
                            <w:rPr>
                              <w:rFonts w:ascii="Cambria Math" w:hAnsi="Cambria Math"/>
                              <w:i/>
                            </w:rPr>
                          </m:ctrlPr>
                        </m:sSubPr>
                        <m:e>
                          <m:r>
                            <m:rPr>
                              <m:nor/>
                            </m:rPr>
                            <w:rPr>
                              <w:rFonts w:ascii="Times New Roman" w:hAnsi="Times New Roman"/>
                              <w:i/>
                            </w:rPr>
                            <m:t>t</m:t>
                          </m:r>
                          <m:ctrlPr>
                            <w:rPr>
                              <w:rFonts w:ascii="Cambria Math" w:hAnsi="Cambria Math"/>
                              <w:i/>
                            </w:rPr>
                          </m:ctrlPr>
                        </m:e>
                        <m:sub>
                          <m:r>
                            <m:rPr>
                              <m:nor/>
                            </m:rPr>
                            <w:rPr>
                              <w:rFonts w:ascii="Times New Roman" w:hAnsi="Times New Roman"/>
                              <w:i/>
                            </w:rPr>
                            <m:t>i</m:t>
                          </m:r>
                          <m:ctrlPr>
                            <w:rPr>
                              <w:rFonts w:ascii="Cambria Math" w:hAnsi="Cambria Math"/>
                              <w:i/>
                            </w:rPr>
                          </m:ctrlPr>
                        </m:sub>
                      </m:sSub>
                      <m:r>
                        <m:rPr>
                          <m:nor/>
                          <m:sty m:val="p"/>
                        </m:rPr>
                        <w:rPr>
                          <w:rFonts w:ascii="Times New Roman" w:hAnsi="Times New Roman"/>
                          <w:b w:val="0"/>
                          <w:i w:val="0"/>
                        </w:rPr>
                        <m:t>1</m:t>
                      </m:r>
                      <m:sSup>
                        <m:sSupPr>
                          <m:ctrlPr>
                            <w:rPr>
                              <w:rFonts w:ascii="Cambria Math" w:hAnsi="Cambria Math"/>
                              <w:i/>
                            </w:rPr>
                          </m:ctrlPr>
                        </m:sSupPr>
                        <m:e>
                          <m:r>
                            <m:rPr>
                              <m:nor/>
                              <m:sty m:val="p"/>
                            </m:rPr>
                            <w:rPr>
                              <w:rFonts w:ascii="Times New Roman" w:hAnsi="Times New Roman"/>
                              <w:b w:val="0"/>
                              <w:i w:val="0"/>
                            </w:rPr>
                            <m:t>0</m:t>
                          </m:r>
                          <m:ctrlPr>
                            <w:rPr>
                              <w:rFonts w:ascii="Cambria Math" w:hAnsi="Cambria Math"/>
                              <w:i/>
                            </w:rPr>
                          </m:ctrlPr>
                        </m:e>
                        <m:sup>
                          <m:r>
                            <m:rPr>
                              <m:nor/>
                              <m:sty m:val="p"/>
                            </m:rPr>
                            <w:rPr>
                              <w:rFonts w:ascii="Times New Roman" w:hAnsi="Times New Roman"/>
                              <w:b w:val="0"/>
                              <w:i w:val="0"/>
                            </w:rPr>
                            <m:t>0.1</m:t>
                          </m:r>
                          <m:sSub>
                            <m:sSubPr>
                              <m:ctrlPr>
                                <w:rPr>
                                  <w:rFonts w:ascii="Cambria Math" w:hAnsi="Cambria Math"/>
                                  <w:i/>
                                </w:rPr>
                              </m:ctrlPr>
                            </m:sSubPr>
                            <m:e>
                              <m:r>
                                <m:rPr>
                                  <m:nor/>
                                </m:rPr>
                                <w:rPr>
                                  <w:rFonts w:ascii="Times New Roman" w:hAnsi="Times New Roman"/>
                                  <w:i/>
                                </w:rPr>
                                <m:t>L</m:t>
                              </m:r>
                              <m:ctrlPr>
                                <w:rPr>
                                  <w:rFonts w:ascii="Cambria Math" w:hAnsi="Cambria Math"/>
                                  <w:i/>
                                </w:rPr>
                              </m:ctrlPr>
                            </m:e>
                            <m:sub>
                              <m:r>
                                <m:rPr>
                                  <m:nor/>
                                </m:rPr>
                                <w:rPr>
                                  <w:rFonts w:ascii="Times New Roman" w:hAnsi="Times New Roman"/>
                                  <w:i/>
                                </w:rPr>
                                <m:t>A,i</m:t>
                              </m:r>
                              <m:ctrlPr>
                                <w:rPr>
                                  <w:rFonts w:ascii="Cambria Math" w:hAnsi="Cambria Math"/>
                                  <w:i/>
                                </w:rPr>
                              </m:ctrlPr>
                            </m:sub>
                          </m:sSub>
                          <m:ctrlPr>
                            <w:rPr>
                              <w:rFonts w:ascii="Cambria Math" w:hAnsi="Cambria Math"/>
                              <w:i/>
                            </w:rPr>
                          </m:ctrlPr>
                        </m:sup>
                      </m:sSup>
                      <m:r>
                        <m:rPr>
                          <m:nor/>
                          <m:sty m:val="p"/>
                        </m:rPr>
                        <w:rPr>
                          <w:rFonts w:ascii="Times New Roman" w:hAnsi="Times New Roman"/>
                          <w:b w:val="0"/>
                          <w:i w:val="0"/>
                        </w:rPr>
                        <m:t>+</m:t>
                      </m:r>
                      <m:nary>
                        <m:naryPr>
                          <m:chr m:val="∑"/>
                          <m:ctrlPr>
                            <w:rPr>
                              <w:rFonts w:ascii="Cambria Math" w:hAnsi="Cambria Math"/>
                              <w:i/>
                            </w:rPr>
                          </m:ctrlPr>
                        </m:naryPr>
                        <m:sub>
                          <m:r>
                            <m:rPr>
                              <m:nor/>
                            </m:rPr>
                            <w:rPr>
                              <w:rFonts w:ascii="Times New Roman" w:hAnsi="Times New Roman"/>
                              <w:i/>
                            </w:rPr>
                            <m:t>j</m:t>
                          </m:r>
                          <m:r>
                            <m:rPr>
                              <m:nor/>
                              <m:sty m:val="p"/>
                            </m:rPr>
                            <w:rPr>
                              <w:rFonts w:ascii="Times New Roman" w:hAnsi="Times New Roman"/>
                              <w:b w:val="0"/>
                              <w:i w:val="0"/>
                            </w:rPr>
                            <m:t>=1</m:t>
                          </m:r>
                          <m:ctrlPr>
                            <w:rPr>
                              <w:rFonts w:ascii="Cambria Math" w:hAnsi="Cambria Math"/>
                              <w:i/>
                            </w:rPr>
                          </m:ctrlPr>
                        </m:sub>
                        <m:sup>
                          <m:r>
                            <m:rPr>
                              <m:nor/>
                            </m:rPr>
                            <w:rPr>
                              <w:rFonts w:ascii="Times New Roman" w:hAnsi="Times New Roman"/>
                              <w:i/>
                            </w:rPr>
                            <m:t>M</m:t>
                          </m:r>
                          <m:ctrlPr>
                            <w:rPr>
                              <w:rFonts w:ascii="Cambria Math" w:hAnsi="Cambria Math"/>
                              <w:i/>
                            </w:rPr>
                          </m:ctrlPr>
                        </m:sup>
                        <m:e>
                          <m:sSub>
                            <m:sSubPr>
                              <m:ctrlPr>
                                <w:rPr>
                                  <w:rFonts w:ascii="Cambria Math" w:hAnsi="Cambria Math"/>
                                  <w:i/>
                                </w:rPr>
                              </m:ctrlPr>
                            </m:sSubPr>
                            <m:e>
                              <m:r>
                                <m:rPr>
                                  <m:nor/>
                                </m:rPr>
                                <w:rPr>
                                  <w:rFonts w:ascii="Times New Roman" w:hAnsi="Times New Roman"/>
                                  <w:i/>
                                </w:rPr>
                                <m:t>t</m:t>
                              </m:r>
                              <m:ctrlPr>
                                <w:rPr>
                                  <w:rFonts w:ascii="Cambria Math" w:hAnsi="Cambria Math"/>
                                  <w:i/>
                                </w:rPr>
                              </m:ctrlPr>
                            </m:e>
                            <m:sub>
                              <m:r>
                                <m:rPr>
                                  <m:nor/>
                                </m:rPr>
                                <w:rPr>
                                  <w:rFonts w:ascii="Times New Roman" w:hAnsi="Times New Roman"/>
                                  <w:i/>
                                </w:rPr>
                                <m:t>j</m:t>
                              </m:r>
                              <m:ctrlPr>
                                <w:rPr>
                                  <w:rFonts w:ascii="Cambria Math" w:hAnsi="Cambria Math"/>
                                  <w:i/>
                                </w:rPr>
                              </m:ctrlPr>
                            </m:sub>
                          </m:sSub>
                          <m:r>
                            <m:rPr>
                              <m:nor/>
                              <m:sty m:val="p"/>
                            </m:rPr>
                            <w:rPr>
                              <w:rFonts w:ascii="Times New Roman" w:hAnsi="Times New Roman"/>
                              <w:b w:val="0"/>
                              <w:i w:val="0"/>
                            </w:rPr>
                            <m:t>1</m:t>
                          </m:r>
                          <m:sSup>
                            <m:sSupPr>
                              <m:ctrlPr>
                                <w:rPr>
                                  <w:rFonts w:ascii="Cambria Math" w:hAnsi="Cambria Math"/>
                                  <w:i/>
                                </w:rPr>
                              </m:ctrlPr>
                            </m:sSupPr>
                            <m:e>
                              <m:r>
                                <m:rPr>
                                  <m:nor/>
                                  <m:sty m:val="p"/>
                                </m:rPr>
                                <w:rPr>
                                  <w:rFonts w:ascii="Times New Roman" w:hAnsi="Times New Roman"/>
                                  <w:b w:val="0"/>
                                  <w:i w:val="0"/>
                                </w:rPr>
                                <m:t>0</m:t>
                              </m:r>
                              <m:ctrlPr>
                                <w:rPr>
                                  <w:rFonts w:ascii="Cambria Math" w:hAnsi="Cambria Math"/>
                                  <w:i/>
                                </w:rPr>
                              </m:ctrlPr>
                            </m:e>
                            <m:sup>
                              <m:r>
                                <m:rPr>
                                  <m:nor/>
                                  <m:sty m:val="p"/>
                                </m:rPr>
                                <w:rPr>
                                  <w:rFonts w:ascii="Times New Roman" w:hAnsi="Times New Roman"/>
                                  <w:b w:val="0"/>
                                  <w:i w:val="0"/>
                                </w:rPr>
                                <m:t>0.1</m:t>
                              </m:r>
                              <m:sSub>
                                <m:sSubPr>
                                  <m:ctrlPr>
                                    <w:rPr>
                                      <w:rFonts w:ascii="Cambria Math" w:hAnsi="Cambria Math"/>
                                      <w:i/>
                                    </w:rPr>
                                  </m:ctrlPr>
                                </m:sSubPr>
                                <m:e>
                                  <m:r>
                                    <m:rPr>
                                      <m:nor/>
                                    </m:rPr>
                                    <w:rPr>
                                      <w:rFonts w:ascii="Times New Roman" w:hAnsi="Times New Roman"/>
                                      <w:i/>
                                    </w:rPr>
                                    <m:t>L</m:t>
                                  </m:r>
                                  <m:ctrlPr>
                                    <w:rPr>
                                      <w:rFonts w:ascii="Cambria Math" w:hAnsi="Cambria Math"/>
                                      <w:i/>
                                    </w:rPr>
                                  </m:ctrlPr>
                                </m:e>
                                <m:sub>
                                  <m:r>
                                    <m:rPr>
                                      <m:nor/>
                                    </m:rPr>
                                    <w:rPr>
                                      <w:rFonts w:ascii="Times New Roman" w:hAnsi="Times New Roman"/>
                                      <w:i/>
                                    </w:rPr>
                                    <m:t>A,j</m:t>
                                  </m:r>
                                  <m:ctrlPr>
                                    <w:rPr>
                                      <w:rFonts w:ascii="Cambria Math" w:hAnsi="Cambria Math"/>
                                      <w:i/>
                                    </w:rPr>
                                  </m:ctrlPr>
                                </m:sub>
                              </m:sSub>
                              <m:ctrlPr>
                                <w:rPr>
                                  <w:rFonts w:ascii="Cambria Math" w:hAnsi="Cambria Math"/>
                                  <w:i/>
                                </w:rPr>
                              </m:ctrlPr>
                            </m:sup>
                          </m:sSup>
                          <m:ctrlPr>
                            <w:rPr>
                              <w:rFonts w:ascii="Cambria Math" w:hAnsi="Cambria Math"/>
                              <w:i/>
                            </w:rPr>
                          </m:ctrlPr>
                        </m:e>
                      </m:nary>
                      <m:ctrlPr>
                        <w:rPr>
                          <w:rFonts w:ascii="Cambria Math" w:hAnsi="Cambria Math"/>
                          <w:i/>
                        </w:rPr>
                      </m:ctrlPr>
                    </m:e>
                  </m:nary>
                  <m:ctrlPr>
                    <w:rPr>
                      <w:rFonts w:ascii="Cambria Math" w:hAnsi="Cambria Math"/>
                      <w:i/>
                    </w:rPr>
                  </m:ctrlPr>
                </m:e>
              </m:d>
              <m:ctrlPr>
                <w:rPr>
                  <w:rFonts w:ascii="Cambria Math" w:hAnsi="Cambria Math"/>
                  <w:i/>
                </w:rPr>
              </m:ctrlPr>
            </m:e>
          </m:d>
        </m:oMath>
      </m:oMathPara>
    </w:p>
    <w:p>
      <w:pPr>
        <w:ind w:firstLine="480"/>
        <w:rPr>
          <w:rFonts w:ascii="Times New Roman" w:hAnsi="Times New Roman"/>
        </w:rPr>
      </w:pPr>
      <w:r>
        <w:rPr>
          <w:rFonts w:ascii="Times New Roman" w:hAnsi="Times New Roman"/>
        </w:rPr>
        <w:t>式中：</w:t>
      </w:r>
      <w:r>
        <w:rPr>
          <w:rFonts w:ascii="Times New Roman" w:hAnsi="Times New Roman"/>
          <w:i/>
          <w:iCs/>
        </w:rPr>
        <w:t>L</w:t>
      </w:r>
      <w:r>
        <w:rPr>
          <w:rFonts w:ascii="Times New Roman" w:hAnsi="Times New Roman"/>
          <w:vertAlign w:val="subscript"/>
        </w:rPr>
        <w:t>eq</w:t>
      </w:r>
      <w:r>
        <w:rPr>
          <w:rFonts w:ascii="Times New Roman" w:hAnsi="Times New Roman"/>
          <w:i/>
          <w:iCs/>
          <w:vertAlign w:val="subscript"/>
        </w:rPr>
        <w:t>g</w:t>
      </w:r>
      <w:r>
        <w:rPr>
          <w:rFonts w:ascii="Times New Roman" w:hAnsi="Times New Roman"/>
        </w:rPr>
        <w:t>——建设项目声源在预测点产生的噪声贡献值，dB；</w:t>
      </w:r>
    </w:p>
    <w:p>
      <w:pPr>
        <w:ind w:firstLine="1200" w:firstLineChars="500"/>
        <w:rPr>
          <w:rFonts w:ascii="Times New Roman" w:hAnsi="Times New Roman"/>
        </w:rPr>
      </w:pPr>
      <w:r>
        <w:rPr>
          <w:rFonts w:ascii="Times New Roman" w:hAnsi="Times New Roman"/>
          <w:i/>
          <w:iCs/>
        </w:rPr>
        <w:t>T</w:t>
      </w:r>
      <w:r>
        <w:rPr>
          <w:rFonts w:ascii="Times New Roman" w:hAnsi="Times New Roman"/>
        </w:rPr>
        <w:t>——用于计算等效声级的时间，s；</w:t>
      </w:r>
    </w:p>
    <w:p>
      <w:pPr>
        <w:ind w:firstLine="1200" w:firstLineChars="500"/>
        <w:rPr>
          <w:rFonts w:ascii="Times New Roman" w:hAnsi="Times New Roman"/>
        </w:rPr>
      </w:pPr>
      <w:r>
        <w:rPr>
          <w:rFonts w:ascii="Times New Roman" w:hAnsi="Times New Roman"/>
          <w:i/>
          <w:iCs/>
        </w:rPr>
        <w:t>N</w:t>
      </w:r>
      <w:r>
        <w:rPr>
          <w:rFonts w:ascii="Times New Roman" w:hAnsi="Times New Roman"/>
        </w:rPr>
        <w:t>——室外声源个数；</w:t>
      </w:r>
    </w:p>
    <w:p>
      <w:pPr>
        <w:ind w:firstLine="1200" w:firstLineChars="500"/>
        <w:rPr>
          <w:rFonts w:ascii="Times New Roman" w:hAnsi="Times New Roman"/>
        </w:rPr>
      </w:pPr>
      <w:r>
        <w:rPr>
          <w:rFonts w:ascii="Times New Roman" w:hAnsi="Times New Roman"/>
          <w:i/>
          <w:iCs/>
        </w:rPr>
        <w:t>t</w:t>
      </w:r>
      <w:r>
        <w:rPr>
          <w:rFonts w:ascii="Times New Roman" w:hAnsi="Times New Roman"/>
          <w:i/>
          <w:iCs/>
          <w:vertAlign w:val="subscript"/>
        </w:rPr>
        <w:t>i</w:t>
      </w:r>
      <w:r>
        <w:rPr>
          <w:rFonts w:ascii="Times New Roman" w:hAnsi="Times New Roman"/>
        </w:rPr>
        <w:t>——在</w:t>
      </w:r>
      <w:r>
        <w:rPr>
          <w:rFonts w:ascii="Times New Roman" w:hAnsi="Times New Roman"/>
          <w:i/>
          <w:iCs/>
        </w:rPr>
        <w:t>T</w:t>
      </w:r>
      <w:r>
        <w:rPr>
          <w:rFonts w:ascii="Times New Roman" w:hAnsi="Times New Roman"/>
        </w:rPr>
        <w:t>时间内</w:t>
      </w:r>
      <w:r>
        <w:rPr>
          <w:rFonts w:ascii="Times New Roman" w:hAnsi="Times New Roman"/>
          <w:i/>
          <w:iCs/>
        </w:rPr>
        <w:t>i</w:t>
      </w:r>
      <w:r>
        <w:rPr>
          <w:rFonts w:ascii="Times New Roman" w:hAnsi="Times New Roman"/>
        </w:rPr>
        <w:t>声源工作时间，s；</w:t>
      </w:r>
    </w:p>
    <w:p>
      <w:pPr>
        <w:ind w:firstLine="1200" w:firstLineChars="500"/>
        <w:rPr>
          <w:rFonts w:ascii="Times New Roman" w:hAnsi="Times New Roman"/>
        </w:rPr>
      </w:pPr>
      <w:r>
        <w:rPr>
          <w:rFonts w:ascii="Times New Roman" w:hAnsi="Times New Roman"/>
          <w:i/>
          <w:iCs/>
        </w:rPr>
        <w:t>M</w:t>
      </w:r>
      <w:r>
        <w:rPr>
          <w:rFonts w:ascii="Times New Roman" w:hAnsi="Times New Roman"/>
        </w:rPr>
        <w:t>——等效室外声源个数；</w:t>
      </w:r>
    </w:p>
    <w:p>
      <w:pPr>
        <w:ind w:firstLine="1200" w:firstLineChars="500"/>
        <w:rPr>
          <w:rFonts w:ascii="Times New Roman" w:hAnsi="Times New Roman"/>
        </w:rPr>
      </w:pPr>
      <w:r>
        <w:rPr>
          <w:rFonts w:ascii="Times New Roman" w:hAnsi="Times New Roman"/>
          <w:i/>
          <w:iCs/>
        </w:rPr>
        <w:t>t</w:t>
      </w:r>
      <w:r>
        <w:rPr>
          <w:rFonts w:ascii="Times New Roman" w:hAnsi="Times New Roman"/>
          <w:i/>
          <w:iCs/>
          <w:vertAlign w:val="subscript"/>
        </w:rPr>
        <w:t>j</w:t>
      </w:r>
      <w:r>
        <w:rPr>
          <w:rFonts w:ascii="Times New Roman" w:hAnsi="Times New Roman"/>
        </w:rPr>
        <w:t>——在</w:t>
      </w:r>
      <w:r>
        <w:rPr>
          <w:rFonts w:ascii="Times New Roman" w:hAnsi="Times New Roman"/>
          <w:i/>
          <w:iCs/>
        </w:rPr>
        <w:t>T</w:t>
      </w:r>
      <w:r>
        <w:rPr>
          <w:rFonts w:ascii="Times New Roman" w:hAnsi="Times New Roman"/>
        </w:rPr>
        <w:t>时间内</w:t>
      </w:r>
      <w:r>
        <w:rPr>
          <w:rFonts w:ascii="Times New Roman" w:hAnsi="Times New Roman"/>
          <w:i/>
          <w:iCs/>
        </w:rPr>
        <w:t>j</w:t>
      </w:r>
      <w:r>
        <w:rPr>
          <w:rFonts w:ascii="Times New Roman" w:hAnsi="Times New Roman"/>
        </w:rPr>
        <w:t>声源工作时间，s。</w:t>
      </w:r>
    </w:p>
    <w:p>
      <w:pPr>
        <w:ind w:firstLine="480"/>
        <w:rPr>
          <w:rFonts w:ascii="Times New Roman" w:hAnsi="Times New Roman"/>
        </w:rPr>
      </w:pPr>
      <w:r>
        <w:rPr>
          <w:rFonts w:ascii="Times New Roman" w:hAnsi="Times New Roman"/>
        </w:rPr>
        <w:t>厂界噪声预测值（</w:t>
      </w:r>
      <w:r>
        <w:rPr>
          <w:rFonts w:ascii="Times New Roman" w:hAnsi="Times New Roman"/>
          <w:i/>
          <w:iCs/>
        </w:rPr>
        <w:t>L</w:t>
      </w:r>
      <w:r>
        <w:rPr>
          <w:rFonts w:ascii="Times New Roman" w:hAnsi="Times New Roman"/>
          <w:vertAlign w:val="subscript"/>
        </w:rPr>
        <w:t>eq</w:t>
      </w:r>
      <w:r>
        <w:rPr>
          <w:rFonts w:ascii="Times New Roman" w:hAnsi="Times New Roman"/>
        </w:rPr>
        <w:t>）为：</w:t>
      </w:r>
    </w:p>
    <w:p>
      <w:pPr>
        <w:ind w:firstLine="1200" w:firstLineChars="500"/>
        <w:jc w:val="center"/>
        <w:rPr>
          <w:rFonts w:ascii="Times New Roman" w:hAnsi="Times New Roman"/>
        </w:rPr>
      </w:pPr>
      <m:oMathPara>
        <m:oMath>
          <m:sSub>
            <m:sSubPr>
              <m:ctrlPr>
                <w:rPr>
                  <w:rFonts w:ascii="Cambria Math" w:hAnsi="Cambria Math"/>
                  <w:i/>
                </w:rPr>
              </m:ctrlPr>
            </m:sSubPr>
            <m:e>
              <m:r>
                <m:rPr>
                  <m:nor/>
                </m:rPr>
                <w:rPr>
                  <w:rFonts w:ascii="Times New Roman" w:hAnsi="Times New Roman"/>
                  <w:i/>
                </w:rPr>
                <m:t>L</m:t>
              </m:r>
              <m:ctrlPr>
                <w:rPr>
                  <w:rFonts w:ascii="Cambria Math" w:hAnsi="Cambria Math"/>
                  <w:i/>
                </w:rPr>
              </m:ctrlPr>
            </m:e>
            <m:sub>
              <m:r>
                <m:rPr>
                  <m:nor/>
                  <m:sty m:val="p"/>
                </m:rPr>
                <w:rPr>
                  <w:rFonts w:ascii="Times New Roman" w:hAnsi="Times New Roman"/>
                  <w:b w:val="0"/>
                  <w:i w:val="0"/>
                  <w:iCs/>
                </w:rPr>
                <m:t>eq</m:t>
              </m:r>
              <m:ctrlPr>
                <w:rPr>
                  <w:rFonts w:ascii="Cambria Math" w:hAnsi="Cambria Math"/>
                  <w:i/>
                </w:rPr>
              </m:ctrlPr>
            </m:sub>
          </m:sSub>
          <m:r>
            <m:rPr>
              <m:nor/>
              <m:sty m:val="p"/>
            </m:rPr>
            <w:rPr>
              <w:rFonts w:ascii="Times New Roman" w:hAnsi="Times New Roman"/>
              <w:b w:val="0"/>
              <w:i w:val="0"/>
            </w:rPr>
            <m:t>=10lg</m:t>
          </m:r>
          <m:d>
            <m:dPr>
              <m:ctrlPr>
                <w:rPr>
                  <w:rFonts w:ascii="Cambria Math" w:hAnsi="Cambria Math"/>
                  <w:i/>
                </w:rPr>
              </m:ctrlPr>
            </m:dPr>
            <m:e>
              <m:r>
                <m:rPr>
                  <m:nor/>
                  <m:sty m:val="p"/>
                </m:rPr>
                <w:rPr>
                  <w:rFonts w:ascii="Times New Roman" w:hAnsi="Times New Roman"/>
                  <w:b w:val="0"/>
                  <w:i w:val="0"/>
                </w:rPr>
                <m:t>1</m:t>
              </m:r>
              <m:sSup>
                <m:sSupPr>
                  <m:ctrlPr>
                    <w:rPr>
                      <w:rFonts w:ascii="Cambria Math" w:hAnsi="Cambria Math"/>
                      <w:i/>
                    </w:rPr>
                  </m:ctrlPr>
                </m:sSupPr>
                <m:e>
                  <m:r>
                    <m:rPr>
                      <m:nor/>
                      <m:sty m:val="p"/>
                    </m:rPr>
                    <w:rPr>
                      <w:rFonts w:ascii="Times New Roman" w:hAnsi="Times New Roman"/>
                      <w:b w:val="0"/>
                      <w:i w:val="0"/>
                    </w:rPr>
                    <m:t>0</m:t>
                  </m:r>
                  <m:ctrlPr>
                    <w:rPr>
                      <w:rFonts w:ascii="Cambria Math" w:hAnsi="Cambria Math"/>
                      <w:i/>
                    </w:rPr>
                  </m:ctrlPr>
                </m:e>
                <m:sup>
                  <m:r>
                    <m:rPr>
                      <m:nor/>
                      <m:sty m:val="p"/>
                    </m:rPr>
                    <w:rPr>
                      <w:rFonts w:ascii="Times New Roman" w:hAnsi="Times New Roman"/>
                      <w:b w:val="0"/>
                      <w:i w:val="0"/>
                    </w:rPr>
                    <m:t>0.1</m:t>
                  </m:r>
                  <m:sSub>
                    <m:sSubPr>
                      <m:ctrlPr>
                        <w:rPr>
                          <w:rFonts w:ascii="Cambria Math" w:hAnsi="Cambria Math"/>
                          <w:i/>
                        </w:rPr>
                      </m:ctrlPr>
                    </m:sSubPr>
                    <m:e>
                      <m:r>
                        <m:rPr/>
                        <w:rPr>
                          <w:rFonts w:ascii="Cambria Math" w:hAnsi="Cambria Math"/>
                        </w:rPr>
                        <m:t>L</m:t>
                      </m:r>
                      <m:ctrlPr>
                        <w:rPr>
                          <w:rFonts w:ascii="Cambria Math" w:hAnsi="Cambria Math"/>
                          <w:i/>
                        </w:rPr>
                      </m:ctrlPr>
                    </m:e>
                    <m:sub>
                      <m:r>
                        <m:rPr/>
                        <w:rPr>
                          <w:rFonts w:ascii="Cambria Math" w:hAnsi="Cambria Math"/>
                        </w:rPr>
                        <m:t>eqg</m:t>
                      </m:r>
                      <m:ctrlPr>
                        <w:rPr>
                          <w:rFonts w:ascii="Cambria Math" w:hAnsi="Cambria Math"/>
                          <w:i/>
                        </w:rPr>
                      </m:ctrlPr>
                    </m:sub>
                  </m:sSub>
                  <m:ctrlPr>
                    <w:rPr>
                      <w:rFonts w:ascii="Cambria Math" w:hAnsi="Cambria Math"/>
                      <w:i/>
                    </w:rPr>
                  </m:ctrlPr>
                </m:sup>
              </m:sSup>
              <m:r>
                <m:rPr>
                  <m:nor/>
                  <m:sty m:val="p"/>
                </m:rPr>
                <w:rPr>
                  <w:rFonts w:ascii="Times New Roman" w:hAnsi="Times New Roman"/>
                  <w:b w:val="0"/>
                  <w:i w:val="0"/>
                </w:rPr>
                <m:t>+1</m:t>
              </m:r>
              <m:sSup>
                <m:sSupPr>
                  <m:ctrlPr>
                    <w:rPr>
                      <w:rFonts w:ascii="Cambria Math" w:hAnsi="Cambria Math"/>
                      <w:i/>
                    </w:rPr>
                  </m:ctrlPr>
                </m:sSupPr>
                <m:e>
                  <m:r>
                    <m:rPr>
                      <m:nor/>
                      <m:sty m:val="p"/>
                    </m:rPr>
                    <w:rPr>
                      <w:rFonts w:ascii="Times New Roman" w:hAnsi="Times New Roman"/>
                      <w:b w:val="0"/>
                      <w:i w:val="0"/>
                    </w:rPr>
                    <m:t>0</m:t>
                  </m:r>
                  <m:ctrlPr>
                    <w:rPr>
                      <w:rFonts w:ascii="Cambria Math" w:hAnsi="Cambria Math"/>
                      <w:i/>
                    </w:rPr>
                  </m:ctrlPr>
                </m:e>
                <m:sup>
                  <m:r>
                    <m:rPr>
                      <m:nor/>
                      <m:sty m:val="p"/>
                    </m:rPr>
                    <w:rPr>
                      <w:rFonts w:ascii="Times New Roman" w:hAnsi="Times New Roman"/>
                      <w:b w:val="0"/>
                      <w:i w:val="0"/>
                    </w:rPr>
                    <m:t>0.1</m:t>
                  </m:r>
                  <m:sSub>
                    <m:sSubPr>
                      <m:ctrlPr>
                        <w:rPr>
                          <w:rFonts w:ascii="Cambria Math" w:hAnsi="Cambria Math"/>
                        </w:rPr>
                      </m:ctrlPr>
                    </m:sSubPr>
                    <m:e>
                      <m:r>
                        <m:rPr/>
                        <w:rPr>
                          <w:rFonts w:ascii="Cambria Math" w:hAnsi="Cambria Math"/>
                        </w:rPr>
                        <m:t>L</m:t>
                      </m:r>
                      <m:ctrlPr>
                        <w:rPr>
                          <w:rFonts w:ascii="Cambria Math" w:hAnsi="Cambria Math"/>
                        </w:rPr>
                      </m:ctrlPr>
                    </m:e>
                    <m:sub>
                      <m:r>
                        <m:rPr/>
                        <w:rPr>
                          <w:rFonts w:ascii="Cambria Math" w:hAnsi="Cambria Math"/>
                        </w:rPr>
                        <m:t>eqb</m:t>
                      </m:r>
                      <m:ctrlPr>
                        <w:rPr>
                          <w:rFonts w:ascii="Cambria Math" w:hAnsi="Cambria Math"/>
                        </w:rPr>
                      </m:ctrlPr>
                    </m:sub>
                  </m:sSub>
                  <m:ctrlPr>
                    <w:rPr>
                      <w:rFonts w:ascii="Cambria Math" w:hAnsi="Cambria Math"/>
                      <w:i/>
                    </w:rPr>
                  </m:ctrlPr>
                </m:sup>
              </m:sSup>
              <m:ctrlPr>
                <w:rPr>
                  <w:rFonts w:ascii="Cambria Math" w:hAnsi="Cambria Math"/>
                  <w:i/>
                </w:rPr>
              </m:ctrlPr>
            </m:e>
          </m:d>
        </m:oMath>
      </m:oMathPara>
    </w:p>
    <w:p>
      <w:pPr>
        <w:ind w:firstLine="480"/>
        <w:rPr>
          <w:rFonts w:ascii="Times New Roman" w:hAnsi="Times New Roman"/>
        </w:rPr>
      </w:pPr>
      <w:r>
        <w:rPr>
          <w:rFonts w:ascii="Times New Roman" w:hAnsi="Times New Roman"/>
        </w:rPr>
        <w:t>式中：</w:t>
      </w:r>
      <w:r>
        <w:rPr>
          <w:rFonts w:ascii="Times New Roman" w:hAnsi="Times New Roman"/>
          <w:i/>
          <w:iCs/>
        </w:rPr>
        <w:t>L</w:t>
      </w:r>
      <w:r>
        <w:rPr>
          <w:rFonts w:ascii="Times New Roman" w:hAnsi="Times New Roman"/>
          <w:vertAlign w:val="subscript"/>
        </w:rPr>
        <w:t>eq</w:t>
      </w:r>
      <w:r>
        <w:rPr>
          <w:rFonts w:ascii="Times New Roman" w:hAnsi="Times New Roman"/>
        </w:rPr>
        <w:t>——建设项目声源在预测点产生的噪声预测值，dB；</w:t>
      </w:r>
    </w:p>
    <w:p>
      <w:pPr>
        <w:ind w:firstLine="1200" w:firstLineChars="500"/>
        <w:rPr>
          <w:rFonts w:ascii="Times New Roman" w:hAnsi="Times New Roman"/>
        </w:rPr>
      </w:pPr>
      <w:r>
        <w:rPr>
          <w:rFonts w:ascii="Times New Roman" w:hAnsi="Times New Roman"/>
          <w:i/>
          <w:iCs/>
        </w:rPr>
        <w:t>L</w:t>
      </w:r>
      <w:r>
        <w:rPr>
          <w:rFonts w:ascii="Times New Roman" w:hAnsi="Times New Roman"/>
          <w:vertAlign w:val="subscript"/>
        </w:rPr>
        <w:t>eq</w:t>
      </w:r>
      <w:r>
        <w:rPr>
          <w:rFonts w:ascii="Times New Roman" w:hAnsi="Times New Roman"/>
          <w:i/>
          <w:iCs/>
          <w:vertAlign w:val="subscript"/>
        </w:rPr>
        <w:t>g</w:t>
      </w:r>
      <w:r>
        <w:rPr>
          <w:rFonts w:ascii="Times New Roman" w:hAnsi="Times New Roman"/>
        </w:rPr>
        <w:t>——建设项目声源在预测点产生的噪声贡献值，dB；</w:t>
      </w:r>
    </w:p>
    <w:p>
      <w:pPr>
        <w:ind w:firstLine="1200" w:firstLineChars="500"/>
        <w:rPr>
          <w:rFonts w:ascii="Times New Roman" w:hAnsi="Times New Roman"/>
        </w:rPr>
      </w:pPr>
      <w:r>
        <w:rPr>
          <w:rFonts w:ascii="Times New Roman" w:hAnsi="Times New Roman"/>
          <w:i/>
          <w:iCs/>
        </w:rPr>
        <w:t>L</w:t>
      </w:r>
      <w:r>
        <w:rPr>
          <w:rFonts w:ascii="Times New Roman" w:hAnsi="Times New Roman"/>
          <w:vertAlign w:val="subscript"/>
        </w:rPr>
        <w:t>eq</w:t>
      </w:r>
      <w:r>
        <w:rPr>
          <w:rFonts w:ascii="Times New Roman" w:hAnsi="Times New Roman"/>
          <w:i/>
          <w:iCs/>
          <w:vertAlign w:val="subscript"/>
        </w:rPr>
        <w:t>b</w:t>
      </w:r>
      <w:r>
        <w:rPr>
          <w:rFonts w:ascii="Times New Roman" w:hAnsi="Times New Roman"/>
        </w:rPr>
        <w:t>——预测点的噪声背景值，dB。</w:t>
      </w:r>
    </w:p>
    <w:p>
      <w:pPr>
        <w:pStyle w:val="5"/>
        <w:rPr>
          <w:rFonts w:ascii="Times New Roman" w:hAnsi="Times New Roman"/>
        </w:rPr>
      </w:pPr>
      <w:r>
        <w:rPr>
          <w:rFonts w:ascii="Times New Roman" w:hAnsi="Times New Roman"/>
        </w:rPr>
        <w:t>预测结果及评价</w:t>
      </w:r>
    </w:p>
    <w:p>
      <w:pPr>
        <w:ind w:firstLine="480"/>
        <w:rPr>
          <w:rFonts w:ascii="Times New Roman" w:hAnsi="Times New Roman"/>
        </w:rPr>
      </w:pPr>
      <w:r>
        <w:rPr>
          <w:rFonts w:ascii="Times New Roman" w:hAnsi="Times New Roman"/>
        </w:rPr>
        <w:t>本项目位于四川省达州市宣汉县，根据上述噪声源及其分布，计算节流阀和计量分离器运行厂界噪声贡献值，详见</w:t>
      </w:r>
      <w:r>
        <w:rPr>
          <w:rFonts w:ascii="Times New Roman" w:hAnsi="Times New Roman"/>
        </w:rPr>
        <w:fldChar w:fldCharType="begin"/>
      </w:r>
      <w:r>
        <w:rPr>
          <w:rFonts w:ascii="Times New Roman" w:hAnsi="Times New Roman"/>
        </w:rPr>
        <w:instrText xml:space="preserve"> REF _Ref155706558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15</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_Ref155706559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16</w:t>
      </w:r>
      <w:r>
        <w:rPr>
          <w:rFonts w:ascii="Times New Roman" w:hAnsi="Times New Roman"/>
        </w:rPr>
        <w:fldChar w:fldCharType="end"/>
      </w:r>
      <w:r>
        <w:rPr>
          <w:rFonts w:ascii="Times New Roman" w:hAnsi="Times New Roman"/>
        </w:rPr>
        <w:t>。由计算结果可知，厂界噪声预测值均符合《工业企业厂界环境噪声排放标准》（GB12348-2008）中2类功能区的标准限值要求，项目噪声对周边声环境影响较小。</w:t>
      </w:r>
    </w:p>
    <w:p>
      <w:pPr>
        <w:pStyle w:val="37"/>
        <w:rPr>
          <w:rFonts w:ascii="Times New Roman" w:hAnsi="Times New Roman" w:cs="Times New Roman"/>
        </w:rPr>
      </w:pPr>
      <w:bookmarkStart w:id="215" w:name="_Ref155706558"/>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15</w:t>
      </w:r>
      <w:r>
        <w:rPr>
          <w:rFonts w:ascii="Times New Roman" w:hAnsi="Times New Roman" w:cs="Times New Roman"/>
        </w:rPr>
        <w:fldChar w:fldCharType="end"/>
      </w:r>
      <w:bookmarkEnd w:id="215"/>
      <w:r>
        <w:rPr>
          <w:rFonts w:ascii="Times New Roman" w:hAnsi="Times New Roman" w:cs="Times New Roman"/>
        </w:rPr>
        <w:t xml:space="preserve">  宣探1井站运营期噪声预测结果</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57" w:type="dxa"/>
        </w:tblCellMar>
      </w:tblPr>
      <w:tblGrid>
        <w:gridCol w:w="879"/>
        <w:gridCol w:w="1351"/>
        <w:gridCol w:w="1232"/>
        <w:gridCol w:w="1233"/>
        <w:gridCol w:w="1232"/>
        <w:gridCol w:w="1233"/>
        <w:gridCol w:w="12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57" w:type="dxa"/>
          </w:tblCellMar>
        </w:tblPrEx>
        <w:trPr>
          <w:trHeight w:val="20" w:hRule="atLeast"/>
        </w:trPr>
        <w:tc>
          <w:tcPr>
            <w:tcW w:w="1329" w:type="pct"/>
            <w:gridSpan w:val="2"/>
            <w:vMerge w:val="restart"/>
            <w:shd w:val="clear" w:color="auto" w:fill="auto"/>
            <w:vAlign w:val="center"/>
          </w:tcPr>
          <w:p>
            <w:pPr>
              <w:pStyle w:val="39"/>
              <w:rPr>
                <w:rFonts w:ascii="Times New Roman" w:hAnsi="Times New Roman"/>
              </w:rPr>
            </w:pPr>
            <w:r>
              <w:rPr>
                <w:rFonts w:ascii="Times New Roman" w:hAnsi="Times New Roman"/>
              </w:rPr>
              <w:t>预测点</w:t>
            </w:r>
          </w:p>
        </w:tc>
        <w:tc>
          <w:tcPr>
            <w:tcW w:w="1469" w:type="pct"/>
            <w:gridSpan w:val="2"/>
            <w:vAlign w:val="center"/>
          </w:tcPr>
          <w:p>
            <w:pPr>
              <w:pStyle w:val="39"/>
              <w:rPr>
                <w:rFonts w:ascii="Times New Roman" w:hAnsi="Times New Roman"/>
              </w:rPr>
            </w:pPr>
            <w:r>
              <w:rPr>
                <w:rFonts w:ascii="Times New Roman" w:hAnsi="Times New Roman"/>
              </w:rPr>
              <w:t>贡献值dB(A)</w:t>
            </w:r>
          </w:p>
        </w:tc>
        <w:tc>
          <w:tcPr>
            <w:tcW w:w="1469" w:type="pct"/>
            <w:gridSpan w:val="2"/>
            <w:vAlign w:val="center"/>
          </w:tcPr>
          <w:p>
            <w:pPr>
              <w:pStyle w:val="39"/>
              <w:rPr>
                <w:rFonts w:ascii="Times New Roman" w:hAnsi="Times New Roman"/>
              </w:rPr>
            </w:pPr>
            <w:r>
              <w:rPr>
                <w:rFonts w:ascii="Times New Roman" w:hAnsi="Times New Roman"/>
              </w:rPr>
              <w:t>标准限值dB(A)</w:t>
            </w:r>
          </w:p>
        </w:tc>
        <w:tc>
          <w:tcPr>
            <w:tcW w:w="734" w:type="pct"/>
            <w:vMerge w:val="restart"/>
            <w:shd w:val="clear" w:color="auto" w:fill="auto"/>
            <w:vAlign w:val="center"/>
          </w:tcPr>
          <w:p>
            <w:pPr>
              <w:pStyle w:val="39"/>
              <w:rPr>
                <w:rFonts w:ascii="Times New Roman" w:hAnsi="Times New Roman"/>
              </w:rPr>
            </w:pPr>
            <w:r>
              <w:rPr>
                <w:rFonts w:ascii="Times New Roman" w:hAnsi="Times New Roma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57" w:type="dxa"/>
          </w:tblCellMar>
        </w:tblPrEx>
        <w:trPr>
          <w:trHeight w:val="20" w:hRule="atLeast"/>
        </w:trPr>
        <w:tc>
          <w:tcPr>
            <w:tcW w:w="1329" w:type="pct"/>
            <w:gridSpan w:val="2"/>
            <w:vMerge w:val="continue"/>
            <w:shd w:val="clear" w:color="auto" w:fill="auto"/>
            <w:vAlign w:val="center"/>
          </w:tcPr>
          <w:p>
            <w:pPr>
              <w:pStyle w:val="39"/>
              <w:rPr>
                <w:rFonts w:ascii="Times New Roman" w:hAnsi="Times New Roman"/>
              </w:rPr>
            </w:pPr>
          </w:p>
        </w:tc>
        <w:tc>
          <w:tcPr>
            <w:tcW w:w="734" w:type="pct"/>
            <w:vAlign w:val="center"/>
          </w:tcPr>
          <w:p>
            <w:pPr>
              <w:pStyle w:val="39"/>
              <w:rPr>
                <w:rFonts w:ascii="Times New Roman" w:hAnsi="Times New Roman"/>
              </w:rPr>
            </w:pPr>
            <w:r>
              <w:rPr>
                <w:rFonts w:ascii="Times New Roman" w:hAnsi="Times New Roman"/>
              </w:rPr>
              <w:t>昼间</w:t>
            </w:r>
          </w:p>
        </w:tc>
        <w:tc>
          <w:tcPr>
            <w:tcW w:w="735" w:type="pct"/>
            <w:vAlign w:val="center"/>
          </w:tcPr>
          <w:p>
            <w:pPr>
              <w:pStyle w:val="39"/>
              <w:rPr>
                <w:rFonts w:ascii="Times New Roman" w:hAnsi="Times New Roman"/>
              </w:rPr>
            </w:pPr>
            <w:r>
              <w:rPr>
                <w:rFonts w:ascii="Times New Roman" w:hAnsi="Times New Roman"/>
              </w:rPr>
              <w:t>夜间</w:t>
            </w:r>
          </w:p>
        </w:tc>
        <w:tc>
          <w:tcPr>
            <w:tcW w:w="734" w:type="pct"/>
            <w:vAlign w:val="center"/>
          </w:tcPr>
          <w:p>
            <w:pPr>
              <w:pStyle w:val="39"/>
              <w:rPr>
                <w:rFonts w:ascii="Times New Roman" w:hAnsi="Times New Roman"/>
              </w:rPr>
            </w:pPr>
            <w:r>
              <w:rPr>
                <w:rFonts w:ascii="Times New Roman" w:hAnsi="Times New Roman"/>
              </w:rPr>
              <w:t>昼间</w:t>
            </w:r>
          </w:p>
        </w:tc>
        <w:tc>
          <w:tcPr>
            <w:tcW w:w="735" w:type="pct"/>
            <w:vAlign w:val="center"/>
          </w:tcPr>
          <w:p>
            <w:pPr>
              <w:pStyle w:val="39"/>
              <w:rPr>
                <w:rFonts w:ascii="Times New Roman" w:hAnsi="Times New Roman"/>
              </w:rPr>
            </w:pPr>
            <w:r>
              <w:rPr>
                <w:rFonts w:ascii="Times New Roman" w:hAnsi="Times New Roman"/>
              </w:rPr>
              <w:t>夜间</w:t>
            </w:r>
          </w:p>
        </w:tc>
        <w:tc>
          <w:tcPr>
            <w:tcW w:w="734" w:type="pct"/>
            <w:vMerge w:val="continue"/>
            <w:shd w:val="clear" w:color="auto" w:fill="auto"/>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57" w:type="dxa"/>
          </w:tblCellMar>
        </w:tblPrEx>
        <w:trPr>
          <w:trHeight w:val="20" w:hRule="atLeast"/>
        </w:trPr>
        <w:tc>
          <w:tcPr>
            <w:tcW w:w="524" w:type="pct"/>
            <w:vMerge w:val="restart"/>
            <w:shd w:val="clear" w:color="auto" w:fill="auto"/>
            <w:vAlign w:val="center"/>
          </w:tcPr>
          <w:p>
            <w:pPr>
              <w:pStyle w:val="39"/>
              <w:rPr>
                <w:rFonts w:ascii="Times New Roman" w:hAnsi="Times New Roman"/>
              </w:rPr>
            </w:pPr>
            <w:r>
              <w:rPr>
                <w:rFonts w:ascii="Times New Roman" w:hAnsi="Times New Roman"/>
              </w:rPr>
              <w:t>宣探1井站</w:t>
            </w:r>
          </w:p>
        </w:tc>
        <w:tc>
          <w:tcPr>
            <w:tcW w:w="805" w:type="pct"/>
            <w:shd w:val="clear" w:color="auto" w:fill="auto"/>
          </w:tcPr>
          <w:p>
            <w:pPr>
              <w:pStyle w:val="39"/>
              <w:rPr>
                <w:rFonts w:ascii="Times New Roman" w:hAnsi="Times New Roman"/>
              </w:rPr>
            </w:pPr>
            <w:r>
              <w:rPr>
                <w:rFonts w:ascii="Times New Roman" w:hAnsi="Times New Roman"/>
              </w:rPr>
              <w:t>东厂界</w:t>
            </w:r>
          </w:p>
        </w:tc>
        <w:tc>
          <w:tcPr>
            <w:tcW w:w="734" w:type="pct"/>
          </w:tcPr>
          <w:p>
            <w:pPr>
              <w:pStyle w:val="39"/>
              <w:rPr>
                <w:rFonts w:ascii="Times New Roman" w:hAnsi="Times New Roman"/>
              </w:rPr>
            </w:pPr>
            <w:r>
              <w:rPr>
                <w:rFonts w:ascii="Times New Roman" w:hAnsi="Times New Roman"/>
              </w:rPr>
              <w:t>29.48</w:t>
            </w:r>
          </w:p>
        </w:tc>
        <w:tc>
          <w:tcPr>
            <w:tcW w:w="735" w:type="pct"/>
          </w:tcPr>
          <w:p>
            <w:pPr>
              <w:pStyle w:val="39"/>
              <w:rPr>
                <w:rFonts w:ascii="Times New Roman" w:hAnsi="Times New Roman"/>
              </w:rPr>
            </w:pPr>
            <w:r>
              <w:rPr>
                <w:rFonts w:ascii="Times New Roman" w:hAnsi="Times New Roman"/>
              </w:rPr>
              <w:t>29.48</w:t>
            </w:r>
          </w:p>
        </w:tc>
        <w:tc>
          <w:tcPr>
            <w:tcW w:w="734" w:type="pct"/>
            <w:vAlign w:val="center"/>
          </w:tcPr>
          <w:p>
            <w:pPr>
              <w:pStyle w:val="39"/>
              <w:rPr>
                <w:rFonts w:ascii="Times New Roman" w:hAnsi="Times New Roman"/>
              </w:rPr>
            </w:pPr>
            <w:r>
              <w:rPr>
                <w:rFonts w:ascii="Times New Roman" w:hAnsi="Times New Roman"/>
              </w:rPr>
              <w:t>60</w:t>
            </w:r>
          </w:p>
        </w:tc>
        <w:tc>
          <w:tcPr>
            <w:tcW w:w="735" w:type="pct"/>
            <w:vAlign w:val="center"/>
          </w:tcPr>
          <w:p>
            <w:pPr>
              <w:pStyle w:val="39"/>
              <w:rPr>
                <w:rFonts w:ascii="Times New Roman" w:hAnsi="Times New Roman"/>
              </w:rPr>
            </w:pPr>
            <w:r>
              <w:rPr>
                <w:rFonts w:ascii="Times New Roman" w:hAnsi="Times New Roman"/>
              </w:rPr>
              <w:t>50</w:t>
            </w:r>
          </w:p>
        </w:tc>
        <w:tc>
          <w:tcPr>
            <w:tcW w:w="734" w:type="pct"/>
            <w:vMerge w:val="restart"/>
            <w:shd w:val="clear" w:color="auto" w:fill="auto"/>
            <w:vAlign w:val="center"/>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57" w:type="dxa"/>
          </w:tblCellMar>
        </w:tblPrEx>
        <w:trPr>
          <w:trHeight w:val="20" w:hRule="atLeast"/>
        </w:trPr>
        <w:tc>
          <w:tcPr>
            <w:tcW w:w="524" w:type="pct"/>
            <w:vMerge w:val="continue"/>
            <w:shd w:val="clear" w:color="auto" w:fill="auto"/>
            <w:vAlign w:val="center"/>
          </w:tcPr>
          <w:p>
            <w:pPr>
              <w:pStyle w:val="39"/>
              <w:rPr>
                <w:rFonts w:ascii="Times New Roman" w:hAnsi="Times New Roman"/>
              </w:rPr>
            </w:pPr>
          </w:p>
        </w:tc>
        <w:tc>
          <w:tcPr>
            <w:tcW w:w="805" w:type="pct"/>
            <w:shd w:val="clear" w:color="auto" w:fill="auto"/>
          </w:tcPr>
          <w:p>
            <w:pPr>
              <w:pStyle w:val="39"/>
              <w:rPr>
                <w:rFonts w:ascii="Times New Roman" w:hAnsi="Times New Roman"/>
              </w:rPr>
            </w:pPr>
            <w:r>
              <w:rPr>
                <w:rFonts w:ascii="Times New Roman" w:hAnsi="Times New Roman"/>
              </w:rPr>
              <w:t>南厂界</w:t>
            </w:r>
          </w:p>
        </w:tc>
        <w:tc>
          <w:tcPr>
            <w:tcW w:w="734" w:type="pct"/>
          </w:tcPr>
          <w:p>
            <w:pPr>
              <w:pStyle w:val="39"/>
              <w:rPr>
                <w:rFonts w:ascii="Times New Roman" w:hAnsi="Times New Roman"/>
              </w:rPr>
            </w:pPr>
            <w:r>
              <w:rPr>
                <w:rFonts w:ascii="Times New Roman" w:hAnsi="Times New Roman"/>
              </w:rPr>
              <w:t>37.72</w:t>
            </w:r>
          </w:p>
        </w:tc>
        <w:tc>
          <w:tcPr>
            <w:tcW w:w="735" w:type="pct"/>
          </w:tcPr>
          <w:p>
            <w:pPr>
              <w:pStyle w:val="39"/>
              <w:rPr>
                <w:rFonts w:ascii="Times New Roman" w:hAnsi="Times New Roman"/>
              </w:rPr>
            </w:pPr>
            <w:r>
              <w:rPr>
                <w:rFonts w:ascii="Times New Roman" w:hAnsi="Times New Roman"/>
              </w:rPr>
              <w:t>37.72</w:t>
            </w:r>
          </w:p>
        </w:tc>
        <w:tc>
          <w:tcPr>
            <w:tcW w:w="734" w:type="pct"/>
            <w:vAlign w:val="center"/>
          </w:tcPr>
          <w:p>
            <w:pPr>
              <w:pStyle w:val="39"/>
              <w:rPr>
                <w:rFonts w:ascii="Times New Roman" w:hAnsi="Times New Roman"/>
              </w:rPr>
            </w:pPr>
            <w:r>
              <w:rPr>
                <w:rFonts w:ascii="Times New Roman" w:hAnsi="Times New Roman"/>
              </w:rPr>
              <w:t>60</w:t>
            </w:r>
          </w:p>
        </w:tc>
        <w:tc>
          <w:tcPr>
            <w:tcW w:w="735" w:type="pct"/>
            <w:vAlign w:val="center"/>
          </w:tcPr>
          <w:p>
            <w:pPr>
              <w:pStyle w:val="39"/>
              <w:rPr>
                <w:rFonts w:ascii="Times New Roman" w:hAnsi="Times New Roman"/>
              </w:rPr>
            </w:pPr>
            <w:r>
              <w:rPr>
                <w:rFonts w:ascii="Times New Roman" w:hAnsi="Times New Roman"/>
              </w:rPr>
              <w:t>50</w:t>
            </w:r>
          </w:p>
        </w:tc>
        <w:tc>
          <w:tcPr>
            <w:tcW w:w="734" w:type="pct"/>
            <w:vMerge w:val="continue"/>
            <w:shd w:val="clear" w:color="auto" w:fill="auto"/>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57" w:type="dxa"/>
          </w:tblCellMar>
        </w:tblPrEx>
        <w:trPr>
          <w:trHeight w:val="20" w:hRule="atLeast"/>
        </w:trPr>
        <w:tc>
          <w:tcPr>
            <w:tcW w:w="524" w:type="pct"/>
            <w:vMerge w:val="continue"/>
            <w:shd w:val="clear" w:color="auto" w:fill="auto"/>
            <w:vAlign w:val="center"/>
          </w:tcPr>
          <w:p>
            <w:pPr>
              <w:pStyle w:val="39"/>
              <w:rPr>
                <w:rFonts w:ascii="Times New Roman" w:hAnsi="Times New Roman"/>
              </w:rPr>
            </w:pPr>
          </w:p>
        </w:tc>
        <w:tc>
          <w:tcPr>
            <w:tcW w:w="805" w:type="pct"/>
            <w:shd w:val="clear" w:color="auto" w:fill="auto"/>
          </w:tcPr>
          <w:p>
            <w:pPr>
              <w:pStyle w:val="39"/>
              <w:rPr>
                <w:rFonts w:ascii="Times New Roman" w:hAnsi="Times New Roman"/>
              </w:rPr>
            </w:pPr>
            <w:r>
              <w:rPr>
                <w:rFonts w:ascii="Times New Roman" w:hAnsi="Times New Roman"/>
              </w:rPr>
              <w:t>西厂界</w:t>
            </w:r>
          </w:p>
        </w:tc>
        <w:tc>
          <w:tcPr>
            <w:tcW w:w="734" w:type="pct"/>
          </w:tcPr>
          <w:p>
            <w:pPr>
              <w:pStyle w:val="39"/>
              <w:rPr>
                <w:rFonts w:ascii="Times New Roman" w:hAnsi="Times New Roman"/>
              </w:rPr>
            </w:pPr>
            <w:r>
              <w:rPr>
                <w:rFonts w:ascii="Times New Roman" w:hAnsi="Times New Roman"/>
              </w:rPr>
              <w:t>37.72</w:t>
            </w:r>
          </w:p>
        </w:tc>
        <w:tc>
          <w:tcPr>
            <w:tcW w:w="735" w:type="pct"/>
          </w:tcPr>
          <w:p>
            <w:pPr>
              <w:pStyle w:val="39"/>
              <w:rPr>
                <w:rFonts w:ascii="Times New Roman" w:hAnsi="Times New Roman"/>
              </w:rPr>
            </w:pPr>
            <w:r>
              <w:rPr>
                <w:rFonts w:ascii="Times New Roman" w:hAnsi="Times New Roman"/>
              </w:rPr>
              <w:t>37.72</w:t>
            </w:r>
          </w:p>
        </w:tc>
        <w:tc>
          <w:tcPr>
            <w:tcW w:w="734" w:type="pct"/>
            <w:vAlign w:val="center"/>
          </w:tcPr>
          <w:p>
            <w:pPr>
              <w:pStyle w:val="39"/>
              <w:rPr>
                <w:rFonts w:ascii="Times New Roman" w:hAnsi="Times New Roman"/>
              </w:rPr>
            </w:pPr>
            <w:r>
              <w:rPr>
                <w:rFonts w:ascii="Times New Roman" w:hAnsi="Times New Roman"/>
              </w:rPr>
              <w:t>60</w:t>
            </w:r>
          </w:p>
        </w:tc>
        <w:tc>
          <w:tcPr>
            <w:tcW w:w="735" w:type="pct"/>
            <w:vAlign w:val="center"/>
          </w:tcPr>
          <w:p>
            <w:pPr>
              <w:pStyle w:val="39"/>
              <w:rPr>
                <w:rFonts w:ascii="Times New Roman" w:hAnsi="Times New Roman"/>
              </w:rPr>
            </w:pPr>
            <w:r>
              <w:rPr>
                <w:rFonts w:ascii="Times New Roman" w:hAnsi="Times New Roman"/>
              </w:rPr>
              <w:t>50</w:t>
            </w:r>
          </w:p>
        </w:tc>
        <w:tc>
          <w:tcPr>
            <w:tcW w:w="734" w:type="pct"/>
            <w:vMerge w:val="continue"/>
            <w:shd w:val="clear" w:color="auto" w:fill="auto"/>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57" w:type="dxa"/>
          </w:tblCellMar>
        </w:tblPrEx>
        <w:trPr>
          <w:trHeight w:val="20" w:hRule="atLeast"/>
        </w:trPr>
        <w:tc>
          <w:tcPr>
            <w:tcW w:w="524" w:type="pct"/>
            <w:vMerge w:val="continue"/>
            <w:shd w:val="clear" w:color="auto" w:fill="auto"/>
            <w:vAlign w:val="center"/>
          </w:tcPr>
          <w:p>
            <w:pPr>
              <w:pStyle w:val="39"/>
              <w:rPr>
                <w:rFonts w:ascii="Times New Roman" w:hAnsi="Times New Roman"/>
              </w:rPr>
            </w:pPr>
          </w:p>
        </w:tc>
        <w:tc>
          <w:tcPr>
            <w:tcW w:w="805" w:type="pct"/>
            <w:shd w:val="clear" w:color="auto" w:fill="auto"/>
          </w:tcPr>
          <w:p>
            <w:pPr>
              <w:pStyle w:val="39"/>
              <w:rPr>
                <w:rFonts w:ascii="Times New Roman" w:hAnsi="Times New Roman"/>
              </w:rPr>
            </w:pPr>
            <w:r>
              <w:rPr>
                <w:rFonts w:ascii="Times New Roman" w:hAnsi="Times New Roman"/>
              </w:rPr>
              <w:t>北厂界</w:t>
            </w:r>
          </w:p>
        </w:tc>
        <w:tc>
          <w:tcPr>
            <w:tcW w:w="734" w:type="pct"/>
          </w:tcPr>
          <w:p>
            <w:pPr>
              <w:pStyle w:val="39"/>
              <w:rPr>
                <w:rFonts w:ascii="Times New Roman" w:hAnsi="Times New Roman"/>
              </w:rPr>
            </w:pPr>
            <w:r>
              <w:rPr>
                <w:rFonts w:ascii="Times New Roman" w:hAnsi="Times New Roman"/>
              </w:rPr>
              <w:t>44.33</w:t>
            </w:r>
          </w:p>
        </w:tc>
        <w:tc>
          <w:tcPr>
            <w:tcW w:w="735" w:type="pct"/>
          </w:tcPr>
          <w:p>
            <w:pPr>
              <w:pStyle w:val="39"/>
              <w:rPr>
                <w:rFonts w:ascii="Times New Roman" w:hAnsi="Times New Roman"/>
              </w:rPr>
            </w:pPr>
            <w:r>
              <w:rPr>
                <w:rFonts w:ascii="Times New Roman" w:hAnsi="Times New Roman"/>
              </w:rPr>
              <w:t>44.33</w:t>
            </w:r>
          </w:p>
        </w:tc>
        <w:tc>
          <w:tcPr>
            <w:tcW w:w="734" w:type="pct"/>
            <w:vAlign w:val="center"/>
          </w:tcPr>
          <w:p>
            <w:pPr>
              <w:pStyle w:val="39"/>
              <w:rPr>
                <w:rFonts w:ascii="Times New Roman" w:hAnsi="Times New Roman"/>
              </w:rPr>
            </w:pPr>
            <w:r>
              <w:rPr>
                <w:rFonts w:ascii="Times New Roman" w:hAnsi="Times New Roman"/>
              </w:rPr>
              <w:t>60</w:t>
            </w:r>
          </w:p>
        </w:tc>
        <w:tc>
          <w:tcPr>
            <w:tcW w:w="735" w:type="pct"/>
            <w:vAlign w:val="center"/>
          </w:tcPr>
          <w:p>
            <w:pPr>
              <w:pStyle w:val="39"/>
              <w:rPr>
                <w:rFonts w:ascii="Times New Roman" w:hAnsi="Times New Roman"/>
              </w:rPr>
            </w:pPr>
            <w:r>
              <w:rPr>
                <w:rFonts w:ascii="Times New Roman" w:hAnsi="Times New Roman"/>
              </w:rPr>
              <w:t>50</w:t>
            </w:r>
          </w:p>
        </w:tc>
        <w:tc>
          <w:tcPr>
            <w:tcW w:w="734" w:type="pct"/>
            <w:vMerge w:val="continue"/>
            <w:shd w:val="clear" w:color="auto" w:fill="auto"/>
            <w:vAlign w:val="center"/>
          </w:tcPr>
          <w:p>
            <w:pPr>
              <w:pStyle w:val="39"/>
              <w:rPr>
                <w:rFonts w:ascii="Times New Roman" w:hAnsi="Times New Roman"/>
              </w:rPr>
            </w:pPr>
          </w:p>
        </w:tc>
      </w:tr>
    </w:tbl>
    <w:p>
      <w:pPr>
        <w:pStyle w:val="37"/>
        <w:ind w:firstLine="480"/>
        <w:rPr>
          <w:rFonts w:ascii="Times New Roman" w:hAnsi="Times New Roman" w:cs="Times New Roman"/>
        </w:rPr>
      </w:pPr>
      <w:bookmarkStart w:id="216" w:name="_Ref15570655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16</w:t>
      </w:r>
      <w:r>
        <w:rPr>
          <w:rFonts w:ascii="Times New Roman" w:hAnsi="Times New Roman" w:cs="Times New Roman"/>
        </w:rPr>
        <w:fldChar w:fldCharType="end"/>
      </w:r>
      <w:bookmarkEnd w:id="216"/>
      <w:r>
        <w:rPr>
          <w:rFonts w:ascii="Times New Roman" w:hAnsi="Times New Roman" w:cs="Times New Roman"/>
        </w:rPr>
        <w:t xml:space="preserve">  宣兴1井站运营期噪声预测结果</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57" w:type="dxa"/>
        </w:tblCellMar>
      </w:tblPr>
      <w:tblGrid>
        <w:gridCol w:w="879"/>
        <w:gridCol w:w="1351"/>
        <w:gridCol w:w="1232"/>
        <w:gridCol w:w="1233"/>
        <w:gridCol w:w="1232"/>
        <w:gridCol w:w="1233"/>
        <w:gridCol w:w="12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57" w:type="dxa"/>
          </w:tblCellMar>
        </w:tblPrEx>
        <w:trPr>
          <w:trHeight w:val="20" w:hRule="atLeast"/>
        </w:trPr>
        <w:tc>
          <w:tcPr>
            <w:tcW w:w="1329" w:type="pct"/>
            <w:gridSpan w:val="2"/>
            <w:vMerge w:val="restart"/>
            <w:shd w:val="clear" w:color="auto" w:fill="auto"/>
            <w:vAlign w:val="center"/>
          </w:tcPr>
          <w:p>
            <w:pPr>
              <w:pStyle w:val="39"/>
              <w:rPr>
                <w:rFonts w:ascii="Times New Roman" w:hAnsi="Times New Roman"/>
              </w:rPr>
            </w:pPr>
            <w:r>
              <w:rPr>
                <w:rFonts w:ascii="Times New Roman" w:hAnsi="Times New Roman"/>
              </w:rPr>
              <w:t>预测点</w:t>
            </w:r>
          </w:p>
        </w:tc>
        <w:tc>
          <w:tcPr>
            <w:tcW w:w="1469" w:type="pct"/>
            <w:gridSpan w:val="2"/>
            <w:vAlign w:val="center"/>
          </w:tcPr>
          <w:p>
            <w:pPr>
              <w:pStyle w:val="39"/>
              <w:rPr>
                <w:rFonts w:ascii="Times New Roman" w:hAnsi="Times New Roman"/>
              </w:rPr>
            </w:pPr>
            <w:r>
              <w:rPr>
                <w:rFonts w:ascii="Times New Roman" w:hAnsi="Times New Roman"/>
              </w:rPr>
              <w:t>贡献值dB(A)</w:t>
            </w:r>
          </w:p>
        </w:tc>
        <w:tc>
          <w:tcPr>
            <w:tcW w:w="1469" w:type="pct"/>
            <w:gridSpan w:val="2"/>
            <w:vAlign w:val="center"/>
          </w:tcPr>
          <w:p>
            <w:pPr>
              <w:pStyle w:val="39"/>
              <w:rPr>
                <w:rFonts w:ascii="Times New Roman" w:hAnsi="Times New Roman"/>
              </w:rPr>
            </w:pPr>
            <w:r>
              <w:rPr>
                <w:rFonts w:ascii="Times New Roman" w:hAnsi="Times New Roman"/>
              </w:rPr>
              <w:t>标准限值dB(A)</w:t>
            </w:r>
          </w:p>
        </w:tc>
        <w:tc>
          <w:tcPr>
            <w:tcW w:w="734" w:type="pct"/>
            <w:vMerge w:val="restart"/>
            <w:shd w:val="clear" w:color="auto" w:fill="auto"/>
            <w:vAlign w:val="center"/>
          </w:tcPr>
          <w:p>
            <w:pPr>
              <w:pStyle w:val="39"/>
              <w:rPr>
                <w:rFonts w:ascii="Times New Roman" w:hAnsi="Times New Roman"/>
              </w:rPr>
            </w:pPr>
            <w:r>
              <w:rPr>
                <w:rFonts w:ascii="Times New Roman" w:hAnsi="Times New Roma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57" w:type="dxa"/>
          </w:tblCellMar>
        </w:tblPrEx>
        <w:trPr>
          <w:trHeight w:val="20" w:hRule="atLeast"/>
        </w:trPr>
        <w:tc>
          <w:tcPr>
            <w:tcW w:w="1329" w:type="pct"/>
            <w:gridSpan w:val="2"/>
            <w:vMerge w:val="continue"/>
            <w:shd w:val="clear" w:color="auto" w:fill="auto"/>
            <w:vAlign w:val="center"/>
          </w:tcPr>
          <w:p>
            <w:pPr>
              <w:pStyle w:val="39"/>
              <w:rPr>
                <w:rFonts w:ascii="Times New Roman" w:hAnsi="Times New Roman"/>
              </w:rPr>
            </w:pPr>
          </w:p>
        </w:tc>
        <w:tc>
          <w:tcPr>
            <w:tcW w:w="734" w:type="pct"/>
            <w:vAlign w:val="center"/>
          </w:tcPr>
          <w:p>
            <w:pPr>
              <w:pStyle w:val="39"/>
              <w:rPr>
                <w:rFonts w:ascii="Times New Roman" w:hAnsi="Times New Roman"/>
              </w:rPr>
            </w:pPr>
            <w:r>
              <w:rPr>
                <w:rFonts w:ascii="Times New Roman" w:hAnsi="Times New Roman"/>
              </w:rPr>
              <w:t>昼间</w:t>
            </w:r>
          </w:p>
        </w:tc>
        <w:tc>
          <w:tcPr>
            <w:tcW w:w="735" w:type="pct"/>
            <w:vAlign w:val="center"/>
          </w:tcPr>
          <w:p>
            <w:pPr>
              <w:pStyle w:val="39"/>
              <w:rPr>
                <w:rFonts w:ascii="Times New Roman" w:hAnsi="Times New Roman"/>
              </w:rPr>
            </w:pPr>
            <w:r>
              <w:rPr>
                <w:rFonts w:ascii="Times New Roman" w:hAnsi="Times New Roman"/>
              </w:rPr>
              <w:t>夜间</w:t>
            </w:r>
          </w:p>
        </w:tc>
        <w:tc>
          <w:tcPr>
            <w:tcW w:w="734" w:type="pct"/>
            <w:vAlign w:val="center"/>
          </w:tcPr>
          <w:p>
            <w:pPr>
              <w:pStyle w:val="39"/>
              <w:rPr>
                <w:rFonts w:ascii="Times New Roman" w:hAnsi="Times New Roman"/>
              </w:rPr>
            </w:pPr>
            <w:r>
              <w:rPr>
                <w:rFonts w:ascii="Times New Roman" w:hAnsi="Times New Roman"/>
              </w:rPr>
              <w:t>昼间</w:t>
            </w:r>
          </w:p>
        </w:tc>
        <w:tc>
          <w:tcPr>
            <w:tcW w:w="735" w:type="pct"/>
            <w:vAlign w:val="center"/>
          </w:tcPr>
          <w:p>
            <w:pPr>
              <w:pStyle w:val="39"/>
              <w:rPr>
                <w:rFonts w:ascii="Times New Roman" w:hAnsi="Times New Roman"/>
              </w:rPr>
            </w:pPr>
            <w:r>
              <w:rPr>
                <w:rFonts w:ascii="Times New Roman" w:hAnsi="Times New Roman"/>
              </w:rPr>
              <w:t>夜间</w:t>
            </w:r>
          </w:p>
        </w:tc>
        <w:tc>
          <w:tcPr>
            <w:tcW w:w="734" w:type="pct"/>
            <w:vMerge w:val="continue"/>
            <w:shd w:val="clear" w:color="auto" w:fill="auto"/>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57" w:type="dxa"/>
          </w:tblCellMar>
        </w:tblPrEx>
        <w:trPr>
          <w:trHeight w:val="20" w:hRule="atLeast"/>
        </w:trPr>
        <w:tc>
          <w:tcPr>
            <w:tcW w:w="524" w:type="pct"/>
            <w:vMerge w:val="restart"/>
            <w:shd w:val="clear" w:color="auto" w:fill="auto"/>
            <w:vAlign w:val="center"/>
          </w:tcPr>
          <w:p>
            <w:pPr>
              <w:pStyle w:val="39"/>
              <w:rPr>
                <w:rFonts w:ascii="Times New Roman" w:hAnsi="Times New Roman"/>
              </w:rPr>
            </w:pPr>
            <w:r>
              <w:rPr>
                <w:rFonts w:ascii="Times New Roman" w:hAnsi="Times New Roman"/>
              </w:rPr>
              <w:t>宣兴1井站</w:t>
            </w:r>
          </w:p>
        </w:tc>
        <w:tc>
          <w:tcPr>
            <w:tcW w:w="805" w:type="pct"/>
            <w:shd w:val="clear" w:color="auto" w:fill="auto"/>
          </w:tcPr>
          <w:p>
            <w:pPr>
              <w:pStyle w:val="39"/>
              <w:rPr>
                <w:rFonts w:ascii="Times New Roman" w:hAnsi="Times New Roman"/>
              </w:rPr>
            </w:pPr>
            <w:r>
              <w:rPr>
                <w:rFonts w:ascii="Times New Roman" w:hAnsi="Times New Roman"/>
              </w:rPr>
              <w:t>东厂界</w:t>
            </w:r>
          </w:p>
        </w:tc>
        <w:tc>
          <w:tcPr>
            <w:tcW w:w="734" w:type="pct"/>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28.61</w:t>
            </w:r>
          </w:p>
        </w:tc>
        <w:tc>
          <w:tcPr>
            <w:tcW w:w="735" w:type="pct"/>
          </w:tcPr>
          <w:p>
            <w:pPr>
              <w:pStyle w:val="39"/>
              <w:rPr>
                <w:rFonts w:ascii="Times New Roman" w:hAnsi="Times New Roman"/>
              </w:rPr>
            </w:pPr>
            <w:r>
              <w:rPr>
                <w:rFonts w:ascii="Times New Roman" w:hAnsi="Times New Roman"/>
              </w:rPr>
              <w:t>28.61</w:t>
            </w:r>
          </w:p>
        </w:tc>
        <w:tc>
          <w:tcPr>
            <w:tcW w:w="734" w:type="pct"/>
            <w:vAlign w:val="center"/>
          </w:tcPr>
          <w:p>
            <w:pPr>
              <w:pStyle w:val="39"/>
              <w:rPr>
                <w:rFonts w:ascii="Times New Roman" w:hAnsi="Times New Roman"/>
              </w:rPr>
            </w:pPr>
            <w:r>
              <w:rPr>
                <w:rFonts w:ascii="Times New Roman" w:hAnsi="Times New Roman"/>
              </w:rPr>
              <w:t>60</w:t>
            </w:r>
          </w:p>
        </w:tc>
        <w:tc>
          <w:tcPr>
            <w:tcW w:w="735" w:type="pct"/>
            <w:vAlign w:val="center"/>
          </w:tcPr>
          <w:p>
            <w:pPr>
              <w:pStyle w:val="39"/>
              <w:rPr>
                <w:rFonts w:ascii="Times New Roman" w:hAnsi="Times New Roman"/>
              </w:rPr>
            </w:pPr>
            <w:r>
              <w:rPr>
                <w:rFonts w:ascii="Times New Roman" w:hAnsi="Times New Roman"/>
              </w:rPr>
              <w:t>50</w:t>
            </w:r>
          </w:p>
        </w:tc>
        <w:tc>
          <w:tcPr>
            <w:tcW w:w="734" w:type="pct"/>
            <w:vMerge w:val="restart"/>
            <w:shd w:val="clear" w:color="auto" w:fill="auto"/>
            <w:vAlign w:val="center"/>
          </w:tcPr>
          <w:p>
            <w:pPr>
              <w:pStyle w:val="39"/>
              <w:rPr>
                <w:rFonts w:ascii="Times New Roman" w:hAnsi="Times New Roman"/>
              </w:rPr>
            </w:pPr>
            <w:r>
              <w:rPr>
                <w:rFonts w:ascii="Times New Roman" w:hAnsi="Times New Roma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57" w:type="dxa"/>
          </w:tblCellMar>
        </w:tblPrEx>
        <w:trPr>
          <w:trHeight w:val="20" w:hRule="atLeast"/>
        </w:trPr>
        <w:tc>
          <w:tcPr>
            <w:tcW w:w="524" w:type="pct"/>
            <w:vMerge w:val="continue"/>
            <w:shd w:val="clear" w:color="auto" w:fill="auto"/>
            <w:vAlign w:val="center"/>
          </w:tcPr>
          <w:p>
            <w:pPr>
              <w:pStyle w:val="39"/>
              <w:rPr>
                <w:rFonts w:ascii="Times New Roman" w:hAnsi="Times New Roman"/>
              </w:rPr>
            </w:pPr>
          </w:p>
        </w:tc>
        <w:tc>
          <w:tcPr>
            <w:tcW w:w="805" w:type="pct"/>
            <w:shd w:val="clear" w:color="auto" w:fill="auto"/>
          </w:tcPr>
          <w:p>
            <w:pPr>
              <w:pStyle w:val="39"/>
              <w:rPr>
                <w:rFonts w:ascii="Times New Roman" w:hAnsi="Times New Roman"/>
              </w:rPr>
            </w:pPr>
            <w:r>
              <w:rPr>
                <w:rFonts w:ascii="Times New Roman" w:hAnsi="Times New Roman"/>
              </w:rPr>
              <w:t>南厂界</w:t>
            </w:r>
          </w:p>
        </w:tc>
        <w:tc>
          <w:tcPr>
            <w:tcW w:w="734" w:type="pct"/>
          </w:tcPr>
          <w:p>
            <w:pPr>
              <w:pStyle w:val="39"/>
              <w:rPr>
                <w:rFonts w:ascii="Times New Roman" w:hAnsi="Times New Roman"/>
              </w:rPr>
            </w:pPr>
            <w:r>
              <w:rPr>
                <w:rFonts w:ascii="Times New Roman" w:hAnsi="Times New Roman"/>
              </w:rPr>
              <w:t>39.06</w:t>
            </w:r>
          </w:p>
        </w:tc>
        <w:tc>
          <w:tcPr>
            <w:tcW w:w="735" w:type="pct"/>
          </w:tcPr>
          <w:p>
            <w:pPr>
              <w:pStyle w:val="39"/>
              <w:rPr>
                <w:rFonts w:ascii="Times New Roman" w:hAnsi="Times New Roman"/>
              </w:rPr>
            </w:pPr>
            <w:r>
              <w:rPr>
                <w:rFonts w:ascii="Times New Roman" w:hAnsi="Times New Roman"/>
              </w:rPr>
              <w:t>39.06</w:t>
            </w:r>
          </w:p>
        </w:tc>
        <w:tc>
          <w:tcPr>
            <w:tcW w:w="734" w:type="pct"/>
            <w:vAlign w:val="center"/>
          </w:tcPr>
          <w:p>
            <w:pPr>
              <w:pStyle w:val="39"/>
              <w:rPr>
                <w:rFonts w:ascii="Times New Roman" w:hAnsi="Times New Roman"/>
              </w:rPr>
            </w:pPr>
            <w:r>
              <w:rPr>
                <w:rFonts w:ascii="Times New Roman" w:hAnsi="Times New Roman"/>
              </w:rPr>
              <w:t>60</w:t>
            </w:r>
          </w:p>
        </w:tc>
        <w:tc>
          <w:tcPr>
            <w:tcW w:w="735" w:type="pct"/>
            <w:vAlign w:val="center"/>
          </w:tcPr>
          <w:p>
            <w:pPr>
              <w:pStyle w:val="39"/>
              <w:rPr>
                <w:rFonts w:ascii="Times New Roman" w:hAnsi="Times New Roman"/>
              </w:rPr>
            </w:pPr>
            <w:r>
              <w:rPr>
                <w:rFonts w:ascii="Times New Roman" w:hAnsi="Times New Roman"/>
              </w:rPr>
              <w:t>50</w:t>
            </w:r>
          </w:p>
        </w:tc>
        <w:tc>
          <w:tcPr>
            <w:tcW w:w="734" w:type="pct"/>
            <w:vMerge w:val="continue"/>
            <w:shd w:val="clear" w:color="auto" w:fill="auto"/>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57" w:type="dxa"/>
          </w:tblCellMar>
        </w:tblPrEx>
        <w:trPr>
          <w:trHeight w:val="20" w:hRule="atLeast"/>
        </w:trPr>
        <w:tc>
          <w:tcPr>
            <w:tcW w:w="524" w:type="pct"/>
            <w:vMerge w:val="continue"/>
            <w:shd w:val="clear" w:color="auto" w:fill="auto"/>
            <w:vAlign w:val="center"/>
          </w:tcPr>
          <w:p>
            <w:pPr>
              <w:pStyle w:val="39"/>
              <w:rPr>
                <w:rFonts w:ascii="Times New Roman" w:hAnsi="Times New Roman"/>
              </w:rPr>
            </w:pPr>
          </w:p>
        </w:tc>
        <w:tc>
          <w:tcPr>
            <w:tcW w:w="805" w:type="pct"/>
            <w:shd w:val="clear" w:color="auto" w:fill="auto"/>
          </w:tcPr>
          <w:p>
            <w:pPr>
              <w:pStyle w:val="39"/>
              <w:rPr>
                <w:rFonts w:ascii="Times New Roman" w:hAnsi="Times New Roman"/>
              </w:rPr>
            </w:pPr>
            <w:r>
              <w:rPr>
                <w:rFonts w:ascii="Times New Roman" w:hAnsi="Times New Roman"/>
              </w:rPr>
              <w:t>西厂界</w:t>
            </w:r>
          </w:p>
        </w:tc>
        <w:tc>
          <w:tcPr>
            <w:tcW w:w="734" w:type="pct"/>
          </w:tcPr>
          <w:p>
            <w:pPr>
              <w:pStyle w:val="39"/>
              <w:rPr>
                <w:rFonts w:ascii="Times New Roman" w:hAnsi="Times New Roman"/>
              </w:rPr>
            </w:pPr>
            <w:r>
              <w:rPr>
                <w:rFonts w:ascii="Times New Roman" w:hAnsi="Times New Roman"/>
              </w:rPr>
              <w:t>39.06</w:t>
            </w:r>
          </w:p>
        </w:tc>
        <w:tc>
          <w:tcPr>
            <w:tcW w:w="735" w:type="pct"/>
          </w:tcPr>
          <w:p>
            <w:pPr>
              <w:pStyle w:val="39"/>
              <w:rPr>
                <w:rFonts w:ascii="Times New Roman" w:hAnsi="Times New Roman"/>
              </w:rPr>
            </w:pPr>
            <w:r>
              <w:rPr>
                <w:rFonts w:ascii="Times New Roman" w:hAnsi="Times New Roman"/>
              </w:rPr>
              <w:t>39.06</w:t>
            </w:r>
          </w:p>
        </w:tc>
        <w:tc>
          <w:tcPr>
            <w:tcW w:w="734" w:type="pct"/>
            <w:vAlign w:val="center"/>
          </w:tcPr>
          <w:p>
            <w:pPr>
              <w:pStyle w:val="39"/>
              <w:rPr>
                <w:rFonts w:ascii="Times New Roman" w:hAnsi="Times New Roman"/>
              </w:rPr>
            </w:pPr>
            <w:r>
              <w:rPr>
                <w:rFonts w:ascii="Times New Roman" w:hAnsi="Times New Roman"/>
              </w:rPr>
              <w:t>60</w:t>
            </w:r>
          </w:p>
        </w:tc>
        <w:tc>
          <w:tcPr>
            <w:tcW w:w="735" w:type="pct"/>
            <w:vAlign w:val="center"/>
          </w:tcPr>
          <w:p>
            <w:pPr>
              <w:pStyle w:val="39"/>
              <w:rPr>
                <w:rFonts w:ascii="Times New Roman" w:hAnsi="Times New Roman"/>
              </w:rPr>
            </w:pPr>
            <w:r>
              <w:rPr>
                <w:rFonts w:ascii="Times New Roman" w:hAnsi="Times New Roman"/>
              </w:rPr>
              <w:t>50</w:t>
            </w:r>
          </w:p>
        </w:tc>
        <w:tc>
          <w:tcPr>
            <w:tcW w:w="734" w:type="pct"/>
            <w:vMerge w:val="continue"/>
            <w:shd w:val="clear" w:color="auto" w:fill="auto"/>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57" w:type="dxa"/>
          </w:tblCellMar>
        </w:tblPrEx>
        <w:trPr>
          <w:trHeight w:val="20" w:hRule="atLeast"/>
        </w:trPr>
        <w:tc>
          <w:tcPr>
            <w:tcW w:w="524" w:type="pct"/>
            <w:vMerge w:val="continue"/>
            <w:shd w:val="clear" w:color="auto" w:fill="auto"/>
            <w:vAlign w:val="center"/>
          </w:tcPr>
          <w:p>
            <w:pPr>
              <w:pStyle w:val="39"/>
              <w:rPr>
                <w:rFonts w:ascii="Times New Roman" w:hAnsi="Times New Roman"/>
              </w:rPr>
            </w:pPr>
          </w:p>
        </w:tc>
        <w:tc>
          <w:tcPr>
            <w:tcW w:w="805" w:type="pct"/>
            <w:shd w:val="clear" w:color="auto" w:fill="auto"/>
          </w:tcPr>
          <w:p>
            <w:pPr>
              <w:pStyle w:val="39"/>
              <w:rPr>
                <w:rFonts w:ascii="Times New Roman" w:hAnsi="Times New Roman"/>
              </w:rPr>
            </w:pPr>
            <w:r>
              <w:rPr>
                <w:rFonts w:ascii="Times New Roman" w:hAnsi="Times New Roman"/>
              </w:rPr>
              <w:t>北厂界</w:t>
            </w:r>
          </w:p>
        </w:tc>
        <w:tc>
          <w:tcPr>
            <w:tcW w:w="734" w:type="pct"/>
          </w:tcPr>
          <w:p>
            <w:pPr>
              <w:pStyle w:val="39"/>
              <w:rPr>
                <w:rFonts w:ascii="Times New Roman" w:hAnsi="Times New Roman"/>
              </w:rPr>
            </w:pPr>
            <w:r>
              <w:rPr>
                <w:rFonts w:ascii="Times New Roman" w:hAnsi="Times New Roman"/>
              </w:rPr>
              <w:t>42.94</w:t>
            </w:r>
          </w:p>
        </w:tc>
        <w:tc>
          <w:tcPr>
            <w:tcW w:w="735" w:type="pct"/>
          </w:tcPr>
          <w:p>
            <w:pPr>
              <w:pStyle w:val="39"/>
              <w:rPr>
                <w:rFonts w:ascii="Times New Roman" w:hAnsi="Times New Roman"/>
              </w:rPr>
            </w:pPr>
            <w:r>
              <w:rPr>
                <w:rFonts w:ascii="Times New Roman" w:hAnsi="Times New Roman"/>
              </w:rPr>
              <w:t>42.94</w:t>
            </w:r>
          </w:p>
        </w:tc>
        <w:tc>
          <w:tcPr>
            <w:tcW w:w="734" w:type="pct"/>
            <w:vAlign w:val="center"/>
          </w:tcPr>
          <w:p>
            <w:pPr>
              <w:pStyle w:val="39"/>
              <w:rPr>
                <w:rFonts w:ascii="Times New Roman" w:hAnsi="Times New Roman"/>
              </w:rPr>
            </w:pPr>
            <w:r>
              <w:rPr>
                <w:rFonts w:ascii="Times New Roman" w:hAnsi="Times New Roman"/>
              </w:rPr>
              <w:t>60</w:t>
            </w:r>
          </w:p>
        </w:tc>
        <w:tc>
          <w:tcPr>
            <w:tcW w:w="735" w:type="pct"/>
            <w:vAlign w:val="center"/>
          </w:tcPr>
          <w:p>
            <w:pPr>
              <w:pStyle w:val="39"/>
              <w:rPr>
                <w:rFonts w:ascii="Times New Roman" w:hAnsi="Times New Roman"/>
              </w:rPr>
            </w:pPr>
            <w:r>
              <w:rPr>
                <w:rFonts w:ascii="Times New Roman" w:hAnsi="Times New Roman"/>
              </w:rPr>
              <w:t>50</w:t>
            </w:r>
          </w:p>
        </w:tc>
        <w:tc>
          <w:tcPr>
            <w:tcW w:w="734" w:type="pct"/>
            <w:vMerge w:val="continue"/>
            <w:shd w:val="clear" w:color="auto" w:fill="auto"/>
            <w:vAlign w:val="center"/>
          </w:tcPr>
          <w:p>
            <w:pPr>
              <w:pStyle w:val="39"/>
              <w:rPr>
                <w:rFonts w:ascii="Times New Roman" w:hAnsi="Times New Roman"/>
              </w:rPr>
            </w:pPr>
          </w:p>
        </w:tc>
      </w:tr>
    </w:tbl>
    <w:p>
      <w:pPr>
        <w:ind w:firstLine="480"/>
        <w:rPr>
          <w:rFonts w:ascii="Times New Roman" w:hAnsi="Times New Roman"/>
        </w:rPr>
      </w:pPr>
    </w:p>
    <w:p>
      <w:pPr>
        <w:pStyle w:val="3"/>
        <w:rPr>
          <w:rFonts w:ascii="Times New Roman" w:hAnsi="Times New Roman" w:cs="Times New Roman"/>
        </w:rPr>
      </w:pPr>
      <w:bookmarkStart w:id="217" w:name="_Toc162339426"/>
      <w:r>
        <w:rPr>
          <w:rFonts w:ascii="Times New Roman" w:hAnsi="Times New Roman" w:cs="Times New Roman"/>
        </w:rPr>
        <w:t>地下水环境</w:t>
      </w:r>
      <w:bookmarkEnd w:id="217"/>
    </w:p>
    <w:p>
      <w:pPr>
        <w:pStyle w:val="4"/>
        <w:rPr>
          <w:rFonts w:ascii="Times New Roman" w:hAnsi="Times New Roman" w:cs="Times New Roman"/>
        </w:rPr>
      </w:pPr>
      <w:r>
        <w:rPr>
          <w:rFonts w:ascii="Times New Roman" w:hAnsi="Times New Roman" w:cs="Times New Roman"/>
        </w:rPr>
        <w:t>施工期</w:t>
      </w:r>
    </w:p>
    <w:p>
      <w:pPr>
        <w:ind w:firstLine="480"/>
        <w:rPr>
          <w:rFonts w:ascii="Times New Roman" w:hAnsi="Times New Roman"/>
        </w:rPr>
      </w:pPr>
      <w:r>
        <w:rPr>
          <w:rFonts w:ascii="Times New Roman" w:hAnsi="Times New Roman"/>
        </w:rPr>
        <w:t>施工期对地下水环境的影响主要表现为施工活动对地下水水质的影响，施工期废水主要包括施工生活污水、施工生产废水。</w:t>
      </w:r>
    </w:p>
    <w:p>
      <w:pPr>
        <w:ind w:firstLine="480"/>
        <w:rPr>
          <w:rFonts w:ascii="Times New Roman" w:hAnsi="Times New Roman"/>
        </w:rPr>
      </w:pPr>
      <w:r>
        <w:rPr>
          <w:rFonts w:ascii="Times New Roman" w:hAnsi="Times New Roman"/>
        </w:rPr>
        <w:t>（1）生活污水</w:t>
      </w:r>
    </w:p>
    <w:p>
      <w:pPr>
        <w:ind w:firstLine="480"/>
        <w:rPr>
          <w:rFonts w:ascii="Times New Roman" w:hAnsi="Times New Roman"/>
        </w:rPr>
      </w:pPr>
      <w:r>
        <w:rPr>
          <w:rFonts w:ascii="Times New Roman" w:hAnsi="Times New Roman"/>
        </w:rPr>
        <w:t>施工高峰期生活污水主要污染物浓度：主要污染物为COD、氨氮、总氮、总磷，施工期不设置施工营地，施工人员租住当地民房，施工人员生活污水依托当地生活水处理措施处理，对周边地下水环境影响较小。</w:t>
      </w:r>
    </w:p>
    <w:p>
      <w:pPr>
        <w:ind w:firstLine="480"/>
        <w:rPr>
          <w:rFonts w:ascii="Times New Roman" w:hAnsi="Times New Roman"/>
        </w:rPr>
      </w:pPr>
      <w:r>
        <w:rPr>
          <w:rFonts w:ascii="Times New Roman" w:hAnsi="Times New Roman"/>
        </w:rPr>
        <w:t>（2）施工生产废水</w:t>
      </w:r>
    </w:p>
    <w:p>
      <w:pPr>
        <w:ind w:firstLine="480"/>
        <w:rPr>
          <w:rFonts w:ascii="Times New Roman" w:hAnsi="Times New Roman"/>
        </w:rPr>
      </w:pPr>
      <w:r>
        <w:rPr>
          <w:rFonts w:ascii="Times New Roman" w:hAnsi="Times New Roman"/>
        </w:rPr>
        <w:t>施工生产废水主要包括：冲洗废水、机械设备运转的冷却水、设备维修含油污水和管道试压废水等，本项目施工废水集中收集后，经简易过滤回用，对周边地下水环境影响较小。</w:t>
      </w:r>
    </w:p>
    <w:p>
      <w:pPr>
        <w:pStyle w:val="4"/>
        <w:rPr>
          <w:rFonts w:ascii="Times New Roman" w:hAnsi="Times New Roman" w:cs="Times New Roman"/>
        </w:rPr>
      </w:pPr>
      <w:r>
        <w:rPr>
          <w:rFonts w:ascii="Times New Roman" w:hAnsi="Times New Roman" w:cs="Times New Roman"/>
        </w:rPr>
        <w:t>运营期</w:t>
      </w:r>
    </w:p>
    <w:p>
      <w:pPr>
        <w:pStyle w:val="5"/>
        <w:rPr>
          <w:rFonts w:ascii="Times New Roman" w:hAnsi="Times New Roman"/>
        </w:rPr>
      </w:pPr>
      <w:r>
        <w:rPr>
          <w:rFonts w:ascii="Times New Roman" w:hAnsi="Times New Roman"/>
        </w:rPr>
        <w:t>区域水文地质条件</w:t>
      </w:r>
    </w:p>
    <w:p>
      <w:pPr>
        <w:ind w:firstLine="480"/>
        <w:rPr>
          <w:rFonts w:ascii="Times New Roman" w:hAnsi="Times New Roman"/>
        </w:rPr>
      </w:pPr>
      <w:r>
        <w:rPr>
          <w:rFonts w:ascii="Times New Roman" w:hAnsi="Times New Roman"/>
        </w:rPr>
        <w:t>（1）地层岩性特征</w:t>
      </w:r>
    </w:p>
    <w:p>
      <w:pPr>
        <w:ind w:firstLine="480"/>
        <w:rPr>
          <w:rFonts w:ascii="Times New Roman" w:hAnsi="Times New Roman"/>
        </w:rPr>
      </w:pPr>
      <w:r>
        <w:rPr>
          <w:rFonts w:ascii="Times New Roman" w:hAnsi="Times New Roman"/>
        </w:rPr>
        <w:t>区域地层属扬子地层区，包括四川盆地分区和大巴山分区（</w:t>
      </w:r>
      <w:r>
        <w:rPr>
          <w:rFonts w:ascii="Times New Roman" w:hAnsi="Times New Roman"/>
        </w:rPr>
        <w:fldChar w:fldCharType="begin"/>
      </w:r>
      <w:r>
        <w:rPr>
          <w:rFonts w:ascii="Times New Roman" w:hAnsi="Times New Roman"/>
        </w:rPr>
        <w:instrText xml:space="preserve"> REF _Ref157091609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17</w:t>
      </w:r>
      <w:r>
        <w:rPr>
          <w:rFonts w:ascii="Times New Roman" w:hAnsi="Times New Roman"/>
        </w:rPr>
        <w:fldChar w:fldCharType="end"/>
      </w:r>
      <w:r>
        <w:rPr>
          <w:rFonts w:ascii="Times New Roman" w:hAnsi="Times New Roman"/>
        </w:rPr>
        <w:t>）。中生界地层分布广泛，分布面积约占总面积的96%，古生界地层仅分布在县境东北隅，约占全县面积的3%，岩性区域分布特征明显，大巴山区集中分布古生界的沉积岩，岩性主要为碳酸盐岩夹碎屑岩，四川盆地区主要分布中生界侏罗系和白垩系的碎屑岩，即“红层”。新生界第四系零星分布，主要为冲积、冲洪积等河流堆积地层，分布面积占总面积的1%，普遍分布于山体斜坡表层，以及沟谷两侧坡脚地段。区域地层分布如图2-3所示。</w:t>
      </w:r>
    </w:p>
    <w:p>
      <w:pPr>
        <w:ind w:firstLine="480"/>
        <w:rPr>
          <w:rFonts w:ascii="Times New Roman" w:hAnsi="Times New Roman"/>
        </w:rPr>
      </w:pPr>
      <w:r>
        <w:rPr>
          <w:rFonts w:ascii="Times New Roman" w:hAnsi="Times New Roman"/>
        </w:rPr>
        <w:t>区域地层主要为侏罗系沙溪庙组（J</w:t>
      </w:r>
      <w:r>
        <w:rPr>
          <w:rFonts w:ascii="Times New Roman" w:hAnsi="Times New Roman"/>
          <w:vertAlign w:val="subscript"/>
        </w:rPr>
        <w:t>2</w:t>
      </w:r>
      <w:r>
        <w:rPr>
          <w:rFonts w:ascii="Times New Roman" w:hAnsi="Times New Roman"/>
          <w:i/>
          <w:iCs/>
        </w:rPr>
        <w:t>s</w:t>
      </w:r>
      <w:r>
        <w:rPr>
          <w:rFonts w:ascii="Times New Roman" w:hAnsi="Times New Roman"/>
        </w:rPr>
        <w:t>）、遂宁组（J</w:t>
      </w:r>
      <w:r>
        <w:rPr>
          <w:rFonts w:ascii="Times New Roman" w:hAnsi="Times New Roman"/>
          <w:vertAlign w:val="subscript"/>
        </w:rPr>
        <w:t>2</w:t>
      </w:r>
      <w:r>
        <w:rPr>
          <w:rFonts w:ascii="Times New Roman" w:hAnsi="Times New Roman"/>
          <w:i/>
          <w:iCs/>
        </w:rPr>
        <w:t>sn</w:t>
      </w:r>
      <w:r>
        <w:rPr>
          <w:rFonts w:ascii="Times New Roman" w:hAnsi="Times New Roman"/>
        </w:rPr>
        <w:t>）、蓬莱镇组（J</w:t>
      </w:r>
      <w:r>
        <w:rPr>
          <w:rFonts w:ascii="Times New Roman" w:hAnsi="Times New Roman"/>
          <w:vertAlign w:val="subscript"/>
        </w:rPr>
        <w:t>3</w:t>
      </w:r>
      <w:r>
        <w:rPr>
          <w:rFonts w:ascii="Times New Roman" w:hAnsi="Times New Roman"/>
          <w:i/>
          <w:iCs/>
        </w:rPr>
        <w:t>p</w:t>
      </w:r>
      <w:r>
        <w:rPr>
          <w:rFonts w:ascii="Times New Roman" w:hAnsi="Times New Roman"/>
        </w:rPr>
        <w:t>）及白垩系白龙组（K</w:t>
      </w:r>
      <w:r>
        <w:rPr>
          <w:rFonts w:ascii="Times New Roman" w:hAnsi="Times New Roman"/>
          <w:vertAlign w:val="subscript"/>
        </w:rPr>
        <w:t>1</w:t>
      </w:r>
      <w:r>
        <w:rPr>
          <w:rFonts w:ascii="Times New Roman" w:hAnsi="Times New Roman"/>
          <w:i/>
          <w:iCs/>
        </w:rPr>
        <w:t>b</w:t>
      </w:r>
      <w:r>
        <w:rPr>
          <w:rFonts w:ascii="Times New Roman" w:hAnsi="Times New Roman"/>
        </w:rPr>
        <w:t>）与苍溪组（K</w:t>
      </w:r>
      <w:r>
        <w:rPr>
          <w:rFonts w:ascii="Times New Roman" w:hAnsi="Times New Roman"/>
          <w:vertAlign w:val="subscript"/>
        </w:rPr>
        <w:t>1</w:t>
      </w:r>
      <w:r>
        <w:rPr>
          <w:rFonts w:ascii="Times New Roman" w:hAnsi="Times New Roman"/>
          <w:i/>
          <w:iCs/>
        </w:rPr>
        <w:t>c</w:t>
      </w:r>
      <w:r>
        <w:rPr>
          <w:rFonts w:ascii="Times New Roman" w:hAnsi="Times New Roman"/>
        </w:rPr>
        <w:t>），其地层岩性主要为泥岩、粉砂质泥岩及砂岩组成，属半坚硬-坚硬岩类，岩体软硬相间，岩石力学性质差异大。泥岩、页岩力学强度相对较低，抗风化能力较弱，易风化剥蚀形成缓坡并产生大量富含亲水矿物的松散堆积层（粘土、粉质粘土等）；砂岩力学强度较高，抗风化能力较强，节理裂隙普遍发育，易形成陡崖、陡坡。</w:t>
      </w:r>
    </w:p>
    <w:p>
      <w:pPr>
        <w:pStyle w:val="37"/>
        <w:rPr>
          <w:rFonts w:ascii="Times New Roman" w:hAnsi="Times New Roman" w:cs="Times New Roman"/>
        </w:rPr>
      </w:pPr>
      <w:bookmarkStart w:id="218" w:name="_Ref15709160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17</w:t>
      </w:r>
      <w:r>
        <w:rPr>
          <w:rFonts w:ascii="Times New Roman" w:hAnsi="Times New Roman" w:cs="Times New Roman"/>
        </w:rPr>
        <w:fldChar w:fldCharType="end"/>
      </w:r>
      <w:bookmarkEnd w:id="218"/>
      <w:r>
        <w:rPr>
          <w:rFonts w:ascii="Times New Roman" w:hAnsi="Times New Roman" w:cs="Times New Roman"/>
        </w:rPr>
        <w:t xml:space="preserve">  区域地层岩性表</w:t>
      </w:r>
    </w:p>
    <w:tbl>
      <w:tblPr>
        <w:tblStyle w:val="28"/>
        <w:tblW w:w="91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1"/>
        <w:gridCol w:w="884"/>
        <w:gridCol w:w="891"/>
        <w:gridCol w:w="1275"/>
        <w:gridCol w:w="992"/>
        <w:gridCol w:w="3407"/>
        <w:gridCol w:w="1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blHeader/>
          <w:jc w:val="center"/>
        </w:trPr>
        <w:tc>
          <w:tcPr>
            <w:tcW w:w="631" w:type="dxa"/>
            <w:vAlign w:val="center"/>
          </w:tcPr>
          <w:p>
            <w:pPr>
              <w:pStyle w:val="39"/>
              <w:rPr>
                <w:rFonts w:ascii="Times New Roman" w:hAnsi="Times New Roman"/>
              </w:rPr>
            </w:pPr>
            <w:r>
              <w:rPr>
                <w:rFonts w:ascii="Times New Roman" w:hAnsi="Times New Roman"/>
              </w:rPr>
              <w:t>界</w:t>
            </w:r>
          </w:p>
        </w:tc>
        <w:tc>
          <w:tcPr>
            <w:tcW w:w="884" w:type="dxa"/>
            <w:vAlign w:val="center"/>
          </w:tcPr>
          <w:p>
            <w:pPr>
              <w:pStyle w:val="39"/>
              <w:rPr>
                <w:rFonts w:ascii="Times New Roman" w:hAnsi="Times New Roman"/>
              </w:rPr>
            </w:pPr>
            <w:r>
              <w:rPr>
                <w:rFonts w:ascii="Times New Roman" w:hAnsi="Times New Roman"/>
              </w:rPr>
              <w:t>系</w:t>
            </w:r>
          </w:p>
        </w:tc>
        <w:tc>
          <w:tcPr>
            <w:tcW w:w="891" w:type="dxa"/>
            <w:vAlign w:val="center"/>
          </w:tcPr>
          <w:p>
            <w:pPr>
              <w:pStyle w:val="39"/>
              <w:rPr>
                <w:rFonts w:ascii="Times New Roman" w:hAnsi="Times New Roman"/>
              </w:rPr>
            </w:pPr>
            <w:r>
              <w:rPr>
                <w:rFonts w:ascii="Times New Roman" w:hAnsi="Times New Roman"/>
              </w:rPr>
              <w:t>统</w:t>
            </w:r>
          </w:p>
        </w:tc>
        <w:tc>
          <w:tcPr>
            <w:tcW w:w="1275" w:type="dxa"/>
            <w:vAlign w:val="center"/>
          </w:tcPr>
          <w:p>
            <w:pPr>
              <w:pStyle w:val="39"/>
              <w:rPr>
                <w:rFonts w:ascii="Times New Roman" w:hAnsi="Times New Roman"/>
              </w:rPr>
            </w:pPr>
            <w:r>
              <w:rPr>
                <w:rFonts w:ascii="Times New Roman" w:hAnsi="Times New Roman"/>
              </w:rPr>
              <w:t>组</w:t>
            </w:r>
          </w:p>
        </w:tc>
        <w:tc>
          <w:tcPr>
            <w:tcW w:w="992" w:type="dxa"/>
            <w:vAlign w:val="center"/>
          </w:tcPr>
          <w:p>
            <w:pPr>
              <w:pStyle w:val="39"/>
              <w:rPr>
                <w:rFonts w:ascii="Times New Roman" w:hAnsi="Times New Roman"/>
              </w:rPr>
            </w:pPr>
            <w:r>
              <w:rPr>
                <w:rFonts w:ascii="Times New Roman" w:hAnsi="Times New Roman"/>
              </w:rPr>
              <w:t>代号</w:t>
            </w:r>
          </w:p>
        </w:tc>
        <w:tc>
          <w:tcPr>
            <w:tcW w:w="3407" w:type="dxa"/>
            <w:vAlign w:val="center"/>
          </w:tcPr>
          <w:p>
            <w:pPr>
              <w:pStyle w:val="39"/>
              <w:rPr>
                <w:rFonts w:ascii="Times New Roman" w:hAnsi="Times New Roman"/>
              </w:rPr>
            </w:pPr>
            <w:r>
              <w:rPr>
                <w:rFonts w:ascii="Times New Roman" w:hAnsi="Times New Roman"/>
              </w:rPr>
              <w:t>岩性描述</w:t>
            </w:r>
          </w:p>
        </w:tc>
        <w:tc>
          <w:tcPr>
            <w:tcW w:w="1065" w:type="dxa"/>
            <w:vAlign w:val="center"/>
          </w:tcPr>
          <w:p>
            <w:pPr>
              <w:pStyle w:val="39"/>
              <w:rPr>
                <w:rFonts w:ascii="Times New Roman" w:hAnsi="Times New Roman"/>
              </w:rPr>
            </w:pPr>
            <w:r>
              <w:rPr>
                <w:rFonts w:ascii="Times New Roman" w:hAnsi="Times New Roman"/>
              </w:rPr>
              <w:t>厚度（m）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631" w:type="dxa"/>
            <w:vAlign w:val="center"/>
          </w:tcPr>
          <w:p>
            <w:pPr>
              <w:pStyle w:val="39"/>
              <w:rPr>
                <w:rFonts w:ascii="Times New Roman" w:hAnsi="Times New Roman"/>
              </w:rPr>
            </w:pPr>
            <w:r>
              <w:rPr>
                <w:rFonts w:ascii="Times New Roman" w:hAnsi="Times New Roman"/>
              </w:rPr>
              <w:t>新生界</w:t>
            </w:r>
          </w:p>
        </w:tc>
        <w:tc>
          <w:tcPr>
            <w:tcW w:w="884" w:type="dxa"/>
            <w:vAlign w:val="center"/>
          </w:tcPr>
          <w:p>
            <w:pPr>
              <w:pStyle w:val="39"/>
              <w:rPr>
                <w:rFonts w:ascii="Times New Roman" w:hAnsi="Times New Roman"/>
              </w:rPr>
            </w:pPr>
            <w:r>
              <w:rPr>
                <w:rFonts w:ascii="Times New Roman" w:hAnsi="Times New Roman"/>
              </w:rPr>
              <w:t>第四系</w:t>
            </w:r>
          </w:p>
        </w:tc>
        <w:tc>
          <w:tcPr>
            <w:tcW w:w="891" w:type="dxa"/>
            <w:vAlign w:val="center"/>
          </w:tcPr>
          <w:p>
            <w:pPr>
              <w:pStyle w:val="39"/>
              <w:rPr>
                <w:rFonts w:ascii="Times New Roman" w:hAnsi="Times New Roman"/>
              </w:rPr>
            </w:pPr>
            <w:r>
              <w:rPr>
                <w:rFonts w:ascii="Times New Roman" w:hAnsi="Times New Roman"/>
              </w:rPr>
              <w:t>全新统</w:t>
            </w:r>
          </w:p>
        </w:tc>
        <w:tc>
          <w:tcPr>
            <w:tcW w:w="1275" w:type="dxa"/>
            <w:vAlign w:val="center"/>
          </w:tcPr>
          <w:p>
            <w:pPr>
              <w:pStyle w:val="39"/>
              <w:rPr>
                <w:rFonts w:ascii="Times New Roman" w:hAnsi="Times New Roman"/>
              </w:rPr>
            </w:pPr>
          </w:p>
        </w:tc>
        <w:tc>
          <w:tcPr>
            <w:tcW w:w="992" w:type="dxa"/>
            <w:vAlign w:val="center"/>
          </w:tcPr>
          <w:p>
            <w:pPr>
              <w:pStyle w:val="39"/>
              <w:rPr>
                <w:rFonts w:ascii="Times New Roman" w:hAnsi="Times New Roman"/>
              </w:rPr>
            </w:pPr>
            <w:r>
              <w:rPr>
                <w:rFonts w:ascii="Times New Roman" w:hAnsi="Times New Roman"/>
              </w:rPr>
              <w:t>Q</w:t>
            </w:r>
          </w:p>
        </w:tc>
        <w:tc>
          <w:tcPr>
            <w:tcW w:w="3407" w:type="dxa"/>
            <w:vAlign w:val="center"/>
          </w:tcPr>
          <w:p>
            <w:pPr>
              <w:pStyle w:val="39"/>
              <w:rPr>
                <w:rFonts w:ascii="Times New Roman" w:hAnsi="Times New Roman"/>
              </w:rPr>
            </w:pPr>
            <w:r>
              <w:rPr>
                <w:rFonts w:ascii="Times New Roman" w:hAnsi="Times New Roman"/>
              </w:rPr>
              <w:t>以冲积、冲洪积砂质粘土、砾石为主。分布零星，面积小，厚度薄</w:t>
            </w:r>
          </w:p>
        </w:tc>
        <w:tc>
          <w:tcPr>
            <w:tcW w:w="1065" w:type="dxa"/>
            <w:vAlign w:val="center"/>
          </w:tcPr>
          <w:p>
            <w:pPr>
              <w:pStyle w:val="39"/>
              <w:rPr>
                <w:rFonts w:ascii="Times New Roman" w:hAnsi="Times New Roman"/>
              </w:rPr>
            </w:pPr>
            <w:r>
              <w:rPr>
                <w:rFonts w:ascii="Times New Roman" w:hAnsi="Times New Roman"/>
              </w:rPr>
              <w:t>5-30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6" w:hRule="atLeast"/>
          <w:jc w:val="center"/>
        </w:trPr>
        <w:tc>
          <w:tcPr>
            <w:tcW w:w="631" w:type="dxa"/>
            <w:vMerge w:val="restart"/>
            <w:vAlign w:val="center"/>
          </w:tcPr>
          <w:p>
            <w:pPr>
              <w:pStyle w:val="39"/>
              <w:rPr>
                <w:rFonts w:ascii="Times New Roman" w:hAnsi="Times New Roman"/>
              </w:rPr>
            </w:pPr>
            <w:r>
              <w:rPr>
                <w:rFonts w:ascii="Times New Roman" w:hAnsi="Times New Roman"/>
              </w:rPr>
              <w:t>中和生界</w:t>
            </w:r>
          </w:p>
        </w:tc>
        <w:tc>
          <w:tcPr>
            <w:tcW w:w="884" w:type="dxa"/>
            <w:vMerge w:val="restart"/>
            <w:vAlign w:val="center"/>
          </w:tcPr>
          <w:p>
            <w:pPr>
              <w:pStyle w:val="39"/>
              <w:rPr>
                <w:rFonts w:ascii="Times New Roman" w:hAnsi="Times New Roman"/>
              </w:rPr>
            </w:pPr>
            <w:r>
              <w:rPr>
                <w:rFonts w:ascii="Times New Roman" w:hAnsi="Times New Roman"/>
              </w:rPr>
              <w:t>白垩系</w:t>
            </w:r>
          </w:p>
        </w:tc>
        <w:tc>
          <w:tcPr>
            <w:tcW w:w="891" w:type="dxa"/>
            <w:vMerge w:val="restart"/>
            <w:vAlign w:val="center"/>
          </w:tcPr>
          <w:p>
            <w:pPr>
              <w:pStyle w:val="39"/>
              <w:rPr>
                <w:rFonts w:ascii="Times New Roman" w:hAnsi="Times New Roman"/>
              </w:rPr>
            </w:pPr>
            <w:r>
              <w:rPr>
                <w:rFonts w:ascii="Times New Roman" w:hAnsi="Times New Roman"/>
              </w:rPr>
              <w:t>下统</w:t>
            </w:r>
          </w:p>
        </w:tc>
        <w:tc>
          <w:tcPr>
            <w:tcW w:w="1275" w:type="dxa"/>
            <w:vAlign w:val="center"/>
          </w:tcPr>
          <w:p>
            <w:pPr>
              <w:pStyle w:val="39"/>
              <w:rPr>
                <w:rFonts w:ascii="Times New Roman" w:hAnsi="Times New Roman"/>
              </w:rPr>
            </w:pPr>
            <w:r>
              <w:rPr>
                <w:rFonts w:ascii="Times New Roman" w:hAnsi="Times New Roman"/>
              </w:rPr>
              <w:t>白龙组</w:t>
            </w:r>
          </w:p>
        </w:tc>
        <w:tc>
          <w:tcPr>
            <w:tcW w:w="992" w:type="dxa"/>
            <w:vAlign w:val="center"/>
          </w:tcPr>
          <w:p>
            <w:pPr>
              <w:pStyle w:val="39"/>
              <w:rPr>
                <w:rFonts w:ascii="Times New Roman" w:hAnsi="Times New Roman"/>
              </w:rPr>
            </w:pPr>
            <w:r>
              <w:rPr>
                <w:rFonts w:ascii="Times New Roman" w:hAnsi="Times New Roman"/>
              </w:rPr>
              <w:t>K</w:t>
            </w:r>
            <w:r>
              <w:rPr>
                <w:rFonts w:ascii="Times New Roman" w:hAnsi="Times New Roman"/>
                <w:vertAlign w:val="subscript"/>
              </w:rPr>
              <w:t>1</w:t>
            </w:r>
            <w:r>
              <w:rPr>
                <w:rFonts w:ascii="Times New Roman" w:hAnsi="Times New Roman"/>
              </w:rPr>
              <w:t>b</w:t>
            </w:r>
          </w:p>
        </w:tc>
        <w:tc>
          <w:tcPr>
            <w:tcW w:w="3407" w:type="dxa"/>
            <w:vAlign w:val="center"/>
          </w:tcPr>
          <w:p>
            <w:pPr>
              <w:pStyle w:val="39"/>
              <w:rPr>
                <w:rFonts w:ascii="Times New Roman" w:hAnsi="Times New Roman"/>
              </w:rPr>
            </w:pPr>
            <w:r>
              <w:rPr>
                <w:rFonts w:ascii="Times New Roman" w:hAnsi="Times New Roman"/>
              </w:rPr>
              <w:t>黄灰色厚层状-块状钙质，中细粒砂岩与棕红色粉砂质泥岩相间，呈等厚互层</w:t>
            </w:r>
          </w:p>
        </w:tc>
        <w:tc>
          <w:tcPr>
            <w:tcW w:w="1065" w:type="dxa"/>
            <w:vAlign w:val="center"/>
          </w:tcPr>
          <w:p>
            <w:pPr>
              <w:pStyle w:val="39"/>
              <w:rPr>
                <w:rFonts w:ascii="Times New Roman" w:hAnsi="Times New Roman"/>
              </w:rPr>
            </w:pPr>
            <w:r>
              <w:rPr>
                <w:rFonts w:ascii="Times New Roman" w:hAnsi="Times New Roman"/>
              </w:rPr>
              <w:t>325.3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7" w:hRule="atLeast"/>
          <w:jc w:val="center"/>
        </w:trPr>
        <w:tc>
          <w:tcPr>
            <w:tcW w:w="631" w:type="dxa"/>
            <w:vMerge w:val="continue"/>
            <w:vAlign w:val="center"/>
          </w:tcPr>
          <w:p>
            <w:pPr>
              <w:pStyle w:val="39"/>
              <w:rPr>
                <w:rFonts w:ascii="Times New Roman" w:hAnsi="Times New Roman"/>
              </w:rPr>
            </w:pPr>
          </w:p>
        </w:tc>
        <w:tc>
          <w:tcPr>
            <w:tcW w:w="884" w:type="dxa"/>
            <w:vMerge w:val="continue"/>
            <w:vAlign w:val="center"/>
          </w:tcPr>
          <w:p>
            <w:pPr>
              <w:pStyle w:val="39"/>
              <w:rPr>
                <w:rFonts w:ascii="Times New Roman" w:hAnsi="Times New Roman"/>
              </w:rPr>
            </w:pPr>
          </w:p>
        </w:tc>
        <w:tc>
          <w:tcPr>
            <w:tcW w:w="891" w:type="dxa"/>
            <w:vMerge w:val="continue"/>
            <w:vAlign w:val="center"/>
          </w:tcPr>
          <w:p>
            <w:pPr>
              <w:pStyle w:val="39"/>
              <w:rPr>
                <w:rFonts w:ascii="Times New Roman" w:hAnsi="Times New Roman"/>
              </w:rPr>
            </w:pPr>
          </w:p>
        </w:tc>
        <w:tc>
          <w:tcPr>
            <w:tcW w:w="1275" w:type="dxa"/>
            <w:vAlign w:val="center"/>
          </w:tcPr>
          <w:p>
            <w:pPr>
              <w:pStyle w:val="39"/>
              <w:rPr>
                <w:rFonts w:ascii="Times New Roman" w:hAnsi="Times New Roman"/>
              </w:rPr>
            </w:pPr>
            <w:r>
              <w:rPr>
                <w:rFonts w:ascii="Times New Roman" w:hAnsi="Times New Roman"/>
              </w:rPr>
              <w:t>苍溪组</w:t>
            </w:r>
          </w:p>
        </w:tc>
        <w:tc>
          <w:tcPr>
            <w:tcW w:w="992" w:type="dxa"/>
            <w:vAlign w:val="center"/>
          </w:tcPr>
          <w:p>
            <w:pPr>
              <w:pStyle w:val="39"/>
              <w:rPr>
                <w:rFonts w:ascii="Times New Roman" w:hAnsi="Times New Roman"/>
              </w:rPr>
            </w:pPr>
            <w:r>
              <w:rPr>
                <w:rFonts w:ascii="Times New Roman" w:hAnsi="Times New Roman"/>
              </w:rPr>
              <w:t>K</w:t>
            </w:r>
            <w:r>
              <w:rPr>
                <w:rFonts w:ascii="Times New Roman" w:hAnsi="Times New Roman"/>
                <w:vertAlign w:val="subscript"/>
              </w:rPr>
              <w:t>1</w:t>
            </w:r>
            <w:r>
              <w:rPr>
                <w:rFonts w:ascii="Times New Roman" w:hAnsi="Times New Roman"/>
              </w:rPr>
              <w:t>c</w:t>
            </w:r>
          </w:p>
        </w:tc>
        <w:tc>
          <w:tcPr>
            <w:tcW w:w="3407" w:type="dxa"/>
            <w:vAlign w:val="center"/>
          </w:tcPr>
          <w:p>
            <w:pPr>
              <w:pStyle w:val="39"/>
              <w:rPr>
                <w:rFonts w:ascii="Times New Roman" w:hAnsi="Times New Roman"/>
              </w:rPr>
            </w:pPr>
            <w:r>
              <w:rPr>
                <w:rFonts w:ascii="Times New Roman" w:hAnsi="Times New Roman"/>
              </w:rPr>
              <w:t>黄褐色厚层钙质长石石英中细粒砂岩，夹薄层紫红色泥岩，向上泥岩稍有增加</w:t>
            </w:r>
          </w:p>
        </w:tc>
        <w:tc>
          <w:tcPr>
            <w:tcW w:w="1065" w:type="dxa"/>
            <w:vAlign w:val="center"/>
          </w:tcPr>
          <w:p>
            <w:pPr>
              <w:pStyle w:val="39"/>
              <w:rPr>
                <w:rFonts w:ascii="Times New Roman" w:hAnsi="Times New Roman"/>
              </w:rPr>
            </w:pPr>
            <w:r>
              <w:rPr>
                <w:rFonts w:ascii="Times New Roman" w:hAnsi="Times New Roman"/>
              </w:rPr>
              <w:t>409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1" w:hRule="atLeast"/>
          <w:jc w:val="center"/>
        </w:trPr>
        <w:tc>
          <w:tcPr>
            <w:tcW w:w="631" w:type="dxa"/>
            <w:vMerge w:val="continue"/>
            <w:vAlign w:val="center"/>
          </w:tcPr>
          <w:p>
            <w:pPr>
              <w:pStyle w:val="39"/>
              <w:rPr>
                <w:rFonts w:ascii="Times New Roman" w:hAnsi="Times New Roman"/>
              </w:rPr>
            </w:pPr>
          </w:p>
        </w:tc>
        <w:tc>
          <w:tcPr>
            <w:tcW w:w="884" w:type="dxa"/>
            <w:vMerge w:val="restart"/>
            <w:vAlign w:val="center"/>
          </w:tcPr>
          <w:p>
            <w:pPr>
              <w:pStyle w:val="39"/>
              <w:rPr>
                <w:rFonts w:ascii="Times New Roman" w:hAnsi="Times New Roman"/>
              </w:rPr>
            </w:pPr>
            <w:r>
              <w:rPr>
                <w:rFonts w:ascii="Times New Roman" w:hAnsi="Times New Roman"/>
              </w:rPr>
              <w:t>侏罗系</w:t>
            </w:r>
          </w:p>
        </w:tc>
        <w:tc>
          <w:tcPr>
            <w:tcW w:w="891" w:type="dxa"/>
            <w:vAlign w:val="center"/>
          </w:tcPr>
          <w:p>
            <w:pPr>
              <w:pStyle w:val="39"/>
              <w:rPr>
                <w:rFonts w:ascii="Times New Roman" w:hAnsi="Times New Roman"/>
              </w:rPr>
            </w:pPr>
            <w:r>
              <w:rPr>
                <w:rFonts w:ascii="Times New Roman" w:hAnsi="Times New Roman"/>
              </w:rPr>
              <w:t>上统</w:t>
            </w:r>
          </w:p>
        </w:tc>
        <w:tc>
          <w:tcPr>
            <w:tcW w:w="1275" w:type="dxa"/>
            <w:vAlign w:val="center"/>
          </w:tcPr>
          <w:p>
            <w:pPr>
              <w:pStyle w:val="39"/>
              <w:rPr>
                <w:rFonts w:ascii="Times New Roman" w:hAnsi="Times New Roman"/>
              </w:rPr>
            </w:pPr>
            <w:r>
              <w:rPr>
                <w:rFonts w:ascii="Times New Roman" w:hAnsi="Times New Roman"/>
              </w:rPr>
              <w:t>蓬来镇组</w:t>
            </w:r>
          </w:p>
        </w:tc>
        <w:tc>
          <w:tcPr>
            <w:tcW w:w="992" w:type="dxa"/>
            <w:vAlign w:val="center"/>
          </w:tcPr>
          <w:p>
            <w:pPr>
              <w:pStyle w:val="39"/>
              <w:rPr>
                <w:rFonts w:ascii="Times New Roman" w:hAnsi="Times New Roman"/>
              </w:rPr>
            </w:pPr>
            <w:r>
              <w:rPr>
                <w:rFonts w:ascii="Times New Roman" w:hAnsi="Times New Roman"/>
              </w:rPr>
              <w:t>J</w:t>
            </w:r>
            <w:r>
              <w:rPr>
                <w:rFonts w:ascii="Times New Roman" w:hAnsi="Times New Roman"/>
                <w:vertAlign w:val="subscript"/>
              </w:rPr>
              <w:t>3</w:t>
            </w:r>
            <w:r>
              <w:rPr>
                <w:rFonts w:ascii="Times New Roman" w:hAnsi="Times New Roman"/>
              </w:rPr>
              <w:t>p</w:t>
            </w:r>
          </w:p>
        </w:tc>
        <w:tc>
          <w:tcPr>
            <w:tcW w:w="3407" w:type="dxa"/>
            <w:vAlign w:val="center"/>
          </w:tcPr>
          <w:p>
            <w:pPr>
              <w:pStyle w:val="39"/>
              <w:rPr>
                <w:rFonts w:ascii="Times New Roman" w:hAnsi="Times New Roman"/>
              </w:rPr>
            </w:pPr>
            <w:r>
              <w:rPr>
                <w:rFonts w:ascii="Times New Roman" w:hAnsi="Times New Roman"/>
              </w:rPr>
              <w:t>灰紫色、灰色厚层状钙质长石石英砂岩与棕红色泥岩互层</w:t>
            </w:r>
          </w:p>
        </w:tc>
        <w:tc>
          <w:tcPr>
            <w:tcW w:w="1065" w:type="dxa"/>
            <w:vAlign w:val="center"/>
          </w:tcPr>
          <w:p>
            <w:pPr>
              <w:pStyle w:val="39"/>
              <w:rPr>
                <w:rFonts w:ascii="Times New Roman" w:hAnsi="Times New Roman"/>
              </w:rPr>
            </w:pPr>
            <w:r>
              <w:rPr>
                <w:rFonts w:ascii="Times New Roman" w:hAnsi="Times New Roman"/>
              </w:rPr>
              <w:t>600-1100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631" w:type="dxa"/>
            <w:vMerge w:val="continue"/>
            <w:vAlign w:val="center"/>
          </w:tcPr>
          <w:p>
            <w:pPr>
              <w:pStyle w:val="39"/>
              <w:rPr>
                <w:rFonts w:ascii="Times New Roman" w:hAnsi="Times New Roman"/>
              </w:rPr>
            </w:pPr>
          </w:p>
        </w:tc>
        <w:tc>
          <w:tcPr>
            <w:tcW w:w="884" w:type="dxa"/>
            <w:vMerge w:val="continue"/>
            <w:vAlign w:val="center"/>
          </w:tcPr>
          <w:p>
            <w:pPr>
              <w:pStyle w:val="39"/>
              <w:rPr>
                <w:rFonts w:ascii="Times New Roman" w:hAnsi="Times New Roman"/>
              </w:rPr>
            </w:pPr>
          </w:p>
        </w:tc>
        <w:tc>
          <w:tcPr>
            <w:tcW w:w="891" w:type="dxa"/>
            <w:vMerge w:val="restart"/>
            <w:vAlign w:val="center"/>
          </w:tcPr>
          <w:p>
            <w:pPr>
              <w:pStyle w:val="39"/>
              <w:rPr>
                <w:rFonts w:ascii="Times New Roman" w:hAnsi="Times New Roman"/>
              </w:rPr>
            </w:pPr>
            <w:r>
              <w:rPr>
                <w:rFonts w:ascii="Times New Roman" w:hAnsi="Times New Roman"/>
              </w:rPr>
              <w:t>中统</w:t>
            </w:r>
          </w:p>
        </w:tc>
        <w:tc>
          <w:tcPr>
            <w:tcW w:w="1275" w:type="dxa"/>
            <w:vAlign w:val="center"/>
          </w:tcPr>
          <w:p>
            <w:pPr>
              <w:pStyle w:val="39"/>
              <w:rPr>
                <w:rFonts w:ascii="Times New Roman" w:hAnsi="Times New Roman"/>
              </w:rPr>
            </w:pPr>
            <w:r>
              <w:rPr>
                <w:rFonts w:ascii="Times New Roman" w:hAnsi="Times New Roman"/>
              </w:rPr>
              <w:t>遂宁组</w:t>
            </w:r>
          </w:p>
        </w:tc>
        <w:tc>
          <w:tcPr>
            <w:tcW w:w="992" w:type="dxa"/>
            <w:vAlign w:val="center"/>
          </w:tcPr>
          <w:p>
            <w:pPr>
              <w:pStyle w:val="39"/>
              <w:rPr>
                <w:rFonts w:ascii="Times New Roman" w:hAnsi="Times New Roman"/>
              </w:rPr>
            </w:pPr>
            <w:r>
              <w:rPr>
                <w:rFonts w:ascii="Times New Roman" w:hAnsi="Times New Roman"/>
              </w:rPr>
              <w:t>J</w:t>
            </w:r>
            <w:r>
              <w:rPr>
                <w:rFonts w:ascii="Times New Roman" w:hAnsi="Times New Roman"/>
                <w:vertAlign w:val="subscript"/>
              </w:rPr>
              <w:t>2</w:t>
            </w:r>
            <w:r>
              <w:rPr>
                <w:rFonts w:ascii="Times New Roman" w:hAnsi="Times New Roman"/>
              </w:rPr>
              <w:t>sn</w:t>
            </w:r>
          </w:p>
        </w:tc>
        <w:tc>
          <w:tcPr>
            <w:tcW w:w="3407" w:type="dxa"/>
            <w:vAlign w:val="center"/>
          </w:tcPr>
          <w:p>
            <w:pPr>
              <w:pStyle w:val="39"/>
              <w:rPr>
                <w:rFonts w:ascii="Times New Roman" w:hAnsi="Times New Roman"/>
              </w:rPr>
            </w:pPr>
            <w:r>
              <w:rPr>
                <w:rFonts w:ascii="Times New Roman" w:hAnsi="Times New Roman"/>
              </w:rPr>
              <w:t>以紫红色、灰、灰绿色中厚层状含钙质粉砂质泥岩，泥质粉砂岩为主</w:t>
            </w:r>
          </w:p>
        </w:tc>
        <w:tc>
          <w:tcPr>
            <w:tcW w:w="1065" w:type="dxa"/>
            <w:vAlign w:val="center"/>
          </w:tcPr>
          <w:p>
            <w:pPr>
              <w:pStyle w:val="39"/>
              <w:rPr>
                <w:rFonts w:ascii="Times New Roman" w:hAnsi="Times New Roman"/>
              </w:rPr>
            </w:pPr>
            <w:r>
              <w:rPr>
                <w:rFonts w:ascii="Times New Roman" w:hAnsi="Times New Roman"/>
              </w:rPr>
              <w:t>266-548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1" w:hRule="atLeast"/>
          <w:jc w:val="center"/>
        </w:trPr>
        <w:tc>
          <w:tcPr>
            <w:tcW w:w="631" w:type="dxa"/>
            <w:vMerge w:val="continue"/>
            <w:vAlign w:val="center"/>
          </w:tcPr>
          <w:p>
            <w:pPr>
              <w:pStyle w:val="39"/>
              <w:rPr>
                <w:rFonts w:ascii="Times New Roman" w:hAnsi="Times New Roman"/>
              </w:rPr>
            </w:pPr>
          </w:p>
        </w:tc>
        <w:tc>
          <w:tcPr>
            <w:tcW w:w="884" w:type="dxa"/>
            <w:vMerge w:val="continue"/>
            <w:vAlign w:val="center"/>
          </w:tcPr>
          <w:p>
            <w:pPr>
              <w:pStyle w:val="39"/>
              <w:rPr>
                <w:rFonts w:ascii="Times New Roman" w:hAnsi="Times New Roman"/>
              </w:rPr>
            </w:pPr>
          </w:p>
        </w:tc>
        <w:tc>
          <w:tcPr>
            <w:tcW w:w="891" w:type="dxa"/>
            <w:vMerge w:val="continue"/>
            <w:vAlign w:val="center"/>
          </w:tcPr>
          <w:p>
            <w:pPr>
              <w:pStyle w:val="39"/>
              <w:rPr>
                <w:rFonts w:ascii="Times New Roman" w:hAnsi="Times New Roman"/>
              </w:rPr>
            </w:pPr>
          </w:p>
        </w:tc>
        <w:tc>
          <w:tcPr>
            <w:tcW w:w="1275" w:type="dxa"/>
            <w:vAlign w:val="center"/>
          </w:tcPr>
          <w:p>
            <w:pPr>
              <w:pStyle w:val="39"/>
              <w:rPr>
                <w:rFonts w:ascii="Times New Roman" w:hAnsi="Times New Roman"/>
              </w:rPr>
            </w:pPr>
            <w:r>
              <w:rPr>
                <w:rFonts w:ascii="Times New Roman" w:hAnsi="Times New Roman"/>
              </w:rPr>
              <w:t>沙溪庙组</w:t>
            </w:r>
          </w:p>
        </w:tc>
        <w:tc>
          <w:tcPr>
            <w:tcW w:w="992" w:type="dxa"/>
            <w:vAlign w:val="center"/>
          </w:tcPr>
          <w:p>
            <w:pPr>
              <w:pStyle w:val="39"/>
              <w:rPr>
                <w:rFonts w:ascii="Times New Roman" w:hAnsi="Times New Roman"/>
              </w:rPr>
            </w:pPr>
            <w:r>
              <w:rPr>
                <w:rFonts w:ascii="Times New Roman" w:hAnsi="Times New Roman"/>
              </w:rPr>
              <w:t>J</w:t>
            </w:r>
            <w:r>
              <w:rPr>
                <w:rFonts w:ascii="Times New Roman" w:hAnsi="Times New Roman"/>
                <w:vertAlign w:val="subscript"/>
              </w:rPr>
              <w:t>2</w:t>
            </w:r>
            <w:r>
              <w:rPr>
                <w:rFonts w:ascii="Times New Roman" w:hAnsi="Times New Roman"/>
              </w:rPr>
              <w:t>s</w:t>
            </w:r>
          </w:p>
        </w:tc>
        <w:tc>
          <w:tcPr>
            <w:tcW w:w="3407" w:type="dxa"/>
            <w:vAlign w:val="center"/>
          </w:tcPr>
          <w:p>
            <w:pPr>
              <w:pStyle w:val="39"/>
              <w:rPr>
                <w:rFonts w:ascii="Times New Roman" w:hAnsi="Times New Roman"/>
              </w:rPr>
            </w:pPr>
            <w:r>
              <w:rPr>
                <w:rFonts w:ascii="Times New Roman" w:hAnsi="Times New Roman"/>
              </w:rPr>
              <w:t>紫锴色粉质泥岩夹灰绿色钙质细砂岩，砂岩最厚达5-7m</w:t>
            </w:r>
          </w:p>
        </w:tc>
        <w:tc>
          <w:tcPr>
            <w:tcW w:w="1065" w:type="dxa"/>
            <w:vAlign w:val="center"/>
          </w:tcPr>
          <w:p>
            <w:pPr>
              <w:pStyle w:val="39"/>
              <w:rPr>
                <w:rFonts w:ascii="Times New Roman" w:hAnsi="Times New Roman"/>
              </w:rPr>
            </w:pPr>
            <w:r>
              <w:rPr>
                <w:rFonts w:ascii="Times New Roman" w:hAnsi="Times New Roman"/>
              </w:rPr>
              <w:t>1275-1887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31" w:type="dxa"/>
            <w:vMerge w:val="continue"/>
            <w:vAlign w:val="center"/>
          </w:tcPr>
          <w:p>
            <w:pPr>
              <w:pStyle w:val="39"/>
              <w:rPr>
                <w:rFonts w:ascii="Times New Roman" w:hAnsi="Times New Roman"/>
              </w:rPr>
            </w:pPr>
          </w:p>
        </w:tc>
        <w:tc>
          <w:tcPr>
            <w:tcW w:w="884" w:type="dxa"/>
            <w:vMerge w:val="continue"/>
            <w:vAlign w:val="center"/>
          </w:tcPr>
          <w:p>
            <w:pPr>
              <w:pStyle w:val="39"/>
              <w:rPr>
                <w:rFonts w:ascii="Times New Roman" w:hAnsi="Times New Roman"/>
              </w:rPr>
            </w:pPr>
          </w:p>
        </w:tc>
        <w:tc>
          <w:tcPr>
            <w:tcW w:w="891" w:type="dxa"/>
            <w:vMerge w:val="continue"/>
            <w:vAlign w:val="center"/>
          </w:tcPr>
          <w:p>
            <w:pPr>
              <w:pStyle w:val="39"/>
              <w:rPr>
                <w:rFonts w:ascii="Times New Roman" w:hAnsi="Times New Roman"/>
              </w:rPr>
            </w:pPr>
          </w:p>
        </w:tc>
        <w:tc>
          <w:tcPr>
            <w:tcW w:w="1275" w:type="dxa"/>
            <w:vAlign w:val="center"/>
          </w:tcPr>
          <w:p>
            <w:pPr>
              <w:pStyle w:val="39"/>
              <w:rPr>
                <w:rFonts w:ascii="Times New Roman" w:hAnsi="Times New Roman"/>
              </w:rPr>
            </w:pPr>
            <w:r>
              <w:rPr>
                <w:rFonts w:ascii="Times New Roman" w:hAnsi="Times New Roman"/>
              </w:rPr>
              <w:t>细沟组</w:t>
            </w:r>
          </w:p>
        </w:tc>
        <w:tc>
          <w:tcPr>
            <w:tcW w:w="992" w:type="dxa"/>
            <w:vAlign w:val="center"/>
          </w:tcPr>
          <w:p>
            <w:pPr>
              <w:pStyle w:val="39"/>
              <w:rPr>
                <w:rFonts w:ascii="Times New Roman" w:hAnsi="Times New Roman"/>
              </w:rPr>
            </w:pPr>
            <w:r>
              <w:rPr>
                <w:rFonts w:ascii="Times New Roman" w:hAnsi="Times New Roman"/>
              </w:rPr>
              <w:t>J</w:t>
            </w:r>
            <w:r>
              <w:rPr>
                <w:rFonts w:ascii="Times New Roman" w:hAnsi="Times New Roman"/>
                <w:vertAlign w:val="subscript"/>
              </w:rPr>
              <w:t>2</w:t>
            </w:r>
            <w:r>
              <w:rPr>
                <w:rFonts w:ascii="Times New Roman" w:hAnsi="Times New Roman"/>
              </w:rPr>
              <w:t>x</w:t>
            </w:r>
          </w:p>
        </w:tc>
        <w:tc>
          <w:tcPr>
            <w:tcW w:w="3407" w:type="dxa"/>
            <w:vAlign w:val="center"/>
          </w:tcPr>
          <w:p>
            <w:pPr>
              <w:pStyle w:val="39"/>
              <w:rPr>
                <w:rFonts w:ascii="Times New Roman" w:hAnsi="Times New Roman"/>
              </w:rPr>
            </w:pPr>
            <w:r>
              <w:rPr>
                <w:rFonts w:ascii="Times New Roman" w:hAnsi="Times New Roman"/>
              </w:rPr>
              <w:t>灰绿、灰黄色水云母页岩夹中厚层状，含钙质岩属石英砂岩，偶介少许介壳灰岩</w:t>
            </w:r>
          </w:p>
        </w:tc>
        <w:tc>
          <w:tcPr>
            <w:tcW w:w="1065" w:type="dxa"/>
            <w:vAlign w:val="center"/>
          </w:tcPr>
          <w:p>
            <w:pPr>
              <w:pStyle w:val="39"/>
              <w:rPr>
                <w:rFonts w:ascii="Times New Roman" w:hAnsi="Times New Roman"/>
              </w:rPr>
            </w:pPr>
            <w:r>
              <w:rPr>
                <w:rFonts w:ascii="Times New Roman" w:hAnsi="Times New Roman"/>
              </w:rPr>
              <w:t>256-8449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31" w:type="dxa"/>
            <w:vMerge w:val="continue"/>
            <w:vAlign w:val="center"/>
          </w:tcPr>
          <w:p>
            <w:pPr>
              <w:pStyle w:val="39"/>
              <w:rPr>
                <w:rFonts w:ascii="Times New Roman" w:hAnsi="Times New Roman"/>
              </w:rPr>
            </w:pPr>
          </w:p>
        </w:tc>
        <w:tc>
          <w:tcPr>
            <w:tcW w:w="884" w:type="dxa"/>
            <w:vMerge w:val="restart"/>
            <w:vAlign w:val="center"/>
          </w:tcPr>
          <w:p>
            <w:pPr>
              <w:pStyle w:val="39"/>
              <w:rPr>
                <w:rFonts w:ascii="Times New Roman" w:hAnsi="Times New Roman"/>
              </w:rPr>
            </w:pPr>
            <w:r>
              <w:rPr>
                <w:rFonts w:ascii="Times New Roman" w:hAnsi="Times New Roman"/>
              </w:rPr>
              <w:t>三叠系</w:t>
            </w:r>
          </w:p>
        </w:tc>
        <w:tc>
          <w:tcPr>
            <w:tcW w:w="891" w:type="dxa"/>
            <w:vAlign w:val="center"/>
          </w:tcPr>
          <w:p>
            <w:pPr>
              <w:pStyle w:val="39"/>
              <w:rPr>
                <w:rFonts w:ascii="Times New Roman" w:hAnsi="Times New Roman"/>
              </w:rPr>
            </w:pPr>
            <w:r>
              <w:rPr>
                <w:rFonts w:ascii="Times New Roman" w:hAnsi="Times New Roman"/>
              </w:rPr>
              <w:t>上统</w:t>
            </w:r>
          </w:p>
        </w:tc>
        <w:tc>
          <w:tcPr>
            <w:tcW w:w="1275" w:type="dxa"/>
            <w:vAlign w:val="center"/>
          </w:tcPr>
          <w:p>
            <w:pPr>
              <w:pStyle w:val="39"/>
              <w:rPr>
                <w:rFonts w:ascii="Times New Roman" w:hAnsi="Times New Roman"/>
              </w:rPr>
            </w:pPr>
            <w:r>
              <w:rPr>
                <w:rFonts w:ascii="Times New Roman" w:hAnsi="Times New Roman"/>
              </w:rPr>
              <w:t>须家河组</w:t>
            </w:r>
          </w:p>
        </w:tc>
        <w:tc>
          <w:tcPr>
            <w:tcW w:w="992" w:type="dxa"/>
            <w:vAlign w:val="center"/>
          </w:tcPr>
          <w:p>
            <w:pPr>
              <w:pStyle w:val="39"/>
              <w:rPr>
                <w:rFonts w:ascii="Times New Roman" w:hAnsi="Times New Roman"/>
              </w:rPr>
            </w:pPr>
            <w:r>
              <w:rPr>
                <w:rFonts w:ascii="Times New Roman" w:hAnsi="Times New Roman"/>
              </w:rPr>
              <w:t>T</w:t>
            </w:r>
            <w:r>
              <w:rPr>
                <w:rFonts w:ascii="Times New Roman" w:hAnsi="Times New Roman"/>
                <w:vertAlign w:val="subscript"/>
              </w:rPr>
              <w:t>3</w:t>
            </w:r>
            <w:r>
              <w:rPr>
                <w:rFonts w:ascii="Times New Roman" w:hAnsi="Times New Roman"/>
              </w:rPr>
              <w:t>x</w:t>
            </w:r>
          </w:p>
        </w:tc>
        <w:tc>
          <w:tcPr>
            <w:tcW w:w="3407" w:type="dxa"/>
            <w:vAlign w:val="center"/>
          </w:tcPr>
          <w:p>
            <w:pPr>
              <w:pStyle w:val="39"/>
              <w:rPr>
                <w:rFonts w:ascii="Times New Roman" w:hAnsi="Times New Roman"/>
              </w:rPr>
            </w:pPr>
            <w:r>
              <w:rPr>
                <w:rFonts w:ascii="Times New Roman" w:hAnsi="Times New Roman"/>
              </w:rPr>
              <w:t>灰、灰绿色厚层状岩屑石英砂岩、长石石英砂岩夹页岩、炭质页岩及薄煤层、铁矿</w:t>
            </w:r>
          </w:p>
        </w:tc>
        <w:tc>
          <w:tcPr>
            <w:tcW w:w="1065" w:type="dxa"/>
            <w:vAlign w:val="center"/>
          </w:tcPr>
          <w:p>
            <w:pPr>
              <w:pStyle w:val="39"/>
              <w:rPr>
                <w:rFonts w:ascii="Times New Roman" w:hAnsi="Times New Roman"/>
              </w:rPr>
            </w:pPr>
            <w:r>
              <w:rPr>
                <w:rFonts w:ascii="Times New Roman" w:hAnsi="Times New Roman"/>
              </w:rPr>
              <w:t>187-648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33" w:hRule="atLeast"/>
          <w:jc w:val="center"/>
        </w:trPr>
        <w:tc>
          <w:tcPr>
            <w:tcW w:w="631" w:type="dxa"/>
            <w:vMerge w:val="continue"/>
            <w:vAlign w:val="center"/>
          </w:tcPr>
          <w:p>
            <w:pPr>
              <w:pStyle w:val="39"/>
              <w:rPr>
                <w:rFonts w:ascii="Times New Roman" w:hAnsi="Times New Roman"/>
              </w:rPr>
            </w:pPr>
          </w:p>
        </w:tc>
        <w:tc>
          <w:tcPr>
            <w:tcW w:w="884" w:type="dxa"/>
            <w:vMerge w:val="continue"/>
            <w:vAlign w:val="center"/>
          </w:tcPr>
          <w:p>
            <w:pPr>
              <w:pStyle w:val="39"/>
              <w:rPr>
                <w:rFonts w:ascii="Times New Roman" w:hAnsi="Times New Roman"/>
              </w:rPr>
            </w:pPr>
          </w:p>
        </w:tc>
        <w:tc>
          <w:tcPr>
            <w:tcW w:w="891" w:type="dxa"/>
            <w:vMerge w:val="restart"/>
            <w:vAlign w:val="center"/>
          </w:tcPr>
          <w:p>
            <w:pPr>
              <w:pStyle w:val="39"/>
              <w:rPr>
                <w:rFonts w:ascii="Times New Roman" w:hAnsi="Times New Roman"/>
              </w:rPr>
            </w:pPr>
            <w:r>
              <w:rPr>
                <w:rFonts w:ascii="Times New Roman" w:hAnsi="Times New Roman"/>
              </w:rPr>
              <w:t>下统</w:t>
            </w:r>
          </w:p>
        </w:tc>
        <w:tc>
          <w:tcPr>
            <w:tcW w:w="1275" w:type="dxa"/>
            <w:vAlign w:val="center"/>
          </w:tcPr>
          <w:p>
            <w:pPr>
              <w:pStyle w:val="39"/>
              <w:rPr>
                <w:rFonts w:ascii="Times New Roman" w:hAnsi="Times New Roman"/>
              </w:rPr>
            </w:pPr>
            <w:r>
              <w:rPr>
                <w:rFonts w:ascii="Times New Roman" w:hAnsi="Times New Roman"/>
              </w:rPr>
              <w:t>嘉陵江组</w:t>
            </w:r>
          </w:p>
        </w:tc>
        <w:tc>
          <w:tcPr>
            <w:tcW w:w="992" w:type="dxa"/>
            <w:vAlign w:val="center"/>
          </w:tcPr>
          <w:p>
            <w:pPr>
              <w:pStyle w:val="39"/>
              <w:rPr>
                <w:rFonts w:ascii="Times New Roman" w:hAnsi="Times New Roman"/>
              </w:rPr>
            </w:pPr>
            <w:r>
              <w:rPr>
                <w:rFonts w:ascii="Times New Roman" w:hAnsi="Times New Roman"/>
              </w:rPr>
              <w:t>T</w:t>
            </w:r>
            <w:r>
              <w:rPr>
                <w:rFonts w:ascii="Times New Roman" w:hAnsi="Times New Roman"/>
                <w:vertAlign w:val="subscript"/>
              </w:rPr>
              <w:t>1</w:t>
            </w:r>
            <w:r>
              <w:rPr>
                <w:rFonts w:ascii="Times New Roman" w:hAnsi="Times New Roman"/>
              </w:rPr>
              <w:t>j</w:t>
            </w:r>
          </w:p>
        </w:tc>
        <w:tc>
          <w:tcPr>
            <w:tcW w:w="3407" w:type="dxa"/>
            <w:vAlign w:val="center"/>
          </w:tcPr>
          <w:p>
            <w:pPr>
              <w:pStyle w:val="39"/>
              <w:rPr>
                <w:rFonts w:ascii="Times New Roman" w:hAnsi="Times New Roman"/>
              </w:rPr>
            </w:pPr>
            <w:r>
              <w:rPr>
                <w:rFonts w:ascii="Times New Roman" w:hAnsi="Times New Roman"/>
              </w:rPr>
              <w:t>为浅海-湖相碳酸盐沉积，岩性为灰岩、深灰色薄-中厚层状灰岩，白云质灰岩及泥质灰岩</w:t>
            </w:r>
          </w:p>
        </w:tc>
        <w:tc>
          <w:tcPr>
            <w:tcW w:w="1065" w:type="dxa"/>
            <w:vAlign w:val="center"/>
          </w:tcPr>
          <w:p>
            <w:pPr>
              <w:pStyle w:val="39"/>
              <w:rPr>
                <w:rFonts w:ascii="Times New Roman" w:hAnsi="Times New Roman"/>
              </w:rPr>
            </w:pPr>
            <w:r>
              <w:rPr>
                <w:rFonts w:ascii="Times New Roman" w:hAnsi="Times New Roman"/>
              </w:rPr>
              <w:t>407-647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31" w:type="dxa"/>
            <w:vMerge w:val="continue"/>
            <w:vAlign w:val="center"/>
          </w:tcPr>
          <w:p>
            <w:pPr>
              <w:pStyle w:val="39"/>
              <w:rPr>
                <w:rFonts w:ascii="Times New Roman" w:hAnsi="Times New Roman"/>
              </w:rPr>
            </w:pPr>
          </w:p>
        </w:tc>
        <w:tc>
          <w:tcPr>
            <w:tcW w:w="884" w:type="dxa"/>
            <w:vMerge w:val="continue"/>
            <w:vAlign w:val="center"/>
          </w:tcPr>
          <w:p>
            <w:pPr>
              <w:pStyle w:val="39"/>
              <w:rPr>
                <w:rFonts w:ascii="Times New Roman" w:hAnsi="Times New Roman"/>
              </w:rPr>
            </w:pPr>
          </w:p>
        </w:tc>
        <w:tc>
          <w:tcPr>
            <w:tcW w:w="891" w:type="dxa"/>
            <w:vMerge w:val="continue"/>
            <w:vAlign w:val="center"/>
          </w:tcPr>
          <w:p>
            <w:pPr>
              <w:pStyle w:val="39"/>
              <w:rPr>
                <w:rFonts w:ascii="Times New Roman" w:hAnsi="Times New Roman"/>
              </w:rPr>
            </w:pPr>
          </w:p>
        </w:tc>
        <w:tc>
          <w:tcPr>
            <w:tcW w:w="1275" w:type="dxa"/>
            <w:vAlign w:val="center"/>
          </w:tcPr>
          <w:p>
            <w:pPr>
              <w:pStyle w:val="39"/>
              <w:rPr>
                <w:rFonts w:ascii="Times New Roman" w:hAnsi="Times New Roman"/>
              </w:rPr>
            </w:pPr>
            <w:r>
              <w:rPr>
                <w:rFonts w:ascii="Times New Roman" w:hAnsi="Times New Roman"/>
              </w:rPr>
              <w:t>大冶组</w:t>
            </w:r>
          </w:p>
        </w:tc>
        <w:tc>
          <w:tcPr>
            <w:tcW w:w="992" w:type="dxa"/>
            <w:vAlign w:val="center"/>
          </w:tcPr>
          <w:p>
            <w:pPr>
              <w:pStyle w:val="39"/>
              <w:rPr>
                <w:rFonts w:ascii="Times New Roman" w:hAnsi="Times New Roman"/>
              </w:rPr>
            </w:pPr>
            <w:r>
              <w:rPr>
                <w:rFonts w:ascii="Times New Roman" w:hAnsi="Times New Roman"/>
              </w:rPr>
              <w:t>T</w:t>
            </w:r>
            <w:r>
              <w:rPr>
                <w:rFonts w:ascii="Times New Roman" w:hAnsi="Times New Roman"/>
                <w:vertAlign w:val="subscript"/>
              </w:rPr>
              <w:t>1</w:t>
            </w:r>
            <w:r>
              <w:rPr>
                <w:rFonts w:ascii="Times New Roman" w:hAnsi="Times New Roman"/>
              </w:rPr>
              <w:t>d</w:t>
            </w:r>
          </w:p>
        </w:tc>
        <w:tc>
          <w:tcPr>
            <w:tcW w:w="3407" w:type="dxa"/>
            <w:vAlign w:val="center"/>
          </w:tcPr>
          <w:p>
            <w:pPr>
              <w:pStyle w:val="39"/>
              <w:rPr>
                <w:rFonts w:ascii="Times New Roman" w:hAnsi="Times New Roman"/>
              </w:rPr>
            </w:pPr>
            <w:r>
              <w:rPr>
                <w:rFonts w:ascii="Times New Roman" w:hAnsi="Times New Roman"/>
              </w:rPr>
              <w:t>灰、浅灰色中厚层灰岩夹泥质灰岩，分布较少</w:t>
            </w:r>
          </w:p>
        </w:tc>
        <w:tc>
          <w:tcPr>
            <w:tcW w:w="1065" w:type="dxa"/>
            <w:vAlign w:val="center"/>
          </w:tcPr>
          <w:p>
            <w:pPr>
              <w:pStyle w:val="39"/>
              <w:rPr>
                <w:rFonts w:ascii="Times New Roman" w:hAnsi="Times New Roman"/>
              </w:rPr>
            </w:pPr>
            <w:r>
              <w:rPr>
                <w:rFonts w:ascii="Times New Roman" w:hAnsi="Times New Roman"/>
              </w:rPr>
              <w:t>251-656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5" w:hRule="atLeast"/>
          <w:jc w:val="center"/>
        </w:trPr>
        <w:tc>
          <w:tcPr>
            <w:tcW w:w="631" w:type="dxa"/>
            <w:vMerge w:val="restart"/>
            <w:vAlign w:val="center"/>
          </w:tcPr>
          <w:p>
            <w:pPr>
              <w:pStyle w:val="39"/>
              <w:rPr>
                <w:rFonts w:ascii="Times New Roman" w:hAnsi="Times New Roman"/>
              </w:rPr>
            </w:pPr>
            <w:r>
              <w:rPr>
                <w:rFonts w:ascii="Times New Roman" w:hAnsi="Times New Roman"/>
              </w:rPr>
              <w:t>古生界</w:t>
            </w:r>
          </w:p>
        </w:tc>
        <w:tc>
          <w:tcPr>
            <w:tcW w:w="884" w:type="dxa"/>
            <w:vMerge w:val="restart"/>
            <w:vAlign w:val="center"/>
          </w:tcPr>
          <w:p>
            <w:pPr>
              <w:pStyle w:val="39"/>
              <w:rPr>
                <w:rFonts w:ascii="Times New Roman" w:hAnsi="Times New Roman"/>
              </w:rPr>
            </w:pPr>
            <w:r>
              <w:rPr>
                <w:rFonts w:ascii="Times New Roman" w:hAnsi="Times New Roman"/>
              </w:rPr>
              <w:t>二迭系</w:t>
            </w:r>
          </w:p>
        </w:tc>
        <w:tc>
          <w:tcPr>
            <w:tcW w:w="891" w:type="dxa"/>
            <w:vAlign w:val="center"/>
          </w:tcPr>
          <w:p>
            <w:pPr>
              <w:pStyle w:val="39"/>
              <w:rPr>
                <w:rFonts w:ascii="Times New Roman" w:hAnsi="Times New Roman"/>
              </w:rPr>
            </w:pPr>
            <w:r>
              <w:rPr>
                <w:rFonts w:ascii="Times New Roman" w:hAnsi="Times New Roman"/>
              </w:rPr>
              <w:t>上统</w:t>
            </w:r>
          </w:p>
        </w:tc>
        <w:tc>
          <w:tcPr>
            <w:tcW w:w="1275" w:type="dxa"/>
            <w:vAlign w:val="center"/>
          </w:tcPr>
          <w:p>
            <w:pPr>
              <w:pStyle w:val="39"/>
              <w:rPr>
                <w:rFonts w:ascii="Times New Roman" w:hAnsi="Times New Roman"/>
              </w:rPr>
            </w:pPr>
          </w:p>
        </w:tc>
        <w:tc>
          <w:tcPr>
            <w:tcW w:w="992" w:type="dxa"/>
            <w:vAlign w:val="center"/>
          </w:tcPr>
          <w:p>
            <w:pPr>
              <w:pStyle w:val="39"/>
              <w:rPr>
                <w:rFonts w:ascii="Times New Roman" w:hAnsi="Times New Roman"/>
              </w:rPr>
            </w:pPr>
            <w:r>
              <w:rPr>
                <w:rFonts w:ascii="Times New Roman" w:hAnsi="Times New Roman"/>
              </w:rPr>
              <w:t>P1</w:t>
            </w:r>
          </w:p>
        </w:tc>
        <w:tc>
          <w:tcPr>
            <w:tcW w:w="3407" w:type="dxa"/>
            <w:vAlign w:val="center"/>
          </w:tcPr>
          <w:p>
            <w:pPr>
              <w:pStyle w:val="39"/>
              <w:rPr>
                <w:rFonts w:ascii="Times New Roman" w:hAnsi="Times New Roman"/>
              </w:rPr>
            </w:pPr>
            <w:r>
              <w:rPr>
                <w:rFonts w:ascii="Times New Roman" w:hAnsi="Times New Roman"/>
              </w:rPr>
              <w:t>厚层-块状灰岩，沥青质灰岩，局部夹页岩，粉砂岩或薄层碳质岩</w:t>
            </w:r>
          </w:p>
        </w:tc>
        <w:tc>
          <w:tcPr>
            <w:tcW w:w="1065" w:type="dxa"/>
            <w:vAlign w:val="center"/>
          </w:tcPr>
          <w:p>
            <w:pPr>
              <w:pStyle w:val="39"/>
              <w:rPr>
                <w:rFonts w:ascii="Times New Roman" w:hAnsi="Times New Roman"/>
              </w:rPr>
            </w:pPr>
            <w:r>
              <w:rPr>
                <w:rFonts w:ascii="Times New Roman" w:hAnsi="Times New Roman"/>
              </w:rPr>
              <w:t>126.4-206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1" w:hRule="atLeast"/>
          <w:jc w:val="center"/>
        </w:trPr>
        <w:tc>
          <w:tcPr>
            <w:tcW w:w="631" w:type="dxa"/>
            <w:vMerge w:val="continue"/>
            <w:vAlign w:val="center"/>
          </w:tcPr>
          <w:p>
            <w:pPr>
              <w:pStyle w:val="39"/>
              <w:rPr>
                <w:rFonts w:ascii="Times New Roman" w:hAnsi="Times New Roman"/>
              </w:rPr>
            </w:pPr>
          </w:p>
        </w:tc>
        <w:tc>
          <w:tcPr>
            <w:tcW w:w="884" w:type="dxa"/>
            <w:vMerge w:val="continue"/>
            <w:vAlign w:val="center"/>
          </w:tcPr>
          <w:p>
            <w:pPr>
              <w:pStyle w:val="39"/>
              <w:rPr>
                <w:rFonts w:ascii="Times New Roman" w:hAnsi="Times New Roman"/>
              </w:rPr>
            </w:pPr>
          </w:p>
        </w:tc>
        <w:tc>
          <w:tcPr>
            <w:tcW w:w="891" w:type="dxa"/>
            <w:vAlign w:val="center"/>
          </w:tcPr>
          <w:p>
            <w:pPr>
              <w:pStyle w:val="39"/>
              <w:rPr>
                <w:rFonts w:ascii="Times New Roman" w:hAnsi="Times New Roman"/>
              </w:rPr>
            </w:pPr>
            <w:r>
              <w:rPr>
                <w:rFonts w:ascii="Times New Roman" w:hAnsi="Times New Roman"/>
              </w:rPr>
              <w:t>上统</w:t>
            </w:r>
          </w:p>
        </w:tc>
        <w:tc>
          <w:tcPr>
            <w:tcW w:w="1275" w:type="dxa"/>
            <w:vAlign w:val="center"/>
          </w:tcPr>
          <w:p>
            <w:pPr>
              <w:pStyle w:val="39"/>
              <w:rPr>
                <w:rFonts w:ascii="Times New Roman" w:hAnsi="Times New Roman"/>
              </w:rPr>
            </w:pPr>
          </w:p>
        </w:tc>
        <w:tc>
          <w:tcPr>
            <w:tcW w:w="992" w:type="dxa"/>
            <w:vAlign w:val="center"/>
          </w:tcPr>
          <w:p>
            <w:pPr>
              <w:pStyle w:val="39"/>
              <w:rPr>
                <w:rFonts w:ascii="Times New Roman" w:hAnsi="Times New Roman"/>
              </w:rPr>
            </w:pPr>
            <w:r>
              <w:rPr>
                <w:rFonts w:ascii="Times New Roman" w:hAnsi="Times New Roman"/>
              </w:rPr>
              <w:t>P2</w:t>
            </w:r>
          </w:p>
        </w:tc>
        <w:tc>
          <w:tcPr>
            <w:tcW w:w="3407" w:type="dxa"/>
            <w:vAlign w:val="center"/>
          </w:tcPr>
          <w:p>
            <w:pPr>
              <w:pStyle w:val="39"/>
              <w:rPr>
                <w:rFonts w:ascii="Times New Roman" w:hAnsi="Times New Roman"/>
              </w:rPr>
            </w:pPr>
            <w:r>
              <w:rPr>
                <w:rFonts w:ascii="Times New Roman" w:hAnsi="Times New Roman"/>
              </w:rPr>
              <w:t>中-厚层灰岩、含燧石长带式团块，顶部夹灰质页岩，硅质岩，底部夹砂页岩及粘土岩</w:t>
            </w:r>
          </w:p>
        </w:tc>
        <w:tc>
          <w:tcPr>
            <w:tcW w:w="1065" w:type="dxa"/>
            <w:vAlign w:val="center"/>
          </w:tcPr>
          <w:p>
            <w:pPr>
              <w:pStyle w:val="39"/>
              <w:rPr>
                <w:rFonts w:ascii="Times New Roman" w:hAnsi="Times New Roman"/>
              </w:rPr>
            </w:pPr>
            <w:r>
              <w:rPr>
                <w:rFonts w:ascii="Times New Roman" w:hAnsi="Times New Roman"/>
              </w:rPr>
              <w:t>59.8-524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31" w:type="dxa"/>
            <w:vMerge w:val="continue"/>
            <w:vAlign w:val="center"/>
          </w:tcPr>
          <w:p>
            <w:pPr>
              <w:pStyle w:val="39"/>
              <w:rPr>
                <w:rFonts w:ascii="Times New Roman" w:hAnsi="Times New Roman"/>
              </w:rPr>
            </w:pPr>
          </w:p>
        </w:tc>
        <w:tc>
          <w:tcPr>
            <w:tcW w:w="884" w:type="dxa"/>
            <w:vAlign w:val="center"/>
          </w:tcPr>
          <w:p>
            <w:pPr>
              <w:pStyle w:val="39"/>
              <w:rPr>
                <w:rFonts w:ascii="Times New Roman" w:hAnsi="Times New Roman"/>
              </w:rPr>
            </w:pPr>
            <w:r>
              <w:rPr>
                <w:rFonts w:ascii="Times New Roman" w:hAnsi="Times New Roman"/>
              </w:rPr>
              <w:t>志留系</w:t>
            </w:r>
          </w:p>
        </w:tc>
        <w:tc>
          <w:tcPr>
            <w:tcW w:w="891" w:type="dxa"/>
            <w:vAlign w:val="center"/>
          </w:tcPr>
          <w:p>
            <w:pPr>
              <w:pStyle w:val="39"/>
              <w:rPr>
                <w:rFonts w:ascii="Times New Roman" w:hAnsi="Times New Roman"/>
              </w:rPr>
            </w:pPr>
            <w:r>
              <w:rPr>
                <w:rFonts w:ascii="Times New Roman" w:hAnsi="Times New Roman"/>
              </w:rPr>
              <w:t>中统</w:t>
            </w:r>
          </w:p>
        </w:tc>
        <w:tc>
          <w:tcPr>
            <w:tcW w:w="1275" w:type="dxa"/>
            <w:vAlign w:val="center"/>
          </w:tcPr>
          <w:p>
            <w:pPr>
              <w:pStyle w:val="39"/>
              <w:rPr>
                <w:rFonts w:ascii="Times New Roman" w:hAnsi="Times New Roman"/>
              </w:rPr>
            </w:pPr>
            <w:r>
              <w:rPr>
                <w:rFonts w:ascii="Times New Roman" w:hAnsi="Times New Roman"/>
              </w:rPr>
              <w:t>徐家坝组</w:t>
            </w:r>
          </w:p>
        </w:tc>
        <w:tc>
          <w:tcPr>
            <w:tcW w:w="992" w:type="dxa"/>
            <w:vAlign w:val="center"/>
          </w:tcPr>
          <w:p>
            <w:pPr>
              <w:pStyle w:val="39"/>
              <w:rPr>
                <w:rFonts w:ascii="Times New Roman" w:hAnsi="Times New Roman"/>
              </w:rPr>
            </w:pPr>
            <w:r>
              <w:rPr>
                <w:rFonts w:ascii="Times New Roman" w:hAnsi="Times New Roman"/>
              </w:rPr>
              <w:t>S</w:t>
            </w:r>
            <w:r>
              <w:rPr>
                <w:rFonts w:ascii="Times New Roman" w:hAnsi="Times New Roman"/>
                <w:vertAlign w:val="subscript"/>
              </w:rPr>
              <w:t>2</w:t>
            </w:r>
            <w:r>
              <w:rPr>
                <w:rFonts w:ascii="Times New Roman" w:hAnsi="Times New Roman"/>
              </w:rPr>
              <w:t>xj</w:t>
            </w:r>
          </w:p>
        </w:tc>
        <w:tc>
          <w:tcPr>
            <w:tcW w:w="3407" w:type="dxa"/>
            <w:vAlign w:val="center"/>
          </w:tcPr>
          <w:p>
            <w:pPr>
              <w:pStyle w:val="39"/>
              <w:rPr>
                <w:rFonts w:ascii="Times New Roman" w:hAnsi="Times New Roman"/>
              </w:rPr>
            </w:pPr>
            <w:r>
              <w:rPr>
                <w:rFonts w:ascii="Times New Roman" w:hAnsi="Times New Roman"/>
              </w:rPr>
              <w:t>页岩、粉砂岩，硅质岩互层，中部夹生物灰岩透镜体</w:t>
            </w:r>
          </w:p>
        </w:tc>
        <w:tc>
          <w:tcPr>
            <w:tcW w:w="1065" w:type="dxa"/>
            <w:vAlign w:val="center"/>
          </w:tcPr>
          <w:p>
            <w:pPr>
              <w:pStyle w:val="39"/>
              <w:rPr>
                <w:rFonts w:ascii="Times New Roman" w:hAnsi="Times New Roman"/>
              </w:rPr>
            </w:pPr>
            <w:r>
              <w:rPr>
                <w:rFonts w:ascii="Times New Roman" w:hAnsi="Times New Roman"/>
              </w:rPr>
              <w:t>728-948</w:t>
            </w:r>
          </w:p>
        </w:tc>
      </w:tr>
    </w:tbl>
    <w:p>
      <w:pPr>
        <w:ind w:firstLine="480"/>
        <w:rPr>
          <w:rFonts w:ascii="Times New Roman" w:hAnsi="Times New Roman"/>
        </w:rPr>
      </w:pPr>
    </w:p>
    <w:p>
      <w:pPr>
        <w:ind w:firstLine="0" w:firstLineChars="0"/>
        <w:rPr>
          <w:rFonts w:ascii="Times New Roman" w:hAnsi="Times New Roman"/>
        </w:rPr>
      </w:pPr>
      <w:r>
        <w:rPr>
          <w:rFonts w:ascii="Times New Roman" w:hAnsi="Times New Roman"/>
        </w:rPr>
        <w:drawing>
          <wp:inline distT="0" distB="0" distL="0" distR="0">
            <wp:extent cx="5274310" cy="3797935"/>
            <wp:effectExtent l="0" t="0" r="2540" b="0"/>
            <wp:docPr id="172752787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527877" name="图片 10"/>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274310" cy="3798421"/>
                    </a:xfrm>
                    <a:prstGeom prst="rect">
                      <a:avLst/>
                    </a:prstGeom>
                  </pic:spPr>
                </pic:pic>
              </a:graphicData>
            </a:graphic>
          </wp:inline>
        </w:drawing>
      </w:r>
    </w:p>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 xml:space="preserve">  区域地质简图</w:t>
      </w:r>
    </w:p>
    <w:p>
      <w:pPr>
        <w:ind w:firstLine="480"/>
        <w:rPr>
          <w:rFonts w:ascii="Times New Roman" w:hAnsi="Times New Roman"/>
        </w:rPr>
      </w:pPr>
      <w:r>
        <w:rPr>
          <w:rFonts w:ascii="Times New Roman" w:hAnsi="Times New Roman"/>
        </w:rPr>
        <w:t>据物探资料确定，该断裂展布于李村—瀛海一线，走向北东50-70°，长约17km。据李村钻孔资料，在紫红色泥砾岩中发现有挤压面和擦痕。</w:t>
      </w:r>
    </w:p>
    <w:p>
      <w:pPr>
        <w:ind w:firstLine="480"/>
        <w:rPr>
          <w:rFonts w:ascii="Times New Roman" w:hAnsi="Times New Roman"/>
        </w:rPr>
      </w:pPr>
      <w:r>
        <w:rPr>
          <w:rFonts w:ascii="Times New Roman" w:hAnsi="Times New Roman"/>
        </w:rPr>
        <w:t>（2）地质构造特征</w:t>
      </w:r>
    </w:p>
    <w:p>
      <w:pPr>
        <w:ind w:firstLine="480"/>
        <w:rPr>
          <w:rFonts w:ascii="Times New Roman" w:hAnsi="Times New Roman"/>
        </w:rPr>
      </w:pPr>
      <w:r>
        <w:rPr>
          <w:rFonts w:ascii="Times New Roman" w:hAnsi="Times New Roman"/>
        </w:rPr>
        <w:t>区域构造部位处于大巴山南缘弧形构造带与四川盆地东北部新华夏构造带的复合地带（图2-4），以大巴山南缘弧形构造带为主体构造，构造形迹主要为褶皱构造，其次为压性或压扭性断层。</w:t>
      </w:r>
    </w:p>
    <w:p>
      <w:pPr>
        <w:ind w:firstLine="480"/>
        <w:rPr>
          <w:rFonts w:ascii="Times New Roman" w:hAnsi="Times New Roman"/>
        </w:rPr>
      </w:pPr>
      <w:r>
        <w:rPr>
          <w:rFonts w:ascii="Times New Roman" w:hAnsi="Times New Roman"/>
        </w:rPr>
        <w:t>区内地质构造以褶皱为主，其次为断层。构造在宏观上决定了地层的产状、岩体的破碎程度等。在构造应力集中区，如背、向斜轴部（特别是背斜轴部）、断层附近岩体较为破碎，各种节理裂隙发育，易发生地质灾害。</w:t>
      </w:r>
    </w:p>
    <w:p>
      <w:pPr>
        <w:ind w:firstLine="480"/>
        <w:rPr>
          <w:rFonts w:ascii="Times New Roman" w:hAnsi="Times New Roman"/>
        </w:rPr>
      </w:pPr>
      <w:r>
        <w:rPr>
          <w:rFonts w:ascii="Times New Roman" w:hAnsi="Times New Roman"/>
        </w:rPr>
        <w:t>1）大巴山南缘弧形构造带</w:t>
      </w:r>
    </w:p>
    <w:p>
      <w:pPr>
        <w:ind w:firstLine="480"/>
        <w:rPr>
          <w:rFonts w:ascii="Times New Roman" w:hAnsi="Times New Roman"/>
        </w:rPr>
      </w:pPr>
      <w:r>
        <w:rPr>
          <w:rFonts w:ascii="Times New Roman" w:hAnsi="Times New Roman"/>
        </w:rPr>
        <w:t>由一系列走向近似平行的褶皱和断层组成，以褶皱为主，褶皱轴向和断层走向为西北向，总体呈弧形展布。褶皱从西南向东北渐趋紧密，岩层倾角渐增，卷入的地层渐老，规模由小到大，一般轴向长数公里至数十公里，且多以复背斜形式出现，主要有八台山-大宁厂向斜，渔沙-王楼复背斜，石塘坝-添子城复背斜，峰城背斜，灵山坪向斜，东狱寨背斜及帽合山向斜等。</w:t>
      </w:r>
    </w:p>
    <w:p>
      <w:pPr>
        <w:ind w:firstLine="480"/>
        <w:rPr>
          <w:rFonts w:ascii="Times New Roman" w:hAnsi="Times New Roman"/>
        </w:rPr>
      </w:pPr>
      <w:r>
        <w:rPr>
          <w:rFonts w:ascii="Times New Roman" w:hAnsi="Times New Roman"/>
        </w:rPr>
        <w:t>2）四川盆地东北部新华夏构造带</w:t>
      </w:r>
    </w:p>
    <w:p>
      <w:pPr>
        <w:ind w:firstLine="480"/>
        <w:rPr>
          <w:rFonts w:ascii="Times New Roman" w:hAnsi="Times New Roman"/>
        </w:rPr>
      </w:pPr>
      <w:r>
        <w:rPr>
          <w:rFonts w:ascii="Times New Roman" w:hAnsi="Times New Roman"/>
        </w:rPr>
        <w:t>由一系列轴向北东至北北东向的不对称褶皱组成，为四川盆地弧形构造体系北缘</w:t>
      </w:r>
      <w:r>
        <w:rPr>
          <w:rFonts w:hint="eastAsia" w:ascii="Times New Roman" w:hAnsi="Times New Roman"/>
          <w:lang w:eastAsia="zh-CN"/>
        </w:rPr>
        <w:t>组成部分</w:t>
      </w:r>
      <w:r>
        <w:rPr>
          <w:rFonts w:ascii="Times New Roman" w:hAnsi="Times New Roman"/>
        </w:rPr>
        <w:t>。背斜成山较紧密，一般南东翼陡，北西翼缓，向斜成谷较开阔。主要构造形迹有黄金口背斜，七里峡背斜、双石庙背斜、平楼场向斜，棺木寨向斜，亭子铺向斜等。</w:t>
      </w:r>
    </w:p>
    <w:p>
      <w:pPr>
        <w:ind w:firstLine="0" w:firstLineChars="0"/>
        <w:jc w:val="center"/>
        <w:rPr>
          <w:rFonts w:ascii="Times New Roman" w:hAnsi="Times New Roman"/>
        </w:rPr>
      </w:pPr>
      <w:r>
        <w:rPr>
          <w:rFonts w:ascii="Times New Roman" w:hAnsi="Times New Roman"/>
        </w:rPr>
        <w:object>
          <v:shape id="_x0000_i1030" o:spt="75" type="#_x0000_t75" style="height:272.5pt;width:446.5pt;" o:ole="t" filled="f" o:preferrelative="t" stroked="f" coordsize="21600,21600">
            <v:path/>
            <v:fill on="f" focussize="0,0"/>
            <v:stroke on="f" joinstyle="miter"/>
            <v:imagedata r:id="rId104" cropleft="3736f" croptop="3695f" cropright="3684f" cropbottom="8174f" o:title=""/>
            <o:lock v:ext="edit" aspectratio="t"/>
            <w10:wrap type="none"/>
            <w10:anchorlock/>
          </v:shape>
          <o:OLEObject Type="Embed" ProgID="AutoCAD.Drawing.16" ShapeID="_x0000_i1030" DrawAspect="Content" ObjectID="_1468075729" r:id="rId103">
            <o:LockedField>false</o:LockedField>
          </o:OLEObject>
        </w:object>
      </w:r>
      <w:r>
        <w:rPr>
          <w:rFonts w:ascii="Times New Roman" w:hAnsi="Times New Roman"/>
        </w:rPr>
        <w:t xml:space="preserve">图 </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6</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 \* ARABIC \s 1 </w:instrText>
      </w:r>
      <w:r>
        <w:rPr>
          <w:rFonts w:ascii="Times New Roman" w:hAnsi="Times New Roman"/>
        </w:rPr>
        <w:fldChar w:fldCharType="separate"/>
      </w:r>
      <w:r>
        <w:rPr>
          <w:rFonts w:ascii="Times New Roman" w:hAnsi="Times New Roman"/>
        </w:rPr>
        <w:t>2</w:t>
      </w:r>
      <w:r>
        <w:rPr>
          <w:rFonts w:ascii="Times New Roman" w:hAnsi="Times New Roman"/>
        </w:rPr>
        <w:fldChar w:fldCharType="end"/>
      </w:r>
      <w:r>
        <w:rPr>
          <w:rFonts w:ascii="Times New Roman" w:hAnsi="Times New Roman"/>
        </w:rPr>
        <w:t xml:space="preserve">  区域构造地质图</w:t>
      </w:r>
    </w:p>
    <w:p>
      <w:pPr>
        <w:ind w:firstLine="480"/>
        <w:rPr>
          <w:rFonts w:ascii="Times New Roman" w:hAnsi="Times New Roman"/>
        </w:rPr>
      </w:pPr>
      <w:r>
        <w:rPr>
          <w:rFonts w:ascii="Times New Roman" w:hAnsi="Times New Roman"/>
        </w:rPr>
        <w:t>（3）水文地质</w:t>
      </w:r>
    </w:p>
    <w:p>
      <w:pPr>
        <w:ind w:firstLine="480"/>
        <w:rPr>
          <w:rFonts w:ascii="Times New Roman" w:hAnsi="Times New Roman"/>
        </w:rPr>
      </w:pPr>
      <w:r>
        <w:rPr>
          <w:rFonts w:ascii="Times New Roman" w:hAnsi="Times New Roman"/>
        </w:rPr>
        <w:t>1）地下水类型及富水性</w:t>
      </w:r>
    </w:p>
    <w:p>
      <w:pPr>
        <w:ind w:firstLine="480"/>
        <w:rPr>
          <w:rFonts w:ascii="Times New Roman" w:hAnsi="Times New Roman"/>
        </w:rPr>
      </w:pPr>
      <w:r>
        <w:rPr>
          <w:rFonts w:ascii="Times New Roman" w:hAnsi="Times New Roman"/>
        </w:rPr>
        <w:t>基岩裂隙水遍布评价区，按照裂隙性质，地下水的赋存条件，主要分为构造裂隙水和风化带裂隙水两个亚类（图2-10）。</w:t>
      </w:r>
    </w:p>
    <w:p>
      <w:pPr>
        <w:ind w:firstLine="480"/>
        <w:rPr>
          <w:rFonts w:ascii="Times New Roman" w:hAnsi="Times New Roman"/>
        </w:rPr>
      </w:pPr>
      <w:r>
        <w:rPr>
          <w:rFonts w:ascii="Times New Roman" w:hAnsi="Times New Roman"/>
        </w:rPr>
        <w:t>A、构造裂隙水</w:t>
      </w:r>
    </w:p>
    <w:p>
      <w:pPr>
        <w:ind w:firstLine="480"/>
        <w:rPr>
          <w:rFonts w:ascii="Times New Roman" w:hAnsi="Times New Roman"/>
        </w:rPr>
      </w:pPr>
      <w:r>
        <w:rPr>
          <w:rFonts w:ascii="Times New Roman" w:hAnsi="Times New Roman"/>
        </w:rPr>
        <w:t>该类地下水主要由蓬莱镇组的泥质砂岩夹有薄层粉细砂岩以及厚层细砂岩组成。该含水岩组分布在项目区域的北部，地质构造不发育，岩层倾角普遍小于10°，多在3-8°，地下水多具承压性质。</w:t>
      </w:r>
    </w:p>
    <w:p>
      <w:pPr>
        <w:ind w:firstLine="480"/>
        <w:rPr>
          <w:rFonts w:ascii="Times New Roman" w:hAnsi="Times New Roman"/>
        </w:rPr>
      </w:pPr>
      <w:r>
        <w:rPr>
          <w:rFonts w:ascii="Times New Roman" w:hAnsi="Times New Roman"/>
        </w:rPr>
        <w:t>通过钻孔揭露，该地层砂岩单层厚度较厚，砂岩平均比例高达94%，砂岩的孔隙度为3～7%，裂隙频率一般为1～3条/m，局部达4～6条/m；面裂隙率在2～10%之间，在补给条件好的地段富水性较好。由于评价区内褶皱比较强烈，岩层产状较陡，倾角一般可达30～50°，致使水文网呈叶脉状展布，主要河流以垂直构造线发育为主，支沟则以走向谷居多，在沟谷水流的侵蚀切割作用下，形成了现有的台梁-窄谷地形。在该区的构造、岩性、地貌条件控制下，含水层呈条带状分布，并受到强烈的分割，因此在褶皱翼部常形成自流斜地，钻孔多具承压性。</w:t>
      </w:r>
    </w:p>
    <w:p>
      <w:pPr>
        <w:ind w:firstLine="0" w:firstLineChars="0"/>
        <w:rPr>
          <w:rFonts w:ascii="Times New Roman" w:hAnsi="Times New Roman"/>
        </w:rPr>
      </w:pPr>
      <w:r>
        <w:rPr>
          <w:rFonts w:ascii="Times New Roman" w:hAnsi="Times New Roman"/>
        </w:rPr>
        <w:drawing>
          <wp:inline distT="0" distB="0" distL="0" distR="0">
            <wp:extent cx="5274310" cy="6755765"/>
            <wp:effectExtent l="0" t="0" r="2540" b="6985"/>
            <wp:docPr id="9629702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970279" name="图片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5274310" cy="6755765"/>
                    </a:xfrm>
                    <a:prstGeom prst="rect">
                      <a:avLst/>
                    </a:prstGeom>
                    <a:noFill/>
                    <a:ln>
                      <a:noFill/>
                    </a:ln>
                  </pic:spPr>
                </pic:pic>
              </a:graphicData>
            </a:graphic>
          </wp:inline>
        </w:drawing>
      </w:r>
    </w:p>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 xml:space="preserve">  评价区地下水含水岩组分区图</w:t>
      </w:r>
    </w:p>
    <w:p>
      <w:pPr>
        <w:ind w:firstLine="480"/>
        <w:rPr>
          <w:rFonts w:ascii="Times New Roman" w:hAnsi="Times New Roman"/>
        </w:rPr>
      </w:pPr>
    </w:p>
    <w:p>
      <w:pPr>
        <w:ind w:firstLine="480"/>
        <w:rPr>
          <w:rFonts w:ascii="Times New Roman" w:hAnsi="Times New Roman"/>
        </w:rPr>
      </w:pPr>
      <w:r>
        <w:rPr>
          <w:rFonts w:ascii="Times New Roman" w:hAnsi="Times New Roman"/>
        </w:rPr>
        <w:t>B、风化带孔隙裂隙水</w:t>
      </w:r>
    </w:p>
    <w:p>
      <w:pPr>
        <w:ind w:firstLine="480"/>
        <w:rPr>
          <w:rFonts w:ascii="Times New Roman" w:hAnsi="Times New Roman"/>
        </w:rPr>
      </w:pPr>
      <w:r>
        <w:rPr>
          <w:rFonts w:ascii="Times New Roman" w:hAnsi="Times New Roman"/>
        </w:rPr>
        <w:t>含水岩组为区内侏罗系中、上统地层组成，以砂岩为主要含水层。受砂岩层数和厚度的控制，不同含水岩组地段出露泉点的数量以及泉流量存在较大的差异。如以砂泥岩不等厚互层的沙溪庙组下段、蓬莱镇组下段含水岩组，泉点出露较多，但流量普遍较小。</w:t>
      </w:r>
    </w:p>
    <w:p>
      <w:pPr>
        <w:ind w:firstLine="480"/>
        <w:rPr>
          <w:rFonts w:ascii="Times New Roman" w:hAnsi="Times New Roman"/>
        </w:rPr>
      </w:pPr>
      <w:r>
        <w:rPr>
          <w:rFonts w:ascii="Times New Roman" w:hAnsi="Times New Roman"/>
        </w:rPr>
        <w:t>在地形地貌、岩性和裂隙发育强弱的控制下，其富水性差异较大。钻孔涌水量一般为7.82～68.56m³/d。在山体坡度较陡倾、出露为砂质泥岩以及构造裂隙发育较弱的斜坡地带，不利于地下水的入渗补给，降雨多随地形坡度形成地表水直接汇入沟谷之中，因而在区内具有较强的不均一性，多具潜水性质。</w:t>
      </w:r>
    </w:p>
    <w:p>
      <w:pPr>
        <w:ind w:firstLine="480"/>
        <w:rPr>
          <w:rFonts w:ascii="Times New Roman" w:hAnsi="Times New Roman"/>
        </w:rPr>
      </w:pPr>
      <w:r>
        <w:rPr>
          <w:rFonts w:ascii="Times New Roman" w:hAnsi="Times New Roman"/>
        </w:rPr>
        <w:t>分布于评价区西南部，含水层为侏罗系中统上沙溪庙组地层。由于地层产状较平缓，一般小于10°，砂、泥岩岩层近于水平迭置，地面受到沟谷的强烈分割，而台梁-窄谷和单面斜山地形发育，降雨多随着地形坡度直接汇入沟谷之中，导致地下水的补给条件普遍不良，故富水性一般较弱。根据野外调查成果，泉流量多处于0.01~0.1L/s之间，单井涌水量一般为50～100m³/d。</w:t>
      </w:r>
    </w:p>
    <w:p>
      <w:pPr>
        <w:ind w:firstLine="480"/>
        <w:rPr>
          <w:rFonts w:ascii="Times New Roman" w:hAnsi="Times New Roman"/>
        </w:rPr>
      </w:pPr>
      <w:r>
        <w:rPr>
          <w:rFonts w:ascii="Times New Roman" w:hAnsi="Times New Roman"/>
        </w:rPr>
        <w:t>2）地下水补、径、排特征</w:t>
      </w:r>
    </w:p>
    <w:p>
      <w:pPr>
        <w:ind w:firstLine="480"/>
        <w:rPr>
          <w:rFonts w:ascii="Times New Roman" w:hAnsi="Times New Roman"/>
        </w:rPr>
      </w:pPr>
      <w:r>
        <w:rPr>
          <w:rFonts w:ascii="Times New Roman" w:hAnsi="Times New Roman"/>
        </w:rPr>
        <w:t>评价区地下水的补给、径流、排泄与地质构造、地貌和气象因素有着密切的关系。其中，地质构造和地貌对地下水的补给、运移的影响控制作用最为显著。</w:t>
      </w:r>
    </w:p>
    <w:p>
      <w:pPr>
        <w:ind w:firstLine="480"/>
        <w:rPr>
          <w:rFonts w:ascii="Times New Roman" w:hAnsi="Times New Roman"/>
        </w:rPr>
      </w:pPr>
      <w:r>
        <w:rPr>
          <w:rFonts w:ascii="Times New Roman" w:hAnsi="Times New Roman"/>
        </w:rPr>
        <w:t>根据前述区内地质环境条件，构造裂隙水往往具有以下几个特点：第一、地下水以接受大气降雨的入渗为主，在含水层裸露于山岭的地带，补给入渗条件好，补给区较高，被钻孔揭露后，通常具有承压性；第二、含水层得到补给后，主要是通过构造裂隙和层间裂隙沿着岩层的倾斜方向做垂向运动，一部分在地形陡倾的地段及地表侵蚀基准面以上以下降泉的方式排泄，一部分则继续向深部运移、汇集，并做水平运动，在含水层被河谷切割时排泄进地表水；第三、以砂岩为主要含水层，在砂岩与泥岩相间组成的含水层中，根据裂隙发育的特点，各砂岩层的地下水，尤其在深部，一般具有单独的补、径、排系统，上、下层的含水层往往不具有水力联系；第四、循环途径相对较远，多在深部径流，少有天然排泄。</w:t>
      </w:r>
    </w:p>
    <w:p>
      <w:pPr>
        <w:ind w:firstLine="480"/>
        <w:rPr>
          <w:rFonts w:ascii="Times New Roman" w:hAnsi="Times New Roman"/>
        </w:rPr>
      </w:pPr>
      <w:r>
        <w:rPr>
          <w:rFonts w:ascii="Times New Roman" w:hAnsi="Times New Roman"/>
        </w:rPr>
        <w:t>风化带裂隙水分布区，由于切割强烈，形成了许多长条形的台梁-窄谷地形，这种地质、地貌条件一般不利于大气降雨入渗补给，故该区地下水属于就地补给、就近排泄的浅层潜水，径流路径一般较短。据野外调查，泉水多出露在砂岩底部与泥岩接触面附近，而砂岩中的裂隙一般仅切穿本层，很少切入到泥岩之中，不同层次的砂岩中一般具有各自的裂隙系统，各含水层之间一般不发生水力联系。</w:t>
      </w:r>
    </w:p>
    <w:p>
      <w:pPr>
        <w:ind w:firstLine="480"/>
        <w:rPr>
          <w:rFonts w:ascii="Times New Roman" w:hAnsi="Times New Roman"/>
        </w:rPr>
      </w:pPr>
      <w:r>
        <w:rPr>
          <w:rFonts w:ascii="Times New Roman" w:hAnsi="Times New Roman"/>
        </w:rPr>
        <w:t>总的来说，评价区内地表以下第一含水层是以沟谷为中心，地表分水岭为界，构成具有独立的补、径、排系统的独立水文地质单元。地下水在水文地质单元内接受大气降水入渗补给，顺地势向河流以及沟谷低洼处径流，但在斜坡地带往往只经过短途的径流就以泉的方式排泄出地表，最终在谷底地带埋藏形成地下水储集区。</w:t>
      </w:r>
    </w:p>
    <w:p>
      <w:pPr>
        <w:ind w:firstLine="480"/>
        <w:rPr>
          <w:rFonts w:ascii="Times New Roman" w:hAnsi="Times New Roman"/>
        </w:rPr>
      </w:pPr>
      <w:r>
        <w:rPr>
          <w:rFonts w:ascii="Times New Roman" w:hAnsi="Times New Roman"/>
        </w:rPr>
        <w:t>3）地下水水位动态特征</w:t>
      </w:r>
    </w:p>
    <w:p>
      <w:pPr>
        <w:ind w:firstLine="480"/>
        <w:rPr>
          <w:rFonts w:ascii="Times New Roman" w:hAnsi="Times New Roman"/>
        </w:rPr>
      </w:pPr>
      <w:r>
        <w:rPr>
          <w:rFonts w:ascii="Times New Roman" w:hAnsi="Times New Roman"/>
        </w:rPr>
        <w:t>评价区基岩裂隙水由于受地质构造、地形地貌条件、气象因素的控制，该类地下水出露地势较高，地形坡度较陡，含水层的补给区面积普遍较小，地下水不能获得充分补给，因此当地下水被揭露之后，往往随着溢流时间的增长，地下水的弹性节量损耗较大，水压降低和水量减少的现象普遍比较显著。另外，据资料和现场调查成果分析，地下水动态受降雨影响而产生季节性的变化较大。由于接受补给的条件较差，而又排泄通畅，所以大部分泉水久晴后水量骤减，甚至干枯。即使补给条件较好，流量较大的泉水、井水，在丰、枯期的变化一般可以达到5～10倍以上，地下水动态属于不稳定类型。</w:t>
      </w:r>
    </w:p>
    <w:p>
      <w:pPr>
        <w:ind w:firstLine="480"/>
        <w:rPr>
          <w:rFonts w:ascii="Times New Roman" w:hAnsi="Times New Roman"/>
        </w:rPr>
      </w:pPr>
      <w:r>
        <w:rPr>
          <w:rFonts w:ascii="Times New Roman" w:hAnsi="Times New Roman"/>
        </w:rPr>
        <w:t>4）地下水化学特征</w:t>
      </w:r>
    </w:p>
    <w:p>
      <w:pPr>
        <w:ind w:firstLine="480"/>
        <w:rPr>
          <w:rFonts w:ascii="Times New Roman" w:hAnsi="Times New Roman"/>
        </w:rPr>
      </w:pPr>
      <w:r>
        <w:rPr>
          <w:rFonts w:ascii="Times New Roman" w:hAnsi="Times New Roman"/>
        </w:rPr>
        <w:t>评价区侏罗系红层广泛分布，地貌类型主要为中-低山地形，水文网分布较密，侵蚀切割较为强烈，基岩裂隙水以就近补给就近排泄为主。区内地下水化学类型以HCO</w:t>
      </w:r>
      <w:r>
        <w:rPr>
          <w:rFonts w:ascii="Times New Roman" w:hAnsi="Times New Roman"/>
          <w:vertAlign w:val="subscript"/>
        </w:rPr>
        <w:t>3</w:t>
      </w:r>
      <w:r>
        <w:rPr>
          <w:rFonts w:ascii="Times New Roman" w:hAnsi="Times New Roman"/>
        </w:rPr>
        <w:t>-Ca型水为主，其次为HCO</w:t>
      </w:r>
      <w:r>
        <w:rPr>
          <w:rFonts w:ascii="Times New Roman" w:hAnsi="Times New Roman"/>
          <w:vertAlign w:val="subscript"/>
        </w:rPr>
        <w:t>3</w:t>
      </w:r>
      <w:r>
        <w:rPr>
          <w:rFonts w:ascii="Times New Roman" w:hAnsi="Times New Roman"/>
        </w:rPr>
        <w:t>-Ca·Na型及HCO</w:t>
      </w:r>
      <w:r>
        <w:rPr>
          <w:rFonts w:ascii="Times New Roman" w:hAnsi="Times New Roman"/>
          <w:vertAlign w:val="subscript"/>
        </w:rPr>
        <w:t>3</w:t>
      </w:r>
      <w:r>
        <w:rPr>
          <w:rFonts w:ascii="Times New Roman" w:hAnsi="Times New Roman"/>
        </w:rPr>
        <w:t>-Ca·Mg型水。矿化度一般小于0.5g/L，pH值一般为6.8-7.5左右。</w:t>
      </w:r>
    </w:p>
    <w:p>
      <w:pPr>
        <w:ind w:firstLine="480"/>
        <w:rPr>
          <w:rFonts w:ascii="Times New Roman" w:hAnsi="Times New Roman"/>
        </w:rPr>
      </w:pPr>
      <w:r>
        <w:rPr>
          <w:rFonts w:ascii="Times New Roman" w:hAnsi="Times New Roman"/>
        </w:rPr>
        <w:t>5）水文地质参数收集</w:t>
      </w:r>
    </w:p>
    <w:p>
      <w:pPr>
        <w:ind w:firstLine="480"/>
        <w:rPr>
          <w:rFonts w:ascii="Times New Roman" w:hAnsi="Times New Roman"/>
        </w:rPr>
      </w:pPr>
      <w:r>
        <w:rPr>
          <w:rFonts w:ascii="Times New Roman" w:hAnsi="Times New Roman"/>
        </w:rPr>
        <w:t>本次评价主要收集了与评价区地层相同区域的水文地质参数，主要参考了《四川盆地渡口河-七里北气田飞仙关组气藏开发产能建设项目环境影响报告书》和《宣兴1井钻井工程环境影响评价报告表-地下水环境影响评价专题》中的野外水文地质试验参数。各个含水层水文地质参数如下：</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18</w:t>
      </w:r>
      <w:r>
        <w:rPr>
          <w:rFonts w:ascii="Times New Roman" w:hAnsi="Times New Roman" w:cs="Times New Roman"/>
        </w:rPr>
        <w:fldChar w:fldCharType="end"/>
      </w:r>
      <w:r>
        <w:rPr>
          <w:rFonts w:ascii="Times New Roman" w:hAnsi="Times New Roman" w:cs="Times New Roman"/>
        </w:rPr>
        <w:t xml:space="preserve">  含水层渗透系数收集表</w:t>
      </w:r>
    </w:p>
    <w:tbl>
      <w:tblPr>
        <w:tblStyle w:val="28"/>
        <w:tblW w:w="52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7"/>
        <w:gridCol w:w="863"/>
        <w:gridCol w:w="680"/>
        <w:gridCol w:w="919"/>
        <w:gridCol w:w="620"/>
        <w:gridCol w:w="857"/>
        <w:gridCol w:w="1000"/>
        <w:gridCol w:w="1142"/>
        <w:gridCol w:w="1002"/>
        <w:gridCol w:w="10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4" w:type="pct"/>
            <w:vMerge w:val="restart"/>
            <w:tcMar>
              <w:left w:w="28" w:type="dxa"/>
              <w:right w:w="28" w:type="dxa"/>
            </w:tcMar>
            <w:vAlign w:val="center"/>
          </w:tcPr>
          <w:p>
            <w:pPr>
              <w:pStyle w:val="39"/>
              <w:rPr>
                <w:rFonts w:ascii="Times New Roman" w:hAnsi="Times New Roman"/>
              </w:rPr>
            </w:pPr>
            <w:r>
              <w:rPr>
                <w:rFonts w:ascii="Times New Roman" w:hAnsi="Times New Roman"/>
              </w:rPr>
              <w:t>地层</w:t>
            </w:r>
          </w:p>
          <w:p>
            <w:pPr>
              <w:pStyle w:val="39"/>
              <w:rPr>
                <w:rFonts w:ascii="Times New Roman" w:hAnsi="Times New Roman"/>
              </w:rPr>
            </w:pPr>
            <w:r>
              <w:rPr>
                <w:rFonts w:ascii="Times New Roman" w:hAnsi="Times New Roman"/>
              </w:rPr>
              <w:t>代号</w:t>
            </w:r>
          </w:p>
        </w:tc>
        <w:tc>
          <w:tcPr>
            <w:tcW w:w="488" w:type="pct"/>
            <w:vMerge w:val="restart"/>
            <w:tcMar>
              <w:left w:w="28" w:type="dxa"/>
              <w:right w:w="28" w:type="dxa"/>
            </w:tcMar>
            <w:vAlign w:val="center"/>
          </w:tcPr>
          <w:p>
            <w:pPr>
              <w:pStyle w:val="39"/>
              <w:rPr>
                <w:rFonts w:ascii="Times New Roman" w:hAnsi="Times New Roman"/>
              </w:rPr>
            </w:pPr>
            <w:r>
              <w:rPr>
                <w:rFonts w:ascii="Times New Roman" w:hAnsi="Times New Roman"/>
              </w:rPr>
              <w:t>地下水类型</w:t>
            </w:r>
          </w:p>
        </w:tc>
        <w:tc>
          <w:tcPr>
            <w:tcW w:w="384" w:type="pct"/>
            <w:vMerge w:val="restart"/>
            <w:tcMar>
              <w:left w:w="28" w:type="dxa"/>
              <w:right w:w="28" w:type="dxa"/>
            </w:tcMar>
            <w:vAlign w:val="center"/>
          </w:tcPr>
          <w:p>
            <w:pPr>
              <w:pStyle w:val="39"/>
              <w:rPr>
                <w:rFonts w:ascii="Times New Roman" w:hAnsi="Times New Roman"/>
              </w:rPr>
            </w:pPr>
            <w:r>
              <w:rPr>
                <w:rFonts w:ascii="Times New Roman" w:hAnsi="Times New Roman"/>
              </w:rPr>
              <w:t>降次</w:t>
            </w:r>
          </w:p>
        </w:tc>
        <w:tc>
          <w:tcPr>
            <w:tcW w:w="519" w:type="pct"/>
            <w:tcMar>
              <w:left w:w="28" w:type="dxa"/>
              <w:right w:w="28" w:type="dxa"/>
            </w:tcMar>
            <w:vAlign w:val="center"/>
          </w:tcPr>
          <w:p>
            <w:pPr>
              <w:pStyle w:val="39"/>
              <w:rPr>
                <w:rFonts w:ascii="Times New Roman" w:hAnsi="Times New Roman"/>
              </w:rPr>
            </w:pPr>
            <w:r>
              <w:rPr>
                <w:rFonts w:ascii="Times New Roman" w:hAnsi="Times New Roman"/>
              </w:rPr>
              <w:t>降深</w:t>
            </w:r>
          </w:p>
          <w:p>
            <w:pPr>
              <w:pStyle w:val="39"/>
              <w:rPr>
                <w:rFonts w:ascii="Times New Roman" w:hAnsi="Times New Roman"/>
              </w:rPr>
            </w:pPr>
            <w:r>
              <w:rPr>
                <w:rFonts w:ascii="Times New Roman" w:hAnsi="Times New Roman"/>
              </w:rPr>
              <w:t>S</w:t>
            </w:r>
          </w:p>
        </w:tc>
        <w:tc>
          <w:tcPr>
            <w:tcW w:w="350" w:type="pct"/>
            <w:tcMar>
              <w:left w:w="28" w:type="dxa"/>
              <w:right w:w="28" w:type="dxa"/>
            </w:tcMar>
            <w:vAlign w:val="center"/>
          </w:tcPr>
          <w:p>
            <w:pPr>
              <w:pStyle w:val="39"/>
              <w:rPr>
                <w:rFonts w:ascii="Times New Roman" w:hAnsi="Times New Roman"/>
              </w:rPr>
            </w:pPr>
            <w:r>
              <w:rPr>
                <w:rFonts w:ascii="Times New Roman" w:hAnsi="Times New Roman"/>
              </w:rPr>
              <w:t>稳定水位</w:t>
            </w:r>
          </w:p>
        </w:tc>
        <w:tc>
          <w:tcPr>
            <w:tcW w:w="1049" w:type="pct"/>
            <w:gridSpan w:val="2"/>
            <w:tcMar>
              <w:left w:w="28" w:type="dxa"/>
              <w:right w:w="28" w:type="dxa"/>
            </w:tcMar>
            <w:vAlign w:val="center"/>
          </w:tcPr>
          <w:p>
            <w:pPr>
              <w:pStyle w:val="39"/>
              <w:rPr>
                <w:rFonts w:ascii="Times New Roman" w:hAnsi="Times New Roman"/>
              </w:rPr>
            </w:pPr>
            <w:r>
              <w:rPr>
                <w:rFonts w:ascii="Times New Roman" w:hAnsi="Times New Roman"/>
              </w:rPr>
              <w:t>涌水量</w:t>
            </w:r>
          </w:p>
          <w:p>
            <w:pPr>
              <w:pStyle w:val="39"/>
              <w:rPr>
                <w:rFonts w:ascii="Times New Roman" w:hAnsi="Times New Roman"/>
              </w:rPr>
            </w:pPr>
            <w:r>
              <w:rPr>
                <w:rFonts w:ascii="Times New Roman" w:hAnsi="Times New Roman"/>
              </w:rPr>
              <w:t>Q</w:t>
            </w:r>
          </w:p>
        </w:tc>
        <w:tc>
          <w:tcPr>
            <w:tcW w:w="645" w:type="pct"/>
            <w:tcMar>
              <w:left w:w="28" w:type="dxa"/>
              <w:right w:w="28" w:type="dxa"/>
            </w:tcMar>
            <w:vAlign w:val="center"/>
          </w:tcPr>
          <w:p>
            <w:pPr>
              <w:pStyle w:val="39"/>
              <w:rPr>
                <w:rFonts w:ascii="Times New Roman" w:hAnsi="Times New Roman"/>
              </w:rPr>
            </w:pPr>
            <w:r>
              <w:rPr>
                <w:rFonts w:ascii="Times New Roman" w:hAnsi="Times New Roman"/>
              </w:rPr>
              <w:t>单位涌水量q</w:t>
            </w:r>
          </w:p>
        </w:tc>
        <w:tc>
          <w:tcPr>
            <w:tcW w:w="566" w:type="pct"/>
            <w:tcMar>
              <w:left w:w="28" w:type="dxa"/>
              <w:right w:w="28" w:type="dxa"/>
            </w:tcMar>
            <w:vAlign w:val="center"/>
          </w:tcPr>
          <w:p>
            <w:pPr>
              <w:pStyle w:val="39"/>
              <w:rPr>
                <w:rFonts w:ascii="Times New Roman" w:hAnsi="Times New Roman"/>
              </w:rPr>
            </w:pPr>
            <w:r>
              <w:rPr>
                <w:rFonts w:ascii="Times New Roman" w:hAnsi="Times New Roman"/>
              </w:rPr>
              <w:t>渗透系数K</w:t>
            </w:r>
          </w:p>
        </w:tc>
        <w:tc>
          <w:tcPr>
            <w:tcW w:w="565" w:type="pct"/>
            <w:tcMar>
              <w:left w:w="28" w:type="dxa"/>
              <w:right w:w="28" w:type="dxa"/>
            </w:tcMar>
            <w:vAlign w:val="center"/>
          </w:tcPr>
          <w:p>
            <w:pPr>
              <w:pStyle w:val="39"/>
              <w:rPr>
                <w:rFonts w:ascii="Times New Roman" w:hAnsi="Times New Roman"/>
              </w:rPr>
            </w:pPr>
            <w:r>
              <w:rPr>
                <w:rFonts w:ascii="Times New Roman" w:hAnsi="Times New Roman"/>
              </w:rPr>
              <w:t>影响半径R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4" w:type="pct"/>
            <w:vMerge w:val="continue"/>
            <w:tcMar>
              <w:left w:w="28" w:type="dxa"/>
              <w:right w:w="28" w:type="dxa"/>
            </w:tcMar>
            <w:vAlign w:val="center"/>
          </w:tcPr>
          <w:p>
            <w:pPr>
              <w:pStyle w:val="39"/>
              <w:rPr>
                <w:rFonts w:ascii="Times New Roman" w:hAnsi="Times New Roman"/>
              </w:rPr>
            </w:pPr>
          </w:p>
        </w:tc>
        <w:tc>
          <w:tcPr>
            <w:tcW w:w="488" w:type="pct"/>
            <w:vMerge w:val="continue"/>
            <w:tcMar>
              <w:left w:w="28" w:type="dxa"/>
              <w:right w:w="28" w:type="dxa"/>
            </w:tcMar>
            <w:vAlign w:val="center"/>
          </w:tcPr>
          <w:p>
            <w:pPr>
              <w:pStyle w:val="39"/>
              <w:rPr>
                <w:rFonts w:ascii="Times New Roman" w:hAnsi="Times New Roman"/>
              </w:rPr>
            </w:pPr>
          </w:p>
        </w:tc>
        <w:tc>
          <w:tcPr>
            <w:tcW w:w="384" w:type="pct"/>
            <w:vMerge w:val="continue"/>
            <w:tcMar>
              <w:left w:w="28" w:type="dxa"/>
              <w:right w:w="28" w:type="dxa"/>
            </w:tcMar>
            <w:vAlign w:val="center"/>
          </w:tcPr>
          <w:p>
            <w:pPr>
              <w:pStyle w:val="39"/>
              <w:rPr>
                <w:rFonts w:ascii="Times New Roman" w:hAnsi="Times New Roman"/>
              </w:rPr>
            </w:pPr>
          </w:p>
        </w:tc>
        <w:tc>
          <w:tcPr>
            <w:tcW w:w="869" w:type="pct"/>
            <w:gridSpan w:val="2"/>
            <w:tcMar>
              <w:left w:w="28" w:type="dxa"/>
              <w:right w:w="28" w:type="dxa"/>
            </w:tcMar>
            <w:vAlign w:val="center"/>
          </w:tcPr>
          <w:p>
            <w:pPr>
              <w:pStyle w:val="39"/>
              <w:rPr>
                <w:rFonts w:ascii="Times New Roman" w:hAnsi="Times New Roman"/>
              </w:rPr>
            </w:pPr>
            <w:r>
              <w:rPr>
                <w:rFonts w:ascii="Times New Roman" w:hAnsi="Times New Roman"/>
              </w:rPr>
              <w:t>（m）</w:t>
            </w:r>
          </w:p>
        </w:tc>
        <w:tc>
          <w:tcPr>
            <w:tcW w:w="484" w:type="pct"/>
            <w:tcMar>
              <w:left w:w="28" w:type="dxa"/>
              <w:right w:w="28" w:type="dxa"/>
            </w:tcMar>
            <w:vAlign w:val="center"/>
          </w:tcPr>
          <w:p>
            <w:pPr>
              <w:pStyle w:val="39"/>
              <w:rPr>
                <w:rFonts w:ascii="Times New Roman" w:hAnsi="Times New Roman"/>
              </w:rPr>
            </w:pPr>
            <w:r>
              <w:rPr>
                <w:rFonts w:ascii="Times New Roman" w:hAnsi="Times New Roman"/>
              </w:rPr>
              <w:t>（L/s）</w:t>
            </w:r>
          </w:p>
        </w:tc>
        <w:tc>
          <w:tcPr>
            <w:tcW w:w="565" w:type="pct"/>
            <w:tcMar>
              <w:left w:w="28" w:type="dxa"/>
              <w:right w:w="28" w:type="dxa"/>
            </w:tcMar>
            <w:vAlign w:val="center"/>
          </w:tcPr>
          <w:p>
            <w:pPr>
              <w:pStyle w:val="39"/>
              <w:rPr>
                <w:rFonts w:ascii="Times New Roman" w:hAnsi="Times New Roman"/>
              </w:rPr>
            </w:pPr>
            <w:r>
              <w:rPr>
                <w:rFonts w:ascii="Times New Roman" w:hAnsi="Times New Roman"/>
              </w:rPr>
              <w:t>（m³/d）</w:t>
            </w:r>
          </w:p>
        </w:tc>
        <w:tc>
          <w:tcPr>
            <w:tcW w:w="645" w:type="pct"/>
            <w:tcMar>
              <w:left w:w="28" w:type="dxa"/>
              <w:right w:w="28" w:type="dxa"/>
            </w:tcMar>
            <w:vAlign w:val="center"/>
          </w:tcPr>
          <w:p>
            <w:pPr>
              <w:pStyle w:val="39"/>
              <w:rPr>
                <w:rFonts w:ascii="Times New Roman" w:hAnsi="Times New Roman"/>
              </w:rPr>
            </w:pPr>
            <w:r>
              <w:rPr>
                <w:rFonts w:ascii="Times New Roman" w:hAnsi="Times New Roman"/>
              </w:rPr>
              <w:t>（L/s.m）</w:t>
            </w:r>
          </w:p>
        </w:tc>
        <w:tc>
          <w:tcPr>
            <w:tcW w:w="566" w:type="pct"/>
            <w:tcMar>
              <w:left w:w="28" w:type="dxa"/>
              <w:right w:w="28" w:type="dxa"/>
            </w:tcMar>
            <w:vAlign w:val="center"/>
          </w:tcPr>
          <w:p>
            <w:pPr>
              <w:pStyle w:val="39"/>
              <w:rPr>
                <w:rFonts w:ascii="Times New Roman" w:hAnsi="Times New Roman"/>
              </w:rPr>
            </w:pPr>
            <w:r>
              <w:rPr>
                <w:rFonts w:ascii="Times New Roman" w:hAnsi="Times New Roman"/>
              </w:rPr>
              <w:t>（m/d）</w:t>
            </w:r>
          </w:p>
        </w:tc>
        <w:tc>
          <w:tcPr>
            <w:tcW w:w="565" w:type="pct"/>
            <w:tcMar>
              <w:left w:w="28" w:type="dxa"/>
              <w:right w:w="28" w:type="dxa"/>
            </w:tcMar>
            <w:vAlign w:val="center"/>
          </w:tcPr>
          <w:p>
            <w:pPr>
              <w:pStyle w:val="39"/>
              <w:rPr>
                <w:rFonts w:ascii="Times New Roman" w:hAnsi="Times New Roman"/>
              </w:rPr>
            </w:pPr>
            <w:r>
              <w:rPr>
                <w:rFonts w:ascii="Times New Roman" w:hAnsi="Times New Roma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4" w:type="pct"/>
            <w:tcMar>
              <w:left w:w="28" w:type="dxa"/>
              <w:right w:w="28" w:type="dxa"/>
            </w:tcMar>
            <w:vAlign w:val="center"/>
          </w:tcPr>
          <w:p>
            <w:pPr>
              <w:pStyle w:val="39"/>
              <w:rPr>
                <w:rFonts w:ascii="Times New Roman" w:hAnsi="Times New Roman"/>
              </w:rPr>
            </w:pPr>
            <w:r>
              <w:rPr>
                <w:rFonts w:ascii="Times New Roman" w:hAnsi="Times New Roman"/>
              </w:rPr>
              <w:t>J</w:t>
            </w:r>
            <w:r>
              <w:rPr>
                <w:rFonts w:ascii="Times New Roman" w:hAnsi="Times New Roman"/>
                <w:vertAlign w:val="subscript"/>
              </w:rPr>
              <w:t>2</w:t>
            </w:r>
            <w:r>
              <w:rPr>
                <w:rFonts w:ascii="Times New Roman" w:hAnsi="Times New Roman"/>
                <w:i/>
                <w:iCs/>
              </w:rPr>
              <w:t>s</w:t>
            </w:r>
          </w:p>
        </w:tc>
        <w:tc>
          <w:tcPr>
            <w:tcW w:w="488" w:type="pct"/>
            <w:tcMar>
              <w:left w:w="28" w:type="dxa"/>
              <w:right w:w="28" w:type="dxa"/>
            </w:tcMar>
            <w:vAlign w:val="center"/>
          </w:tcPr>
          <w:p>
            <w:pPr>
              <w:pStyle w:val="39"/>
              <w:rPr>
                <w:rFonts w:ascii="Times New Roman" w:hAnsi="Times New Roman"/>
              </w:rPr>
            </w:pPr>
            <w:r>
              <w:rPr>
                <w:rFonts w:ascii="Times New Roman" w:hAnsi="Times New Roman"/>
              </w:rPr>
              <w:t>风化裂隙水</w:t>
            </w:r>
          </w:p>
        </w:tc>
        <w:tc>
          <w:tcPr>
            <w:tcW w:w="384" w:type="pct"/>
            <w:tcMar>
              <w:left w:w="28" w:type="dxa"/>
              <w:right w:w="28" w:type="dxa"/>
            </w:tcMar>
            <w:vAlign w:val="center"/>
          </w:tcPr>
          <w:p>
            <w:pPr>
              <w:pStyle w:val="39"/>
              <w:rPr>
                <w:rFonts w:ascii="Times New Roman" w:hAnsi="Times New Roman"/>
              </w:rPr>
            </w:pPr>
            <w:r>
              <w:rPr>
                <w:rFonts w:ascii="Times New Roman" w:hAnsi="Times New Roman"/>
              </w:rPr>
              <w:t>1</w:t>
            </w:r>
          </w:p>
        </w:tc>
        <w:tc>
          <w:tcPr>
            <w:tcW w:w="519" w:type="pct"/>
            <w:tcMar>
              <w:left w:w="28" w:type="dxa"/>
              <w:right w:w="28" w:type="dxa"/>
            </w:tcMar>
            <w:vAlign w:val="center"/>
          </w:tcPr>
          <w:p>
            <w:pPr>
              <w:pStyle w:val="39"/>
              <w:rPr>
                <w:rFonts w:ascii="Times New Roman" w:hAnsi="Times New Roman"/>
              </w:rPr>
            </w:pPr>
            <w:r>
              <w:rPr>
                <w:rFonts w:ascii="Times New Roman" w:hAnsi="Times New Roman"/>
              </w:rPr>
              <w:t>16.82</w:t>
            </w:r>
          </w:p>
        </w:tc>
        <w:tc>
          <w:tcPr>
            <w:tcW w:w="350" w:type="pct"/>
            <w:tcMar>
              <w:left w:w="28" w:type="dxa"/>
              <w:right w:w="28" w:type="dxa"/>
            </w:tcMar>
            <w:vAlign w:val="center"/>
          </w:tcPr>
          <w:p>
            <w:pPr>
              <w:pStyle w:val="39"/>
              <w:rPr>
                <w:rFonts w:ascii="Times New Roman" w:hAnsi="Times New Roman"/>
              </w:rPr>
            </w:pPr>
            <w:r>
              <w:rPr>
                <w:rFonts w:ascii="Times New Roman" w:hAnsi="Times New Roman"/>
              </w:rPr>
              <w:t>2.65</w:t>
            </w:r>
          </w:p>
        </w:tc>
        <w:tc>
          <w:tcPr>
            <w:tcW w:w="484" w:type="pct"/>
            <w:tcMar>
              <w:left w:w="28" w:type="dxa"/>
              <w:right w:w="28" w:type="dxa"/>
            </w:tcMar>
            <w:vAlign w:val="center"/>
          </w:tcPr>
          <w:p>
            <w:pPr>
              <w:pStyle w:val="39"/>
              <w:rPr>
                <w:rFonts w:ascii="Times New Roman" w:hAnsi="Times New Roman"/>
              </w:rPr>
            </w:pPr>
            <w:r>
              <w:rPr>
                <w:rFonts w:ascii="Times New Roman" w:hAnsi="Times New Roman"/>
              </w:rPr>
              <w:t>0.237</w:t>
            </w:r>
          </w:p>
        </w:tc>
        <w:tc>
          <w:tcPr>
            <w:tcW w:w="565" w:type="pct"/>
            <w:tcMar>
              <w:left w:w="28" w:type="dxa"/>
              <w:right w:w="28" w:type="dxa"/>
            </w:tcMar>
            <w:vAlign w:val="center"/>
          </w:tcPr>
          <w:p>
            <w:pPr>
              <w:pStyle w:val="39"/>
              <w:rPr>
                <w:rFonts w:ascii="Times New Roman" w:hAnsi="Times New Roman"/>
              </w:rPr>
            </w:pPr>
            <w:r>
              <w:rPr>
                <w:rFonts w:ascii="Times New Roman" w:hAnsi="Times New Roman"/>
              </w:rPr>
              <w:t>20.48</w:t>
            </w:r>
          </w:p>
        </w:tc>
        <w:tc>
          <w:tcPr>
            <w:tcW w:w="645" w:type="pct"/>
            <w:tcMar>
              <w:left w:w="28" w:type="dxa"/>
              <w:right w:w="28" w:type="dxa"/>
            </w:tcMar>
            <w:vAlign w:val="center"/>
          </w:tcPr>
          <w:p>
            <w:pPr>
              <w:pStyle w:val="39"/>
              <w:rPr>
                <w:rFonts w:ascii="Times New Roman" w:hAnsi="Times New Roman"/>
              </w:rPr>
            </w:pPr>
            <w:r>
              <w:rPr>
                <w:rFonts w:ascii="Times New Roman" w:hAnsi="Times New Roman"/>
              </w:rPr>
              <w:t>0.014</w:t>
            </w:r>
          </w:p>
        </w:tc>
        <w:tc>
          <w:tcPr>
            <w:tcW w:w="566" w:type="pct"/>
            <w:tcMar>
              <w:left w:w="28" w:type="dxa"/>
              <w:right w:w="28" w:type="dxa"/>
            </w:tcMar>
            <w:vAlign w:val="center"/>
          </w:tcPr>
          <w:p>
            <w:pPr>
              <w:pStyle w:val="39"/>
              <w:rPr>
                <w:rFonts w:ascii="Times New Roman" w:hAnsi="Times New Roman"/>
              </w:rPr>
            </w:pPr>
            <w:r>
              <w:rPr>
                <w:rFonts w:ascii="Times New Roman" w:hAnsi="Times New Roman"/>
              </w:rPr>
              <w:t>0.047</w:t>
            </w:r>
          </w:p>
        </w:tc>
        <w:tc>
          <w:tcPr>
            <w:tcW w:w="565" w:type="pct"/>
            <w:tcMar>
              <w:left w:w="28" w:type="dxa"/>
              <w:right w:w="28" w:type="dxa"/>
            </w:tcMar>
            <w:vAlign w:val="center"/>
          </w:tcPr>
          <w:p>
            <w:pPr>
              <w:pStyle w:val="39"/>
              <w:rPr>
                <w:rFonts w:ascii="Times New Roman" w:hAnsi="Times New Roman"/>
              </w:rPr>
            </w:pPr>
            <w:r>
              <w:rPr>
                <w:rFonts w:ascii="Times New Roman" w:hAnsi="Times New Roman"/>
              </w:rPr>
              <w:t>39.94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4" w:type="pct"/>
            <w:vMerge w:val="restart"/>
            <w:tcMar>
              <w:left w:w="28" w:type="dxa"/>
              <w:right w:w="28" w:type="dxa"/>
            </w:tcMar>
            <w:vAlign w:val="center"/>
          </w:tcPr>
          <w:p>
            <w:pPr>
              <w:pStyle w:val="39"/>
              <w:rPr>
                <w:rFonts w:ascii="Times New Roman" w:hAnsi="Times New Roman"/>
              </w:rPr>
            </w:pPr>
            <w:r>
              <w:rPr>
                <w:rFonts w:ascii="Times New Roman" w:hAnsi="Times New Roman"/>
              </w:rPr>
              <w:t>J</w:t>
            </w:r>
            <w:r>
              <w:rPr>
                <w:rFonts w:ascii="Times New Roman" w:hAnsi="Times New Roman"/>
                <w:vertAlign w:val="subscript"/>
              </w:rPr>
              <w:t>3</w:t>
            </w:r>
            <w:r>
              <w:rPr>
                <w:rFonts w:ascii="Times New Roman" w:hAnsi="Times New Roman"/>
                <w:i/>
                <w:iCs/>
              </w:rPr>
              <w:t>sn</w:t>
            </w:r>
          </w:p>
        </w:tc>
        <w:tc>
          <w:tcPr>
            <w:tcW w:w="488" w:type="pct"/>
            <w:vMerge w:val="restart"/>
            <w:tcMar>
              <w:left w:w="28" w:type="dxa"/>
              <w:right w:w="28" w:type="dxa"/>
            </w:tcMar>
            <w:vAlign w:val="center"/>
          </w:tcPr>
          <w:p>
            <w:pPr>
              <w:pStyle w:val="39"/>
              <w:rPr>
                <w:rFonts w:ascii="Times New Roman" w:hAnsi="Times New Roman"/>
              </w:rPr>
            </w:pPr>
            <w:r>
              <w:rPr>
                <w:rFonts w:ascii="Times New Roman" w:hAnsi="Times New Roman"/>
              </w:rPr>
              <w:t>构造裂隙水</w:t>
            </w:r>
          </w:p>
        </w:tc>
        <w:tc>
          <w:tcPr>
            <w:tcW w:w="384" w:type="pct"/>
            <w:tcMar>
              <w:left w:w="28" w:type="dxa"/>
              <w:right w:w="28" w:type="dxa"/>
            </w:tcMar>
            <w:vAlign w:val="center"/>
          </w:tcPr>
          <w:p>
            <w:pPr>
              <w:pStyle w:val="39"/>
              <w:rPr>
                <w:rFonts w:ascii="Times New Roman" w:hAnsi="Times New Roman"/>
              </w:rPr>
            </w:pPr>
            <w:r>
              <w:rPr>
                <w:rFonts w:ascii="Times New Roman" w:hAnsi="Times New Roman"/>
              </w:rPr>
              <w:t>2</w:t>
            </w:r>
          </w:p>
        </w:tc>
        <w:tc>
          <w:tcPr>
            <w:tcW w:w="519" w:type="pct"/>
            <w:tcMar>
              <w:left w:w="28" w:type="dxa"/>
              <w:right w:w="28" w:type="dxa"/>
            </w:tcMar>
            <w:vAlign w:val="center"/>
          </w:tcPr>
          <w:p>
            <w:pPr>
              <w:pStyle w:val="39"/>
              <w:rPr>
                <w:rFonts w:ascii="Times New Roman" w:hAnsi="Times New Roman"/>
              </w:rPr>
            </w:pPr>
            <w:r>
              <w:rPr>
                <w:rFonts w:ascii="Times New Roman" w:hAnsi="Times New Roman"/>
              </w:rPr>
              <w:t>29.38</w:t>
            </w:r>
          </w:p>
        </w:tc>
        <w:tc>
          <w:tcPr>
            <w:tcW w:w="350" w:type="pct"/>
            <w:vMerge w:val="restart"/>
            <w:tcMar>
              <w:left w:w="28" w:type="dxa"/>
              <w:right w:w="28" w:type="dxa"/>
            </w:tcMar>
            <w:vAlign w:val="center"/>
          </w:tcPr>
          <w:p>
            <w:pPr>
              <w:pStyle w:val="39"/>
              <w:rPr>
                <w:rFonts w:ascii="Times New Roman" w:hAnsi="Times New Roman"/>
              </w:rPr>
            </w:pPr>
            <w:r>
              <w:rPr>
                <w:rFonts w:ascii="Times New Roman" w:hAnsi="Times New Roman"/>
              </w:rPr>
              <w:t>4.10</w:t>
            </w:r>
          </w:p>
        </w:tc>
        <w:tc>
          <w:tcPr>
            <w:tcW w:w="484" w:type="pct"/>
            <w:tcMar>
              <w:left w:w="28" w:type="dxa"/>
              <w:right w:w="28" w:type="dxa"/>
            </w:tcMar>
            <w:vAlign w:val="center"/>
          </w:tcPr>
          <w:p>
            <w:pPr>
              <w:pStyle w:val="39"/>
              <w:rPr>
                <w:rFonts w:ascii="Times New Roman" w:hAnsi="Times New Roman"/>
              </w:rPr>
            </w:pPr>
            <w:r>
              <w:rPr>
                <w:rFonts w:ascii="Times New Roman" w:hAnsi="Times New Roman"/>
              </w:rPr>
              <w:t>0.089</w:t>
            </w:r>
          </w:p>
        </w:tc>
        <w:tc>
          <w:tcPr>
            <w:tcW w:w="565" w:type="pct"/>
            <w:tcMar>
              <w:left w:w="28" w:type="dxa"/>
              <w:right w:w="28" w:type="dxa"/>
            </w:tcMar>
            <w:vAlign w:val="center"/>
          </w:tcPr>
          <w:p>
            <w:pPr>
              <w:pStyle w:val="39"/>
              <w:rPr>
                <w:rFonts w:ascii="Times New Roman" w:hAnsi="Times New Roman"/>
              </w:rPr>
            </w:pPr>
            <w:r>
              <w:rPr>
                <w:rFonts w:ascii="Times New Roman" w:hAnsi="Times New Roman"/>
              </w:rPr>
              <w:t>7.69</w:t>
            </w:r>
          </w:p>
        </w:tc>
        <w:tc>
          <w:tcPr>
            <w:tcW w:w="645" w:type="pct"/>
            <w:tcMar>
              <w:left w:w="28" w:type="dxa"/>
              <w:right w:w="28" w:type="dxa"/>
            </w:tcMar>
            <w:vAlign w:val="center"/>
          </w:tcPr>
          <w:p>
            <w:pPr>
              <w:pStyle w:val="39"/>
              <w:rPr>
                <w:rFonts w:ascii="Times New Roman" w:hAnsi="Times New Roman"/>
              </w:rPr>
            </w:pPr>
            <w:r>
              <w:rPr>
                <w:rFonts w:ascii="Times New Roman" w:hAnsi="Times New Roman"/>
              </w:rPr>
              <w:t>0.003</w:t>
            </w:r>
          </w:p>
        </w:tc>
        <w:tc>
          <w:tcPr>
            <w:tcW w:w="566" w:type="pct"/>
            <w:tcMar>
              <w:left w:w="28" w:type="dxa"/>
              <w:right w:w="28" w:type="dxa"/>
            </w:tcMar>
            <w:vAlign w:val="center"/>
          </w:tcPr>
          <w:p>
            <w:pPr>
              <w:pStyle w:val="39"/>
              <w:rPr>
                <w:rFonts w:ascii="Times New Roman" w:hAnsi="Times New Roman"/>
              </w:rPr>
            </w:pPr>
            <w:r>
              <w:rPr>
                <w:rFonts w:ascii="Times New Roman" w:hAnsi="Times New Roman"/>
              </w:rPr>
              <w:t>0.021</w:t>
            </w:r>
          </w:p>
        </w:tc>
        <w:tc>
          <w:tcPr>
            <w:tcW w:w="565" w:type="pct"/>
            <w:tcMar>
              <w:left w:w="28" w:type="dxa"/>
              <w:right w:w="28" w:type="dxa"/>
            </w:tcMar>
            <w:vAlign w:val="center"/>
          </w:tcPr>
          <w:p>
            <w:pPr>
              <w:pStyle w:val="39"/>
              <w:rPr>
                <w:rFonts w:ascii="Times New Roman" w:hAnsi="Times New Roman"/>
              </w:rPr>
            </w:pPr>
            <w:r>
              <w:rPr>
                <w:rFonts w:ascii="Times New Roman" w:hAnsi="Times New Roman"/>
              </w:rPr>
              <w:t>35.92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4" w:type="pct"/>
            <w:vMerge w:val="continue"/>
            <w:tcMar>
              <w:left w:w="28" w:type="dxa"/>
              <w:right w:w="28" w:type="dxa"/>
            </w:tcMar>
            <w:vAlign w:val="center"/>
          </w:tcPr>
          <w:p>
            <w:pPr>
              <w:pStyle w:val="39"/>
              <w:rPr>
                <w:rFonts w:ascii="Times New Roman" w:hAnsi="Times New Roman"/>
              </w:rPr>
            </w:pPr>
          </w:p>
        </w:tc>
        <w:tc>
          <w:tcPr>
            <w:tcW w:w="488" w:type="pct"/>
            <w:vMerge w:val="continue"/>
            <w:tcMar>
              <w:left w:w="28" w:type="dxa"/>
              <w:right w:w="28" w:type="dxa"/>
            </w:tcMar>
            <w:vAlign w:val="center"/>
          </w:tcPr>
          <w:p>
            <w:pPr>
              <w:pStyle w:val="39"/>
              <w:rPr>
                <w:rFonts w:ascii="Times New Roman" w:hAnsi="Times New Roman"/>
              </w:rPr>
            </w:pPr>
          </w:p>
        </w:tc>
        <w:tc>
          <w:tcPr>
            <w:tcW w:w="384" w:type="pct"/>
            <w:tcMar>
              <w:left w:w="28" w:type="dxa"/>
              <w:right w:w="28" w:type="dxa"/>
            </w:tcMar>
            <w:vAlign w:val="center"/>
          </w:tcPr>
          <w:p>
            <w:pPr>
              <w:pStyle w:val="39"/>
              <w:rPr>
                <w:rFonts w:ascii="Times New Roman" w:hAnsi="Times New Roman"/>
              </w:rPr>
            </w:pPr>
            <w:r>
              <w:rPr>
                <w:rFonts w:ascii="Times New Roman" w:hAnsi="Times New Roman"/>
              </w:rPr>
              <w:t>1</w:t>
            </w:r>
          </w:p>
        </w:tc>
        <w:tc>
          <w:tcPr>
            <w:tcW w:w="519" w:type="pct"/>
            <w:tcMar>
              <w:left w:w="28" w:type="dxa"/>
              <w:right w:w="28" w:type="dxa"/>
            </w:tcMar>
            <w:vAlign w:val="center"/>
          </w:tcPr>
          <w:p>
            <w:pPr>
              <w:pStyle w:val="39"/>
              <w:rPr>
                <w:rFonts w:ascii="Times New Roman" w:hAnsi="Times New Roman"/>
              </w:rPr>
            </w:pPr>
            <w:r>
              <w:rPr>
                <w:rFonts w:ascii="Times New Roman" w:hAnsi="Times New Roman"/>
              </w:rPr>
              <w:t>15.99</w:t>
            </w:r>
          </w:p>
        </w:tc>
        <w:tc>
          <w:tcPr>
            <w:tcW w:w="350" w:type="pct"/>
            <w:vMerge w:val="continue"/>
            <w:tcMar>
              <w:left w:w="28" w:type="dxa"/>
              <w:right w:w="28" w:type="dxa"/>
            </w:tcMar>
            <w:vAlign w:val="center"/>
          </w:tcPr>
          <w:p>
            <w:pPr>
              <w:pStyle w:val="39"/>
              <w:rPr>
                <w:rFonts w:ascii="Times New Roman" w:hAnsi="Times New Roman"/>
              </w:rPr>
            </w:pPr>
          </w:p>
        </w:tc>
        <w:tc>
          <w:tcPr>
            <w:tcW w:w="484" w:type="pct"/>
            <w:tcMar>
              <w:left w:w="28" w:type="dxa"/>
              <w:right w:w="28" w:type="dxa"/>
            </w:tcMar>
            <w:vAlign w:val="center"/>
          </w:tcPr>
          <w:p>
            <w:pPr>
              <w:pStyle w:val="39"/>
              <w:rPr>
                <w:rFonts w:ascii="Times New Roman" w:hAnsi="Times New Roman"/>
              </w:rPr>
            </w:pPr>
            <w:r>
              <w:rPr>
                <w:rFonts w:ascii="Times New Roman" w:hAnsi="Times New Roman"/>
              </w:rPr>
              <w:t>0.07</w:t>
            </w:r>
          </w:p>
        </w:tc>
        <w:tc>
          <w:tcPr>
            <w:tcW w:w="565" w:type="pct"/>
            <w:tcMar>
              <w:left w:w="28" w:type="dxa"/>
              <w:right w:w="28" w:type="dxa"/>
            </w:tcMar>
            <w:vAlign w:val="center"/>
          </w:tcPr>
          <w:p>
            <w:pPr>
              <w:pStyle w:val="39"/>
              <w:rPr>
                <w:rFonts w:ascii="Times New Roman" w:hAnsi="Times New Roman"/>
              </w:rPr>
            </w:pPr>
            <w:r>
              <w:rPr>
                <w:rFonts w:ascii="Times New Roman" w:hAnsi="Times New Roman"/>
              </w:rPr>
              <w:t>6.10</w:t>
            </w:r>
          </w:p>
        </w:tc>
        <w:tc>
          <w:tcPr>
            <w:tcW w:w="645" w:type="pct"/>
            <w:tcMar>
              <w:left w:w="28" w:type="dxa"/>
              <w:right w:w="28" w:type="dxa"/>
            </w:tcMar>
            <w:vAlign w:val="center"/>
          </w:tcPr>
          <w:p>
            <w:pPr>
              <w:pStyle w:val="39"/>
              <w:rPr>
                <w:rFonts w:ascii="Times New Roman" w:hAnsi="Times New Roman"/>
              </w:rPr>
            </w:pPr>
            <w:r>
              <w:rPr>
                <w:rFonts w:ascii="Times New Roman" w:hAnsi="Times New Roman"/>
              </w:rPr>
              <w:t>0.004</w:t>
            </w:r>
          </w:p>
        </w:tc>
        <w:tc>
          <w:tcPr>
            <w:tcW w:w="566" w:type="pct"/>
            <w:tcMar>
              <w:left w:w="28" w:type="dxa"/>
              <w:right w:w="28" w:type="dxa"/>
            </w:tcMar>
            <w:vAlign w:val="center"/>
          </w:tcPr>
          <w:p>
            <w:pPr>
              <w:pStyle w:val="39"/>
              <w:rPr>
                <w:rFonts w:ascii="Times New Roman" w:hAnsi="Times New Roman"/>
              </w:rPr>
            </w:pPr>
            <w:r>
              <w:rPr>
                <w:rFonts w:ascii="Times New Roman" w:hAnsi="Times New Roman"/>
              </w:rPr>
              <w:t>0.024</w:t>
            </w:r>
          </w:p>
        </w:tc>
        <w:tc>
          <w:tcPr>
            <w:tcW w:w="565" w:type="pct"/>
            <w:tcMar>
              <w:left w:w="28" w:type="dxa"/>
              <w:right w:w="28" w:type="dxa"/>
            </w:tcMar>
            <w:vAlign w:val="center"/>
          </w:tcPr>
          <w:p>
            <w:pPr>
              <w:pStyle w:val="39"/>
              <w:rPr>
                <w:rFonts w:ascii="Times New Roman" w:hAnsi="Times New Roman"/>
              </w:rPr>
            </w:pPr>
            <w:r>
              <w:rPr>
                <w:rFonts w:ascii="Times New Roman" w:hAnsi="Times New Roman"/>
              </w:rPr>
              <w:t>25.02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4" w:type="pct"/>
            <w:tcMar>
              <w:left w:w="28" w:type="dxa"/>
              <w:right w:w="28" w:type="dxa"/>
            </w:tcMar>
            <w:vAlign w:val="center"/>
          </w:tcPr>
          <w:p>
            <w:pPr>
              <w:pStyle w:val="39"/>
              <w:rPr>
                <w:rFonts w:ascii="Times New Roman" w:hAnsi="Times New Roman"/>
              </w:rPr>
            </w:pPr>
            <w:r>
              <w:rPr>
                <w:rFonts w:ascii="Times New Roman" w:hAnsi="Times New Roman"/>
              </w:rPr>
              <w:t>J</w:t>
            </w:r>
            <w:r>
              <w:rPr>
                <w:rFonts w:ascii="Times New Roman" w:hAnsi="Times New Roman"/>
                <w:vertAlign w:val="subscript"/>
              </w:rPr>
              <w:t>2</w:t>
            </w:r>
            <w:r>
              <w:rPr>
                <w:rFonts w:ascii="Times New Roman" w:hAnsi="Times New Roman"/>
                <w:i/>
                <w:iCs/>
              </w:rPr>
              <w:t>s</w:t>
            </w:r>
          </w:p>
        </w:tc>
        <w:tc>
          <w:tcPr>
            <w:tcW w:w="488" w:type="pct"/>
            <w:tcMar>
              <w:left w:w="28" w:type="dxa"/>
              <w:right w:w="28" w:type="dxa"/>
            </w:tcMar>
            <w:vAlign w:val="center"/>
          </w:tcPr>
          <w:p>
            <w:pPr>
              <w:pStyle w:val="39"/>
              <w:rPr>
                <w:rFonts w:ascii="Times New Roman" w:hAnsi="Times New Roman"/>
              </w:rPr>
            </w:pPr>
            <w:r>
              <w:rPr>
                <w:rFonts w:ascii="Times New Roman" w:hAnsi="Times New Roman"/>
              </w:rPr>
              <w:t>风化裂隙水</w:t>
            </w:r>
          </w:p>
        </w:tc>
        <w:tc>
          <w:tcPr>
            <w:tcW w:w="384" w:type="pct"/>
            <w:tcMar>
              <w:left w:w="28" w:type="dxa"/>
              <w:right w:w="28" w:type="dxa"/>
            </w:tcMar>
            <w:vAlign w:val="center"/>
          </w:tcPr>
          <w:p>
            <w:pPr>
              <w:pStyle w:val="39"/>
              <w:rPr>
                <w:rFonts w:ascii="Times New Roman" w:hAnsi="Times New Roman"/>
              </w:rPr>
            </w:pPr>
            <w:r>
              <w:rPr>
                <w:rFonts w:ascii="Times New Roman" w:hAnsi="Times New Roman"/>
              </w:rPr>
              <w:t>1</w:t>
            </w:r>
          </w:p>
        </w:tc>
        <w:tc>
          <w:tcPr>
            <w:tcW w:w="519" w:type="pct"/>
            <w:tcMar>
              <w:left w:w="28" w:type="dxa"/>
              <w:right w:w="28" w:type="dxa"/>
            </w:tcMar>
            <w:vAlign w:val="center"/>
          </w:tcPr>
          <w:p>
            <w:pPr>
              <w:pStyle w:val="39"/>
              <w:rPr>
                <w:rFonts w:ascii="Times New Roman" w:hAnsi="Times New Roman"/>
              </w:rPr>
            </w:pPr>
            <w:r>
              <w:rPr>
                <w:rFonts w:ascii="Times New Roman" w:hAnsi="Times New Roman"/>
              </w:rPr>
              <w:t>13.86</w:t>
            </w:r>
          </w:p>
        </w:tc>
        <w:tc>
          <w:tcPr>
            <w:tcW w:w="350" w:type="pct"/>
            <w:tcMar>
              <w:left w:w="28" w:type="dxa"/>
              <w:right w:w="28" w:type="dxa"/>
            </w:tcMar>
            <w:vAlign w:val="center"/>
          </w:tcPr>
          <w:p>
            <w:pPr>
              <w:pStyle w:val="39"/>
              <w:rPr>
                <w:rFonts w:ascii="Times New Roman" w:hAnsi="Times New Roman"/>
              </w:rPr>
            </w:pPr>
            <w:r>
              <w:rPr>
                <w:rFonts w:ascii="Times New Roman" w:hAnsi="Times New Roman"/>
              </w:rPr>
              <w:t>5.34</w:t>
            </w:r>
          </w:p>
        </w:tc>
        <w:tc>
          <w:tcPr>
            <w:tcW w:w="484" w:type="pct"/>
            <w:tcMar>
              <w:left w:w="28" w:type="dxa"/>
              <w:right w:w="28" w:type="dxa"/>
            </w:tcMar>
            <w:vAlign w:val="center"/>
          </w:tcPr>
          <w:p>
            <w:pPr>
              <w:pStyle w:val="39"/>
              <w:rPr>
                <w:rFonts w:ascii="Times New Roman" w:hAnsi="Times New Roman"/>
              </w:rPr>
            </w:pPr>
            <w:r>
              <w:rPr>
                <w:rFonts w:ascii="Times New Roman" w:hAnsi="Times New Roman"/>
              </w:rPr>
              <w:t>0.098</w:t>
            </w:r>
          </w:p>
        </w:tc>
        <w:tc>
          <w:tcPr>
            <w:tcW w:w="565" w:type="pct"/>
            <w:tcMar>
              <w:left w:w="28" w:type="dxa"/>
              <w:right w:w="28" w:type="dxa"/>
            </w:tcMar>
            <w:vAlign w:val="center"/>
          </w:tcPr>
          <w:p>
            <w:pPr>
              <w:pStyle w:val="39"/>
              <w:rPr>
                <w:rFonts w:ascii="Times New Roman" w:hAnsi="Times New Roman"/>
              </w:rPr>
            </w:pPr>
            <w:r>
              <w:rPr>
                <w:rFonts w:ascii="Times New Roman" w:hAnsi="Times New Roman"/>
              </w:rPr>
              <w:t>8.49</w:t>
            </w:r>
          </w:p>
        </w:tc>
        <w:tc>
          <w:tcPr>
            <w:tcW w:w="645" w:type="pct"/>
            <w:tcMar>
              <w:left w:w="28" w:type="dxa"/>
              <w:right w:w="28" w:type="dxa"/>
            </w:tcMar>
            <w:vAlign w:val="center"/>
          </w:tcPr>
          <w:p>
            <w:pPr>
              <w:pStyle w:val="39"/>
              <w:rPr>
                <w:rFonts w:ascii="Times New Roman" w:hAnsi="Times New Roman"/>
              </w:rPr>
            </w:pPr>
            <w:r>
              <w:rPr>
                <w:rFonts w:ascii="Times New Roman" w:hAnsi="Times New Roman"/>
              </w:rPr>
              <w:t>0.007</w:t>
            </w:r>
          </w:p>
        </w:tc>
        <w:tc>
          <w:tcPr>
            <w:tcW w:w="566" w:type="pct"/>
            <w:tcMar>
              <w:left w:w="28" w:type="dxa"/>
              <w:right w:w="28" w:type="dxa"/>
            </w:tcMar>
            <w:vAlign w:val="center"/>
          </w:tcPr>
          <w:p>
            <w:pPr>
              <w:pStyle w:val="39"/>
              <w:rPr>
                <w:rFonts w:ascii="Times New Roman" w:hAnsi="Times New Roman"/>
              </w:rPr>
            </w:pPr>
            <w:r>
              <w:rPr>
                <w:rFonts w:ascii="Times New Roman" w:hAnsi="Times New Roman"/>
              </w:rPr>
              <w:t>0.049</w:t>
            </w:r>
          </w:p>
        </w:tc>
        <w:tc>
          <w:tcPr>
            <w:tcW w:w="565" w:type="pct"/>
            <w:tcMar>
              <w:left w:w="28" w:type="dxa"/>
              <w:right w:w="28" w:type="dxa"/>
            </w:tcMar>
            <w:vAlign w:val="center"/>
          </w:tcPr>
          <w:p>
            <w:pPr>
              <w:pStyle w:val="39"/>
              <w:rPr>
                <w:rFonts w:ascii="Times New Roman" w:hAnsi="Times New Roman"/>
              </w:rPr>
            </w:pPr>
            <w:r>
              <w:rPr>
                <w:rFonts w:ascii="Times New Roman" w:hAnsi="Times New Roman"/>
              </w:rPr>
              <w:t>147.23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4" w:type="pct"/>
            <w:tcMar>
              <w:left w:w="28" w:type="dxa"/>
              <w:right w:w="28" w:type="dxa"/>
            </w:tcMar>
            <w:vAlign w:val="center"/>
          </w:tcPr>
          <w:p>
            <w:pPr>
              <w:pStyle w:val="39"/>
              <w:rPr>
                <w:rFonts w:ascii="Times New Roman" w:hAnsi="Times New Roman"/>
              </w:rPr>
            </w:pPr>
            <w:r>
              <w:rPr>
                <w:rFonts w:ascii="Times New Roman" w:hAnsi="Times New Roman"/>
              </w:rPr>
              <w:t>J</w:t>
            </w:r>
            <w:r>
              <w:rPr>
                <w:rFonts w:ascii="Times New Roman" w:hAnsi="Times New Roman"/>
                <w:vertAlign w:val="subscript"/>
              </w:rPr>
              <w:t>3</w:t>
            </w:r>
            <w:r>
              <w:rPr>
                <w:rFonts w:ascii="Times New Roman" w:hAnsi="Times New Roman"/>
                <w:i/>
                <w:iCs/>
              </w:rPr>
              <w:t>p</w:t>
            </w:r>
            <w:r>
              <w:rPr>
                <w:rFonts w:ascii="Times New Roman" w:hAnsi="Times New Roman"/>
                <w:vertAlign w:val="superscript"/>
              </w:rPr>
              <w:t>1</w:t>
            </w:r>
          </w:p>
        </w:tc>
        <w:tc>
          <w:tcPr>
            <w:tcW w:w="488" w:type="pct"/>
            <w:tcMar>
              <w:left w:w="28" w:type="dxa"/>
              <w:right w:w="28" w:type="dxa"/>
            </w:tcMar>
            <w:vAlign w:val="center"/>
          </w:tcPr>
          <w:p>
            <w:pPr>
              <w:pStyle w:val="39"/>
              <w:rPr>
                <w:rFonts w:ascii="Times New Roman" w:hAnsi="Times New Roman"/>
              </w:rPr>
            </w:pPr>
            <w:r>
              <w:rPr>
                <w:rFonts w:ascii="Times New Roman" w:hAnsi="Times New Roman"/>
              </w:rPr>
              <w:t>构造裂隙水</w:t>
            </w:r>
          </w:p>
        </w:tc>
        <w:tc>
          <w:tcPr>
            <w:tcW w:w="384" w:type="pct"/>
            <w:tcMar>
              <w:left w:w="28" w:type="dxa"/>
              <w:right w:w="28" w:type="dxa"/>
            </w:tcMar>
            <w:vAlign w:val="center"/>
          </w:tcPr>
          <w:p>
            <w:pPr>
              <w:pStyle w:val="39"/>
              <w:rPr>
                <w:rFonts w:ascii="Times New Roman" w:hAnsi="Times New Roman"/>
              </w:rPr>
            </w:pPr>
            <w:r>
              <w:rPr>
                <w:rFonts w:ascii="Times New Roman" w:hAnsi="Times New Roman"/>
              </w:rPr>
              <w:t>2</w:t>
            </w:r>
          </w:p>
        </w:tc>
        <w:tc>
          <w:tcPr>
            <w:tcW w:w="519" w:type="pct"/>
            <w:tcMar>
              <w:left w:w="28" w:type="dxa"/>
              <w:right w:w="28" w:type="dxa"/>
            </w:tcMar>
            <w:vAlign w:val="center"/>
          </w:tcPr>
          <w:p>
            <w:pPr>
              <w:pStyle w:val="39"/>
              <w:rPr>
                <w:rFonts w:ascii="Times New Roman" w:hAnsi="Times New Roman"/>
              </w:rPr>
            </w:pPr>
            <w:r>
              <w:rPr>
                <w:rFonts w:ascii="Times New Roman" w:hAnsi="Times New Roman"/>
              </w:rPr>
              <w:t>13.7</w:t>
            </w:r>
          </w:p>
        </w:tc>
        <w:tc>
          <w:tcPr>
            <w:tcW w:w="350" w:type="pct"/>
            <w:tcMar>
              <w:left w:w="28" w:type="dxa"/>
              <w:right w:w="28" w:type="dxa"/>
            </w:tcMar>
            <w:vAlign w:val="center"/>
          </w:tcPr>
          <w:p>
            <w:pPr>
              <w:pStyle w:val="39"/>
              <w:rPr>
                <w:rFonts w:ascii="Times New Roman" w:hAnsi="Times New Roman"/>
              </w:rPr>
            </w:pPr>
            <w:r>
              <w:rPr>
                <w:rFonts w:ascii="Times New Roman" w:hAnsi="Times New Roman"/>
              </w:rPr>
              <w:t>4.03</w:t>
            </w:r>
          </w:p>
        </w:tc>
        <w:tc>
          <w:tcPr>
            <w:tcW w:w="484" w:type="pct"/>
            <w:tcMar>
              <w:left w:w="28" w:type="dxa"/>
              <w:right w:w="28" w:type="dxa"/>
            </w:tcMar>
            <w:vAlign w:val="center"/>
          </w:tcPr>
          <w:p>
            <w:pPr>
              <w:pStyle w:val="39"/>
              <w:rPr>
                <w:rFonts w:ascii="Times New Roman" w:hAnsi="Times New Roman"/>
              </w:rPr>
            </w:pPr>
            <w:r>
              <w:rPr>
                <w:rFonts w:ascii="Times New Roman" w:hAnsi="Times New Roman"/>
              </w:rPr>
              <w:t>0.083</w:t>
            </w:r>
          </w:p>
        </w:tc>
        <w:tc>
          <w:tcPr>
            <w:tcW w:w="565" w:type="pct"/>
            <w:tcMar>
              <w:left w:w="28" w:type="dxa"/>
              <w:right w:w="28" w:type="dxa"/>
            </w:tcMar>
            <w:vAlign w:val="center"/>
          </w:tcPr>
          <w:p>
            <w:pPr>
              <w:pStyle w:val="39"/>
              <w:rPr>
                <w:rFonts w:ascii="Times New Roman" w:hAnsi="Times New Roman"/>
              </w:rPr>
            </w:pPr>
            <w:r>
              <w:rPr>
                <w:rFonts w:ascii="Times New Roman" w:hAnsi="Times New Roman"/>
              </w:rPr>
              <w:t>8.05</w:t>
            </w:r>
          </w:p>
        </w:tc>
        <w:tc>
          <w:tcPr>
            <w:tcW w:w="645" w:type="pct"/>
            <w:tcMar>
              <w:left w:w="28" w:type="dxa"/>
              <w:right w:w="28" w:type="dxa"/>
            </w:tcMar>
            <w:vAlign w:val="center"/>
          </w:tcPr>
          <w:p>
            <w:pPr>
              <w:pStyle w:val="39"/>
              <w:rPr>
                <w:rFonts w:ascii="Times New Roman" w:hAnsi="Times New Roman"/>
              </w:rPr>
            </w:pPr>
            <w:r>
              <w:rPr>
                <w:rFonts w:ascii="Times New Roman" w:hAnsi="Times New Roman"/>
              </w:rPr>
              <w:t>0.005</w:t>
            </w:r>
          </w:p>
        </w:tc>
        <w:tc>
          <w:tcPr>
            <w:tcW w:w="566" w:type="pct"/>
            <w:tcMar>
              <w:left w:w="28" w:type="dxa"/>
              <w:right w:w="28" w:type="dxa"/>
            </w:tcMar>
            <w:vAlign w:val="center"/>
          </w:tcPr>
          <w:p>
            <w:pPr>
              <w:pStyle w:val="39"/>
              <w:rPr>
                <w:rFonts w:ascii="Times New Roman" w:hAnsi="Times New Roman"/>
              </w:rPr>
            </w:pPr>
            <w:r>
              <w:rPr>
                <w:rFonts w:ascii="Times New Roman" w:hAnsi="Times New Roman"/>
              </w:rPr>
              <w:t>0.039</w:t>
            </w:r>
          </w:p>
        </w:tc>
        <w:tc>
          <w:tcPr>
            <w:tcW w:w="565" w:type="pct"/>
            <w:tcMar>
              <w:left w:w="28" w:type="dxa"/>
              <w:right w:w="28" w:type="dxa"/>
            </w:tcMar>
            <w:vAlign w:val="center"/>
          </w:tcPr>
          <w:p>
            <w:pPr>
              <w:pStyle w:val="39"/>
              <w:rPr>
                <w:rFonts w:ascii="Times New Roman" w:hAnsi="Times New Roman"/>
              </w:rPr>
            </w:pPr>
            <w:r>
              <w:rPr>
                <w:rFonts w:ascii="Times New Roman" w:hAnsi="Times New Roman"/>
              </w:rPr>
              <w:t>136.56</w:t>
            </w:r>
          </w:p>
        </w:tc>
      </w:tr>
    </w:tbl>
    <w:p>
      <w:pPr>
        <w:ind w:firstLine="480"/>
        <w:rPr>
          <w:rFonts w:ascii="Times New Roman" w:hAnsi="Times New Roman"/>
        </w:rPr>
      </w:pP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19</w:t>
      </w:r>
      <w:r>
        <w:rPr>
          <w:rFonts w:ascii="Times New Roman" w:hAnsi="Times New Roman" w:cs="Times New Roman"/>
        </w:rPr>
        <w:fldChar w:fldCharType="end"/>
      </w:r>
      <w:r>
        <w:rPr>
          <w:rFonts w:ascii="Times New Roman" w:hAnsi="Times New Roman" w:cs="Times New Roman"/>
        </w:rPr>
        <w:t xml:space="preserve">  宣兴井站试坑渗水试验参数收集表</w:t>
      </w:r>
    </w:p>
    <w:tbl>
      <w:tblPr>
        <w:tblStyle w:val="28"/>
        <w:tblW w:w="79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7"/>
        <w:gridCol w:w="1417"/>
        <w:gridCol w:w="2694"/>
        <w:gridCol w:w="2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77" w:type="dxa"/>
            <w:vMerge w:val="restart"/>
            <w:vAlign w:val="center"/>
          </w:tcPr>
          <w:p>
            <w:pPr>
              <w:pStyle w:val="39"/>
              <w:rPr>
                <w:rFonts w:ascii="Times New Roman" w:hAnsi="Times New Roman"/>
              </w:rPr>
            </w:pPr>
            <w:r>
              <w:rPr>
                <w:rFonts w:ascii="Times New Roman" w:hAnsi="Times New Roman"/>
              </w:rPr>
              <w:t>编号</w:t>
            </w:r>
          </w:p>
        </w:tc>
        <w:tc>
          <w:tcPr>
            <w:tcW w:w="1417" w:type="dxa"/>
            <w:vMerge w:val="restart"/>
            <w:vAlign w:val="center"/>
          </w:tcPr>
          <w:p>
            <w:pPr>
              <w:pStyle w:val="39"/>
              <w:rPr>
                <w:rFonts w:ascii="Times New Roman" w:hAnsi="Times New Roman"/>
              </w:rPr>
            </w:pPr>
            <w:r>
              <w:rPr>
                <w:rFonts w:ascii="Times New Roman" w:hAnsi="Times New Roman"/>
              </w:rPr>
              <w:t>位置</w:t>
            </w:r>
          </w:p>
        </w:tc>
        <w:tc>
          <w:tcPr>
            <w:tcW w:w="2694" w:type="dxa"/>
            <w:vMerge w:val="restart"/>
            <w:vAlign w:val="center"/>
          </w:tcPr>
          <w:p>
            <w:pPr>
              <w:pStyle w:val="39"/>
              <w:rPr>
                <w:rFonts w:ascii="Times New Roman" w:hAnsi="Times New Roman"/>
              </w:rPr>
            </w:pPr>
            <w:r>
              <w:rPr>
                <w:rFonts w:ascii="Times New Roman" w:hAnsi="Times New Roman"/>
              </w:rPr>
              <w:t>岩性</w:t>
            </w:r>
          </w:p>
        </w:tc>
        <w:tc>
          <w:tcPr>
            <w:tcW w:w="2542" w:type="dxa"/>
            <w:vAlign w:val="center"/>
          </w:tcPr>
          <w:p>
            <w:pPr>
              <w:pStyle w:val="39"/>
              <w:rPr>
                <w:rFonts w:ascii="Times New Roman" w:hAnsi="Times New Roman"/>
              </w:rPr>
            </w:pPr>
            <w:r>
              <w:rPr>
                <w:rFonts w:ascii="Times New Roman" w:hAnsi="Times New Roman"/>
              </w:rPr>
              <w:t>渗透系数K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77" w:type="dxa"/>
            <w:vMerge w:val="continue"/>
            <w:vAlign w:val="center"/>
          </w:tcPr>
          <w:p>
            <w:pPr>
              <w:pStyle w:val="39"/>
              <w:rPr>
                <w:rFonts w:ascii="Times New Roman" w:hAnsi="Times New Roman"/>
              </w:rPr>
            </w:pPr>
          </w:p>
        </w:tc>
        <w:tc>
          <w:tcPr>
            <w:tcW w:w="1417" w:type="dxa"/>
            <w:vMerge w:val="continue"/>
            <w:vAlign w:val="center"/>
          </w:tcPr>
          <w:p>
            <w:pPr>
              <w:pStyle w:val="39"/>
              <w:rPr>
                <w:rFonts w:ascii="Times New Roman" w:hAnsi="Times New Roman"/>
              </w:rPr>
            </w:pPr>
          </w:p>
        </w:tc>
        <w:tc>
          <w:tcPr>
            <w:tcW w:w="2694" w:type="dxa"/>
            <w:vMerge w:val="continue"/>
            <w:vAlign w:val="center"/>
          </w:tcPr>
          <w:p>
            <w:pPr>
              <w:pStyle w:val="39"/>
              <w:rPr>
                <w:rFonts w:ascii="Times New Roman" w:hAnsi="Times New Roman"/>
              </w:rPr>
            </w:pPr>
          </w:p>
        </w:tc>
        <w:tc>
          <w:tcPr>
            <w:tcW w:w="2542" w:type="dxa"/>
            <w:vAlign w:val="center"/>
          </w:tcPr>
          <w:p>
            <w:pPr>
              <w:pStyle w:val="39"/>
              <w:rPr>
                <w:rFonts w:ascii="Times New Roman" w:hAnsi="Times New Roman"/>
              </w:rPr>
            </w:pPr>
            <w:r>
              <w:rPr>
                <w:rFonts w:ascii="Times New Roman" w:hAnsi="Times New Roman"/>
              </w:rPr>
              <w:t>m/d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277" w:type="dxa"/>
            <w:vAlign w:val="center"/>
          </w:tcPr>
          <w:p>
            <w:pPr>
              <w:pStyle w:val="39"/>
              <w:rPr>
                <w:rFonts w:ascii="Times New Roman" w:hAnsi="Times New Roman"/>
              </w:rPr>
            </w:pPr>
            <w:r>
              <w:rPr>
                <w:rFonts w:ascii="Times New Roman" w:hAnsi="Times New Roman"/>
              </w:rPr>
              <w:t>1</w:t>
            </w:r>
          </w:p>
        </w:tc>
        <w:tc>
          <w:tcPr>
            <w:tcW w:w="1417" w:type="dxa"/>
            <w:vAlign w:val="center"/>
          </w:tcPr>
          <w:p>
            <w:pPr>
              <w:pStyle w:val="39"/>
              <w:rPr>
                <w:rFonts w:ascii="Times New Roman" w:hAnsi="Times New Roman"/>
              </w:rPr>
            </w:pPr>
            <w:r>
              <w:rPr>
                <w:rFonts w:ascii="Times New Roman" w:hAnsi="Times New Roman"/>
              </w:rPr>
              <w:t>山坡</w:t>
            </w:r>
          </w:p>
        </w:tc>
        <w:tc>
          <w:tcPr>
            <w:tcW w:w="2694" w:type="dxa"/>
            <w:vAlign w:val="center"/>
          </w:tcPr>
          <w:p>
            <w:pPr>
              <w:pStyle w:val="39"/>
              <w:rPr>
                <w:rFonts w:ascii="Times New Roman" w:hAnsi="Times New Roman"/>
              </w:rPr>
            </w:pPr>
            <w:r>
              <w:rPr>
                <w:rFonts w:ascii="Times New Roman" w:hAnsi="Times New Roman"/>
              </w:rPr>
              <w:t>粉质粘土</w:t>
            </w:r>
          </w:p>
        </w:tc>
        <w:tc>
          <w:tcPr>
            <w:tcW w:w="2542" w:type="dxa"/>
            <w:vAlign w:val="center"/>
          </w:tcPr>
          <w:p>
            <w:pPr>
              <w:pStyle w:val="39"/>
              <w:rPr>
                <w:rFonts w:ascii="Times New Roman" w:hAnsi="Times New Roman"/>
              </w:rPr>
            </w:pPr>
            <w:r>
              <w:rPr>
                <w:rFonts w:ascii="Times New Roman" w:hAnsi="Times New Roman"/>
              </w:rPr>
              <w:t>0.0385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277" w:type="dxa"/>
            <w:vAlign w:val="center"/>
          </w:tcPr>
          <w:p>
            <w:pPr>
              <w:pStyle w:val="39"/>
              <w:rPr>
                <w:rFonts w:ascii="Times New Roman" w:hAnsi="Times New Roman"/>
              </w:rPr>
            </w:pPr>
            <w:r>
              <w:rPr>
                <w:rFonts w:ascii="Times New Roman" w:hAnsi="Times New Roman"/>
              </w:rPr>
              <w:t>2</w:t>
            </w:r>
          </w:p>
        </w:tc>
        <w:tc>
          <w:tcPr>
            <w:tcW w:w="1417" w:type="dxa"/>
            <w:vAlign w:val="center"/>
          </w:tcPr>
          <w:p>
            <w:pPr>
              <w:pStyle w:val="39"/>
              <w:rPr>
                <w:rFonts w:ascii="Times New Roman" w:hAnsi="Times New Roman"/>
              </w:rPr>
            </w:pPr>
            <w:r>
              <w:rPr>
                <w:rFonts w:ascii="Times New Roman" w:hAnsi="Times New Roman"/>
              </w:rPr>
              <w:t>谷地</w:t>
            </w:r>
          </w:p>
        </w:tc>
        <w:tc>
          <w:tcPr>
            <w:tcW w:w="2694" w:type="dxa"/>
            <w:vAlign w:val="center"/>
          </w:tcPr>
          <w:p>
            <w:pPr>
              <w:pStyle w:val="39"/>
              <w:rPr>
                <w:rFonts w:ascii="Times New Roman" w:hAnsi="Times New Roman"/>
              </w:rPr>
            </w:pPr>
            <w:r>
              <w:rPr>
                <w:rFonts w:ascii="Times New Roman" w:hAnsi="Times New Roman"/>
              </w:rPr>
              <w:t xml:space="preserve"> 粉质粘土、粉土</w:t>
            </w:r>
            <w:r>
              <w:rPr>
                <w:rFonts w:ascii="Times New Roman" w:hAnsi="Times New Roman"/>
              </w:rPr>
              <w:tab/>
            </w:r>
          </w:p>
        </w:tc>
        <w:tc>
          <w:tcPr>
            <w:tcW w:w="2542" w:type="dxa"/>
            <w:vAlign w:val="center"/>
          </w:tcPr>
          <w:p>
            <w:pPr>
              <w:pStyle w:val="39"/>
              <w:rPr>
                <w:rFonts w:ascii="Times New Roman" w:hAnsi="Times New Roman"/>
              </w:rPr>
            </w:pPr>
            <w:r>
              <w:rPr>
                <w:rFonts w:ascii="Times New Roman" w:hAnsi="Times New Roman"/>
              </w:rPr>
              <w:t>0.493</w:t>
            </w:r>
          </w:p>
        </w:tc>
      </w:tr>
    </w:tbl>
    <w:p>
      <w:pPr>
        <w:ind w:firstLine="480"/>
        <w:rPr>
          <w:rFonts w:ascii="Times New Roman" w:hAnsi="Times New Roman"/>
        </w:rPr>
      </w:pPr>
      <w:r>
        <w:rPr>
          <w:rFonts w:ascii="Times New Roman" w:hAnsi="Times New Roman"/>
        </w:rPr>
        <w:t>（4）地下水开发利用现状</w:t>
      </w:r>
    </w:p>
    <w:p>
      <w:pPr>
        <w:ind w:firstLine="480"/>
        <w:rPr>
          <w:rFonts w:ascii="Times New Roman" w:hAnsi="Times New Roman"/>
        </w:rPr>
      </w:pPr>
      <w:r>
        <w:rPr>
          <w:rFonts w:ascii="Times New Roman" w:hAnsi="Times New Roman"/>
        </w:rPr>
        <w:t>地下水的开采受水文地质条件、社会经济发展水平等因素影响，与地形地貌、人居密度等关系密切。这些因素相互影响，共同决定着地下水资源的利用方式与开采程度。本评价区位于中-低山、宽谷丘陵区，地下水类型分为侏罗系红层基岩裂隙水，含水层相对较薄、渗透性弱、富水性差，评价区散居农户的农业及生活饮用水大部分来源于地表水体，地下水饮用水井常作为备用水源，开采量不大，地下水开发利用程度一般。</w:t>
      </w:r>
    </w:p>
    <w:p>
      <w:pPr>
        <w:ind w:firstLine="480"/>
        <w:rPr>
          <w:rFonts w:ascii="Times New Roman" w:hAnsi="Times New Roman"/>
        </w:rPr>
      </w:pPr>
      <w:r>
        <w:rPr>
          <w:rFonts w:ascii="Times New Roman" w:hAnsi="Times New Roman"/>
        </w:rPr>
        <w:t>1）宣探1井站</w:t>
      </w:r>
    </w:p>
    <w:p>
      <w:pPr>
        <w:ind w:firstLine="480"/>
        <w:rPr>
          <w:rFonts w:ascii="Times New Roman" w:hAnsi="Times New Roman"/>
        </w:rPr>
      </w:pPr>
      <w:r>
        <w:rPr>
          <w:rFonts w:ascii="Times New Roman" w:hAnsi="Times New Roman"/>
        </w:rPr>
        <w:t>该井站位于马伏村四组，场地及下游影响区无饮用水井，居民用水主要以供水工程引来的溪水为主。</w:t>
      </w:r>
    </w:p>
    <w:p>
      <w:pPr>
        <w:ind w:firstLine="480"/>
        <w:rPr>
          <w:rFonts w:ascii="Times New Roman" w:hAnsi="Times New Roman"/>
        </w:rPr>
      </w:pPr>
      <w:r>
        <w:rPr>
          <w:rFonts w:ascii="Times New Roman" w:hAnsi="Times New Roman"/>
        </w:rPr>
        <w:t>2）宣兴1井站</w:t>
      </w:r>
    </w:p>
    <w:p>
      <w:pPr>
        <w:ind w:firstLine="480"/>
        <w:rPr>
          <w:rFonts w:ascii="Times New Roman" w:hAnsi="Times New Roman"/>
        </w:rPr>
      </w:pPr>
      <w:r>
        <w:rPr>
          <w:rFonts w:ascii="Times New Roman" w:hAnsi="Times New Roman"/>
        </w:rPr>
        <w:t>该井站场地位于五道口村六组，周边居民饮水主要是依靠北侧的老君乡方向山沟引来的溪水供给，六组部分居住在地势较高区域的居民采取挖井或引溪水的方式作为饮用水源。</w:t>
      </w:r>
    </w:p>
    <w:p>
      <w:pPr>
        <w:ind w:firstLine="480"/>
        <w:rPr>
          <w:rFonts w:ascii="Times New Roman" w:hAnsi="Times New Roman"/>
        </w:rPr>
      </w:pPr>
      <w:r>
        <w:rPr>
          <w:rFonts w:ascii="Times New Roman" w:hAnsi="Times New Roman"/>
        </w:rPr>
        <w:t>3）集气管道沿线</w:t>
      </w:r>
    </w:p>
    <w:p>
      <w:pPr>
        <w:ind w:firstLine="480"/>
        <w:rPr>
          <w:rFonts w:ascii="Times New Roman" w:hAnsi="Times New Roman"/>
        </w:rPr>
      </w:pPr>
      <w:r>
        <w:rPr>
          <w:rFonts w:ascii="Times New Roman" w:hAnsi="Times New Roman"/>
        </w:rPr>
        <w:t>居民主要由供水工程集中供水，其水源为溪水，少量居住在地势较高区域的居民取周边的泉水为饮用水。</w:t>
      </w:r>
    </w:p>
    <w:p>
      <w:pPr>
        <w:pStyle w:val="5"/>
        <w:rPr>
          <w:rFonts w:ascii="Times New Roman" w:hAnsi="Times New Roman"/>
        </w:rPr>
      </w:pPr>
      <w:r>
        <w:rPr>
          <w:rFonts w:ascii="Times New Roman" w:hAnsi="Times New Roman"/>
        </w:rPr>
        <w:t>项目场地水文地质条件</w:t>
      </w:r>
    </w:p>
    <w:p>
      <w:pPr>
        <w:ind w:firstLine="480"/>
        <w:rPr>
          <w:rFonts w:ascii="Times New Roman" w:hAnsi="Times New Roman"/>
        </w:rPr>
      </w:pPr>
      <w:r>
        <w:rPr>
          <w:rFonts w:ascii="Times New Roman" w:hAnsi="Times New Roman"/>
        </w:rPr>
        <w:t>（1）宣兴1井站</w:t>
      </w:r>
    </w:p>
    <w:p>
      <w:pPr>
        <w:ind w:firstLine="480"/>
        <w:rPr>
          <w:rFonts w:ascii="Times New Roman" w:hAnsi="Times New Roman"/>
        </w:rPr>
      </w:pPr>
      <w:r>
        <w:rPr>
          <w:rFonts w:ascii="Times New Roman" w:hAnsi="Times New Roman"/>
        </w:rPr>
        <w:t>1）地形地貌</w:t>
      </w:r>
    </w:p>
    <w:p>
      <w:pPr>
        <w:ind w:firstLine="480"/>
        <w:rPr>
          <w:rFonts w:ascii="Times New Roman" w:hAnsi="Times New Roman"/>
        </w:rPr>
      </w:pPr>
      <w:r>
        <w:rPr>
          <w:rFonts w:ascii="Times New Roman" w:hAnsi="Times New Roman"/>
        </w:rPr>
        <w:t>场地区域地貌单元属低山地貌，场地地形起伏较大，场地地面高程介于935.0m～955.0m，高差约 20.0m（仅井场范围），呈宽缓台阶状，南高北低。地表植被多为荒草。</w:t>
      </w:r>
    </w:p>
    <w:p>
      <w:pPr>
        <w:ind w:firstLine="480"/>
        <w:rPr>
          <w:rFonts w:ascii="Times New Roman" w:hAnsi="Times New Roman"/>
        </w:rPr>
      </w:pPr>
      <w:r>
        <w:rPr>
          <w:rFonts w:ascii="Times New Roman" w:hAnsi="Times New Roman"/>
        </w:rPr>
        <w:t>2）地层岩性</w:t>
      </w:r>
    </w:p>
    <w:p>
      <w:pPr>
        <w:ind w:firstLine="480"/>
        <w:rPr>
          <w:rFonts w:ascii="Times New Roman" w:hAnsi="Times New Roman"/>
        </w:rPr>
      </w:pPr>
      <w:r>
        <w:rPr>
          <w:rFonts w:ascii="Times New Roman" w:hAnsi="Times New Roman"/>
        </w:rPr>
        <w:t>根据工程地质测绘以及本次钻探揭露情况，场区内地层主要为：</w:t>
      </w:r>
    </w:p>
    <w:p>
      <w:pPr>
        <w:ind w:firstLine="480"/>
        <w:rPr>
          <w:rFonts w:ascii="Times New Roman" w:hAnsi="Times New Roman"/>
        </w:rPr>
      </w:pPr>
      <w:r>
        <w:rPr>
          <w:rFonts w:ascii="Times New Roman" w:hAnsi="Times New Roman"/>
        </w:rPr>
        <w:t>第四系全新统耕植层（Q4</w:t>
      </w:r>
      <w:r>
        <w:rPr>
          <w:rFonts w:ascii="Times New Roman" w:hAnsi="Times New Roman"/>
          <w:vertAlign w:val="superscript"/>
        </w:rPr>
        <w:t>pd</w:t>
      </w:r>
      <w:r>
        <w:rPr>
          <w:rFonts w:ascii="Times New Roman" w:hAnsi="Times New Roman"/>
        </w:rPr>
        <w:t>）耕土，第四系全新统坡积（Q4</w:t>
      </w:r>
      <w:r>
        <w:rPr>
          <w:rFonts w:ascii="Times New Roman" w:hAnsi="Times New Roman"/>
          <w:vertAlign w:val="superscript"/>
        </w:rPr>
        <w:t>dl</w:t>
      </w:r>
      <w:r>
        <w:rPr>
          <w:rFonts w:ascii="Times New Roman" w:hAnsi="Times New Roman"/>
        </w:rPr>
        <w:t>）粉质黏土及侏罗系上统蓬莱镇组（J3p1）砂岩。现自上而下将各类岩土的野外特征描述如下：</w:t>
      </w:r>
    </w:p>
    <w:p>
      <w:pPr>
        <w:ind w:firstLine="480"/>
        <w:rPr>
          <w:rFonts w:ascii="Times New Roman" w:hAnsi="Times New Roman"/>
        </w:rPr>
      </w:pPr>
      <w:r>
        <w:rPr>
          <w:rFonts w:ascii="Times New Roman" w:hAnsi="Times New Roman"/>
        </w:rPr>
        <w:t>耕土（Q4</w:t>
      </w:r>
      <w:r>
        <w:rPr>
          <w:rFonts w:ascii="Times New Roman" w:hAnsi="Times New Roman"/>
          <w:vertAlign w:val="superscript"/>
        </w:rPr>
        <w:t>pd</w:t>
      </w:r>
      <w:r>
        <w:rPr>
          <w:rFonts w:ascii="Times New Roman" w:hAnsi="Times New Roman"/>
        </w:rPr>
        <w:t>）：褐黄色，湿，由耕作土组成，含植物根系及少量砂岩角砾，结构松散，层厚约 0.50～1.00m，整个场地均有分布。</w:t>
      </w:r>
    </w:p>
    <w:p>
      <w:pPr>
        <w:ind w:firstLine="480"/>
        <w:rPr>
          <w:rFonts w:ascii="Times New Roman" w:hAnsi="Times New Roman"/>
        </w:rPr>
      </w:pPr>
      <w:r>
        <w:rPr>
          <w:rFonts w:ascii="Times New Roman" w:hAnsi="Times New Roman"/>
        </w:rPr>
        <w:t>粉质黏土（Q4</w:t>
      </w:r>
      <w:r>
        <w:rPr>
          <w:rFonts w:ascii="Times New Roman" w:hAnsi="Times New Roman"/>
          <w:vertAlign w:val="superscript"/>
        </w:rPr>
        <w:t>dl</w:t>
      </w:r>
      <w:r>
        <w:rPr>
          <w:rFonts w:ascii="Times New Roman" w:hAnsi="Times New Roman"/>
        </w:rPr>
        <w:t>）：褐灰色、褐黄色，湿，呈可塑状态，含铁锰质氧化物，局部含少量砂岩角砾， 稍有光泽，干强度中等，韧性中等，无摇振反应，层厚1.00m～2.30m，仅在冲沟及坡脚区域有分布。</w:t>
      </w:r>
    </w:p>
    <w:p>
      <w:pPr>
        <w:ind w:firstLine="480"/>
        <w:rPr>
          <w:rFonts w:ascii="Times New Roman" w:hAnsi="Times New Roman"/>
        </w:rPr>
      </w:pPr>
      <w:r>
        <w:rPr>
          <w:rFonts w:ascii="Times New Roman" w:hAnsi="Times New Roman"/>
        </w:rPr>
        <w:t>砂岩（J3p1） :褐黄色，青灰色厚层-块状长石石英细砂岩，主要矿物成分为石英、长石、云母及黏土矿物，细粒结构，薄～厚层状构造，与砂质泥岩互层，裂隙较发育，场地岩层产状 45°</w:t>
      </w:r>
      <w:r>
        <w:rPr>
          <w:rFonts w:hint="eastAsia" w:ascii="宋体" w:hAnsi="宋体" w:cs="宋体"/>
        </w:rPr>
        <w:t>∠</w:t>
      </w:r>
      <w:r>
        <w:rPr>
          <w:rFonts w:ascii="Times New Roman" w:hAnsi="Times New Roman"/>
        </w:rPr>
        <w:t>10°。上部强风化层，岩质较软，岩芯较破碎，揭露层厚 0.80m～1.50m；下部中等风化层，岩质较硬，岩芯呈短柱状～柱状，最大揭露厚度 7.20m，未揭穿。</w:t>
      </w:r>
    </w:p>
    <w:p>
      <w:pPr>
        <w:ind w:firstLine="480"/>
        <w:rPr>
          <w:rFonts w:ascii="Times New Roman" w:hAnsi="Times New Roman"/>
        </w:rPr>
      </w:pPr>
      <w:r>
        <w:rPr>
          <w:rFonts w:ascii="Times New Roman" w:hAnsi="Times New Roman"/>
        </w:rPr>
        <w:t>3）水文地质</w:t>
      </w:r>
    </w:p>
    <w:p>
      <w:pPr>
        <w:ind w:firstLine="480"/>
        <w:rPr>
          <w:rFonts w:ascii="Times New Roman" w:hAnsi="Times New Roman"/>
        </w:rPr>
      </w:pPr>
      <w:r>
        <w:rPr>
          <w:rFonts w:ascii="Times New Roman" w:hAnsi="Times New Roman"/>
        </w:rPr>
        <w:t>A、含水岩组特征</w:t>
      </w:r>
    </w:p>
    <w:p>
      <w:pPr>
        <w:ind w:firstLine="480"/>
        <w:rPr>
          <w:rFonts w:ascii="Times New Roman" w:hAnsi="Times New Roman"/>
        </w:rPr>
      </w:pPr>
      <w:r>
        <w:rPr>
          <w:rFonts w:ascii="Times New Roman" w:hAnsi="Times New Roman"/>
        </w:rPr>
        <w:t>项目场地区域地下水主要赋存于侏罗系上统蓬莱镇组下段（J3p1）地层中，岩性为灰色厚层钙质细粒长石石英砂岩夹紫红色泥岩，砂岩厚度变化较大。在构造作用下，裂隙较为发育。由于砂岩、泥岩交替频繁，该含水岩组区内泉点出露较多。由J3p1组成的以砂岩为主的含水一般位于地表水系上游地区，含水岩组在地表水系的侵蚀切割下，地下水排泄进河流或沟谷中。</w:t>
      </w:r>
    </w:p>
    <w:p>
      <w:pPr>
        <w:ind w:firstLine="480"/>
        <w:rPr>
          <w:rFonts w:ascii="Times New Roman" w:hAnsi="Times New Roman"/>
        </w:rPr>
      </w:pPr>
      <w:r>
        <w:rPr>
          <w:rFonts w:ascii="Times New Roman" w:hAnsi="Times New Roman"/>
        </w:rPr>
        <w:t>B、地下水类型及富水性</w:t>
      </w:r>
    </w:p>
    <w:p>
      <w:pPr>
        <w:ind w:firstLine="480"/>
        <w:rPr>
          <w:rFonts w:ascii="Times New Roman" w:hAnsi="Times New Roman"/>
        </w:rPr>
      </w:pPr>
      <w:r>
        <w:rPr>
          <w:rFonts w:ascii="Times New Roman" w:hAnsi="Times New Roman"/>
        </w:rPr>
        <w:t>项目场地区域地下水类型为基岩构造裂隙水（</w:t>
      </w:r>
      <w:r>
        <w:rPr>
          <w:rFonts w:ascii="Times New Roman" w:hAnsi="Times New Roman"/>
        </w:rPr>
        <w:fldChar w:fldCharType="begin"/>
      </w:r>
      <w:r>
        <w:rPr>
          <w:rFonts w:ascii="Times New Roman" w:hAnsi="Times New Roman"/>
        </w:rPr>
        <w:instrText xml:space="preserve"> REF _Ref157093017 \h  \* MERGEFORMAT </w:instrText>
      </w:r>
      <w:r>
        <w:rPr>
          <w:rFonts w:ascii="Times New Roman" w:hAnsi="Times New Roman"/>
        </w:rPr>
        <w:fldChar w:fldCharType="separate"/>
      </w:r>
      <w:r>
        <w:rPr>
          <w:rFonts w:ascii="Times New Roman" w:hAnsi="Times New Roman"/>
        </w:rPr>
        <w:t>图 6</w:t>
      </w:r>
      <w:r>
        <w:rPr>
          <w:rFonts w:ascii="Times New Roman" w:hAnsi="Times New Roman"/>
        </w:rPr>
        <w:noBreakHyphen/>
      </w:r>
      <w:r>
        <w:rPr>
          <w:rFonts w:ascii="Times New Roman" w:hAnsi="Times New Roman"/>
        </w:rPr>
        <w:t>4</w:t>
      </w:r>
      <w:r>
        <w:rPr>
          <w:rFonts w:ascii="Times New Roman" w:hAnsi="Times New Roman"/>
        </w:rPr>
        <w:fldChar w:fldCharType="end"/>
      </w:r>
      <w:r>
        <w:rPr>
          <w:rFonts w:ascii="Times New Roman" w:hAnsi="Times New Roman"/>
        </w:rPr>
        <w:t>），砂岩与泥岩及砂质泥岩略呈等厚互层状，砂岩裂隙率为1-3条/m，面裂隙率多为1-6%，孔隙度一般为4-9%，最大可达26.5%。以砂岩构造裂隙水为主，富水性不均匀，泉水流量多在0.1~1.0L/s左右，地下水径流模数0.5-1.0升/秒·平方公里，含水层厚度一般20~30m，含水层渗透系数0.049m/d。该区地下水化学性质与地下水赋存条件和运移条件有关，泉水一般以HCO</w:t>
      </w:r>
      <w:r>
        <w:rPr>
          <w:rFonts w:ascii="Times New Roman" w:hAnsi="Times New Roman"/>
          <w:vertAlign w:val="subscript"/>
        </w:rPr>
        <w:t>3</w:t>
      </w:r>
      <w:r>
        <w:rPr>
          <w:rFonts w:ascii="Times New Roman" w:hAnsi="Times New Roman"/>
        </w:rPr>
        <w:t>-Ca和HCO</w:t>
      </w:r>
      <w:r>
        <w:rPr>
          <w:rFonts w:ascii="Times New Roman" w:hAnsi="Times New Roman"/>
          <w:vertAlign w:val="subscript"/>
        </w:rPr>
        <w:t>3</w:t>
      </w:r>
      <w:r>
        <w:rPr>
          <w:rFonts w:ascii="Times New Roman" w:hAnsi="Times New Roman"/>
        </w:rPr>
        <w:t>-Ca·Mg型水为主，潜水则以HCO</w:t>
      </w:r>
      <w:r>
        <w:rPr>
          <w:rFonts w:ascii="Times New Roman" w:hAnsi="Times New Roman"/>
          <w:vertAlign w:val="subscript"/>
        </w:rPr>
        <w:t>3</w:t>
      </w:r>
      <w:r>
        <w:rPr>
          <w:rFonts w:ascii="Times New Roman" w:hAnsi="Times New Roman"/>
        </w:rPr>
        <w:t>-Ca·Na和HCO</w:t>
      </w:r>
      <w:r>
        <w:rPr>
          <w:rFonts w:ascii="Times New Roman" w:hAnsi="Times New Roman"/>
          <w:vertAlign w:val="subscript"/>
        </w:rPr>
        <w:t>3</w:t>
      </w:r>
      <w:r>
        <w:rPr>
          <w:rFonts w:ascii="Times New Roman" w:hAnsi="Times New Roman"/>
        </w:rPr>
        <w:t>-Na型较为常见。</w:t>
      </w:r>
    </w:p>
    <w:p>
      <w:pPr>
        <w:ind w:firstLine="480"/>
        <w:rPr>
          <w:rFonts w:ascii="Times New Roman" w:hAnsi="Times New Roman"/>
        </w:rPr>
      </w:pPr>
      <w:r>
        <w:rPr>
          <w:rFonts w:ascii="Times New Roman" w:hAnsi="Times New Roman"/>
        </w:rPr>
        <w:t>C、地下水补给、径流、排泄及动态变化特征</w:t>
      </w:r>
    </w:p>
    <w:p>
      <w:pPr>
        <w:ind w:firstLine="480"/>
        <w:rPr>
          <w:rFonts w:ascii="Times New Roman" w:hAnsi="Times New Roman"/>
        </w:rPr>
      </w:pPr>
      <w:r>
        <w:rPr>
          <w:rFonts w:ascii="Times New Roman" w:hAnsi="Times New Roman"/>
        </w:rPr>
        <w:t>宣兴1井站评价范围以西侧及西北侧地表台梁为补给边界，东侧、南侧、东北侧以乱石滩河为排泄边界。地下水以接受大气降雨的入渗为主，得到补给后，主要是通过砂岩裂隙和层间裂隙沿着岩层的倾斜方向做垂向运动，一部分在地形陡倾的地段及地表侵蚀基准面以上以下降泉的方式排泄，一部分则继续向深部运移、汇集，并做水平运动。根据裂隙发育特征，各砂岩层的地下水，尤其在深部，一般具有单独的补、径、排系统，上、下层的含水层往往不具有水力联系。</w:t>
      </w:r>
    </w:p>
    <w:p>
      <w:pPr>
        <w:ind w:firstLine="480"/>
        <w:rPr>
          <w:rFonts w:ascii="Times New Roman" w:hAnsi="Times New Roman"/>
        </w:rPr>
      </w:pPr>
      <w:r>
        <w:rPr>
          <w:rFonts w:ascii="Times New Roman" w:hAnsi="Times New Roman"/>
        </w:rPr>
        <w:t>场地区域地下水由山坡向沟谷排泄，汇集于下游乱石滩河流。另外，人工开采也是该区地下水的排泄方式，区内部分居民通过分散式饮用水井和井泉抽取地下水。</w:t>
      </w:r>
    </w:p>
    <w:p>
      <w:pPr>
        <w:ind w:firstLine="480"/>
        <w:rPr>
          <w:rFonts w:ascii="Times New Roman" w:hAnsi="Times New Roman"/>
        </w:rPr>
      </w:pPr>
      <w:r>
        <w:rPr>
          <w:rFonts w:ascii="Times New Roman" w:hAnsi="Times New Roman"/>
        </w:rPr>
        <w:t>由于含水层的补给区面积普遍较小，地下水不能获得充分补充，地下水的弹性节量损耗较大，水压降低和水量减少的显现普遍比较显著，同时，地下水动态受降雨影响而产生季节性的变化，泉点丰水期的水量约为枯水期的2～10倍。</w:t>
      </w:r>
    </w:p>
    <w:p>
      <w:pPr>
        <w:ind w:firstLine="0" w:firstLineChars="0"/>
        <w:jc w:val="center"/>
        <w:rPr>
          <w:rFonts w:ascii="Times New Roman" w:hAnsi="Times New Roman"/>
        </w:rPr>
      </w:pPr>
      <w:r>
        <w:rPr>
          <w:rFonts w:ascii="Times New Roman" w:hAnsi="Times New Roman"/>
        </w:rPr>
        <w:drawing>
          <wp:inline distT="0" distB="0" distL="0" distR="0">
            <wp:extent cx="4269105" cy="5022850"/>
            <wp:effectExtent l="19050" t="19050" r="17145" b="25400"/>
            <wp:docPr id="207845501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455010" name="图片 21"/>
                    <pic:cNvPicPr>
                      <a:picLocks noChangeAspect="1"/>
                    </pic:cNvPicPr>
                  </pic:nvPicPr>
                  <pic:blipFill>
                    <a:blip r:embed="rId106" cstate="print">
                      <a:extLst>
                        <a:ext uri="{28A0092B-C50C-407E-A947-70E740481C1C}">
                          <a14:useLocalDpi xmlns:a14="http://schemas.microsoft.com/office/drawing/2010/main" val="0"/>
                        </a:ext>
                      </a:extLst>
                    </a:blip>
                    <a:srcRect l="2196" t="640" r="2288" b="1051"/>
                    <a:stretch>
                      <a:fillRect/>
                    </a:stretch>
                  </pic:blipFill>
                  <pic:spPr>
                    <a:xfrm>
                      <a:off x="0" y="0"/>
                      <a:ext cx="4277002" cy="5031613"/>
                    </a:xfrm>
                    <a:prstGeom prst="rect">
                      <a:avLst/>
                    </a:prstGeom>
                    <a:ln>
                      <a:solidFill>
                        <a:schemeClr val="tx1"/>
                      </a:solidFill>
                    </a:ln>
                  </pic:spPr>
                </pic:pic>
              </a:graphicData>
            </a:graphic>
          </wp:inline>
        </w:drawing>
      </w:r>
    </w:p>
    <w:p>
      <w:pPr>
        <w:pStyle w:val="37"/>
        <w:rPr>
          <w:rFonts w:ascii="Times New Roman" w:hAnsi="Times New Roman" w:cs="Times New Roman"/>
        </w:rPr>
      </w:pPr>
      <w:bookmarkStart w:id="219" w:name="_Ref157093017"/>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bookmarkEnd w:id="219"/>
      <w:r>
        <w:rPr>
          <w:rFonts w:ascii="Times New Roman" w:hAnsi="Times New Roman" w:cs="Times New Roman"/>
        </w:rPr>
        <w:t xml:space="preserve">  </w:t>
      </w:r>
      <w:bookmarkStart w:id="220" w:name="_Hlk160808039"/>
      <w:r>
        <w:rPr>
          <w:rFonts w:ascii="Times New Roman" w:hAnsi="Times New Roman" w:cs="Times New Roman"/>
        </w:rPr>
        <w:t>宣兴1井站场地水文地质图</w:t>
      </w:r>
      <w:bookmarkEnd w:id="220"/>
    </w:p>
    <w:p>
      <w:pPr>
        <w:ind w:firstLine="480"/>
        <w:rPr>
          <w:rFonts w:ascii="Times New Roman" w:hAnsi="Times New Roman"/>
        </w:rPr>
      </w:pPr>
      <w:r>
        <w:rPr>
          <w:rFonts w:ascii="Times New Roman" w:hAnsi="Times New Roman"/>
        </w:rPr>
        <w:t>（2）宣探1井站</w:t>
      </w:r>
    </w:p>
    <w:p>
      <w:pPr>
        <w:ind w:firstLine="480"/>
        <w:rPr>
          <w:rFonts w:ascii="Times New Roman" w:hAnsi="Times New Roman"/>
        </w:rPr>
      </w:pPr>
      <w:r>
        <w:rPr>
          <w:rFonts w:ascii="Times New Roman" w:hAnsi="Times New Roman"/>
        </w:rPr>
        <w:t>1）地形地貌</w:t>
      </w:r>
    </w:p>
    <w:p>
      <w:pPr>
        <w:ind w:firstLine="480"/>
        <w:rPr>
          <w:rFonts w:ascii="Times New Roman" w:hAnsi="Times New Roman"/>
        </w:rPr>
      </w:pPr>
      <w:r>
        <w:rPr>
          <w:rFonts w:ascii="Times New Roman" w:hAnsi="Times New Roman"/>
        </w:rPr>
        <w:t>宣探1井站场地位于四川省达州市宣汉县清溪镇，宣汉县地处川东平行岭谷褶皱区，属大巴山脉向南延伸的丘陵体系。由三背斜低山夹两向斜丘陵组成，属“三山两槽”的平行岭谷地形。</w:t>
      </w:r>
    </w:p>
    <w:p>
      <w:pPr>
        <w:ind w:firstLine="480"/>
        <w:rPr>
          <w:rFonts w:ascii="Times New Roman" w:hAnsi="Times New Roman"/>
        </w:rPr>
      </w:pPr>
      <w:r>
        <w:rPr>
          <w:rFonts w:ascii="Times New Roman" w:hAnsi="Times New Roman"/>
        </w:rPr>
        <w:t>区内地貌类型为中山，地势南高北低，斜坡上陡下缓，拟建场区位于斜坡下部缓坡平台上，缓坡平台坡度 10～15°。项目场地自然高程约 385.6～386.0m，相对高差小于 0.5m。放空区则位于场地东南侧缓坡平台上，坡度小于 10°，自然高程 397.40～396.26m，相对高差约 1.1m。</w:t>
      </w:r>
    </w:p>
    <w:p>
      <w:pPr>
        <w:ind w:firstLine="480"/>
        <w:rPr>
          <w:rFonts w:ascii="Times New Roman" w:hAnsi="Times New Roman"/>
        </w:rPr>
      </w:pPr>
      <w:r>
        <w:rPr>
          <w:rFonts w:ascii="Times New Roman" w:hAnsi="Times New Roman"/>
        </w:rPr>
        <w:t>2）地层岩性</w:t>
      </w:r>
    </w:p>
    <w:p>
      <w:pPr>
        <w:ind w:firstLine="480"/>
        <w:rPr>
          <w:rFonts w:ascii="Times New Roman" w:hAnsi="Times New Roman"/>
        </w:rPr>
      </w:pPr>
      <w:r>
        <w:rPr>
          <w:rFonts w:ascii="Times New Roman" w:hAnsi="Times New Roman"/>
        </w:rPr>
        <w:t>根据钻探揭示，出露的地层主要为第四系全新统人工填土层（Qhml）、第四系全新统耕作层（Qhpd）、 第四系全新统坡崩坡积层（Qhcol+dl）、中生界侏罗系中统沙溪庙组（J2s1）。</w:t>
      </w:r>
    </w:p>
    <w:p>
      <w:pPr>
        <w:ind w:firstLine="480"/>
        <w:rPr>
          <w:rFonts w:ascii="Times New Roman" w:hAnsi="Times New Roman"/>
        </w:rPr>
      </w:pPr>
      <w:r>
        <w:rPr>
          <w:rFonts w:ascii="Times New Roman" w:hAnsi="Times New Roman"/>
        </w:rPr>
        <w:t>A、第四系全新统人工填土层</w:t>
      </w:r>
      <w:r>
        <w:rPr>
          <w:rFonts w:hint="eastAsia" w:ascii="宋体" w:hAnsi="宋体" w:cs="宋体"/>
        </w:rPr>
        <w:t>①</w:t>
      </w:r>
      <w:r>
        <w:rPr>
          <w:rFonts w:ascii="Times New Roman" w:hAnsi="Times New Roman"/>
        </w:rPr>
        <w:t>素填土（Qhml）：杂色，稍湿，中密，主要以粘性土和砂岩与泥岩块石、碎石混杂而成。该层仅在井厂装置区分布，厚度变化较大，层厚 1.4～3.6m，层底高程 382.33～384.44 m。</w:t>
      </w:r>
    </w:p>
    <w:p>
      <w:pPr>
        <w:ind w:firstLine="480"/>
        <w:rPr>
          <w:rFonts w:ascii="Times New Roman" w:hAnsi="Times New Roman"/>
        </w:rPr>
      </w:pPr>
      <w:r>
        <w:rPr>
          <w:rFonts w:ascii="Times New Roman" w:hAnsi="Times New Roman"/>
        </w:rPr>
        <w:t>B、第四系全新统耕作层</w:t>
      </w:r>
      <w:r>
        <w:rPr>
          <w:rFonts w:hint="eastAsia" w:ascii="宋体" w:hAnsi="宋体" w:cs="宋体"/>
        </w:rPr>
        <w:t>②</w:t>
      </w:r>
      <w:r>
        <w:rPr>
          <w:rFonts w:ascii="Times New Roman" w:hAnsi="Times New Roman"/>
        </w:rPr>
        <w:t>耕土（Qhpd）：耕土，粉质黏土质，黄褐～黑褐色，松散，湿，可塑～软塑，含植物根茎等。该层仅在放空区分布，层厚 0.3～0.4m，层底高程 395.96～396.94 m。</w:t>
      </w:r>
    </w:p>
    <w:p>
      <w:pPr>
        <w:ind w:firstLine="480"/>
        <w:rPr>
          <w:rFonts w:ascii="Times New Roman" w:hAnsi="Times New Roman"/>
        </w:rPr>
      </w:pPr>
      <w:r>
        <w:rPr>
          <w:rFonts w:ascii="Times New Roman" w:hAnsi="Times New Roman"/>
        </w:rPr>
        <w:t>C、第四系全新统崩坡积</w:t>
      </w:r>
      <w:r>
        <w:rPr>
          <w:rFonts w:hint="eastAsia" w:ascii="宋体" w:hAnsi="宋体" w:cs="宋体"/>
        </w:rPr>
        <w:t>③</w:t>
      </w:r>
      <w:r>
        <w:rPr>
          <w:rFonts w:ascii="Times New Roman" w:hAnsi="Times New Roman"/>
        </w:rPr>
        <w:t>1 粉质黏土（Qhcol+dl）：黄褐色～红褐色，可塑，干强度中等，韧性中等，无摇振反应，切面稍有光泽，该层土质不均匀，土内含碎石、块石，含量约 10%～40%，碎石、块石主要成分为砂岩、泥岩，碎石粒径 2~18cm，块石粒径 0.2～1.3m。该层场地普遍分布，层厚变化较大，层厚 3.1～17.1m，层底高程 375.84～380.47m。</w:t>
      </w:r>
    </w:p>
    <w:p>
      <w:pPr>
        <w:ind w:firstLine="480"/>
        <w:rPr>
          <w:rFonts w:ascii="Times New Roman" w:hAnsi="Times New Roman"/>
        </w:rPr>
      </w:pPr>
      <w:r>
        <w:rPr>
          <w:rFonts w:ascii="Times New Roman" w:hAnsi="Times New Roman"/>
        </w:rPr>
        <w:t>D、第四系全新统崩坡积</w:t>
      </w:r>
      <w:r>
        <w:rPr>
          <w:rFonts w:hint="eastAsia" w:ascii="宋体" w:hAnsi="宋体" w:cs="宋体"/>
        </w:rPr>
        <w:t>③</w:t>
      </w:r>
      <w:r>
        <w:rPr>
          <w:rFonts w:ascii="Times New Roman" w:hAnsi="Times New Roman"/>
        </w:rPr>
        <w:t>2 碎石（Qhcol+dl）：杂色，稍湿，稍密，母岩成分以泥岩和砂岩为主，碎石呈次棱角状～棱角状，粒径 2～18cm，颗粒不均匀，级配较好。该层土质不均匀，局部夹粉质黏土和砂岩块石，块石粒径 0.2～2.4m。装置区分布较连续，放空区分布不连续，呈透镜体分布。该层场地普遍分布，层厚变化较大，层厚 1.4～15.2m，层底高程 366.14～369.89m。</w:t>
      </w:r>
    </w:p>
    <w:p>
      <w:pPr>
        <w:ind w:firstLine="480"/>
        <w:rPr>
          <w:rFonts w:ascii="Times New Roman" w:hAnsi="Times New Roman"/>
        </w:rPr>
      </w:pPr>
      <w:r>
        <w:rPr>
          <w:rFonts w:ascii="Times New Roman" w:hAnsi="Times New Roman"/>
        </w:rPr>
        <w:t>E、侏罗系中统沙溪庙组</w:t>
      </w:r>
      <w:r>
        <w:rPr>
          <w:rFonts w:hint="eastAsia" w:ascii="宋体" w:hAnsi="宋体" w:cs="宋体"/>
        </w:rPr>
        <w:t>④</w:t>
      </w:r>
      <w:r>
        <w:rPr>
          <w:rFonts w:ascii="Times New Roman" w:hAnsi="Times New Roman"/>
        </w:rPr>
        <w:t>强风化泥质砂岩（J2s1）：红褐色，泥质结构，薄~厚层状构造。矿物主要为粘土矿物、石英、长石及白云母，裂隙较发育，破碎，岩石较软，岩芯多呈碎块、碎石状。该层场地普遍分布，层厚 0.6～1.3m，层底高程 364.84～377.26m。</w:t>
      </w:r>
    </w:p>
    <w:p>
      <w:pPr>
        <w:ind w:firstLine="480"/>
        <w:rPr>
          <w:rFonts w:ascii="Times New Roman" w:hAnsi="Times New Roman"/>
        </w:rPr>
      </w:pPr>
      <w:r>
        <w:rPr>
          <w:rFonts w:ascii="Times New Roman" w:hAnsi="Times New Roman"/>
        </w:rPr>
        <w:t>F、侏罗系中统沙溪庙组</w:t>
      </w:r>
      <w:r>
        <w:rPr>
          <w:rFonts w:hint="eastAsia" w:ascii="宋体" w:hAnsi="宋体" w:cs="宋体"/>
        </w:rPr>
        <w:t>⑤</w:t>
      </w:r>
      <w:r>
        <w:rPr>
          <w:rFonts w:ascii="Times New Roman" w:hAnsi="Times New Roman"/>
        </w:rPr>
        <w:t>中风化泥质砂岩（J2s1）：红褐色、青灰色、黄灰色，泥质结构，薄~厚层状构造，泥质含量高。矿物主要为粘土矿物、石英、长石及白云母，裂隙少见，较完整，岩石较软，岩芯多呈柱状。</w:t>
      </w:r>
    </w:p>
    <w:p>
      <w:pPr>
        <w:ind w:firstLine="480"/>
        <w:rPr>
          <w:rFonts w:ascii="Times New Roman" w:hAnsi="Times New Roman"/>
        </w:rPr>
      </w:pPr>
      <w:r>
        <w:rPr>
          <w:rFonts w:ascii="Times New Roman" w:hAnsi="Times New Roman"/>
        </w:rPr>
        <w:t>3）水文地质</w:t>
      </w:r>
    </w:p>
    <w:p>
      <w:pPr>
        <w:ind w:firstLine="480"/>
        <w:rPr>
          <w:rFonts w:ascii="Times New Roman" w:hAnsi="Times New Roman"/>
        </w:rPr>
      </w:pPr>
      <w:r>
        <w:rPr>
          <w:rFonts w:ascii="Times New Roman" w:hAnsi="Times New Roman"/>
        </w:rPr>
        <w:t>A、含水岩组特征</w:t>
      </w:r>
    </w:p>
    <w:p>
      <w:pPr>
        <w:ind w:firstLine="480"/>
        <w:rPr>
          <w:rFonts w:ascii="Times New Roman" w:hAnsi="Times New Roman"/>
        </w:rPr>
      </w:pPr>
      <w:r>
        <w:rPr>
          <w:rFonts w:ascii="Times New Roman" w:hAnsi="Times New Roman"/>
        </w:rPr>
        <w:t>宣探1井站场地区域含水岩组主要为沙溪庙组下段（J2s1）地层，岩性上部主要为结核的红褐色色粉砂质泥岩、泥质粉砂岩夹透镜体亚长石砂岩，下部为紫红色、红褐色色泥岩与黄灰色厚层状长石石英砂岩。受构造控制，砂岩裂隙较发育，泥岩裂隙基本不发育，因此该含水岩组上部地下水主要赋存于构造裂隙风化带中，受构造影响程度及裂隙发育程度控制，具有较强的不均匀性，不同井场周边井、泉流量差异较大，具有承压性。</w:t>
      </w:r>
    </w:p>
    <w:p>
      <w:pPr>
        <w:ind w:firstLine="480"/>
        <w:rPr>
          <w:rFonts w:ascii="Times New Roman" w:hAnsi="Times New Roman"/>
        </w:rPr>
      </w:pPr>
      <w:r>
        <w:rPr>
          <w:rFonts w:ascii="Times New Roman" w:hAnsi="Times New Roman"/>
        </w:rPr>
        <w:t>B、地下水类型及富水性</w:t>
      </w:r>
    </w:p>
    <w:p>
      <w:pPr>
        <w:ind w:firstLine="480"/>
        <w:rPr>
          <w:rFonts w:ascii="Times New Roman" w:hAnsi="Times New Roman"/>
        </w:rPr>
      </w:pPr>
      <w:r>
        <w:rPr>
          <w:rFonts w:ascii="Times New Roman" w:hAnsi="Times New Roman"/>
        </w:rPr>
        <w:t>项目场地区域地下水类型为风化带裂隙水，其中侏罗系中统沙溪庙组（J2s）风化裂隙水是区域主要地下水类型，该类型水主要分布在中切丘陵、浅切丘陵及深切丘陵区；浅层地下水赋存于其砂、泥岩风化裂隙溶孔中，按含水层性质多属浅层风化带裂隙水，含水带厚度一般20～25m。沙溪庙组地层中含钙质及膏盐等可溶盐，可兼有溶孔，含水带内裂隙溶孔是不均一的，出水段一般有几米至十几米，一般是出现于强~中风化带内，单井涌水量一般小于100m3/d，局部100～500m3/d；其次为侏罗系中统遂宁组（J2sn）风化裂隙水，主要分布在区域内的深切丘陵区及中丘顶部，在地貌上主要起伏切割中等的丘陵地形。由于该岩组分布的地势高，地形坡度大降水来不及补给就成为地表径流而流失，埋藏较深，加之裂隙发育程度较低，地下水主要以泉水出露，而使该岩组在本区内富水性普遍较差，地面泉水水量较小，井泉流量一般小于0.05L/s，径流模数0.1-0.3L/s.km</w:t>
      </w:r>
      <w:r>
        <w:rPr>
          <w:rFonts w:ascii="Times New Roman" w:hAnsi="Times New Roman"/>
          <w:vertAlign w:val="superscript"/>
        </w:rPr>
        <w:t>2</w:t>
      </w:r>
      <w:r>
        <w:rPr>
          <w:rFonts w:ascii="Times New Roman" w:hAnsi="Times New Roman"/>
        </w:rPr>
        <w:t>，单井涌水量小于100t/d，HCO</w:t>
      </w:r>
      <w:r>
        <w:rPr>
          <w:rFonts w:ascii="Times New Roman" w:hAnsi="Times New Roman"/>
          <w:vertAlign w:val="subscript"/>
        </w:rPr>
        <w:t>3</w:t>
      </w:r>
      <w:r>
        <w:rPr>
          <w:rFonts w:ascii="Times New Roman" w:hAnsi="Times New Roman"/>
        </w:rPr>
        <w:t>-Ca和HCO</w:t>
      </w:r>
      <w:r>
        <w:rPr>
          <w:rFonts w:ascii="Times New Roman" w:hAnsi="Times New Roman"/>
          <w:vertAlign w:val="subscript"/>
        </w:rPr>
        <w:t>3</w:t>
      </w:r>
      <w:r>
        <w:rPr>
          <w:rFonts w:ascii="Times New Roman" w:hAnsi="Times New Roman"/>
        </w:rPr>
        <w:t>-Ca.Mg型水为主，少数SO</w:t>
      </w:r>
      <w:r>
        <w:rPr>
          <w:rFonts w:ascii="Times New Roman" w:hAnsi="Times New Roman"/>
          <w:vertAlign w:val="subscript"/>
        </w:rPr>
        <w:t>4</w:t>
      </w:r>
      <w:r>
        <w:rPr>
          <w:rFonts w:ascii="Times New Roman" w:hAnsi="Times New Roman"/>
        </w:rPr>
        <w:t>.HCO</w:t>
      </w:r>
      <w:r>
        <w:rPr>
          <w:rFonts w:ascii="Times New Roman" w:hAnsi="Times New Roman"/>
          <w:vertAlign w:val="subscript"/>
        </w:rPr>
        <w:t>3</w:t>
      </w:r>
      <w:r>
        <w:rPr>
          <w:rFonts w:ascii="Times New Roman" w:hAnsi="Times New Roman"/>
        </w:rPr>
        <w:t>-Ca型水，矿化度0.3-0.7g/L。宣探1井站水文地质图见</w:t>
      </w:r>
      <w:r>
        <w:rPr>
          <w:rFonts w:ascii="Times New Roman" w:hAnsi="Times New Roman"/>
        </w:rPr>
        <w:fldChar w:fldCharType="begin"/>
      </w:r>
      <w:r>
        <w:rPr>
          <w:rFonts w:ascii="Times New Roman" w:hAnsi="Times New Roman"/>
        </w:rPr>
        <w:instrText xml:space="preserve"> REF _Ref157092968 \h  \* MERGEFORMAT </w:instrText>
      </w:r>
      <w:r>
        <w:rPr>
          <w:rFonts w:ascii="Times New Roman" w:hAnsi="Times New Roman"/>
        </w:rPr>
        <w:fldChar w:fldCharType="separate"/>
      </w:r>
      <w:r>
        <w:rPr>
          <w:rFonts w:ascii="Times New Roman" w:hAnsi="Times New Roman"/>
        </w:rPr>
        <w:t>图 6</w:t>
      </w:r>
      <w:r>
        <w:rPr>
          <w:rFonts w:ascii="Times New Roman" w:hAnsi="Times New Roman"/>
        </w:rPr>
        <w:noBreakHyphen/>
      </w:r>
      <w:r>
        <w:rPr>
          <w:rFonts w:ascii="Times New Roman" w:hAnsi="Times New Roman"/>
        </w:rPr>
        <w:t>5</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C、地下水补给、径流、排泄及动态变化特征</w:t>
      </w:r>
    </w:p>
    <w:p>
      <w:pPr>
        <w:ind w:firstLine="480"/>
        <w:rPr>
          <w:rFonts w:ascii="Times New Roman" w:hAnsi="Times New Roman"/>
        </w:rPr>
      </w:pPr>
      <w:r>
        <w:rPr>
          <w:rFonts w:ascii="Times New Roman" w:hAnsi="Times New Roman"/>
        </w:rPr>
        <w:t>宣探1井站评价区域地表以下红层风化带孔隙裂隙水主要受地形地貌、气象条件的控制。大气降水是水文地质单元内地下水主要补给来源，井站北侧下游紧邻的乱石滩河是地下水的主要排泄通道。评价区沟谷上游有泉点、浅井出露顺地势向沟谷低洼处分散径流，补给地表水。区内地下水经过短途渗流即在地势较低洼处以下降泉的方式排泄，泉点分布较分散，最终在沟底较低洼的地带埋藏形成地下水径流埋藏区。总的来说，区内地下水通过地表径流或入渗后以泉的方式排泄，最终汇入乱石滩河。</w:t>
      </w:r>
    </w:p>
    <w:p>
      <w:pPr>
        <w:ind w:firstLine="480"/>
        <w:rPr>
          <w:rFonts w:ascii="Times New Roman" w:hAnsi="Times New Roman"/>
        </w:rPr>
      </w:pPr>
      <w:r>
        <w:rPr>
          <w:rFonts w:ascii="Times New Roman" w:hAnsi="Times New Roman"/>
        </w:rPr>
        <w:t>评价区内井、泉点其动态季节性变化明显，受降雨影响很大。由于泉、井点出露大多数处于斜坡地带，接受补给的条件较差，而又排泄通畅，所以多数泉、井水久晴后水量骤减，甚至干枯，据访问调查，区内泉水量、井水量，在丰、枯期的变化一般可以达到3～10倍以上，地下水动态属于不稳定类型。</w:t>
      </w:r>
    </w:p>
    <w:p>
      <w:pPr>
        <w:ind w:firstLine="0" w:firstLineChars="0"/>
        <w:jc w:val="center"/>
        <w:rPr>
          <w:rFonts w:ascii="Times New Roman" w:hAnsi="Times New Roman"/>
        </w:rPr>
      </w:pPr>
      <w:r>
        <w:rPr>
          <w:rFonts w:ascii="Times New Roman" w:hAnsi="Times New Roman"/>
        </w:rPr>
        <w:drawing>
          <wp:inline distT="0" distB="0" distL="0" distR="0">
            <wp:extent cx="4989830" cy="5923915"/>
            <wp:effectExtent l="19050" t="19050" r="20320" b="19685"/>
            <wp:docPr id="197004571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45711" name="图片 22"/>
                    <pic:cNvPicPr>
                      <a:picLocks noChangeAspect="1"/>
                    </pic:cNvPicPr>
                  </pic:nvPicPr>
                  <pic:blipFill>
                    <a:blip r:embed="rId107" cstate="print">
                      <a:extLst>
                        <a:ext uri="{28A0092B-C50C-407E-A947-70E740481C1C}">
                          <a14:useLocalDpi xmlns:a14="http://schemas.microsoft.com/office/drawing/2010/main" val="0"/>
                        </a:ext>
                      </a:extLst>
                    </a:blip>
                    <a:srcRect l="2440" t="640" r="3020" b="1160"/>
                    <a:stretch>
                      <a:fillRect/>
                    </a:stretch>
                  </pic:blipFill>
                  <pic:spPr>
                    <a:xfrm>
                      <a:off x="0" y="0"/>
                      <a:ext cx="4990548" cy="5925134"/>
                    </a:xfrm>
                    <a:prstGeom prst="rect">
                      <a:avLst/>
                    </a:prstGeom>
                    <a:ln>
                      <a:solidFill>
                        <a:schemeClr val="tx1"/>
                      </a:solidFill>
                    </a:ln>
                  </pic:spPr>
                </pic:pic>
              </a:graphicData>
            </a:graphic>
          </wp:inline>
        </w:drawing>
      </w:r>
    </w:p>
    <w:p>
      <w:pPr>
        <w:pStyle w:val="37"/>
        <w:rPr>
          <w:rFonts w:ascii="Times New Roman" w:hAnsi="Times New Roman" w:cs="Times New Roman"/>
        </w:rPr>
      </w:pPr>
      <w:bookmarkStart w:id="221" w:name="_Ref157092968"/>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bookmarkEnd w:id="221"/>
      <w:r>
        <w:rPr>
          <w:rFonts w:ascii="Times New Roman" w:hAnsi="Times New Roman" w:cs="Times New Roman"/>
        </w:rPr>
        <w:t xml:space="preserve">  </w:t>
      </w:r>
      <w:bookmarkStart w:id="222" w:name="_Hlk160808065"/>
      <w:r>
        <w:rPr>
          <w:rFonts w:ascii="Times New Roman" w:hAnsi="Times New Roman" w:cs="Times New Roman"/>
        </w:rPr>
        <w:t>宣探1井站场地水文地质图</w:t>
      </w:r>
      <w:bookmarkEnd w:id="222"/>
    </w:p>
    <w:p>
      <w:pPr>
        <w:ind w:firstLine="480"/>
        <w:rPr>
          <w:rFonts w:ascii="Times New Roman" w:hAnsi="Times New Roman"/>
        </w:rPr>
      </w:pPr>
      <w:r>
        <w:rPr>
          <w:rFonts w:ascii="Times New Roman" w:hAnsi="Times New Roman"/>
        </w:rPr>
        <w:t>（3）集气管道沿线</w:t>
      </w:r>
    </w:p>
    <w:p>
      <w:pPr>
        <w:ind w:firstLine="480"/>
        <w:rPr>
          <w:rFonts w:ascii="Times New Roman" w:hAnsi="Times New Roman"/>
        </w:rPr>
      </w:pPr>
      <w:r>
        <w:rPr>
          <w:rFonts w:ascii="Times New Roman" w:hAnsi="Times New Roman"/>
        </w:rPr>
        <w:t>1）地形地貌</w:t>
      </w:r>
    </w:p>
    <w:p>
      <w:pPr>
        <w:ind w:firstLine="480"/>
        <w:rPr>
          <w:rFonts w:ascii="Times New Roman" w:hAnsi="Times New Roman"/>
        </w:rPr>
      </w:pPr>
      <w:r>
        <w:rPr>
          <w:rFonts w:ascii="Times New Roman" w:hAnsi="Times New Roman"/>
        </w:rPr>
        <w:t>集气管道评价区地貌类型以中-低山为主地势起伏较大，局部斜坡较陡，陡崖、陡坎、陡坡、冲沟发育，山体走向近北东，海拔高程 500～1200m，相对高差 400～850m，植被较为繁茂，以林地为主。</w:t>
      </w:r>
    </w:p>
    <w:p>
      <w:pPr>
        <w:ind w:firstLine="480"/>
        <w:rPr>
          <w:rFonts w:ascii="Times New Roman" w:hAnsi="Times New Roman"/>
        </w:rPr>
      </w:pPr>
      <w:r>
        <w:rPr>
          <w:rFonts w:ascii="Times New Roman" w:hAnsi="Times New Roman"/>
        </w:rPr>
        <w:t>2）地层岩性</w:t>
      </w:r>
    </w:p>
    <w:p>
      <w:pPr>
        <w:ind w:firstLine="480"/>
        <w:rPr>
          <w:rFonts w:ascii="Times New Roman" w:hAnsi="Times New Roman"/>
        </w:rPr>
      </w:pPr>
      <w:r>
        <w:rPr>
          <w:rFonts w:ascii="Times New Roman" w:hAnsi="Times New Roman"/>
        </w:rPr>
        <w:t>集气管道沿线及阀室和清管站所在区域主要出露侏罗系中统蓬莱镇组下段（J3p1）地层，上部为紫红色粉砂质泥岩、泥质粉砂岩、泥岩夹砂岩。粉砂岩为中层状，易风化。下部以灰紫色、青灰色厚层-块状长石石英细砂岩为主，夹紫红色粉砂质泥岩，底为长石细砂岩，厚度约351m。</w:t>
      </w:r>
    </w:p>
    <w:p>
      <w:pPr>
        <w:ind w:firstLine="480"/>
        <w:rPr>
          <w:rFonts w:ascii="Times New Roman" w:hAnsi="Times New Roman"/>
        </w:rPr>
      </w:pPr>
      <w:r>
        <w:rPr>
          <w:rFonts w:ascii="Times New Roman" w:hAnsi="Times New Roman"/>
        </w:rPr>
        <w:t>3）水文地质</w:t>
      </w:r>
    </w:p>
    <w:p>
      <w:pPr>
        <w:ind w:firstLine="480"/>
        <w:rPr>
          <w:rFonts w:ascii="Times New Roman" w:hAnsi="Times New Roman"/>
        </w:rPr>
      </w:pPr>
      <w:r>
        <w:rPr>
          <w:rFonts w:ascii="Times New Roman" w:hAnsi="Times New Roman"/>
        </w:rPr>
        <w:t>A、含水岩组特征</w:t>
      </w:r>
    </w:p>
    <w:p>
      <w:pPr>
        <w:ind w:firstLine="480"/>
        <w:rPr>
          <w:rFonts w:ascii="Times New Roman" w:hAnsi="Times New Roman"/>
        </w:rPr>
      </w:pPr>
      <w:r>
        <w:rPr>
          <w:rFonts w:ascii="Times New Roman" w:hAnsi="Times New Roman"/>
        </w:rPr>
        <w:t>集气管线评价区下伏地层为侏罗系中统蓬莱镇组下段（J3p1），紫灰色中厚层块状中至细粒长石砂岩与紫红色泥岩不等厚互层，富含钙质，岩性坚硬性脆，易形成裂隙，地下水以基岩构造裂隙水为主；评价区下游约区域为侏罗系上统遂宁组（J3sn）上部地层，岩性为块状细粒长石石英砂岩与泥岩互层，泥岩为主的构造裂隙水含水层局部发育风化裂隙水。因此，整个评价区来看主要还是以蓬莱镇组下段基岩构造裂隙水为主。</w:t>
      </w:r>
    </w:p>
    <w:p>
      <w:pPr>
        <w:ind w:firstLine="480"/>
        <w:rPr>
          <w:rFonts w:ascii="Times New Roman" w:hAnsi="Times New Roman"/>
        </w:rPr>
      </w:pPr>
      <w:r>
        <w:rPr>
          <w:rFonts w:ascii="Times New Roman" w:hAnsi="Times New Roman"/>
        </w:rPr>
        <w:t>B、地下水类型及富水性</w:t>
      </w:r>
    </w:p>
    <w:p>
      <w:pPr>
        <w:ind w:firstLine="480"/>
        <w:rPr>
          <w:rFonts w:ascii="Times New Roman" w:hAnsi="Times New Roman"/>
        </w:rPr>
      </w:pPr>
      <w:r>
        <w:rPr>
          <w:rFonts w:ascii="Times New Roman" w:hAnsi="Times New Roman"/>
        </w:rPr>
        <w:t>集气管道评价区地下水类型为基岩构造裂隙水（</w:t>
      </w:r>
      <w:r>
        <w:rPr>
          <w:rFonts w:ascii="Times New Roman" w:hAnsi="Times New Roman"/>
        </w:rPr>
        <w:fldChar w:fldCharType="begin"/>
      </w:r>
      <w:r>
        <w:rPr>
          <w:rFonts w:ascii="Times New Roman" w:hAnsi="Times New Roman"/>
        </w:rPr>
        <w:instrText xml:space="preserve"> REF _Ref157092920 \h  \* MERGEFORMAT </w:instrText>
      </w:r>
      <w:r>
        <w:rPr>
          <w:rFonts w:ascii="Times New Roman" w:hAnsi="Times New Roman"/>
        </w:rPr>
        <w:fldChar w:fldCharType="separate"/>
      </w:r>
      <w:r>
        <w:rPr>
          <w:rFonts w:ascii="Times New Roman" w:hAnsi="Times New Roman"/>
        </w:rPr>
        <w:t>图 6</w:t>
      </w:r>
      <w:r>
        <w:rPr>
          <w:rFonts w:ascii="Times New Roman" w:hAnsi="Times New Roman"/>
        </w:rPr>
        <w:noBreakHyphen/>
      </w:r>
      <w:r>
        <w:rPr>
          <w:rFonts w:ascii="Times New Roman" w:hAnsi="Times New Roman"/>
        </w:rPr>
        <w:t>6</w:t>
      </w:r>
      <w:r>
        <w:rPr>
          <w:rFonts w:ascii="Times New Roman" w:hAnsi="Times New Roman"/>
        </w:rPr>
        <w:fldChar w:fldCharType="end"/>
      </w:r>
      <w:r>
        <w:rPr>
          <w:rFonts w:ascii="Times New Roman" w:hAnsi="Times New Roman"/>
        </w:rPr>
        <w:t>），基岩含水层在区内呈块状分布，蓬莱镇组岩性为灰色厚层钙质细粒长石石英砂岩夹紫红色泥岩，砂岩厚度变化较大，主要分布于评价区中北部，属单斜中山地貌，在构造作用下，裂隙较为发育。由于砂岩、泥岩交替频繁，该含水岩组区内泉点出露较多。砂岩与泥岩及砂质泥岩略呈等厚互层状，砂岩裂隙率为1-3条/m，面裂隙率多为1-6%，孔隙度一般为4-9%，最大可达26.5%。以砂岩构造裂隙水为主，富水性不均匀，泉水流量多在0.1~1.0L/s左右，地下水径流模数0.5-1.0升/秒·平方公里，含水层厚度一般20~30m，含水层渗透系数0.049m/d。该区地下水化学性质与地下水赋存条件和运移条件有关，泉水一般以HCO</w:t>
      </w:r>
      <w:r>
        <w:rPr>
          <w:rFonts w:ascii="Times New Roman" w:hAnsi="Times New Roman"/>
          <w:vertAlign w:val="subscript"/>
        </w:rPr>
        <w:t>3</w:t>
      </w:r>
      <w:r>
        <w:rPr>
          <w:rFonts w:ascii="Times New Roman" w:hAnsi="Times New Roman"/>
        </w:rPr>
        <w:t>-Ca和HCO</w:t>
      </w:r>
      <w:r>
        <w:rPr>
          <w:rFonts w:ascii="Times New Roman" w:hAnsi="Times New Roman"/>
          <w:vertAlign w:val="subscript"/>
        </w:rPr>
        <w:t>3</w:t>
      </w:r>
      <w:r>
        <w:rPr>
          <w:rFonts w:ascii="Times New Roman" w:hAnsi="Times New Roman"/>
        </w:rPr>
        <w:t>-Ca·Mg型水为主，潜水则以HCO</w:t>
      </w:r>
      <w:r>
        <w:rPr>
          <w:rFonts w:ascii="Times New Roman" w:hAnsi="Times New Roman"/>
          <w:vertAlign w:val="subscript"/>
        </w:rPr>
        <w:t>3</w:t>
      </w:r>
      <w:r>
        <w:rPr>
          <w:rFonts w:ascii="Times New Roman" w:hAnsi="Times New Roman"/>
        </w:rPr>
        <w:t>-Ca·Na和HCO</w:t>
      </w:r>
      <w:r>
        <w:rPr>
          <w:rFonts w:ascii="Times New Roman" w:hAnsi="Times New Roman"/>
          <w:vertAlign w:val="subscript"/>
        </w:rPr>
        <w:t>3</w:t>
      </w:r>
      <w:r>
        <w:rPr>
          <w:rFonts w:ascii="Times New Roman" w:hAnsi="Times New Roman"/>
        </w:rPr>
        <w:t>-Na型较为常见。</w:t>
      </w:r>
    </w:p>
    <w:p>
      <w:pPr>
        <w:ind w:firstLine="0" w:firstLineChars="0"/>
        <w:jc w:val="center"/>
        <w:rPr>
          <w:rFonts w:ascii="Times New Roman" w:hAnsi="Times New Roman"/>
        </w:rPr>
      </w:pPr>
      <w:r>
        <w:rPr>
          <w:rFonts w:ascii="Times New Roman" w:hAnsi="Times New Roman"/>
        </w:rPr>
        <w:drawing>
          <wp:inline distT="0" distB="0" distL="0" distR="0">
            <wp:extent cx="5274310" cy="7434580"/>
            <wp:effectExtent l="0" t="0" r="2540" b="0"/>
            <wp:docPr id="7073044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304424" name="图片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5274310" cy="7434580"/>
                    </a:xfrm>
                    <a:prstGeom prst="rect">
                      <a:avLst/>
                    </a:prstGeom>
                    <a:noFill/>
                    <a:ln>
                      <a:noFill/>
                    </a:ln>
                  </pic:spPr>
                </pic:pic>
              </a:graphicData>
            </a:graphic>
          </wp:inline>
        </w:drawing>
      </w:r>
    </w:p>
    <w:p>
      <w:pPr>
        <w:pStyle w:val="37"/>
        <w:rPr>
          <w:rFonts w:ascii="Times New Roman" w:hAnsi="Times New Roman" w:cs="Times New Roman"/>
        </w:rPr>
      </w:pPr>
      <w:bookmarkStart w:id="223" w:name="_Ref157092920"/>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bookmarkEnd w:id="223"/>
      <w:r>
        <w:rPr>
          <w:rFonts w:ascii="Times New Roman" w:hAnsi="Times New Roman" w:cs="Times New Roman"/>
        </w:rPr>
        <w:t xml:space="preserve">  </w:t>
      </w:r>
      <w:bookmarkStart w:id="224" w:name="_Hlk160808124"/>
      <w:r>
        <w:rPr>
          <w:rFonts w:ascii="Times New Roman" w:hAnsi="Times New Roman" w:cs="Times New Roman"/>
        </w:rPr>
        <w:t>集气管道评价区水文地质图</w:t>
      </w:r>
      <w:bookmarkEnd w:id="224"/>
    </w:p>
    <w:p>
      <w:pPr>
        <w:ind w:firstLine="480"/>
        <w:rPr>
          <w:rFonts w:ascii="Times New Roman" w:hAnsi="Times New Roman"/>
        </w:rPr>
      </w:pPr>
      <w:r>
        <w:rPr>
          <w:rFonts w:ascii="Times New Roman" w:hAnsi="Times New Roman"/>
        </w:rPr>
        <w:t>C、地下水补给、径流、排泄及动态变化特征</w:t>
      </w:r>
    </w:p>
    <w:p>
      <w:pPr>
        <w:ind w:firstLine="480"/>
        <w:rPr>
          <w:rFonts w:ascii="Times New Roman" w:hAnsi="Times New Roman"/>
        </w:rPr>
      </w:pPr>
      <w:r>
        <w:rPr>
          <w:rFonts w:ascii="Times New Roman" w:hAnsi="Times New Roman"/>
        </w:rPr>
        <w:t>集气管道评价区内基岩构造裂隙水接受大气降雨入渗补给，在沟谷上游多见泉点出露，从而补给地表水。然后顺地势向沟谷低洼处分散径流，往往经过短途渗流即在地势较低洼处以下降泉的方式排泄，泉点分布较分散。最终在沟底地势较低处形成地下水储集区。评价区东侧的后河及南侧的乱石滩河沟谷底部侵蚀基准面为区域所在水文地质单元的排泄边界。总的来说，区内地下水通过地表径流或入渗后以泉的方式排泄，最终汇入低洼河谷地区。</w:t>
      </w:r>
    </w:p>
    <w:p>
      <w:pPr>
        <w:ind w:firstLine="480"/>
        <w:rPr>
          <w:rFonts w:ascii="Times New Roman" w:hAnsi="Times New Roman"/>
        </w:rPr>
      </w:pPr>
      <w:r>
        <w:rPr>
          <w:rFonts w:ascii="Times New Roman" w:hAnsi="Times New Roman"/>
        </w:rPr>
        <w:t>评价区内泉点其动态季节性变化明显，受降雨影响很大，地下水动态属于不稳定类型。由于泉点出露大多数处于斜坡地带，山体坡度较大，接受补给的条件较差，而又排泄通畅，所以多数泉水久晴后水量骤减，甚至干枯，据访问调查，区内泉水量、井水量，在丰、枯期的变化一般可以达到2倍以上。</w:t>
      </w:r>
    </w:p>
    <w:p>
      <w:pPr>
        <w:pStyle w:val="5"/>
        <w:rPr>
          <w:rFonts w:ascii="Times New Roman" w:hAnsi="Times New Roman"/>
        </w:rPr>
      </w:pPr>
      <w:r>
        <w:rPr>
          <w:rFonts w:ascii="Times New Roman" w:hAnsi="Times New Roman"/>
        </w:rPr>
        <w:t>地下水环境影响分析</w:t>
      </w:r>
    </w:p>
    <w:p>
      <w:pPr>
        <w:ind w:firstLine="480"/>
        <w:rPr>
          <w:rFonts w:ascii="Times New Roman" w:hAnsi="Times New Roman"/>
        </w:rPr>
      </w:pPr>
      <w:r>
        <w:rPr>
          <w:rFonts w:ascii="Times New Roman" w:hAnsi="Times New Roman"/>
        </w:rPr>
        <w:t>正常状况下，本项目严格执行分区防渗，满足《环境影响评价技术导则 地下水环境》（HJ 610-2016）、《石油化工工程防渗技术规范》（GB/T 50934-2013）对不同污染防治区的要求；根据同类项目多年的运行，正常状况下没有废污水装置或其它物料暴露而发生渗漏至地下水的情景发生。</w:t>
      </w:r>
    </w:p>
    <w:p>
      <w:pPr>
        <w:ind w:firstLine="480"/>
        <w:rPr>
          <w:rFonts w:ascii="Times New Roman" w:hAnsi="Times New Roman"/>
        </w:rPr>
      </w:pPr>
      <w:r>
        <w:rPr>
          <w:rFonts w:ascii="Times New Roman" w:hAnsi="Times New Roman"/>
        </w:rPr>
        <w:t>非正常状况下，可能造成地下水污染的主要过程为运营期井站的气田水罐泄漏、放空分液罐泄漏。因此，本次评价重点考虑上述情景在非正常状况下污染物泄漏对地下水的造成的影响。</w:t>
      </w:r>
    </w:p>
    <w:p>
      <w:pPr>
        <w:widowControl/>
        <w:ind w:firstLine="480"/>
        <w:rPr>
          <w:rFonts w:ascii="Times New Roman" w:hAnsi="Times New Roman"/>
          <w:kern w:val="0"/>
          <w:szCs w:val="20"/>
        </w:rPr>
      </w:pPr>
      <w:r>
        <w:rPr>
          <w:rFonts w:ascii="Times New Roman" w:hAnsi="Times New Roman"/>
          <w:kern w:val="0"/>
          <w:szCs w:val="20"/>
        </w:rPr>
        <w:t>（1）污染源分析</w:t>
      </w:r>
    </w:p>
    <w:p>
      <w:pPr>
        <w:widowControl/>
        <w:ind w:firstLine="480"/>
        <w:rPr>
          <w:rFonts w:ascii="Times New Roman" w:hAnsi="Times New Roman"/>
          <w:kern w:val="0"/>
          <w:szCs w:val="20"/>
        </w:rPr>
      </w:pPr>
      <w:r>
        <w:rPr>
          <w:rFonts w:ascii="Times New Roman" w:hAnsi="Times New Roman"/>
          <w:kern w:val="0"/>
          <w:szCs w:val="20"/>
        </w:rPr>
        <w:t>本项目运营期间井站所产生废水主要为气田水和放空分离液，主要污染物为石油类、氯化物、COD。本次选取对地下水环境质量影响负荷较大且较稳定的石油类、氯化物、COD进行影响预测与评价。</w:t>
      </w:r>
    </w:p>
    <w:p>
      <w:pPr>
        <w:widowControl/>
        <w:ind w:firstLine="480"/>
        <w:rPr>
          <w:rFonts w:ascii="Times New Roman" w:hAnsi="Times New Roman"/>
          <w:kern w:val="0"/>
          <w:szCs w:val="20"/>
        </w:rPr>
      </w:pPr>
      <w:r>
        <w:rPr>
          <w:rFonts w:ascii="Times New Roman" w:hAnsi="Times New Roman"/>
          <w:kern w:val="0"/>
          <w:szCs w:val="20"/>
        </w:rPr>
        <w:t>本次评价污染物影响以各检测指标的地下水质量标准及地表水环境质量标准相应的限值为判别依据，当预测结果小于标准限值时即可视为污染物未对地下水产生污染。石油类参照《地表水环境质量标准》（GB3838-2002）中Ⅲ级标准，其余依据《地下水质量标准》(GB/T14848-2017)的Ⅲ类标准进行评价。</w:t>
      </w:r>
    </w:p>
    <w:p>
      <w:pPr>
        <w:ind w:firstLine="480"/>
        <w:rPr>
          <w:rFonts w:ascii="Times New Roman" w:hAnsi="Times New Roman"/>
          <w:kern w:val="0"/>
          <w:szCs w:val="20"/>
        </w:rPr>
      </w:pPr>
      <w:r>
        <w:rPr>
          <w:rFonts w:ascii="Times New Roman" w:hAnsi="Times New Roman"/>
          <w:kern w:val="0"/>
          <w:szCs w:val="20"/>
        </w:rPr>
        <w:t>（2）情景设置</w:t>
      </w:r>
    </w:p>
    <w:p>
      <w:pPr>
        <w:ind w:firstLine="480"/>
        <w:rPr>
          <w:rFonts w:ascii="Times New Roman" w:hAnsi="Times New Roman"/>
          <w:kern w:val="0"/>
          <w:szCs w:val="20"/>
        </w:rPr>
      </w:pPr>
      <w:r>
        <w:rPr>
          <w:rFonts w:ascii="Times New Roman" w:hAnsi="Times New Roman"/>
          <w:snapToGrid w:val="0"/>
          <w:kern w:val="0"/>
          <w:szCs w:val="20"/>
        </w:rPr>
        <w:t>运营期间集气站场所产生的气田水和放空分离液</w:t>
      </w:r>
      <w:r>
        <w:rPr>
          <w:rFonts w:ascii="Times New Roman" w:hAnsi="Times New Roman"/>
          <w:kern w:val="0"/>
        </w:rPr>
        <w:t>都放置在相应的储存罐体中</w:t>
      </w:r>
      <w:r>
        <w:rPr>
          <w:rFonts w:ascii="Times New Roman" w:hAnsi="Times New Roman"/>
          <w:kern w:val="0"/>
          <w:szCs w:val="20"/>
        </w:rPr>
        <w:t>。非正常状况下，因腐蚀或外力作用等原因其防渗结构出现裂缝，主要发生的环节为环境保护措施系统老化及腐蚀等因素影响，气田水罐和放空分液罐等装置破损后造成污水泄漏进入地下水系统。</w:t>
      </w:r>
    </w:p>
    <w:p>
      <w:pPr>
        <w:ind w:firstLine="480"/>
        <w:rPr>
          <w:rFonts w:ascii="Times New Roman" w:hAnsi="Times New Roman"/>
          <w:snapToGrid w:val="0"/>
          <w:kern w:val="0"/>
          <w:szCs w:val="20"/>
        </w:rPr>
      </w:pPr>
      <w:r>
        <w:rPr>
          <w:rFonts w:ascii="Times New Roman" w:hAnsi="Times New Roman"/>
          <w:snapToGrid w:val="0"/>
          <w:kern w:val="0"/>
          <w:szCs w:val="20"/>
        </w:rPr>
        <w:t>（3）源强估算</w:t>
      </w:r>
    </w:p>
    <w:p>
      <w:pPr>
        <w:ind w:firstLine="480"/>
        <w:rPr>
          <w:rFonts w:ascii="Times New Roman" w:hAnsi="Times New Roman"/>
          <w:kern w:val="0"/>
          <w:lang w:val="zh-CN"/>
        </w:rPr>
      </w:pPr>
      <w:r>
        <w:rPr>
          <w:rFonts w:ascii="Times New Roman" w:hAnsi="Times New Roman"/>
          <w:snapToGrid w:val="0"/>
          <w:kern w:val="0"/>
        </w:rPr>
        <w:t>非正常状况下假设罐体由于腐蚀、质量和运输装卸等原因发生泄漏，围堰防渗层破裂的情况下废水</w:t>
      </w:r>
      <w:r>
        <w:rPr>
          <w:rFonts w:ascii="Times New Roman" w:hAnsi="Times New Roman"/>
        </w:rPr>
        <w:t>渗入地下水含水层，排放形式概化点源瞬时排放。</w:t>
      </w:r>
    </w:p>
    <w:p>
      <w:pPr>
        <w:adjustRightInd w:val="0"/>
        <w:snapToGrid w:val="0"/>
        <w:ind w:firstLine="480"/>
        <w:rPr>
          <w:rFonts w:ascii="Times New Roman" w:hAnsi="Times New Roman"/>
        </w:rPr>
      </w:pPr>
      <w:r>
        <w:rPr>
          <w:rFonts w:ascii="Times New Roman" w:hAnsi="Times New Roman"/>
          <w:kern w:val="0"/>
          <w:lang w:val="zh-CN"/>
        </w:rPr>
        <w:t>在非正常状况下罐体受老化腐蚀影响发生破损，</w:t>
      </w:r>
      <w:r>
        <w:rPr>
          <w:rFonts w:ascii="Times New Roman" w:hAnsi="Times New Roman"/>
          <w:kern w:val="0"/>
        </w:rPr>
        <w:t>废水</w:t>
      </w:r>
      <w:r>
        <w:rPr>
          <w:rFonts w:ascii="Times New Roman" w:hAnsi="Times New Roman"/>
          <w:kern w:val="0"/>
          <w:lang w:val="zh-CN"/>
        </w:rPr>
        <w:t>会泄漏至地表防渗堰中，若防渗堰发生破损，废水会沿破损的裂缝进入到地下水中并发生污染。</w:t>
      </w:r>
      <w:r>
        <w:rPr>
          <w:rFonts w:ascii="Times New Roman" w:hAnsi="Times New Roman"/>
          <w:kern w:val="0"/>
        </w:rPr>
        <w:t>本次源强参考《建设项目环境风险评价技术导则》（HJ 169-2018）中液体泄漏的伯努利方程方法计算</w:t>
      </w:r>
      <w:r>
        <w:rPr>
          <w:rFonts w:ascii="Times New Roman" w:hAnsi="Times New Roman"/>
        </w:rPr>
        <w:t>，</w:t>
      </w:r>
      <w:r>
        <w:rPr>
          <w:rFonts w:ascii="Times New Roman" w:hAnsi="Times New Roman"/>
          <w:kern w:val="0"/>
        </w:rPr>
        <w:t>废水</w:t>
      </w:r>
      <w:r>
        <w:rPr>
          <w:rFonts w:ascii="Times New Roman" w:hAnsi="Times New Roman"/>
        </w:rPr>
        <w:t>泄漏速率按下式计算：</w:t>
      </w:r>
    </w:p>
    <w:p>
      <w:pPr>
        <w:widowControl/>
        <w:adjustRightInd w:val="0"/>
        <w:snapToGrid w:val="0"/>
        <w:spacing w:line="300" w:lineRule="auto"/>
        <w:ind w:firstLine="480"/>
        <w:jc w:val="center"/>
        <w:textAlignment w:val="baseline"/>
        <w:rPr>
          <w:rFonts w:ascii="Times New Roman" w:hAnsi="Times New Roman"/>
          <w:sz w:val="28"/>
          <w:szCs w:val="28"/>
        </w:rPr>
      </w:pPr>
      <w:r>
        <w:rPr>
          <w:rFonts w:ascii="Times New Roman" w:hAnsi="Times New Roman"/>
          <w:kern w:val="0"/>
          <w:szCs w:val="28"/>
        </w:rPr>
        <w:drawing>
          <wp:inline distT="0" distB="0" distL="0" distR="0">
            <wp:extent cx="1736090" cy="435610"/>
            <wp:effectExtent l="0" t="0" r="0" b="0"/>
            <wp:docPr id="685893470" name="图片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93470" name="图片 1189"/>
                    <pic:cNvPicPr>
                      <a:picLocks noChangeAspect="1" noChangeArrowheads="1"/>
                    </pic:cNvPicPr>
                  </pic:nvPicPr>
                  <pic:blipFill>
                    <a:blip r:embed="rId109"/>
                    <a:srcRect/>
                    <a:stretch>
                      <a:fillRect/>
                    </a:stretch>
                  </pic:blipFill>
                  <pic:spPr>
                    <a:xfrm>
                      <a:off x="0" y="0"/>
                      <a:ext cx="1736090" cy="435610"/>
                    </a:xfrm>
                    <a:prstGeom prst="rect">
                      <a:avLst/>
                    </a:prstGeom>
                    <a:noFill/>
                    <a:ln w="9525" cmpd="sng">
                      <a:noFill/>
                      <a:miter lim="800000"/>
                      <a:headEnd/>
                      <a:tailEnd/>
                    </a:ln>
                  </pic:spPr>
                </pic:pic>
              </a:graphicData>
            </a:graphic>
          </wp:inline>
        </w:drawing>
      </w:r>
    </w:p>
    <w:p>
      <w:pPr>
        <w:autoSpaceDE w:val="0"/>
        <w:autoSpaceDN w:val="0"/>
        <w:adjustRightInd w:val="0"/>
        <w:ind w:firstLine="480"/>
        <w:rPr>
          <w:rFonts w:ascii="Times New Roman" w:hAnsi="Times New Roman"/>
        </w:rPr>
      </w:pPr>
      <w:r>
        <w:rPr>
          <w:rFonts w:ascii="Times New Roman" w:hAnsi="Times New Roman"/>
        </w:rPr>
        <w:t>式中：Q</w:t>
      </w:r>
      <w:r>
        <w:rPr>
          <w:rFonts w:ascii="Times New Roman" w:hAnsi="Times New Roman"/>
          <w:vertAlign w:val="subscript"/>
        </w:rPr>
        <w:t>L</w:t>
      </w:r>
      <w:r>
        <w:rPr>
          <w:rFonts w:ascii="Times New Roman" w:hAnsi="Times New Roman"/>
        </w:rPr>
        <w:t>—液体泄漏速度，kg/s；</w:t>
      </w:r>
    </w:p>
    <w:p>
      <w:pPr>
        <w:autoSpaceDE w:val="0"/>
        <w:autoSpaceDN w:val="0"/>
        <w:adjustRightInd w:val="0"/>
        <w:ind w:firstLine="480"/>
        <w:rPr>
          <w:rFonts w:ascii="Times New Roman" w:hAnsi="Times New Roman"/>
        </w:rPr>
      </w:pPr>
      <w:r>
        <w:rPr>
          <w:rFonts w:ascii="Times New Roman" w:hAnsi="Times New Roman"/>
        </w:rPr>
        <w:t>C</w:t>
      </w:r>
      <w:r>
        <w:rPr>
          <w:rFonts w:ascii="Times New Roman" w:hAnsi="Times New Roman"/>
          <w:vertAlign w:val="subscript"/>
        </w:rPr>
        <w:t>d</w:t>
      </w:r>
      <w:r>
        <w:rPr>
          <w:rFonts w:ascii="Times New Roman" w:hAnsi="Times New Roman"/>
        </w:rPr>
        <w:t>—液体泄漏系数，本次取值0.65；</w:t>
      </w:r>
    </w:p>
    <w:p>
      <w:pPr>
        <w:autoSpaceDE w:val="0"/>
        <w:autoSpaceDN w:val="0"/>
        <w:adjustRightInd w:val="0"/>
        <w:ind w:firstLine="480"/>
        <w:rPr>
          <w:rFonts w:ascii="Times New Roman" w:hAnsi="Times New Roman"/>
        </w:rPr>
      </w:pPr>
      <w:r>
        <w:rPr>
          <w:rFonts w:ascii="Times New Roman" w:hAnsi="Times New Roman"/>
        </w:rPr>
        <w:t>A—裂口面积，m</w:t>
      </w:r>
      <w:r>
        <w:rPr>
          <w:rFonts w:ascii="Times New Roman" w:hAnsi="Times New Roman"/>
          <w:vertAlign w:val="superscript"/>
        </w:rPr>
        <w:t>2</w:t>
      </w:r>
      <w:r>
        <w:rPr>
          <w:rFonts w:ascii="Times New Roman" w:hAnsi="Times New Roman"/>
        </w:rPr>
        <w:t>，根据</w:t>
      </w:r>
      <w:r>
        <w:rPr>
          <w:rFonts w:ascii="Times New Roman" w:hAnsi="Times New Roman"/>
          <w:kern w:val="0"/>
          <w:lang w:val="zh-CN"/>
        </w:rPr>
        <w:t>《建设项目环境风险评价技术导则》（HJ</w:t>
      </w:r>
      <w:r>
        <w:rPr>
          <w:rFonts w:ascii="Times New Roman" w:hAnsi="Times New Roman"/>
          <w:kern w:val="0"/>
        </w:rPr>
        <w:t xml:space="preserve"> </w:t>
      </w:r>
      <w:r>
        <w:rPr>
          <w:rFonts w:ascii="Times New Roman" w:hAnsi="Times New Roman"/>
          <w:kern w:val="0"/>
          <w:lang w:val="zh-CN"/>
        </w:rPr>
        <w:t>169-2018）中附录E确定，取值0.0000785</w:t>
      </w:r>
      <w:r>
        <w:rPr>
          <w:rFonts w:ascii="Times New Roman" w:hAnsi="Times New Roman"/>
        </w:rPr>
        <w:t>；</w:t>
      </w:r>
    </w:p>
    <w:p>
      <w:pPr>
        <w:autoSpaceDE w:val="0"/>
        <w:autoSpaceDN w:val="0"/>
        <w:adjustRightInd w:val="0"/>
        <w:ind w:firstLine="480"/>
        <w:rPr>
          <w:rFonts w:ascii="Times New Roman" w:hAnsi="Times New Roman"/>
        </w:rPr>
      </w:pPr>
      <w:r>
        <w:rPr>
          <w:rFonts w:ascii="Times New Roman" w:hAnsi="Times New Roman"/>
        </w:rPr>
        <w:t>P—容器内介质压力，Pa，取值101325；</w:t>
      </w:r>
    </w:p>
    <w:p>
      <w:pPr>
        <w:autoSpaceDE w:val="0"/>
        <w:autoSpaceDN w:val="0"/>
        <w:adjustRightInd w:val="0"/>
        <w:ind w:firstLine="480"/>
        <w:rPr>
          <w:rFonts w:ascii="Times New Roman" w:hAnsi="Times New Roman"/>
        </w:rPr>
      </w:pPr>
      <w:r>
        <w:rPr>
          <w:rFonts w:ascii="Times New Roman" w:hAnsi="Times New Roman"/>
        </w:rPr>
        <w:t>P</w:t>
      </w:r>
      <w:r>
        <w:rPr>
          <w:rFonts w:ascii="Times New Roman" w:hAnsi="Times New Roman"/>
          <w:vertAlign w:val="subscript"/>
        </w:rPr>
        <w:t>0</w:t>
      </w:r>
      <w:r>
        <w:rPr>
          <w:rFonts w:ascii="Times New Roman" w:hAnsi="Times New Roman"/>
        </w:rPr>
        <w:t>—环境压力，Pa，取值101325；</w:t>
      </w:r>
    </w:p>
    <w:p>
      <w:pPr>
        <w:autoSpaceDE w:val="0"/>
        <w:autoSpaceDN w:val="0"/>
        <w:adjustRightInd w:val="0"/>
        <w:ind w:firstLine="480"/>
        <w:rPr>
          <w:rFonts w:ascii="Times New Roman" w:hAnsi="Times New Roman"/>
        </w:rPr>
      </w:pPr>
      <w:r>
        <w:rPr>
          <w:rFonts w:ascii="Times New Roman" w:hAnsi="Times New Roman"/>
        </w:rPr>
        <w:t>g—重力加速度，m/s</w:t>
      </w:r>
      <w:r>
        <w:rPr>
          <w:rFonts w:ascii="Times New Roman" w:hAnsi="Times New Roman"/>
          <w:vertAlign w:val="superscript"/>
        </w:rPr>
        <w:t>2</w:t>
      </w:r>
      <w:r>
        <w:rPr>
          <w:rFonts w:ascii="Times New Roman" w:hAnsi="Times New Roman"/>
        </w:rPr>
        <w:t>，取值9.81。</w:t>
      </w:r>
    </w:p>
    <w:p>
      <w:pPr>
        <w:autoSpaceDE w:val="0"/>
        <w:autoSpaceDN w:val="0"/>
        <w:adjustRightInd w:val="0"/>
        <w:ind w:firstLine="480"/>
        <w:rPr>
          <w:rFonts w:ascii="Times New Roman" w:hAnsi="Times New Roman"/>
        </w:rPr>
      </w:pPr>
      <w:r>
        <w:rPr>
          <w:rFonts w:ascii="Times New Roman" w:hAnsi="Times New Roman"/>
        </w:rPr>
        <w:t>h—裂口之上液位高度，m，取值2.8m；</w:t>
      </w:r>
    </w:p>
    <w:p>
      <w:pPr>
        <w:autoSpaceDE w:val="0"/>
        <w:autoSpaceDN w:val="0"/>
        <w:adjustRightInd w:val="0"/>
        <w:ind w:firstLine="480"/>
        <w:rPr>
          <w:rFonts w:ascii="Times New Roman" w:hAnsi="Times New Roman"/>
        </w:rPr>
      </w:pPr>
      <w:r>
        <w:rPr>
          <w:rFonts w:ascii="Times New Roman" w:hAnsi="Times New Roman"/>
        </w:rPr>
        <w:t>ρ—泄漏液体密度，kg/m</w:t>
      </w:r>
      <w:r>
        <w:rPr>
          <w:rFonts w:ascii="Times New Roman" w:hAnsi="Times New Roman"/>
          <w:vertAlign w:val="superscript"/>
        </w:rPr>
        <w:t>3</w:t>
      </w:r>
      <w:r>
        <w:rPr>
          <w:rFonts w:ascii="Times New Roman" w:hAnsi="Times New Roman"/>
        </w:rPr>
        <w:t>，取值1000。</w:t>
      </w:r>
    </w:p>
    <w:p>
      <w:pPr>
        <w:autoSpaceDE w:val="0"/>
        <w:autoSpaceDN w:val="0"/>
        <w:adjustRightInd w:val="0"/>
        <w:ind w:firstLine="480"/>
        <w:rPr>
          <w:rFonts w:ascii="Times New Roman" w:hAnsi="Times New Roman"/>
        </w:rPr>
      </w:pPr>
      <w:r>
        <w:rPr>
          <w:rFonts w:ascii="Times New Roman" w:hAnsi="Times New Roman"/>
          <w:kern w:val="0"/>
        </w:rPr>
        <w:t>经计算，气田水罐泄漏速率为（0.378kg/s），设泄漏后及时发现，处理时间为1h，泄漏的废水先进入尺寸为10m*4m*0.3m的围堰，此次按最大不利情况考虑，假设泄漏直接进入地下水，则泄漏量为0.23m</w:t>
      </w:r>
      <w:r>
        <w:rPr>
          <w:rFonts w:ascii="Times New Roman" w:hAnsi="Times New Roman"/>
          <w:kern w:val="0"/>
          <w:vertAlign w:val="superscript"/>
        </w:rPr>
        <w:t>3</w:t>
      </w:r>
      <w:r>
        <w:rPr>
          <w:rFonts w:ascii="Times New Roman" w:hAnsi="Times New Roman"/>
          <w:kern w:val="0"/>
        </w:rPr>
        <w:t>。结果见下表</w:t>
      </w:r>
      <w:r>
        <w:rPr>
          <w:rFonts w:ascii="Times New Roman" w:hAnsi="Times New Roman"/>
        </w:rPr>
        <w:t>。</w:t>
      </w:r>
    </w:p>
    <w:p>
      <w:pPr>
        <w:pStyle w:val="37"/>
        <w:rPr>
          <w:rFonts w:ascii="Times New Roman" w:hAnsi="Times New Roman" w:cs="Times New Roman"/>
          <w:b/>
          <w:szCs w:val="21"/>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20</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b/>
        </w:rPr>
        <w:t>气田水罐污染物预测源强</w:t>
      </w:r>
    </w:p>
    <w:tbl>
      <w:tblPr>
        <w:tblStyle w:val="2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34" w:type="dxa"/>
          <w:left w:w="125" w:type="dxa"/>
          <w:bottom w:w="0" w:type="dxa"/>
          <w:right w:w="19" w:type="dxa"/>
        </w:tblCellMar>
      </w:tblPr>
      <w:tblGrid>
        <w:gridCol w:w="1291"/>
        <w:gridCol w:w="1715"/>
        <w:gridCol w:w="1237"/>
        <w:gridCol w:w="1079"/>
        <w:gridCol w:w="1186"/>
        <w:gridCol w:w="1338"/>
        <w:gridCol w:w="12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4" w:type="dxa"/>
            <w:left w:w="125" w:type="dxa"/>
            <w:bottom w:w="0" w:type="dxa"/>
            <w:right w:w="19" w:type="dxa"/>
          </w:tblCellMar>
        </w:tblPrEx>
        <w:trPr>
          <w:jc w:val="center"/>
        </w:trPr>
        <w:tc>
          <w:tcPr>
            <w:tcW w:w="1291" w:type="dxa"/>
            <w:vAlign w:val="center"/>
          </w:tcPr>
          <w:p>
            <w:pPr>
              <w:pStyle w:val="39"/>
              <w:rPr>
                <w:rFonts w:ascii="Times New Roman" w:hAnsi="Times New Roman"/>
              </w:rPr>
            </w:pPr>
            <w:r>
              <w:rPr>
                <w:rFonts w:ascii="Times New Roman" w:hAnsi="Times New Roman"/>
              </w:rPr>
              <w:t>渗漏情景</w:t>
            </w:r>
          </w:p>
        </w:tc>
        <w:tc>
          <w:tcPr>
            <w:tcW w:w="1715" w:type="dxa"/>
            <w:vAlign w:val="center"/>
          </w:tcPr>
          <w:p>
            <w:pPr>
              <w:pStyle w:val="39"/>
              <w:rPr>
                <w:rFonts w:ascii="Times New Roman" w:hAnsi="Times New Roman"/>
              </w:rPr>
            </w:pPr>
            <w:r>
              <w:rPr>
                <w:rFonts w:ascii="Times New Roman" w:hAnsi="Times New Roman"/>
              </w:rPr>
              <w:t>渗漏位置</w:t>
            </w:r>
          </w:p>
        </w:tc>
        <w:tc>
          <w:tcPr>
            <w:tcW w:w="1237" w:type="dxa"/>
            <w:vAlign w:val="center"/>
          </w:tcPr>
          <w:p>
            <w:pPr>
              <w:pStyle w:val="39"/>
              <w:rPr>
                <w:rFonts w:ascii="Times New Roman" w:hAnsi="Times New Roman"/>
              </w:rPr>
            </w:pPr>
            <w:r>
              <w:rPr>
                <w:rFonts w:ascii="Times New Roman" w:hAnsi="Times New Roman"/>
              </w:rPr>
              <w:t>特征污染物</w:t>
            </w:r>
          </w:p>
        </w:tc>
        <w:tc>
          <w:tcPr>
            <w:tcW w:w="1079" w:type="dxa"/>
            <w:vAlign w:val="center"/>
          </w:tcPr>
          <w:p>
            <w:pPr>
              <w:pStyle w:val="39"/>
              <w:rPr>
                <w:rFonts w:ascii="Times New Roman" w:hAnsi="Times New Roman"/>
              </w:rPr>
            </w:pPr>
            <w:r>
              <w:rPr>
                <w:rFonts w:ascii="Times New Roman" w:hAnsi="Times New Roman"/>
              </w:rPr>
              <w:t>浓度(mg/L)</w:t>
            </w:r>
          </w:p>
        </w:tc>
        <w:tc>
          <w:tcPr>
            <w:tcW w:w="1186" w:type="dxa"/>
            <w:vAlign w:val="center"/>
          </w:tcPr>
          <w:p>
            <w:pPr>
              <w:pStyle w:val="39"/>
              <w:rPr>
                <w:rFonts w:ascii="Times New Roman" w:hAnsi="Times New Roman"/>
              </w:rPr>
            </w:pPr>
            <w:r>
              <w:rPr>
                <w:rFonts w:ascii="Times New Roman" w:hAnsi="Times New Roman"/>
              </w:rPr>
              <w:t>渗漏量(kg)</w:t>
            </w:r>
          </w:p>
        </w:tc>
        <w:tc>
          <w:tcPr>
            <w:tcW w:w="1338" w:type="dxa"/>
            <w:vAlign w:val="center"/>
          </w:tcPr>
          <w:p>
            <w:pPr>
              <w:pStyle w:val="39"/>
              <w:rPr>
                <w:rFonts w:ascii="Times New Roman" w:hAnsi="Times New Roman"/>
              </w:rPr>
            </w:pPr>
            <w:r>
              <w:rPr>
                <w:rFonts w:ascii="Times New Roman" w:hAnsi="Times New Roman"/>
              </w:rPr>
              <w:t>泄漏时间（h）</w:t>
            </w:r>
          </w:p>
        </w:tc>
        <w:tc>
          <w:tcPr>
            <w:tcW w:w="1226" w:type="dxa"/>
            <w:vAlign w:val="center"/>
          </w:tcPr>
          <w:p>
            <w:pPr>
              <w:pStyle w:val="39"/>
              <w:rPr>
                <w:rFonts w:ascii="Times New Roman" w:hAnsi="Times New Roman"/>
              </w:rPr>
            </w:pPr>
            <w:r>
              <w:rPr>
                <w:rFonts w:ascii="Times New Roman" w:hAnsi="Times New Roman"/>
              </w:rPr>
              <w:t>渗漏废水量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4" w:type="dxa"/>
            <w:left w:w="125" w:type="dxa"/>
            <w:bottom w:w="0" w:type="dxa"/>
            <w:right w:w="19" w:type="dxa"/>
          </w:tblCellMar>
        </w:tblPrEx>
        <w:trPr>
          <w:jc w:val="center"/>
        </w:trPr>
        <w:tc>
          <w:tcPr>
            <w:tcW w:w="1291" w:type="dxa"/>
            <w:vMerge w:val="restart"/>
            <w:vAlign w:val="center"/>
          </w:tcPr>
          <w:p>
            <w:pPr>
              <w:pStyle w:val="39"/>
              <w:rPr>
                <w:rFonts w:ascii="Times New Roman" w:hAnsi="Times New Roman"/>
              </w:rPr>
            </w:pPr>
            <w:r>
              <w:rPr>
                <w:rFonts w:ascii="Times New Roman" w:hAnsi="Times New Roman"/>
              </w:rPr>
              <w:t>非正常</w:t>
            </w:r>
          </w:p>
          <w:p>
            <w:pPr>
              <w:pStyle w:val="39"/>
              <w:rPr>
                <w:rFonts w:ascii="Times New Roman" w:hAnsi="Times New Roman"/>
              </w:rPr>
            </w:pPr>
            <w:r>
              <w:rPr>
                <w:rFonts w:ascii="Times New Roman" w:hAnsi="Times New Roman"/>
              </w:rPr>
              <w:t>状况下</w:t>
            </w:r>
          </w:p>
        </w:tc>
        <w:tc>
          <w:tcPr>
            <w:tcW w:w="1715" w:type="dxa"/>
            <w:vMerge w:val="restart"/>
            <w:vAlign w:val="center"/>
          </w:tcPr>
          <w:p>
            <w:pPr>
              <w:pStyle w:val="39"/>
              <w:rPr>
                <w:rFonts w:ascii="Times New Roman" w:hAnsi="Times New Roman"/>
              </w:rPr>
            </w:pPr>
            <w:r>
              <w:rPr>
                <w:rFonts w:ascii="Times New Roman" w:hAnsi="Times New Roman"/>
              </w:rPr>
              <w:t>气田水罐泄漏</w:t>
            </w:r>
          </w:p>
        </w:tc>
        <w:tc>
          <w:tcPr>
            <w:tcW w:w="1237" w:type="dxa"/>
          </w:tcPr>
          <w:p>
            <w:pPr>
              <w:pStyle w:val="39"/>
              <w:rPr>
                <w:rFonts w:ascii="Times New Roman" w:hAnsi="Times New Roman"/>
              </w:rPr>
            </w:pPr>
            <w:r>
              <w:rPr>
                <w:rFonts w:ascii="Times New Roman" w:hAnsi="Times New Roman"/>
              </w:rPr>
              <w:t>石油类</w:t>
            </w:r>
          </w:p>
        </w:tc>
        <w:tc>
          <w:tcPr>
            <w:tcW w:w="1079" w:type="dxa"/>
          </w:tcPr>
          <w:p>
            <w:pPr>
              <w:pStyle w:val="39"/>
              <w:rPr>
                <w:rFonts w:ascii="Times New Roman" w:hAnsi="Times New Roman"/>
              </w:rPr>
            </w:pPr>
            <w:r>
              <w:rPr>
                <w:rFonts w:ascii="Times New Roman" w:hAnsi="Times New Roman"/>
              </w:rPr>
              <w:t>20</w:t>
            </w:r>
          </w:p>
        </w:tc>
        <w:tc>
          <w:tcPr>
            <w:tcW w:w="1186" w:type="dxa"/>
            <w:vAlign w:val="center"/>
          </w:tcPr>
          <w:p>
            <w:pPr>
              <w:pStyle w:val="39"/>
              <w:rPr>
                <w:rFonts w:ascii="Times New Roman" w:hAnsi="Times New Roman"/>
              </w:rPr>
            </w:pPr>
            <w:r>
              <w:rPr>
                <w:rFonts w:ascii="Times New Roman" w:hAnsi="Times New Roman"/>
                <w:kern w:val="0"/>
              </w:rPr>
              <w:t>0.0046</w:t>
            </w:r>
          </w:p>
        </w:tc>
        <w:tc>
          <w:tcPr>
            <w:tcW w:w="1338" w:type="dxa"/>
            <w:vAlign w:val="center"/>
          </w:tcPr>
          <w:p>
            <w:pPr>
              <w:pStyle w:val="39"/>
              <w:rPr>
                <w:rFonts w:ascii="Times New Roman" w:hAnsi="Times New Roman"/>
              </w:rPr>
            </w:pPr>
            <w:r>
              <w:rPr>
                <w:rFonts w:ascii="Times New Roman" w:hAnsi="Times New Roman"/>
                <w:kern w:val="0"/>
              </w:rPr>
              <w:t>1</w:t>
            </w:r>
          </w:p>
        </w:tc>
        <w:tc>
          <w:tcPr>
            <w:tcW w:w="1226" w:type="dxa"/>
            <w:vMerge w:val="restart"/>
            <w:vAlign w:val="center"/>
          </w:tcPr>
          <w:p>
            <w:pPr>
              <w:pStyle w:val="39"/>
              <w:rPr>
                <w:rFonts w:ascii="Times New Roman" w:hAnsi="Times New Roman"/>
              </w:rPr>
            </w:pPr>
            <w:r>
              <w:rPr>
                <w:rFonts w:ascii="Times New Roman" w:hAnsi="Times New Roman"/>
              </w:rPr>
              <w:t>0.23m</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4" w:type="dxa"/>
            <w:left w:w="125" w:type="dxa"/>
            <w:bottom w:w="0" w:type="dxa"/>
            <w:right w:w="19" w:type="dxa"/>
          </w:tblCellMar>
        </w:tblPrEx>
        <w:trPr>
          <w:jc w:val="center"/>
        </w:trPr>
        <w:tc>
          <w:tcPr>
            <w:tcW w:w="1291" w:type="dxa"/>
            <w:vMerge w:val="continue"/>
            <w:vAlign w:val="center"/>
          </w:tcPr>
          <w:p>
            <w:pPr>
              <w:pStyle w:val="39"/>
              <w:rPr>
                <w:rFonts w:ascii="Times New Roman" w:hAnsi="Times New Roman"/>
              </w:rPr>
            </w:pPr>
          </w:p>
        </w:tc>
        <w:tc>
          <w:tcPr>
            <w:tcW w:w="1715" w:type="dxa"/>
            <w:vMerge w:val="continue"/>
            <w:vAlign w:val="center"/>
          </w:tcPr>
          <w:p>
            <w:pPr>
              <w:pStyle w:val="39"/>
              <w:rPr>
                <w:rFonts w:ascii="Times New Roman" w:hAnsi="Times New Roman"/>
              </w:rPr>
            </w:pPr>
          </w:p>
        </w:tc>
        <w:tc>
          <w:tcPr>
            <w:tcW w:w="1237" w:type="dxa"/>
          </w:tcPr>
          <w:p>
            <w:pPr>
              <w:pStyle w:val="39"/>
              <w:rPr>
                <w:rFonts w:ascii="Times New Roman" w:hAnsi="Times New Roman"/>
              </w:rPr>
            </w:pPr>
            <w:r>
              <w:rPr>
                <w:rFonts w:ascii="Times New Roman" w:hAnsi="Times New Roman"/>
              </w:rPr>
              <w:t>氯化物</w:t>
            </w:r>
          </w:p>
        </w:tc>
        <w:tc>
          <w:tcPr>
            <w:tcW w:w="1079" w:type="dxa"/>
          </w:tcPr>
          <w:p>
            <w:pPr>
              <w:pStyle w:val="39"/>
              <w:rPr>
                <w:rFonts w:ascii="Times New Roman" w:hAnsi="Times New Roman"/>
              </w:rPr>
            </w:pPr>
            <w:r>
              <w:rPr>
                <w:rFonts w:ascii="Times New Roman" w:hAnsi="Times New Roman"/>
                <w:kern w:val="0"/>
              </w:rPr>
              <w:t>113702</w:t>
            </w:r>
          </w:p>
        </w:tc>
        <w:tc>
          <w:tcPr>
            <w:tcW w:w="1186" w:type="dxa"/>
            <w:vAlign w:val="center"/>
          </w:tcPr>
          <w:p>
            <w:pPr>
              <w:pStyle w:val="39"/>
              <w:rPr>
                <w:rFonts w:ascii="Times New Roman" w:hAnsi="Times New Roman"/>
              </w:rPr>
            </w:pPr>
            <w:r>
              <w:rPr>
                <w:rFonts w:ascii="Times New Roman" w:hAnsi="Times New Roman"/>
                <w:kern w:val="0"/>
              </w:rPr>
              <w:t>26.15</w:t>
            </w:r>
          </w:p>
        </w:tc>
        <w:tc>
          <w:tcPr>
            <w:tcW w:w="1338" w:type="dxa"/>
            <w:vAlign w:val="center"/>
          </w:tcPr>
          <w:p>
            <w:pPr>
              <w:pStyle w:val="39"/>
              <w:rPr>
                <w:rFonts w:ascii="Times New Roman" w:hAnsi="Times New Roman"/>
              </w:rPr>
            </w:pPr>
            <w:r>
              <w:rPr>
                <w:rFonts w:ascii="Times New Roman" w:hAnsi="Times New Roman"/>
                <w:kern w:val="0"/>
              </w:rPr>
              <w:t>1</w:t>
            </w:r>
          </w:p>
        </w:tc>
        <w:tc>
          <w:tcPr>
            <w:tcW w:w="1226"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4" w:type="dxa"/>
            <w:left w:w="125" w:type="dxa"/>
            <w:bottom w:w="0" w:type="dxa"/>
            <w:right w:w="19" w:type="dxa"/>
          </w:tblCellMar>
        </w:tblPrEx>
        <w:trPr>
          <w:jc w:val="center"/>
        </w:trPr>
        <w:tc>
          <w:tcPr>
            <w:tcW w:w="1291" w:type="dxa"/>
            <w:vMerge w:val="continue"/>
            <w:vAlign w:val="center"/>
          </w:tcPr>
          <w:p>
            <w:pPr>
              <w:pStyle w:val="39"/>
              <w:rPr>
                <w:rFonts w:ascii="Times New Roman" w:hAnsi="Times New Roman"/>
              </w:rPr>
            </w:pPr>
          </w:p>
        </w:tc>
        <w:tc>
          <w:tcPr>
            <w:tcW w:w="1715" w:type="dxa"/>
            <w:vMerge w:val="continue"/>
            <w:vAlign w:val="center"/>
          </w:tcPr>
          <w:p>
            <w:pPr>
              <w:pStyle w:val="39"/>
              <w:rPr>
                <w:rFonts w:ascii="Times New Roman" w:hAnsi="Times New Roman"/>
              </w:rPr>
            </w:pPr>
          </w:p>
        </w:tc>
        <w:tc>
          <w:tcPr>
            <w:tcW w:w="1237" w:type="dxa"/>
          </w:tcPr>
          <w:p>
            <w:pPr>
              <w:pStyle w:val="39"/>
              <w:rPr>
                <w:rFonts w:ascii="Times New Roman" w:hAnsi="Times New Roman"/>
              </w:rPr>
            </w:pPr>
            <w:r>
              <w:rPr>
                <w:rFonts w:ascii="Times New Roman" w:hAnsi="Times New Roman"/>
              </w:rPr>
              <w:t>COD</w:t>
            </w:r>
          </w:p>
        </w:tc>
        <w:tc>
          <w:tcPr>
            <w:tcW w:w="1079" w:type="dxa"/>
          </w:tcPr>
          <w:p>
            <w:pPr>
              <w:pStyle w:val="39"/>
              <w:rPr>
                <w:rFonts w:ascii="Times New Roman" w:hAnsi="Times New Roman"/>
              </w:rPr>
            </w:pPr>
            <w:r>
              <w:rPr>
                <w:rFonts w:ascii="Times New Roman" w:hAnsi="Times New Roman"/>
              </w:rPr>
              <w:t>400</w:t>
            </w:r>
          </w:p>
        </w:tc>
        <w:tc>
          <w:tcPr>
            <w:tcW w:w="1186" w:type="dxa"/>
            <w:vAlign w:val="center"/>
          </w:tcPr>
          <w:p>
            <w:pPr>
              <w:pStyle w:val="39"/>
              <w:rPr>
                <w:rFonts w:ascii="Times New Roman" w:hAnsi="Times New Roman"/>
              </w:rPr>
            </w:pPr>
            <w:r>
              <w:rPr>
                <w:rFonts w:ascii="Times New Roman" w:hAnsi="Times New Roman"/>
                <w:kern w:val="0"/>
              </w:rPr>
              <w:t>0.092</w:t>
            </w:r>
          </w:p>
        </w:tc>
        <w:tc>
          <w:tcPr>
            <w:tcW w:w="1338" w:type="dxa"/>
            <w:vAlign w:val="center"/>
          </w:tcPr>
          <w:p>
            <w:pPr>
              <w:pStyle w:val="39"/>
              <w:rPr>
                <w:rFonts w:ascii="Times New Roman" w:hAnsi="Times New Roman"/>
              </w:rPr>
            </w:pPr>
            <w:r>
              <w:rPr>
                <w:rFonts w:ascii="Times New Roman" w:hAnsi="Times New Roman"/>
                <w:kern w:val="0"/>
              </w:rPr>
              <w:t>1</w:t>
            </w:r>
          </w:p>
        </w:tc>
        <w:tc>
          <w:tcPr>
            <w:tcW w:w="1226"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4" w:type="dxa"/>
            <w:left w:w="125" w:type="dxa"/>
            <w:bottom w:w="0" w:type="dxa"/>
            <w:right w:w="19" w:type="dxa"/>
          </w:tblCellMar>
        </w:tblPrEx>
        <w:trPr>
          <w:jc w:val="center"/>
        </w:trPr>
        <w:tc>
          <w:tcPr>
            <w:tcW w:w="9072" w:type="dxa"/>
            <w:gridSpan w:val="7"/>
            <w:vAlign w:val="center"/>
          </w:tcPr>
          <w:p>
            <w:pPr>
              <w:pStyle w:val="39"/>
              <w:rPr>
                <w:rFonts w:ascii="Times New Roman" w:hAnsi="Times New Roman"/>
              </w:rPr>
            </w:pPr>
            <w:r>
              <w:rPr>
                <w:rFonts w:ascii="Times New Roman" w:hAnsi="Times New Roman"/>
              </w:rPr>
              <w:t>注：各污染物取值均参照项目中设计资料浓度</w:t>
            </w:r>
          </w:p>
        </w:tc>
      </w:tr>
    </w:tbl>
    <w:p>
      <w:pPr>
        <w:ind w:firstLine="480"/>
        <w:rPr>
          <w:rFonts w:ascii="Times New Roman" w:hAnsi="Times New Roman"/>
          <w:snapToGrid w:val="0"/>
          <w:kern w:val="0"/>
          <w:szCs w:val="20"/>
        </w:rPr>
      </w:pPr>
      <w:r>
        <w:rPr>
          <w:rFonts w:ascii="Times New Roman" w:hAnsi="Times New Roman"/>
          <w:snapToGrid w:val="0"/>
          <w:kern w:val="0"/>
          <w:szCs w:val="20"/>
        </w:rPr>
        <w:t>（4）预测方法及范围</w:t>
      </w:r>
    </w:p>
    <w:p>
      <w:pPr>
        <w:ind w:firstLine="480"/>
        <w:rPr>
          <w:rFonts w:ascii="Times New Roman" w:hAnsi="Times New Roman"/>
          <w:snapToGrid w:val="0"/>
          <w:kern w:val="0"/>
        </w:rPr>
      </w:pPr>
      <w:r>
        <w:rPr>
          <w:rFonts w:ascii="Times New Roman" w:hAnsi="Times New Roman"/>
          <w:snapToGrid w:val="0"/>
          <w:kern w:val="0"/>
        </w:rPr>
        <w:t>该项目地下水预测分析主要进行饱和带污染物迁移预测，评价等级属二级，本次进行预测时，采用解析法计算。污染物在地下水系统中的迁移转化过程十分复杂，本次污染物模拟预测过程不考虑污染物在含水层中的吸附、挥发、生物化学反应，模型中各项参数予以保守性考虑。由于污染物预测主要针对非正常状况下污染物运移情况，因此模型预测不考虑包气带对污染物的截留作用，假设污染物可以直接通过包气带进入地下水体，最大限度地考虑污染物对研究区水体的影响。</w:t>
      </w:r>
    </w:p>
    <w:p>
      <w:pPr>
        <w:ind w:firstLine="480"/>
        <w:rPr>
          <w:rFonts w:ascii="Times New Roman" w:hAnsi="Times New Roman"/>
          <w:snapToGrid w:val="0"/>
          <w:kern w:val="0"/>
        </w:rPr>
      </w:pPr>
      <w:r>
        <w:rPr>
          <w:rFonts w:ascii="Times New Roman" w:hAnsi="Times New Roman"/>
          <w:snapToGrid w:val="0"/>
          <w:kern w:val="0"/>
        </w:rPr>
        <w:t>根据导致要求，地下水环境影响预测范围一般与调查评价范围一致。</w:t>
      </w:r>
    </w:p>
    <w:p>
      <w:pPr>
        <w:ind w:firstLine="480"/>
        <w:rPr>
          <w:rFonts w:ascii="Times New Roman" w:hAnsi="Times New Roman"/>
          <w:kern w:val="0"/>
          <w:szCs w:val="20"/>
        </w:rPr>
      </w:pPr>
      <w:r>
        <w:rPr>
          <w:rFonts w:ascii="Times New Roman" w:hAnsi="Times New Roman"/>
          <w:kern w:val="0"/>
          <w:szCs w:val="20"/>
        </w:rPr>
        <w:t>（5）预测时段</w:t>
      </w:r>
    </w:p>
    <w:p>
      <w:pPr>
        <w:ind w:firstLine="480"/>
        <w:rPr>
          <w:rFonts w:ascii="Times New Roman" w:hAnsi="Times New Roman"/>
          <w:snapToGrid w:val="0"/>
          <w:kern w:val="0"/>
        </w:rPr>
      </w:pPr>
      <w:r>
        <w:rPr>
          <w:rFonts w:ascii="Times New Roman" w:hAnsi="Times New Roman"/>
          <w:snapToGrid w:val="0"/>
          <w:kern w:val="0"/>
        </w:rPr>
        <w:t>根据导则要求，地下水环境影响评价预测时段应选取可能产生地下水污染的关键时段，本项目对地下水的影响主要在项目运营期。</w:t>
      </w:r>
    </w:p>
    <w:p>
      <w:pPr>
        <w:ind w:firstLine="480"/>
        <w:rPr>
          <w:rFonts w:ascii="Times New Roman" w:hAnsi="Times New Roman"/>
          <w:snapToGrid w:val="0"/>
          <w:kern w:val="0"/>
        </w:rPr>
      </w:pPr>
      <w:r>
        <w:rPr>
          <w:rFonts w:ascii="Times New Roman" w:hAnsi="Times New Roman"/>
          <w:snapToGrid w:val="0"/>
          <w:kern w:val="0"/>
        </w:rPr>
        <w:t>因此，本次预测时段选取分别为污染发生后100d、1000d，或是能够反映特征因子迁移规律的其他重要节点时间。</w:t>
      </w:r>
    </w:p>
    <w:p>
      <w:pPr>
        <w:ind w:left="960" w:leftChars="200" w:hanging="480" w:hangingChars="200"/>
        <w:rPr>
          <w:rFonts w:ascii="Times New Roman" w:hAnsi="Times New Roman"/>
        </w:rPr>
      </w:pPr>
      <w:r>
        <w:rPr>
          <w:rFonts w:ascii="Times New Roman" w:hAnsi="Times New Roman"/>
        </w:rPr>
        <w:t>（6）预测模型概化</w:t>
      </w:r>
    </w:p>
    <w:p>
      <w:pPr>
        <w:ind w:firstLine="480"/>
        <w:rPr>
          <w:rFonts w:ascii="Times New Roman" w:hAnsi="Times New Roman"/>
        </w:rPr>
      </w:pPr>
      <w:r>
        <w:rPr>
          <w:rFonts w:ascii="Times New Roman" w:hAnsi="Times New Roman"/>
        </w:rPr>
        <w:t>1）水文地质条件及污染源概化</w:t>
      </w:r>
    </w:p>
    <w:p>
      <w:pPr>
        <w:ind w:firstLine="480"/>
        <w:rPr>
          <w:rFonts w:ascii="Times New Roman" w:hAnsi="Times New Roman"/>
          <w:kern w:val="0"/>
        </w:rPr>
      </w:pPr>
      <w:r>
        <w:rPr>
          <w:rFonts w:ascii="Times New Roman" w:hAnsi="Times New Roman"/>
          <w:kern w:val="0"/>
        </w:rPr>
        <w:t>根据实际调查研究及水文地质资料，地下水的储存介质主要为泥岩、砂岩的风化带裂隙，区内风化带厚度一般约为30m，风化带以下，基岩未风化，作为相对隔水层，构成含水层底板。因此，本次研究的主要含水层为红层风化裂隙水。</w:t>
      </w:r>
    </w:p>
    <w:p>
      <w:pPr>
        <w:ind w:firstLine="480"/>
        <w:rPr>
          <w:rFonts w:ascii="Times New Roman" w:hAnsi="Times New Roman"/>
        </w:rPr>
      </w:pPr>
      <w:r>
        <w:rPr>
          <w:rFonts w:ascii="Times New Roman" w:hAnsi="Times New Roman"/>
          <w:kern w:val="0"/>
        </w:rPr>
        <w:t>含有污染物的废水将以入渗的方式进入含水层，从保守角度，本次计算忽略污染物在包气带的运移过程。建设场地地下水流向呈一维流动，地下水位动态稳定，因此污染物在浅层含水层中的迁移，可概化为瞬时注入示踪剂（平面瞬时点源）的一维稳定流动二维水动力弥散问题，当取平行地下水流动的方向为x轴正方向时，则污染物浓度分布模型如下。</w:t>
      </w:r>
    </w:p>
    <w:p>
      <w:pPr>
        <w:ind w:firstLine="480"/>
        <w:jc w:val="center"/>
        <w:rPr>
          <w:rFonts w:ascii="Times New Roman" w:hAnsi="Times New Roman"/>
        </w:rPr>
      </w:pPr>
      <w:r>
        <w:rPr>
          <w:rFonts w:ascii="Times New Roman" w:hAnsi="Times New Roman"/>
          <w:kern w:val="0"/>
          <w:szCs w:val="20"/>
        </w:rPr>
        <w:drawing>
          <wp:inline distT="0" distB="0" distL="0" distR="0">
            <wp:extent cx="2918460" cy="693420"/>
            <wp:effectExtent l="19050" t="0" r="0" b="0"/>
            <wp:docPr id="1424018252" name="图片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018252" name="图片 1191"/>
                    <pic:cNvPicPr>
                      <a:picLocks noChangeAspect="1" noChangeArrowheads="1"/>
                    </pic:cNvPicPr>
                  </pic:nvPicPr>
                  <pic:blipFill>
                    <a:blip r:embed="rId110"/>
                    <a:srcRect/>
                    <a:stretch>
                      <a:fillRect/>
                    </a:stretch>
                  </pic:blipFill>
                  <pic:spPr>
                    <a:xfrm>
                      <a:off x="0" y="0"/>
                      <a:ext cx="2918460" cy="693420"/>
                    </a:xfrm>
                    <a:prstGeom prst="rect">
                      <a:avLst/>
                    </a:prstGeom>
                    <a:noFill/>
                    <a:ln w="9525" cmpd="sng">
                      <a:noFill/>
                      <a:miter lim="800000"/>
                      <a:headEnd/>
                      <a:tailEnd/>
                    </a:ln>
                  </pic:spPr>
                </pic:pic>
              </a:graphicData>
            </a:graphic>
          </wp:inline>
        </w:drawing>
      </w:r>
    </w:p>
    <w:p>
      <w:pPr>
        <w:ind w:firstLine="480"/>
        <w:rPr>
          <w:rFonts w:ascii="Times New Roman" w:hAnsi="Times New Roman"/>
          <w:kern w:val="0"/>
        </w:rPr>
      </w:pPr>
      <w:r>
        <w:rPr>
          <w:rFonts w:ascii="Times New Roman" w:hAnsi="Times New Roman"/>
          <w:kern w:val="0"/>
        </w:rPr>
        <w:t>式中：x，y—计算点处的位置坐标；</w:t>
      </w:r>
    </w:p>
    <w:p>
      <w:pPr>
        <w:ind w:firstLine="480"/>
        <w:rPr>
          <w:rFonts w:ascii="Times New Roman" w:hAnsi="Times New Roman"/>
          <w:kern w:val="0"/>
        </w:rPr>
      </w:pPr>
      <w:r>
        <w:rPr>
          <w:rFonts w:ascii="Times New Roman" w:hAnsi="Times New Roman"/>
          <w:kern w:val="0"/>
        </w:rPr>
        <w:t xml:space="preserve">  t—时间，d；π为圆周率；</w:t>
      </w:r>
    </w:p>
    <w:p>
      <w:pPr>
        <w:ind w:firstLine="480"/>
        <w:rPr>
          <w:rFonts w:ascii="Times New Roman" w:hAnsi="Times New Roman"/>
          <w:kern w:val="0"/>
        </w:rPr>
      </w:pPr>
      <w:r>
        <w:rPr>
          <w:rFonts w:ascii="Times New Roman" w:hAnsi="Times New Roman"/>
          <w:kern w:val="0"/>
        </w:rPr>
        <w:t xml:space="preserve">  C（x，y，t）—t时刻点x，y处的示踪剂浓度，g/L；</w:t>
      </w:r>
    </w:p>
    <w:p>
      <w:pPr>
        <w:ind w:firstLine="480"/>
        <w:rPr>
          <w:rFonts w:ascii="Times New Roman" w:hAnsi="Times New Roman"/>
          <w:kern w:val="0"/>
        </w:rPr>
      </w:pPr>
      <w:r>
        <w:rPr>
          <w:rFonts w:ascii="Times New Roman" w:hAnsi="Times New Roman"/>
          <w:kern w:val="0"/>
        </w:rPr>
        <w:t xml:space="preserve">  M—含水层的厚度，m；</w:t>
      </w:r>
    </w:p>
    <w:p>
      <w:pPr>
        <w:ind w:firstLine="480"/>
        <w:rPr>
          <w:rFonts w:ascii="Times New Roman" w:hAnsi="Times New Roman"/>
          <w:kern w:val="0"/>
        </w:rPr>
      </w:pPr>
      <w:r>
        <w:rPr>
          <w:rFonts w:ascii="Times New Roman" w:hAnsi="Times New Roman"/>
          <w:kern w:val="0"/>
        </w:rPr>
        <w:t xml:space="preserve">  m</w:t>
      </w:r>
      <w:r>
        <w:rPr>
          <w:rFonts w:ascii="Times New Roman" w:hAnsi="Times New Roman"/>
          <w:kern w:val="0"/>
          <w:vertAlign w:val="subscript"/>
        </w:rPr>
        <w:t>M</w:t>
      </w:r>
      <w:r>
        <w:rPr>
          <w:rFonts w:ascii="Times New Roman" w:hAnsi="Times New Roman"/>
          <w:kern w:val="0"/>
        </w:rPr>
        <w:t>—瞬时注入示踪剂的质量，kg；</w:t>
      </w:r>
    </w:p>
    <w:p>
      <w:pPr>
        <w:ind w:firstLine="480"/>
        <w:rPr>
          <w:rFonts w:ascii="Times New Roman" w:hAnsi="Times New Roman"/>
          <w:kern w:val="0"/>
        </w:rPr>
      </w:pPr>
      <w:r>
        <w:rPr>
          <w:rFonts w:ascii="Times New Roman" w:hAnsi="Times New Roman"/>
          <w:kern w:val="0"/>
        </w:rPr>
        <w:t xml:space="preserve">  u—水流速度，m/d；</w:t>
      </w:r>
    </w:p>
    <w:p>
      <w:pPr>
        <w:ind w:firstLine="480"/>
        <w:rPr>
          <w:rFonts w:ascii="Times New Roman" w:hAnsi="Times New Roman"/>
          <w:kern w:val="0"/>
        </w:rPr>
      </w:pPr>
      <w:r>
        <w:rPr>
          <w:rFonts w:ascii="Times New Roman" w:hAnsi="Times New Roman"/>
          <w:kern w:val="0"/>
        </w:rPr>
        <w:t xml:space="preserve">  n—有效孔隙度，无量纲；</w:t>
      </w:r>
    </w:p>
    <w:p>
      <w:pPr>
        <w:ind w:firstLine="480"/>
        <w:rPr>
          <w:rFonts w:ascii="Times New Roman" w:hAnsi="Times New Roman"/>
          <w:kern w:val="0"/>
        </w:rPr>
      </w:pPr>
      <w:r>
        <w:rPr>
          <w:rFonts w:ascii="Times New Roman" w:hAnsi="Times New Roman"/>
          <w:kern w:val="0"/>
        </w:rPr>
        <w:t xml:space="preserve">  D</w:t>
      </w:r>
      <w:r>
        <w:rPr>
          <w:rFonts w:ascii="Times New Roman" w:hAnsi="Times New Roman"/>
          <w:kern w:val="0"/>
          <w:vertAlign w:val="subscript"/>
        </w:rPr>
        <w:t>L</w:t>
      </w:r>
      <w:r>
        <w:rPr>
          <w:rFonts w:ascii="Times New Roman" w:hAnsi="Times New Roman"/>
          <w:kern w:val="0"/>
        </w:rPr>
        <w:t>—纵向弥散系数，m</w:t>
      </w:r>
      <w:r>
        <w:rPr>
          <w:rFonts w:ascii="Times New Roman" w:hAnsi="Times New Roman"/>
          <w:kern w:val="0"/>
          <w:vertAlign w:val="superscript"/>
        </w:rPr>
        <w:t>2</w:t>
      </w:r>
      <w:r>
        <w:rPr>
          <w:rFonts w:ascii="Times New Roman" w:hAnsi="Times New Roman"/>
          <w:kern w:val="0"/>
        </w:rPr>
        <w:t>/d；</w:t>
      </w:r>
    </w:p>
    <w:p>
      <w:pPr>
        <w:ind w:firstLine="480"/>
        <w:rPr>
          <w:rFonts w:ascii="Times New Roman" w:hAnsi="Times New Roman"/>
          <w:kern w:val="0"/>
        </w:rPr>
      </w:pPr>
      <w:r>
        <w:rPr>
          <w:rFonts w:ascii="Times New Roman" w:hAnsi="Times New Roman"/>
          <w:kern w:val="0"/>
        </w:rPr>
        <w:t xml:space="preserve">  D</w:t>
      </w:r>
      <w:r>
        <w:rPr>
          <w:rFonts w:ascii="Times New Roman" w:hAnsi="Times New Roman"/>
          <w:kern w:val="0"/>
          <w:vertAlign w:val="subscript"/>
        </w:rPr>
        <w:t>T</w:t>
      </w:r>
      <w:r>
        <w:rPr>
          <w:rFonts w:ascii="Times New Roman" w:hAnsi="Times New Roman"/>
          <w:kern w:val="0"/>
        </w:rPr>
        <w:t>—横向y方向的弥散系数，m</w:t>
      </w:r>
      <w:r>
        <w:rPr>
          <w:rFonts w:ascii="Times New Roman" w:hAnsi="Times New Roman"/>
          <w:kern w:val="0"/>
          <w:vertAlign w:val="superscript"/>
        </w:rPr>
        <w:t>2</w:t>
      </w:r>
      <w:r>
        <w:rPr>
          <w:rFonts w:ascii="Times New Roman" w:hAnsi="Times New Roman"/>
          <w:kern w:val="0"/>
        </w:rPr>
        <w:t>/d。</w:t>
      </w:r>
    </w:p>
    <w:p>
      <w:pPr>
        <w:ind w:firstLine="480"/>
        <w:rPr>
          <w:rFonts w:ascii="Times New Roman" w:hAnsi="Times New Roman"/>
          <w:kern w:val="0"/>
        </w:rPr>
      </w:pPr>
      <w:r>
        <w:rPr>
          <w:rFonts w:ascii="Times New Roman" w:hAnsi="Times New Roman"/>
          <w:kern w:val="0"/>
        </w:rPr>
        <w:t>本次预测所用模型需要的参数有：含水层厚度M；外泄污染物质量m</w:t>
      </w:r>
      <w:r>
        <w:rPr>
          <w:rFonts w:ascii="Times New Roman" w:hAnsi="Times New Roman"/>
          <w:kern w:val="0"/>
          <w:vertAlign w:val="subscript"/>
        </w:rPr>
        <w:t>M</w:t>
      </w:r>
      <w:r>
        <w:rPr>
          <w:rFonts w:ascii="Times New Roman" w:hAnsi="Times New Roman"/>
          <w:kern w:val="0"/>
        </w:rPr>
        <w:t>；岩层的有效孔隙度n；水流速度u；污染物纵向弥散系数DL；污染物横向弥散系数DT。参数来源为野外水文地质调查及对区域资料和周边工程勘察资料分析及引用。这些参数主要由本次工作的调查资料以及类比区内最新的勘察成果资料及区域水文普查资料来确定。</w:t>
      </w:r>
    </w:p>
    <w:p>
      <w:pPr>
        <w:ind w:firstLine="480"/>
        <w:rPr>
          <w:rFonts w:ascii="Times New Roman" w:hAnsi="Times New Roman"/>
        </w:rPr>
      </w:pPr>
      <w:r>
        <w:rPr>
          <w:rFonts w:ascii="Times New Roman" w:hAnsi="Times New Roman"/>
        </w:rPr>
        <w:t>2）参数选取</w:t>
      </w:r>
    </w:p>
    <w:p>
      <w:pPr>
        <w:ind w:firstLine="480"/>
        <w:rPr>
          <w:rFonts w:ascii="Times New Roman" w:hAnsi="Times New Roman"/>
          <w:kern w:val="0"/>
        </w:rPr>
      </w:pPr>
      <w:r>
        <w:rPr>
          <w:rFonts w:hint="eastAsia" w:ascii="宋体" w:hAnsi="宋体" w:cs="宋体"/>
          <w:kern w:val="0"/>
        </w:rPr>
        <w:t>①</w:t>
      </w:r>
      <w:r>
        <w:rPr>
          <w:rFonts w:ascii="Times New Roman" w:hAnsi="Times New Roman"/>
          <w:kern w:val="0"/>
        </w:rPr>
        <w:t>含水层厚度M：含水层组为风化带裂隙水。场区含水层的厚度根据本次野外调查情况和</w:t>
      </w:r>
      <w:r>
        <w:rPr>
          <w:rFonts w:ascii="Times New Roman" w:hAnsi="Times New Roman"/>
        </w:rPr>
        <w:t>区域抽水试验结果</w:t>
      </w:r>
      <w:r>
        <w:rPr>
          <w:rFonts w:ascii="Times New Roman" w:hAnsi="Times New Roman"/>
          <w:kern w:val="0"/>
        </w:rPr>
        <w:t>确定，取值25m，符合区域含水层厚度取值范围。</w:t>
      </w:r>
    </w:p>
    <w:p>
      <w:pPr>
        <w:ind w:firstLine="480"/>
        <w:rPr>
          <w:rFonts w:ascii="Times New Roman" w:hAnsi="Times New Roman"/>
          <w:kern w:val="0"/>
        </w:rPr>
      </w:pPr>
      <w:r>
        <w:rPr>
          <w:rFonts w:hint="eastAsia" w:ascii="宋体" w:hAnsi="宋体" w:cs="宋体"/>
          <w:kern w:val="0"/>
        </w:rPr>
        <w:t>②</w:t>
      </w:r>
      <w:r>
        <w:rPr>
          <w:rFonts w:ascii="Times New Roman" w:hAnsi="Times New Roman"/>
          <w:kern w:val="0"/>
        </w:rPr>
        <w:t>瞬时注入的示踪剂质量</w:t>
      </w:r>
      <w:r>
        <w:rPr>
          <w:rFonts w:ascii="Times New Roman" w:hAnsi="Times New Roman"/>
          <w:kern w:val="0"/>
          <w:vertAlign w:val="superscript"/>
        </w:rPr>
        <w:t>m</w:t>
      </w:r>
      <w:r>
        <w:rPr>
          <w:rFonts w:ascii="Times New Roman" w:hAnsi="Times New Roman"/>
          <w:kern w:val="0"/>
          <w:vertAlign w:val="subscript"/>
        </w:rPr>
        <w:t>M</w:t>
      </w:r>
      <w:r>
        <w:rPr>
          <w:rFonts w:ascii="Times New Roman" w:hAnsi="Times New Roman"/>
          <w:kern w:val="0"/>
        </w:rPr>
        <w:t>：进入地下水的污染物质量。</w:t>
      </w:r>
    </w:p>
    <w:p>
      <w:pPr>
        <w:ind w:firstLine="480"/>
        <w:rPr>
          <w:rFonts w:ascii="Times New Roman" w:hAnsi="Times New Roman"/>
          <w:kern w:val="0"/>
        </w:rPr>
      </w:pPr>
      <w:r>
        <w:rPr>
          <w:rFonts w:hint="eastAsia" w:ascii="宋体" w:hAnsi="宋体" w:cs="宋体"/>
          <w:kern w:val="0"/>
        </w:rPr>
        <w:t>③</w:t>
      </w:r>
      <w:r>
        <w:rPr>
          <w:rFonts w:ascii="Times New Roman" w:hAnsi="Times New Roman"/>
          <w:kern w:val="0"/>
        </w:rPr>
        <w:t>含水层的平均有效孔隙度n：考虑含水层岩性特征，根据相关经验及区域资料，本次站场所处位置构造均不发育，本次综合有效孔隙度取值0.08。</w:t>
      </w:r>
    </w:p>
    <w:p>
      <w:pPr>
        <w:ind w:firstLine="480"/>
        <w:rPr>
          <w:rFonts w:ascii="Times New Roman" w:hAnsi="Times New Roman"/>
          <w:kern w:val="0"/>
        </w:rPr>
      </w:pPr>
      <w:r>
        <w:rPr>
          <w:rFonts w:hint="eastAsia" w:ascii="宋体" w:hAnsi="宋体" w:cs="宋体"/>
          <w:kern w:val="0"/>
        </w:rPr>
        <w:t>④</w:t>
      </w:r>
      <w:r>
        <w:rPr>
          <w:rFonts w:ascii="Times New Roman" w:hAnsi="Times New Roman"/>
          <w:kern w:val="0"/>
        </w:rPr>
        <w:t>水流速度u：评价区地下水含水层主要为砂岩风化带裂隙水，依据区域抽水试验数据，渗透系数取值0.13m/d，宣兴1#井站水力坡度约为I=dH/dL=2.4%，因此地下水的渗流速度v=KI=0.00336m/d，水流速度取实际流速u=v/n=0.039m/d。据此计算，宣探1#井站水力坡度约为2.6%，水流速度取实际流速0.047m/d。</w:t>
      </w:r>
    </w:p>
    <w:p>
      <w:pPr>
        <w:ind w:firstLine="480"/>
        <w:rPr>
          <w:rFonts w:ascii="Times New Roman" w:hAnsi="Times New Roman"/>
          <w:kern w:val="0"/>
        </w:rPr>
      </w:pPr>
      <w:r>
        <w:rPr>
          <w:rFonts w:hint="eastAsia" w:ascii="宋体" w:hAnsi="宋体" w:cs="宋体"/>
          <w:kern w:val="0"/>
        </w:rPr>
        <w:t>⑤</w:t>
      </w:r>
      <w:r>
        <w:rPr>
          <w:rFonts w:ascii="Times New Roman" w:hAnsi="Times New Roman"/>
          <w:kern w:val="0"/>
        </w:rPr>
        <w:t>纵向x方向的弥散系数DL：参考Gelhar等人关于纵向弥散度与观测尺度关系的理论，根据前人弥散度试验及本次污染场地的研究尺度”以及李国敏，陈崇希在“空隙介质水动力弥散尺度效应的分形特征及弥散度初步估计”进行估算，本次各评价区模型计算中纵向弥散度选用6.0m。宣兴1#井站纵向弥散系数D</w:t>
      </w:r>
      <w:r>
        <w:rPr>
          <w:rFonts w:ascii="Times New Roman" w:hAnsi="Times New Roman"/>
          <w:kern w:val="0"/>
          <w:vertAlign w:val="subscript"/>
        </w:rPr>
        <w:t>L</w:t>
      </w:r>
      <w:r>
        <w:rPr>
          <w:rFonts w:ascii="Times New Roman" w:hAnsi="Times New Roman"/>
          <w:kern w:val="0"/>
        </w:rPr>
        <w:t>=α*u=0.25m</w:t>
      </w:r>
      <w:r>
        <w:rPr>
          <w:rFonts w:ascii="Times New Roman" w:hAnsi="Times New Roman"/>
          <w:kern w:val="0"/>
          <w:vertAlign w:val="superscript"/>
        </w:rPr>
        <w:t>2</w:t>
      </w:r>
      <w:r>
        <w:rPr>
          <w:rFonts w:ascii="Times New Roman" w:hAnsi="Times New Roman"/>
          <w:kern w:val="0"/>
        </w:rPr>
        <w:t>/d。横向y方向的弥散系数D</w:t>
      </w:r>
      <w:r>
        <w:rPr>
          <w:rFonts w:ascii="Times New Roman" w:hAnsi="Times New Roman"/>
          <w:kern w:val="0"/>
          <w:vertAlign w:val="subscript"/>
        </w:rPr>
        <w:t>T</w:t>
      </w:r>
      <w:r>
        <w:rPr>
          <w:rFonts w:ascii="Times New Roman" w:hAnsi="Times New Roman"/>
          <w:kern w:val="0"/>
        </w:rPr>
        <w:t>，根据经验一般D</w:t>
      </w:r>
      <w:r>
        <w:rPr>
          <w:rFonts w:ascii="Times New Roman" w:hAnsi="Times New Roman"/>
          <w:kern w:val="0"/>
          <w:vertAlign w:val="subscript"/>
        </w:rPr>
        <w:t>T</w:t>
      </w:r>
      <w:r>
        <w:rPr>
          <w:rFonts w:ascii="Times New Roman" w:hAnsi="Times New Roman"/>
          <w:kern w:val="0"/>
        </w:rPr>
        <w:t>：D</w:t>
      </w:r>
      <w:r>
        <w:rPr>
          <w:rFonts w:ascii="Times New Roman" w:hAnsi="Times New Roman"/>
          <w:kern w:val="0"/>
          <w:vertAlign w:val="subscript"/>
        </w:rPr>
        <w:t>L</w:t>
      </w:r>
      <w:r>
        <w:rPr>
          <w:rFonts w:ascii="Times New Roman" w:hAnsi="Times New Roman"/>
          <w:kern w:val="0"/>
        </w:rPr>
        <w:t>=0.1，因此D</w:t>
      </w:r>
      <w:r>
        <w:rPr>
          <w:rFonts w:ascii="Times New Roman" w:hAnsi="Times New Roman"/>
          <w:kern w:val="0"/>
          <w:vertAlign w:val="subscript"/>
        </w:rPr>
        <w:t>T</w:t>
      </w:r>
      <w:r>
        <w:rPr>
          <w:rFonts w:ascii="Times New Roman" w:hAnsi="Times New Roman"/>
          <w:kern w:val="0"/>
        </w:rPr>
        <w:t>取值为0.025m</w:t>
      </w:r>
      <w:r>
        <w:rPr>
          <w:rFonts w:ascii="Times New Roman" w:hAnsi="Times New Roman"/>
          <w:kern w:val="0"/>
          <w:vertAlign w:val="superscript"/>
        </w:rPr>
        <w:t>2</w:t>
      </w:r>
      <w:r>
        <w:rPr>
          <w:rFonts w:ascii="Times New Roman" w:hAnsi="Times New Roman"/>
          <w:kern w:val="0"/>
        </w:rPr>
        <w:t>/d</w:t>
      </w:r>
      <w:r>
        <w:rPr>
          <w:rFonts w:ascii="Times New Roman" w:hAnsi="Times New Roman"/>
          <w:kern w:val="0"/>
        </w:rPr>
        <w:fldChar w:fldCharType="begin"/>
      </w:r>
      <w:r>
        <w:rPr>
          <w:rFonts w:ascii="Times New Roman" w:hAnsi="Times New Roman"/>
          <w:kern w:val="0"/>
        </w:rPr>
        <w:instrText xml:space="preserve"> QUOTE   \* MERGEFORMAT </w:instrText>
      </w:r>
      <w:r>
        <w:rPr>
          <w:rFonts w:ascii="Times New Roman" w:hAnsi="Times New Roman"/>
          <w:kern w:val="0"/>
        </w:rPr>
        <w:fldChar w:fldCharType="end"/>
      </w:r>
      <w:r>
        <w:rPr>
          <w:rFonts w:ascii="Times New Roman" w:hAnsi="Times New Roman"/>
          <w:kern w:val="0"/>
        </w:rPr>
        <w:fldChar w:fldCharType="begin"/>
      </w:r>
      <w:r>
        <w:rPr>
          <w:rFonts w:ascii="Times New Roman" w:hAnsi="Times New Roman"/>
          <w:kern w:val="0"/>
        </w:rPr>
        <w:instrText xml:space="preserve"> QUOTE   \* MERGEFORMAT </w:instrText>
      </w:r>
      <w:r>
        <w:rPr>
          <w:rFonts w:ascii="Times New Roman" w:hAnsi="Times New Roman"/>
          <w:kern w:val="0"/>
        </w:rPr>
        <w:fldChar w:fldCharType="end"/>
      </w:r>
      <w:r>
        <w:rPr>
          <w:rFonts w:ascii="Times New Roman" w:hAnsi="Times New Roman"/>
          <w:kern w:val="0"/>
        </w:rPr>
        <w:t>。据此计算，宣探1#井站纵向弥散系数0.27m</w:t>
      </w:r>
      <w:r>
        <w:rPr>
          <w:rFonts w:ascii="Times New Roman" w:hAnsi="Times New Roman"/>
          <w:kern w:val="0"/>
          <w:vertAlign w:val="superscript"/>
        </w:rPr>
        <w:t>2</w:t>
      </w:r>
      <w:r>
        <w:rPr>
          <w:rFonts w:ascii="Times New Roman" w:hAnsi="Times New Roman"/>
          <w:kern w:val="0"/>
        </w:rPr>
        <w:t>/d，横向弥散系数0.027m</w:t>
      </w:r>
      <w:r>
        <w:rPr>
          <w:rFonts w:ascii="Times New Roman" w:hAnsi="Times New Roman"/>
          <w:kern w:val="0"/>
          <w:vertAlign w:val="superscript"/>
        </w:rPr>
        <w:t>2</w:t>
      </w:r>
      <w:r>
        <w:rPr>
          <w:rFonts w:ascii="Times New Roman" w:hAnsi="Times New Roman"/>
          <w:kern w:val="0"/>
        </w:rPr>
        <w:t>/d。</w:t>
      </w:r>
    </w:p>
    <w:p>
      <w:pPr>
        <w:ind w:firstLine="480"/>
        <w:rPr>
          <w:rFonts w:ascii="Times New Roman" w:hAnsi="Times New Roman"/>
          <w:kern w:val="0"/>
        </w:rPr>
      </w:pPr>
      <w:r>
        <w:rPr>
          <w:rFonts w:ascii="Times New Roman" w:hAnsi="Times New Roman"/>
          <w:kern w:val="0"/>
        </w:rPr>
        <w:t>下表列出了各场区所在地的水文地质条件参数。</w:t>
      </w:r>
    </w:p>
    <w:p>
      <w:pPr>
        <w:ind w:firstLine="480"/>
        <w:rPr>
          <w:rFonts w:ascii="Times New Roman" w:hAnsi="Times New Roman"/>
          <w:kern w:val="0"/>
        </w:rPr>
      </w:pPr>
    </w:p>
    <w:p>
      <w:pPr>
        <w:pStyle w:val="37"/>
        <w:rPr>
          <w:rFonts w:ascii="Times New Roman" w:hAnsi="Times New Roman" w:cs="Times New Roman"/>
          <w:b/>
          <w:bCs/>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21</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b/>
          <w:bCs/>
          <w:kern w:val="0"/>
        </w:rPr>
        <w:t>宣兴1#井站</w:t>
      </w:r>
      <w:r>
        <w:rPr>
          <w:rFonts w:ascii="Times New Roman" w:hAnsi="Times New Roman" w:cs="Times New Roman"/>
          <w:b/>
          <w:bCs/>
        </w:rPr>
        <w:t>评价区水文地质参数取值</w:t>
      </w:r>
    </w:p>
    <w:tbl>
      <w:tblPr>
        <w:tblStyle w:val="28"/>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0"/>
        <w:gridCol w:w="900"/>
        <w:gridCol w:w="915"/>
        <w:gridCol w:w="1366"/>
        <w:gridCol w:w="855"/>
        <w:gridCol w:w="1004"/>
        <w:gridCol w:w="1071"/>
        <w:gridCol w:w="1042"/>
        <w:gridCol w:w="8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0" w:type="dxa"/>
            <w:vAlign w:val="center"/>
          </w:tcPr>
          <w:p>
            <w:pPr>
              <w:pStyle w:val="39"/>
              <w:rPr>
                <w:rFonts w:ascii="Times New Roman" w:hAnsi="Times New Roman"/>
              </w:rPr>
            </w:pPr>
            <w:r>
              <w:rPr>
                <w:rFonts w:ascii="Times New Roman" w:hAnsi="Times New Roman"/>
              </w:rPr>
              <w:t>渗漏位置</w:t>
            </w:r>
          </w:p>
        </w:tc>
        <w:tc>
          <w:tcPr>
            <w:tcW w:w="1815" w:type="dxa"/>
            <w:gridSpan w:val="2"/>
            <w:vAlign w:val="center"/>
          </w:tcPr>
          <w:p>
            <w:pPr>
              <w:pStyle w:val="39"/>
              <w:rPr>
                <w:rFonts w:ascii="Times New Roman" w:hAnsi="Times New Roman"/>
              </w:rPr>
            </w:pPr>
            <w:r>
              <w:rPr>
                <w:rFonts w:ascii="Times New Roman" w:hAnsi="Times New Roman"/>
              </w:rPr>
              <w:t>外泄污染物质量（kg）</w:t>
            </w:r>
          </w:p>
        </w:tc>
        <w:tc>
          <w:tcPr>
            <w:tcW w:w="1366" w:type="dxa"/>
            <w:vAlign w:val="center"/>
          </w:tcPr>
          <w:p>
            <w:pPr>
              <w:pStyle w:val="39"/>
              <w:rPr>
                <w:rFonts w:ascii="Times New Roman" w:hAnsi="Times New Roman"/>
              </w:rPr>
            </w:pPr>
            <w:r>
              <w:rPr>
                <w:rFonts w:ascii="Times New Roman" w:hAnsi="Times New Roman"/>
              </w:rPr>
              <w:t>污染物浓度标准限值</w:t>
            </w:r>
          </w:p>
          <w:p>
            <w:pPr>
              <w:pStyle w:val="39"/>
              <w:rPr>
                <w:rFonts w:ascii="Times New Roman" w:hAnsi="Times New Roman"/>
              </w:rPr>
            </w:pPr>
            <w:r>
              <w:rPr>
                <w:rFonts w:ascii="Times New Roman" w:hAnsi="Times New Roman"/>
              </w:rPr>
              <w:t>(mg/L)</w:t>
            </w:r>
          </w:p>
        </w:tc>
        <w:tc>
          <w:tcPr>
            <w:tcW w:w="855" w:type="dxa"/>
            <w:vAlign w:val="center"/>
          </w:tcPr>
          <w:p>
            <w:pPr>
              <w:pStyle w:val="39"/>
              <w:rPr>
                <w:rFonts w:ascii="Times New Roman" w:hAnsi="Times New Roman"/>
              </w:rPr>
            </w:pPr>
            <w:r>
              <w:rPr>
                <w:rFonts w:ascii="Times New Roman" w:hAnsi="Times New Roman"/>
              </w:rPr>
              <w:t>含水层厚度M</w:t>
            </w:r>
          </w:p>
          <w:p>
            <w:pPr>
              <w:pStyle w:val="39"/>
              <w:rPr>
                <w:rFonts w:ascii="Times New Roman" w:hAnsi="Times New Roman"/>
              </w:rPr>
            </w:pPr>
            <w:r>
              <w:rPr>
                <w:rFonts w:ascii="Times New Roman" w:hAnsi="Times New Roman"/>
              </w:rPr>
              <w:t>(m)</w:t>
            </w:r>
          </w:p>
        </w:tc>
        <w:tc>
          <w:tcPr>
            <w:tcW w:w="1004" w:type="dxa"/>
            <w:vAlign w:val="center"/>
          </w:tcPr>
          <w:p>
            <w:pPr>
              <w:pStyle w:val="39"/>
              <w:rPr>
                <w:rFonts w:ascii="Times New Roman" w:hAnsi="Times New Roman"/>
              </w:rPr>
            </w:pPr>
            <w:r>
              <w:rPr>
                <w:rFonts w:ascii="Times New Roman" w:hAnsi="Times New Roman"/>
              </w:rPr>
              <w:t>地下水流速u</w:t>
            </w:r>
          </w:p>
          <w:p>
            <w:pPr>
              <w:pStyle w:val="39"/>
              <w:rPr>
                <w:rFonts w:ascii="Times New Roman" w:hAnsi="Times New Roman"/>
              </w:rPr>
            </w:pPr>
            <w:r>
              <w:rPr>
                <w:rFonts w:ascii="Times New Roman" w:hAnsi="Times New Roman"/>
              </w:rPr>
              <w:t>(m/d)</w:t>
            </w:r>
          </w:p>
        </w:tc>
        <w:tc>
          <w:tcPr>
            <w:tcW w:w="1071" w:type="dxa"/>
            <w:vAlign w:val="center"/>
          </w:tcPr>
          <w:p>
            <w:pPr>
              <w:pStyle w:val="39"/>
              <w:rPr>
                <w:rFonts w:ascii="Times New Roman" w:hAnsi="Times New Roman"/>
              </w:rPr>
            </w:pPr>
            <w:r>
              <w:rPr>
                <w:rFonts w:ascii="Times New Roman" w:hAnsi="Times New Roman"/>
              </w:rPr>
              <w:t>纵向弥散系数（m</w:t>
            </w:r>
            <w:r>
              <w:rPr>
                <w:rFonts w:ascii="Times New Roman" w:hAnsi="Times New Roman"/>
                <w:vertAlign w:val="superscript"/>
              </w:rPr>
              <w:t>2</w:t>
            </w:r>
            <w:r>
              <w:rPr>
                <w:rFonts w:ascii="Times New Roman" w:hAnsi="Times New Roman"/>
              </w:rPr>
              <w:t>/d）</w:t>
            </w:r>
          </w:p>
        </w:tc>
        <w:tc>
          <w:tcPr>
            <w:tcW w:w="1042" w:type="dxa"/>
            <w:vAlign w:val="center"/>
          </w:tcPr>
          <w:p>
            <w:pPr>
              <w:pStyle w:val="39"/>
              <w:rPr>
                <w:rFonts w:ascii="Times New Roman" w:hAnsi="Times New Roman"/>
              </w:rPr>
            </w:pPr>
            <w:r>
              <w:rPr>
                <w:rFonts w:ascii="Times New Roman" w:hAnsi="Times New Roman"/>
              </w:rPr>
              <w:t>横向弥散系数（m</w:t>
            </w:r>
            <w:r>
              <w:rPr>
                <w:rFonts w:ascii="Times New Roman" w:hAnsi="Times New Roman"/>
                <w:vertAlign w:val="superscript"/>
              </w:rPr>
              <w:t>2</w:t>
            </w:r>
            <w:r>
              <w:rPr>
                <w:rFonts w:ascii="Times New Roman" w:hAnsi="Times New Roman"/>
              </w:rPr>
              <w:t>/d）</w:t>
            </w:r>
          </w:p>
        </w:tc>
        <w:tc>
          <w:tcPr>
            <w:tcW w:w="808" w:type="dxa"/>
            <w:vAlign w:val="center"/>
          </w:tcPr>
          <w:p>
            <w:pPr>
              <w:pStyle w:val="39"/>
              <w:rPr>
                <w:rFonts w:ascii="Times New Roman" w:hAnsi="Times New Roman"/>
              </w:rPr>
            </w:pPr>
            <w:r>
              <w:rPr>
                <w:rFonts w:ascii="Times New Roman" w:hAnsi="Times New Roman"/>
              </w:rPr>
              <w:t>有效孔隙度n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110" w:type="dxa"/>
            <w:vMerge w:val="restart"/>
            <w:vAlign w:val="center"/>
          </w:tcPr>
          <w:p>
            <w:pPr>
              <w:pStyle w:val="39"/>
              <w:rPr>
                <w:rFonts w:ascii="Times New Roman" w:hAnsi="Times New Roman"/>
              </w:rPr>
            </w:pPr>
            <w:r>
              <w:rPr>
                <w:rFonts w:ascii="Times New Roman" w:hAnsi="Times New Roman"/>
              </w:rPr>
              <w:t>气田水罐泄漏</w:t>
            </w:r>
          </w:p>
        </w:tc>
        <w:tc>
          <w:tcPr>
            <w:tcW w:w="900" w:type="dxa"/>
            <w:vAlign w:val="center"/>
          </w:tcPr>
          <w:p>
            <w:pPr>
              <w:pStyle w:val="39"/>
              <w:rPr>
                <w:rFonts w:ascii="Times New Roman" w:hAnsi="Times New Roman"/>
              </w:rPr>
            </w:pPr>
            <w:r>
              <w:rPr>
                <w:rFonts w:ascii="Times New Roman" w:hAnsi="Times New Roman"/>
              </w:rPr>
              <w:t>石油类</w:t>
            </w:r>
          </w:p>
        </w:tc>
        <w:tc>
          <w:tcPr>
            <w:tcW w:w="915" w:type="dxa"/>
            <w:vAlign w:val="center"/>
          </w:tcPr>
          <w:p>
            <w:pPr>
              <w:pStyle w:val="39"/>
              <w:rPr>
                <w:rFonts w:ascii="Times New Roman" w:hAnsi="Times New Roman"/>
              </w:rPr>
            </w:pPr>
            <w:r>
              <w:rPr>
                <w:rFonts w:ascii="Times New Roman" w:hAnsi="Times New Roman"/>
                <w:kern w:val="0"/>
              </w:rPr>
              <w:t>0.0046</w:t>
            </w:r>
          </w:p>
        </w:tc>
        <w:tc>
          <w:tcPr>
            <w:tcW w:w="1366" w:type="dxa"/>
            <w:vAlign w:val="center"/>
          </w:tcPr>
          <w:p>
            <w:pPr>
              <w:pStyle w:val="39"/>
              <w:rPr>
                <w:rFonts w:ascii="Times New Roman" w:hAnsi="Times New Roman"/>
              </w:rPr>
            </w:pPr>
            <w:r>
              <w:rPr>
                <w:rFonts w:ascii="Times New Roman" w:hAnsi="Times New Roman"/>
              </w:rPr>
              <w:t>0.05</w:t>
            </w:r>
          </w:p>
        </w:tc>
        <w:tc>
          <w:tcPr>
            <w:tcW w:w="855" w:type="dxa"/>
            <w:vMerge w:val="restart"/>
            <w:vAlign w:val="center"/>
          </w:tcPr>
          <w:p>
            <w:pPr>
              <w:pStyle w:val="39"/>
              <w:rPr>
                <w:rFonts w:ascii="Times New Roman" w:hAnsi="Times New Roman"/>
              </w:rPr>
            </w:pPr>
            <w:r>
              <w:rPr>
                <w:rFonts w:ascii="Times New Roman" w:hAnsi="Times New Roman"/>
              </w:rPr>
              <w:t>25</w:t>
            </w:r>
          </w:p>
        </w:tc>
        <w:tc>
          <w:tcPr>
            <w:tcW w:w="1004" w:type="dxa"/>
            <w:vMerge w:val="restart"/>
            <w:vAlign w:val="center"/>
          </w:tcPr>
          <w:p>
            <w:pPr>
              <w:pStyle w:val="39"/>
              <w:rPr>
                <w:rFonts w:ascii="Times New Roman" w:hAnsi="Times New Roman"/>
              </w:rPr>
            </w:pPr>
            <w:r>
              <w:rPr>
                <w:rFonts w:ascii="Times New Roman" w:hAnsi="Times New Roman"/>
              </w:rPr>
              <w:t>0.039</w:t>
            </w:r>
          </w:p>
        </w:tc>
        <w:tc>
          <w:tcPr>
            <w:tcW w:w="1071" w:type="dxa"/>
            <w:vMerge w:val="restart"/>
            <w:vAlign w:val="center"/>
          </w:tcPr>
          <w:p>
            <w:pPr>
              <w:pStyle w:val="39"/>
              <w:rPr>
                <w:rFonts w:ascii="Times New Roman" w:hAnsi="Times New Roman"/>
              </w:rPr>
            </w:pPr>
            <w:r>
              <w:rPr>
                <w:rFonts w:ascii="Times New Roman" w:hAnsi="Times New Roman"/>
              </w:rPr>
              <w:t>0.25</w:t>
            </w:r>
          </w:p>
        </w:tc>
        <w:tc>
          <w:tcPr>
            <w:tcW w:w="1042" w:type="dxa"/>
            <w:vMerge w:val="restart"/>
            <w:vAlign w:val="center"/>
          </w:tcPr>
          <w:p>
            <w:pPr>
              <w:pStyle w:val="39"/>
              <w:rPr>
                <w:rFonts w:ascii="Times New Roman" w:hAnsi="Times New Roman"/>
              </w:rPr>
            </w:pPr>
            <w:r>
              <w:rPr>
                <w:rFonts w:ascii="Times New Roman" w:hAnsi="Times New Roman"/>
              </w:rPr>
              <w:t>0.025</w:t>
            </w:r>
          </w:p>
        </w:tc>
        <w:tc>
          <w:tcPr>
            <w:tcW w:w="808" w:type="dxa"/>
            <w:vMerge w:val="restart"/>
            <w:vAlign w:val="center"/>
          </w:tcPr>
          <w:p>
            <w:pPr>
              <w:pStyle w:val="39"/>
              <w:rPr>
                <w:rFonts w:ascii="Times New Roman" w:hAnsi="Times New Roman"/>
              </w:rPr>
            </w:pPr>
            <w:r>
              <w:rPr>
                <w:rFonts w:ascii="Times New Roman" w:hAnsi="Times New Roma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1110" w:type="dxa"/>
            <w:vMerge w:val="continue"/>
            <w:vAlign w:val="center"/>
          </w:tcPr>
          <w:p>
            <w:pPr>
              <w:pStyle w:val="39"/>
              <w:rPr>
                <w:rFonts w:ascii="Times New Roman" w:hAnsi="Times New Roman"/>
              </w:rPr>
            </w:pPr>
          </w:p>
        </w:tc>
        <w:tc>
          <w:tcPr>
            <w:tcW w:w="900" w:type="dxa"/>
            <w:vAlign w:val="center"/>
          </w:tcPr>
          <w:p>
            <w:pPr>
              <w:pStyle w:val="39"/>
              <w:rPr>
                <w:rFonts w:ascii="Times New Roman" w:hAnsi="Times New Roman"/>
              </w:rPr>
            </w:pPr>
            <w:r>
              <w:rPr>
                <w:rFonts w:ascii="Times New Roman" w:hAnsi="Times New Roman"/>
              </w:rPr>
              <w:t>氯化物</w:t>
            </w:r>
          </w:p>
        </w:tc>
        <w:tc>
          <w:tcPr>
            <w:tcW w:w="915" w:type="dxa"/>
            <w:vAlign w:val="center"/>
          </w:tcPr>
          <w:p>
            <w:pPr>
              <w:pStyle w:val="39"/>
              <w:rPr>
                <w:rFonts w:ascii="Times New Roman" w:hAnsi="Times New Roman"/>
              </w:rPr>
            </w:pPr>
            <w:r>
              <w:rPr>
                <w:rFonts w:ascii="Times New Roman" w:hAnsi="Times New Roman"/>
                <w:kern w:val="0"/>
              </w:rPr>
              <w:t>26.15</w:t>
            </w:r>
          </w:p>
        </w:tc>
        <w:tc>
          <w:tcPr>
            <w:tcW w:w="1366" w:type="dxa"/>
            <w:vAlign w:val="center"/>
          </w:tcPr>
          <w:p>
            <w:pPr>
              <w:pStyle w:val="39"/>
              <w:rPr>
                <w:rFonts w:ascii="Times New Roman" w:hAnsi="Times New Roman"/>
              </w:rPr>
            </w:pPr>
            <w:r>
              <w:rPr>
                <w:rFonts w:ascii="Times New Roman" w:hAnsi="Times New Roman"/>
              </w:rPr>
              <w:t>250</w:t>
            </w:r>
          </w:p>
        </w:tc>
        <w:tc>
          <w:tcPr>
            <w:tcW w:w="855" w:type="dxa"/>
            <w:vMerge w:val="continue"/>
            <w:vAlign w:val="center"/>
          </w:tcPr>
          <w:p>
            <w:pPr>
              <w:pStyle w:val="39"/>
              <w:rPr>
                <w:rFonts w:ascii="Times New Roman" w:hAnsi="Times New Roman"/>
              </w:rPr>
            </w:pPr>
          </w:p>
        </w:tc>
        <w:tc>
          <w:tcPr>
            <w:tcW w:w="1004" w:type="dxa"/>
            <w:vMerge w:val="continue"/>
            <w:vAlign w:val="center"/>
          </w:tcPr>
          <w:p>
            <w:pPr>
              <w:pStyle w:val="39"/>
              <w:rPr>
                <w:rFonts w:ascii="Times New Roman" w:hAnsi="Times New Roman"/>
              </w:rPr>
            </w:pPr>
          </w:p>
        </w:tc>
        <w:tc>
          <w:tcPr>
            <w:tcW w:w="1071" w:type="dxa"/>
            <w:vMerge w:val="continue"/>
            <w:vAlign w:val="center"/>
          </w:tcPr>
          <w:p>
            <w:pPr>
              <w:pStyle w:val="39"/>
              <w:rPr>
                <w:rFonts w:ascii="Times New Roman" w:hAnsi="Times New Roman"/>
              </w:rPr>
            </w:pPr>
          </w:p>
        </w:tc>
        <w:tc>
          <w:tcPr>
            <w:tcW w:w="1042" w:type="dxa"/>
            <w:vMerge w:val="continue"/>
            <w:vAlign w:val="center"/>
          </w:tcPr>
          <w:p>
            <w:pPr>
              <w:pStyle w:val="39"/>
              <w:rPr>
                <w:rFonts w:ascii="Times New Roman" w:hAnsi="Times New Roman"/>
              </w:rPr>
            </w:pPr>
          </w:p>
        </w:tc>
        <w:tc>
          <w:tcPr>
            <w:tcW w:w="808"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0" w:type="dxa"/>
            <w:vMerge w:val="continue"/>
            <w:vAlign w:val="center"/>
          </w:tcPr>
          <w:p>
            <w:pPr>
              <w:pStyle w:val="39"/>
              <w:rPr>
                <w:rFonts w:ascii="Times New Roman" w:hAnsi="Times New Roman"/>
              </w:rPr>
            </w:pPr>
          </w:p>
        </w:tc>
        <w:tc>
          <w:tcPr>
            <w:tcW w:w="900" w:type="dxa"/>
            <w:vAlign w:val="center"/>
          </w:tcPr>
          <w:p>
            <w:pPr>
              <w:pStyle w:val="39"/>
              <w:rPr>
                <w:rFonts w:ascii="Times New Roman" w:hAnsi="Times New Roman"/>
              </w:rPr>
            </w:pPr>
            <w:r>
              <w:rPr>
                <w:rFonts w:ascii="Times New Roman" w:hAnsi="Times New Roman"/>
              </w:rPr>
              <w:t>COD</w:t>
            </w:r>
          </w:p>
        </w:tc>
        <w:tc>
          <w:tcPr>
            <w:tcW w:w="915" w:type="dxa"/>
            <w:vAlign w:val="center"/>
          </w:tcPr>
          <w:p>
            <w:pPr>
              <w:pStyle w:val="39"/>
              <w:rPr>
                <w:rFonts w:ascii="Times New Roman" w:hAnsi="Times New Roman"/>
              </w:rPr>
            </w:pPr>
            <w:r>
              <w:rPr>
                <w:rFonts w:ascii="Times New Roman" w:hAnsi="Times New Roman"/>
                <w:kern w:val="0"/>
              </w:rPr>
              <w:t>0.092</w:t>
            </w:r>
          </w:p>
        </w:tc>
        <w:tc>
          <w:tcPr>
            <w:tcW w:w="1366" w:type="dxa"/>
            <w:vAlign w:val="center"/>
          </w:tcPr>
          <w:p>
            <w:pPr>
              <w:pStyle w:val="39"/>
              <w:rPr>
                <w:rFonts w:ascii="Times New Roman" w:hAnsi="Times New Roman"/>
              </w:rPr>
            </w:pPr>
            <w:r>
              <w:rPr>
                <w:rFonts w:ascii="Times New Roman" w:hAnsi="Times New Roman"/>
              </w:rPr>
              <w:t>20</w:t>
            </w:r>
          </w:p>
        </w:tc>
        <w:tc>
          <w:tcPr>
            <w:tcW w:w="855" w:type="dxa"/>
            <w:vMerge w:val="continue"/>
            <w:vAlign w:val="center"/>
          </w:tcPr>
          <w:p>
            <w:pPr>
              <w:pStyle w:val="39"/>
              <w:rPr>
                <w:rFonts w:ascii="Times New Roman" w:hAnsi="Times New Roman"/>
              </w:rPr>
            </w:pPr>
          </w:p>
        </w:tc>
        <w:tc>
          <w:tcPr>
            <w:tcW w:w="1004" w:type="dxa"/>
            <w:vMerge w:val="continue"/>
            <w:vAlign w:val="center"/>
          </w:tcPr>
          <w:p>
            <w:pPr>
              <w:pStyle w:val="39"/>
              <w:rPr>
                <w:rFonts w:ascii="Times New Roman" w:hAnsi="Times New Roman"/>
              </w:rPr>
            </w:pPr>
          </w:p>
        </w:tc>
        <w:tc>
          <w:tcPr>
            <w:tcW w:w="1071" w:type="dxa"/>
            <w:vMerge w:val="continue"/>
            <w:vAlign w:val="center"/>
          </w:tcPr>
          <w:p>
            <w:pPr>
              <w:pStyle w:val="39"/>
              <w:rPr>
                <w:rFonts w:ascii="Times New Roman" w:hAnsi="Times New Roman"/>
              </w:rPr>
            </w:pPr>
          </w:p>
        </w:tc>
        <w:tc>
          <w:tcPr>
            <w:tcW w:w="1042" w:type="dxa"/>
            <w:vMerge w:val="continue"/>
            <w:vAlign w:val="center"/>
          </w:tcPr>
          <w:p>
            <w:pPr>
              <w:pStyle w:val="39"/>
              <w:rPr>
                <w:rFonts w:ascii="Times New Roman" w:hAnsi="Times New Roman"/>
              </w:rPr>
            </w:pPr>
          </w:p>
        </w:tc>
        <w:tc>
          <w:tcPr>
            <w:tcW w:w="808" w:type="dxa"/>
            <w:vMerge w:val="continue"/>
            <w:vAlign w:val="center"/>
          </w:tcPr>
          <w:p>
            <w:pPr>
              <w:pStyle w:val="39"/>
              <w:rPr>
                <w:rFonts w:ascii="Times New Roman" w:hAnsi="Times New Roman"/>
              </w:rPr>
            </w:pPr>
          </w:p>
        </w:tc>
      </w:tr>
    </w:tbl>
    <w:p>
      <w:pPr>
        <w:pStyle w:val="37"/>
        <w:rPr>
          <w:rFonts w:ascii="Times New Roman" w:hAnsi="Times New Roman" w:cs="Times New Roman"/>
          <w:b/>
          <w:bCs/>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22</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b/>
          <w:bCs/>
          <w:kern w:val="0"/>
        </w:rPr>
        <w:t>宣探1#井站</w:t>
      </w:r>
      <w:r>
        <w:rPr>
          <w:rFonts w:ascii="Times New Roman" w:hAnsi="Times New Roman" w:cs="Times New Roman"/>
          <w:b/>
          <w:bCs/>
        </w:rPr>
        <w:t>评价区水文地质参数取值</w:t>
      </w:r>
    </w:p>
    <w:tbl>
      <w:tblPr>
        <w:tblStyle w:val="28"/>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0"/>
        <w:gridCol w:w="900"/>
        <w:gridCol w:w="915"/>
        <w:gridCol w:w="1366"/>
        <w:gridCol w:w="855"/>
        <w:gridCol w:w="1004"/>
        <w:gridCol w:w="1071"/>
        <w:gridCol w:w="1042"/>
        <w:gridCol w:w="8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0" w:type="dxa"/>
            <w:vAlign w:val="center"/>
          </w:tcPr>
          <w:p>
            <w:pPr>
              <w:pStyle w:val="39"/>
              <w:rPr>
                <w:rFonts w:ascii="Times New Roman" w:hAnsi="Times New Roman"/>
              </w:rPr>
            </w:pPr>
            <w:r>
              <w:rPr>
                <w:rFonts w:ascii="Times New Roman" w:hAnsi="Times New Roman"/>
              </w:rPr>
              <w:t>渗漏位置</w:t>
            </w:r>
          </w:p>
        </w:tc>
        <w:tc>
          <w:tcPr>
            <w:tcW w:w="1815" w:type="dxa"/>
            <w:gridSpan w:val="2"/>
            <w:vAlign w:val="center"/>
          </w:tcPr>
          <w:p>
            <w:pPr>
              <w:pStyle w:val="39"/>
              <w:rPr>
                <w:rFonts w:ascii="Times New Roman" w:hAnsi="Times New Roman"/>
              </w:rPr>
            </w:pPr>
            <w:r>
              <w:rPr>
                <w:rFonts w:ascii="Times New Roman" w:hAnsi="Times New Roman"/>
              </w:rPr>
              <w:t>外泄污染物质量（kg）</w:t>
            </w:r>
          </w:p>
        </w:tc>
        <w:tc>
          <w:tcPr>
            <w:tcW w:w="1366" w:type="dxa"/>
            <w:vAlign w:val="center"/>
          </w:tcPr>
          <w:p>
            <w:pPr>
              <w:pStyle w:val="39"/>
              <w:rPr>
                <w:rFonts w:ascii="Times New Roman" w:hAnsi="Times New Roman"/>
              </w:rPr>
            </w:pPr>
            <w:r>
              <w:rPr>
                <w:rFonts w:ascii="Times New Roman" w:hAnsi="Times New Roman"/>
              </w:rPr>
              <w:t>污染物浓度标准限值</w:t>
            </w:r>
          </w:p>
          <w:p>
            <w:pPr>
              <w:pStyle w:val="39"/>
              <w:rPr>
                <w:rFonts w:ascii="Times New Roman" w:hAnsi="Times New Roman"/>
              </w:rPr>
            </w:pPr>
            <w:r>
              <w:rPr>
                <w:rFonts w:ascii="Times New Roman" w:hAnsi="Times New Roman"/>
              </w:rPr>
              <w:t>(mg/L)</w:t>
            </w:r>
          </w:p>
        </w:tc>
        <w:tc>
          <w:tcPr>
            <w:tcW w:w="855" w:type="dxa"/>
            <w:vAlign w:val="center"/>
          </w:tcPr>
          <w:p>
            <w:pPr>
              <w:pStyle w:val="39"/>
              <w:rPr>
                <w:rFonts w:ascii="Times New Roman" w:hAnsi="Times New Roman"/>
              </w:rPr>
            </w:pPr>
            <w:r>
              <w:rPr>
                <w:rFonts w:ascii="Times New Roman" w:hAnsi="Times New Roman"/>
              </w:rPr>
              <w:t>含水层厚度M</w:t>
            </w:r>
          </w:p>
          <w:p>
            <w:pPr>
              <w:pStyle w:val="39"/>
              <w:rPr>
                <w:rFonts w:ascii="Times New Roman" w:hAnsi="Times New Roman"/>
              </w:rPr>
            </w:pPr>
            <w:r>
              <w:rPr>
                <w:rFonts w:ascii="Times New Roman" w:hAnsi="Times New Roman"/>
              </w:rPr>
              <w:t>(m)</w:t>
            </w:r>
          </w:p>
        </w:tc>
        <w:tc>
          <w:tcPr>
            <w:tcW w:w="1004" w:type="dxa"/>
            <w:vAlign w:val="center"/>
          </w:tcPr>
          <w:p>
            <w:pPr>
              <w:pStyle w:val="39"/>
              <w:rPr>
                <w:rFonts w:ascii="Times New Roman" w:hAnsi="Times New Roman"/>
              </w:rPr>
            </w:pPr>
            <w:r>
              <w:rPr>
                <w:rFonts w:ascii="Times New Roman" w:hAnsi="Times New Roman"/>
              </w:rPr>
              <w:t>地下水流速u</w:t>
            </w:r>
          </w:p>
          <w:p>
            <w:pPr>
              <w:pStyle w:val="39"/>
              <w:rPr>
                <w:rFonts w:ascii="Times New Roman" w:hAnsi="Times New Roman"/>
              </w:rPr>
            </w:pPr>
            <w:r>
              <w:rPr>
                <w:rFonts w:ascii="Times New Roman" w:hAnsi="Times New Roman"/>
              </w:rPr>
              <w:t>(m/d)</w:t>
            </w:r>
          </w:p>
        </w:tc>
        <w:tc>
          <w:tcPr>
            <w:tcW w:w="1071" w:type="dxa"/>
            <w:vAlign w:val="center"/>
          </w:tcPr>
          <w:p>
            <w:pPr>
              <w:pStyle w:val="39"/>
              <w:rPr>
                <w:rFonts w:ascii="Times New Roman" w:hAnsi="Times New Roman"/>
              </w:rPr>
            </w:pPr>
            <w:r>
              <w:rPr>
                <w:rFonts w:ascii="Times New Roman" w:hAnsi="Times New Roman"/>
              </w:rPr>
              <w:t>纵向弥散系数（m</w:t>
            </w:r>
            <w:r>
              <w:rPr>
                <w:rFonts w:ascii="Times New Roman" w:hAnsi="Times New Roman"/>
                <w:vertAlign w:val="superscript"/>
              </w:rPr>
              <w:t>2</w:t>
            </w:r>
            <w:r>
              <w:rPr>
                <w:rFonts w:ascii="Times New Roman" w:hAnsi="Times New Roman"/>
              </w:rPr>
              <w:t>/d）</w:t>
            </w:r>
          </w:p>
        </w:tc>
        <w:tc>
          <w:tcPr>
            <w:tcW w:w="1042" w:type="dxa"/>
            <w:vAlign w:val="center"/>
          </w:tcPr>
          <w:p>
            <w:pPr>
              <w:pStyle w:val="39"/>
              <w:rPr>
                <w:rFonts w:ascii="Times New Roman" w:hAnsi="Times New Roman"/>
              </w:rPr>
            </w:pPr>
            <w:r>
              <w:rPr>
                <w:rFonts w:ascii="Times New Roman" w:hAnsi="Times New Roman"/>
              </w:rPr>
              <w:t>横向弥散系数（m</w:t>
            </w:r>
            <w:r>
              <w:rPr>
                <w:rFonts w:ascii="Times New Roman" w:hAnsi="Times New Roman"/>
                <w:vertAlign w:val="superscript"/>
              </w:rPr>
              <w:t>2</w:t>
            </w:r>
            <w:r>
              <w:rPr>
                <w:rFonts w:ascii="Times New Roman" w:hAnsi="Times New Roman"/>
              </w:rPr>
              <w:t>/d）</w:t>
            </w:r>
          </w:p>
        </w:tc>
        <w:tc>
          <w:tcPr>
            <w:tcW w:w="808" w:type="dxa"/>
            <w:vAlign w:val="center"/>
          </w:tcPr>
          <w:p>
            <w:pPr>
              <w:pStyle w:val="39"/>
              <w:rPr>
                <w:rFonts w:ascii="Times New Roman" w:hAnsi="Times New Roman"/>
              </w:rPr>
            </w:pPr>
            <w:r>
              <w:rPr>
                <w:rFonts w:ascii="Times New Roman" w:hAnsi="Times New Roman"/>
              </w:rPr>
              <w:t>有效孔隙度n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110" w:type="dxa"/>
            <w:vMerge w:val="restart"/>
            <w:vAlign w:val="center"/>
          </w:tcPr>
          <w:p>
            <w:pPr>
              <w:pStyle w:val="39"/>
              <w:rPr>
                <w:rFonts w:ascii="Times New Roman" w:hAnsi="Times New Roman"/>
              </w:rPr>
            </w:pPr>
            <w:r>
              <w:rPr>
                <w:rFonts w:ascii="Times New Roman" w:hAnsi="Times New Roman"/>
              </w:rPr>
              <w:t>气田水罐泄漏</w:t>
            </w:r>
          </w:p>
        </w:tc>
        <w:tc>
          <w:tcPr>
            <w:tcW w:w="900" w:type="dxa"/>
            <w:vAlign w:val="center"/>
          </w:tcPr>
          <w:p>
            <w:pPr>
              <w:pStyle w:val="39"/>
              <w:rPr>
                <w:rFonts w:ascii="Times New Roman" w:hAnsi="Times New Roman"/>
              </w:rPr>
            </w:pPr>
            <w:r>
              <w:rPr>
                <w:rFonts w:ascii="Times New Roman" w:hAnsi="Times New Roman"/>
              </w:rPr>
              <w:t>石油类</w:t>
            </w:r>
          </w:p>
        </w:tc>
        <w:tc>
          <w:tcPr>
            <w:tcW w:w="915" w:type="dxa"/>
            <w:vAlign w:val="center"/>
          </w:tcPr>
          <w:p>
            <w:pPr>
              <w:pStyle w:val="39"/>
              <w:rPr>
                <w:rFonts w:ascii="Times New Roman" w:hAnsi="Times New Roman"/>
              </w:rPr>
            </w:pPr>
            <w:r>
              <w:rPr>
                <w:rFonts w:ascii="Times New Roman" w:hAnsi="Times New Roman"/>
                <w:kern w:val="0"/>
              </w:rPr>
              <w:t>0.0046</w:t>
            </w:r>
          </w:p>
        </w:tc>
        <w:tc>
          <w:tcPr>
            <w:tcW w:w="1366" w:type="dxa"/>
            <w:vAlign w:val="center"/>
          </w:tcPr>
          <w:p>
            <w:pPr>
              <w:pStyle w:val="39"/>
              <w:rPr>
                <w:rFonts w:ascii="Times New Roman" w:hAnsi="Times New Roman"/>
              </w:rPr>
            </w:pPr>
            <w:r>
              <w:rPr>
                <w:rFonts w:ascii="Times New Roman" w:hAnsi="Times New Roman"/>
              </w:rPr>
              <w:t>0.05</w:t>
            </w:r>
          </w:p>
        </w:tc>
        <w:tc>
          <w:tcPr>
            <w:tcW w:w="855" w:type="dxa"/>
            <w:vMerge w:val="restart"/>
            <w:vAlign w:val="center"/>
          </w:tcPr>
          <w:p>
            <w:pPr>
              <w:pStyle w:val="39"/>
              <w:rPr>
                <w:rFonts w:ascii="Times New Roman" w:hAnsi="Times New Roman"/>
              </w:rPr>
            </w:pPr>
            <w:r>
              <w:rPr>
                <w:rFonts w:ascii="Times New Roman" w:hAnsi="Times New Roman"/>
              </w:rPr>
              <w:t>25</w:t>
            </w:r>
          </w:p>
        </w:tc>
        <w:tc>
          <w:tcPr>
            <w:tcW w:w="1004" w:type="dxa"/>
            <w:vMerge w:val="restart"/>
            <w:vAlign w:val="center"/>
          </w:tcPr>
          <w:p>
            <w:pPr>
              <w:pStyle w:val="39"/>
              <w:rPr>
                <w:rFonts w:ascii="Times New Roman" w:hAnsi="Times New Roman"/>
              </w:rPr>
            </w:pPr>
            <w:r>
              <w:rPr>
                <w:rFonts w:ascii="Times New Roman" w:hAnsi="Times New Roman"/>
              </w:rPr>
              <w:t>0.047</w:t>
            </w:r>
          </w:p>
        </w:tc>
        <w:tc>
          <w:tcPr>
            <w:tcW w:w="1071" w:type="dxa"/>
            <w:vMerge w:val="restart"/>
            <w:vAlign w:val="center"/>
          </w:tcPr>
          <w:p>
            <w:pPr>
              <w:pStyle w:val="39"/>
              <w:rPr>
                <w:rFonts w:ascii="Times New Roman" w:hAnsi="Times New Roman"/>
              </w:rPr>
            </w:pPr>
            <w:r>
              <w:rPr>
                <w:rFonts w:ascii="Times New Roman" w:hAnsi="Times New Roman"/>
              </w:rPr>
              <w:t>0.27</w:t>
            </w:r>
          </w:p>
        </w:tc>
        <w:tc>
          <w:tcPr>
            <w:tcW w:w="1042" w:type="dxa"/>
            <w:vMerge w:val="restart"/>
            <w:vAlign w:val="center"/>
          </w:tcPr>
          <w:p>
            <w:pPr>
              <w:pStyle w:val="39"/>
              <w:rPr>
                <w:rFonts w:ascii="Times New Roman" w:hAnsi="Times New Roman"/>
              </w:rPr>
            </w:pPr>
            <w:r>
              <w:rPr>
                <w:rFonts w:ascii="Times New Roman" w:hAnsi="Times New Roman"/>
              </w:rPr>
              <w:t>0.027</w:t>
            </w:r>
          </w:p>
        </w:tc>
        <w:tc>
          <w:tcPr>
            <w:tcW w:w="808" w:type="dxa"/>
            <w:vMerge w:val="restart"/>
            <w:vAlign w:val="center"/>
          </w:tcPr>
          <w:p>
            <w:pPr>
              <w:pStyle w:val="39"/>
              <w:rPr>
                <w:rFonts w:ascii="Times New Roman" w:hAnsi="Times New Roman"/>
              </w:rPr>
            </w:pPr>
            <w:r>
              <w:rPr>
                <w:rFonts w:ascii="Times New Roman" w:hAnsi="Times New Roma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1110" w:type="dxa"/>
            <w:vMerge w:val="continue"/>
            <w:vAlign w:val="center"/>
          </w:tcPr>
          <w:p>
            <w:pPr>
              <w:pStyle w:val="39"/>
              <w:rPr>
                <w:rFonts w:ascii="Times New Roman" w:hAnsi="Times New Roman"/>
              </w:rPr>
            </w:pPr>
          </w:p>
        </w:tc>
        <w:tc>
          <w:tcPr>
            <w:tcW w:w="900" w:type="dxa"/>
            <w:vAlign w:val="center"/>
          </w:tcPr>
          <w:p>
            <w:pPr>
              <w:pStyle w:val="39"/>
              <w:rPr>
                <w:rFonts w:ascii="Times New Roman" w:hAnsi="Times New Roman"/>
              </w:rPr>
            </w:pPr>
            <w:r>
              <w:rPr>
                <w:rFonts w:ascii="Times New Roman" w:hAnsi="Times New Roman"/>
              </w:rPr>
              <w:t>氯化物</w:t>
            </w:r>
          </w:p>
        </w:tc>
        <w:tc>
          <w:tcPr>
            <w:tcW w:w="915" w:type="dxa"/>
            <w:vAlign w:val="center"/>
          </w:tcPr>
          <w:p>
            <w:pPr>
              <w:pStyle w:val="39"/>
              <w:rPr>
                <w:rFonts w:ascii="Times New Roman" w:hAnsi="Times New Roman"/>
              </w:rPr>
            </w:pPr>
            <w:r>
              <w:rPr>
                <w:rFonts w:ascii="Times New Roman" w:hAnsi="Times New Roman"/>
                <w:kern w:val="0"/>
              </w:rPr>
              <w:t>26.15</w:t>
            </w:r>
          </w:p>
        </w:tc>
        <w:tc>
          <w:tcPr>
            <w:tcW w:w="1366" w:type="dxa"/>
            <w:vAlign w:val="center"/>
          </w:tcPr>
          <w:p>
            <w:pPr>
              <w:pStyle w:val="39"/>
              <w:rPr>
                <w:rFonts w:ascii="Times New Roman" w:hAnsi="Times New Roman"/>
              </w:rPr>
            </w:pPr>
            <w:r>
              <w:rPr>
                <w:rFonts w:ascii="Times New Roman" w:hAnsi="Times New Roman"/>
              </w:rPr>
              <w:t>250</w:t>
            </w:r>
          </w:p>
        </w:tc>
        <w:tc>
          <w:tcPr>
            <w:tcW w:w="855" w:type="dxa"/>
            <w:vMerge w:val="continue"/>
            <w:vAlign w:val="center"/>
          </w:tcPr>
          <w:p>
            <w:pPr>
              <w:pStyle w:val="39"/>
              <w:rPr>
                <w:rFonts w:ascii="Times New Roman" w:hAnsi="Times New Roman"/>
              </w:rPr>
            </w:pPr>
          </w:p>
        </w:tc>
        <w:tc>
          <w:tcPr>
            <w:tcW w:w="1004" w:type="dxa"/>
            <w:vMerge w:val="continue"/>
            <w:vAlign w:val="center"/>
          </w:tcPr>
          <w:p>
            <w:pPr>
              <w:pStyle w:val="39"/>
              <w:rPr>
                <w:rFonts w:ascii="Times New Roman" w:hAnsi="Times New Roman"/>
              </w:rPr>
            </w:pPr>
          </w:p>
        </w:tc>
        <w:tc>
          <w:tcPr>
            <w:tcW w:w="1071" w:type="dxa"/>
            <w:vMerge w:val="continue"/>
            <w:vAlign w:val="center"/>
          </w:tcPr>
          <w:p>
            <w:pPr>
              <w:pStyle w:val="39"/>
              <w:rPr>
                <w:rFonts w:ascii="Times New Roman" w:hAnsi="Times New Roman"/>
              </w:rPr>
            </w:pPr>
          </w:p>
        </w:tc>
        <w:tc>
          <w:tcPr>
            <w:tcW w:w="1042" w:type="dxa"/>
            <w:vMerge w:val="continue"/>
            <w:vAlign w:val="center"/>
          </w:tcPr>
          <w:p>
            <w:pPr>
              <w:pStyle w:val="39"/>
              <w:rPr>
                <w:rFonts w:ascii="Times New Roman" w:hAnsi="Times New Roman"/>
              </w:rPr>
            </w:pPr>
          </w:p>
        </w:tc>
        <w:tc>
          <w:tcPr>
            <w:tcW w:w="808"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0" w:type="dxa"/>
            <w:vMerge w:val="continue"/>
            <w:vAlign w:val="center"/>
          </w:tcPr>
          <w:p>
            <w:pPr>
              <w:pStyle w:val="39"/>
              <w:rPr>
                <w:rFonts w:ascii="Times New Roman" w:hAnsi="Times New Roman"/>
              </w:rPr>
            </w:pPr>
          </w:p>
        </w:tc>
        <w:tc>
          <w:tcPr>
            <w:tcW w:w="900" w:type="dxa"/>
            <w:vAlign w:val="center"/>
          </w:tcPr>
          <w:p>
            <w:pPr>
              <w:pStyle w:val="39"/>
              <w:rPr>
                <w:rFonts w:ascii="Times New Roman" w:hAnsi="Times New Roman"/>
              </w:rPr>
            </w:pPr>
            <w:r>
              <w:rPr>
                <w:rFonts w:ascii="Times New Roman" w:hAnsi="Times New Roman"/>
              </w:rPr>
              <w:t>COD</w:t>
            </w:r>
          </w:p>
        </w:tc>
        <w:tc>
          <w:tcPr>
            <w:tcW w:w="915" w:type="dxa"/>
            <w:vAlign w:val="center"/>
          </w:tcPr>
          <w:p>
            <w:pPr>
              <w:pStyle w:val="39"/>
              <w:rPr>
                <w:rFonts w:ascii="Times New Roman" w:hAnsi="Times New Roman"/>
              </w:rPr>
            </w:pPr>
            <w:r>
              <w:rPr>
                <w:rFonts w:ascii="Times New Roman" w:hAnsi="Times New Roman"/>
                <w:kern w:val="0"/>
              </w:rPr>
              <w:t>0.092</w:t>
            </w:r>
          </w:p>
        </w:tc>
        <w:tc>
          <w:tcPr>
            <w:tcW w:w="1366" w:type="dxa"/>
            <w:vAlign w:val="center"/>
          </w:tcPr>
          <w:p>
            <w:pPr>
              <w:pStyle w:val="39"/>
              <w:rPr>
                <w:rFonts w:ascii="Times New Roman" w:hAnsi="Times New Roman"/>
              </w:rPr>
            </w:pPr>
            <w:r>
              <w:rPr>
                <w:rFonts w:ascii="Times New Roman" w:hAnsi="Times New Roman"/>
              </w:rPr>
              <w:t>20</w:t>
            </w:r>
          </w:p>
        </w:tc>
        <w:tc>
          <w:tcPr>
            <w:tcW w:w="855" w:type="dxa"/>
            <w:vMerge w:val="continue"/>
            <w:vAlign w:val="center"/>
          </w:tcPr>
          <w:p>
            <w:pPr>
              <w:pStyle w:val="39"/>
              <w:rPr>
                <w:rFonts w:ascii="Times New Roman" w:hAnsi="Times New Roman"/>
              </w:rPr>
            </w:pPr>
          </w:p>
        </w:tc>
        <w:tc>
          <w:tcPr>
            <w:tcW w:w="1004" w:type="dxa"/>
            <w:vMerge w:val="continue"/>
            <w:vAlign w:val="center"/>
          </w:tcPr>
          <w:p>
            <w:pPr>
              <w:pStyle w:val="39"/>
              <w:rPr>
                <w:rFonts w:ascii="Times New Roman" w:hAnsi="Times New Roman"/>
              </w:rPr>
            </w:pPr>
          </w:p>
        </w:tc>
        <w:tc>
          <w:tcPr>
            <w:tcW w:w="1071" w:type="dxa"/>
            <w:vMerge w:val="continue"/>
            <w:vAlign w:val="center"/>
          </w:tcPr>
          <w:p>
            <w:pPr>
              <w:pStyle w:val="39"/>
              <w:rPr>
                <w:rFonts w:ascii="Times New Roman" w:hAnsi="Times New Roman"/>
              </w:rPr>
            </w:pPr>
          </w:p>
        </w:tc>
        <w:tc>
          <w:tcPr>
            <w:tcW w:w="1042" w:type="dxa"/>
            <w:vMerge w:val="continue"/>
            <w:vAlign w:val="center"/>
          </w:tcPr>
          <w:p>
            <w:pPr>
              <w:pStyle w:val="39"/>
              <w:rPr>
                <w:rFonts w:ascii="Times New Roman" w:hAnsi="Times New Roman"/>
              </w:rPr>
            </w:pPr>
          </w:p>
        </w:tc>
        <w:tc>
          <w:tcPr>
            <w:tcW w:w="808" w:type="dxa"/>
            <w:vMerge w:val="continue"/>
            <w:vAlign w:val="center"/>
          </w:tcPr>
          <w:p>
            <w:pPr>
              <w:pStyle w:val="39"/>
              <w:rPr>
                <w:rFonts w:ascii="Times New Roman" w:hAnsi="Times New Roman"/>
              </w:rPr>
            </w:pPr>
          </w:p>
        </w:tc>
      </w:tr>
    </w:tbl>
    <w:p>
      <w:pPr>
        <w:ind w:firstLine="482"/>
        <w:rPr>
          <w:rFonts w:ascii="Times New Roman" w:hAnsi="Times New Roman"/>
          <w:b/>
        </w:rPr>
      </w:pPr>
    </w:p>
    <w:p>
      <w:pPr>
        <w:ind w:firstLine="482"/>
        <w:rPr>
          <w:rFonts w:ascii="Times New Roman" w:hAnsi="Times New Roman"/>
          <w:b/>
        </w:rPr>
      </w:pPr>
      <w:r>
        <w:rPr>
          <w:rFonts w:ascii="Times New Roman" w:hAnsi="Times New Roman"/>
          <w:b/>
        </w:rPr>
        <w:t>（7）预测结果</w:t>
      </w:r>
    </w:p>
    <w:p>
      <w:pPr>
        <w:spacing w:before="156" w:beforeLines="50"/>
        <w:ind w:firstLine="482"/>
        <w:rPr>
          <w:rFonts w:ascii="Times New Roman" w:hAnsi="Times New Roman"/>
          <w:b/>
          <w:bCs/>
          <w:u w:val="single"/>
        </w:rPr>
      </w:pPr>
      <w:r>
        <w:rPr>
          <w:rFonts w:ascii="Times New Roman" w:hAnsi="Times New Roman"/>
          <w:b/>
          <w:bCs/>
          <w:u w:val="single"/>
        </w:rPr>
        <w:t>宣兴1#井站气田水罐泄漏预测结果</w:t>
      </w:r>
    </w:p>
    <w:p>
      <w:pPr>
        <w:spacing w:before="156" w:beforeLines="50"/>
        <w:ind w:firstLine="480"/>
        <w:rPr>
          <w:rFonts w:ascii="Times New Roman" w:hAnsi="Times New Roman"/>
        </w:rPr>
      </w:pPr>
      <w:r>
        <w:rPr>
          <w:rFonts w:ascii="Times New Roman" w:hAnsi="Times New Roman"/>
        </w:rPr>
        <w:t>1）地下水污染特征因子石油类的影响范围及距离计算结果见下表、下图。</w:t>
      </w:r>
    </w:p>
    <w:p>
      <w:pPr>
        <w:pStyle w:val="37"/>
        <w:rPr>
          <w:rFonts w:ascii="Times New Roman" w:hAnsi="Times New Roman" w:cs="Times New Roman"/>
          <w:b/>
          <w:bCs/>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23</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b/>
          <w:bCs/>
        </w:rPr>
        <w:t>地下水中</w:t>
      </w:r>
      <w:r>
        <w:rPr>
          <w:rFonts w:ascii="Times New Roman" w:hAnsi="Times New Roman" w:cs="Times New Roman"/>
          <w:b/>
        </w:rPr>
        <w:t>石油类</w:t>
      </w:r>
      <w:r>
        <w:rPr>
          <w:rFonts w:ascii="Times New Roman" w:hAnsi="Times New Roman" w:cs="Times New Roman"/>
          <w:b/>
          <w:bCs/>
        </w:rPr>
        <w:t>超标及影响范围</w:t>
      </w:r>
    </w:p>
    <w:tbl>
      <w:tblPr>
        <w:tblStyle w:val="28"/>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0"/>
        <w:gridCol w:w="1139"/>
        <w:gridCol w:w="1137"/>
        <w:gridCol w:w="1138"/>
        <w:gridCol w:w="1496"/>
        <w:gridCol w:w="1497"/>
        <w:gridCol w:w="14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1380" w:type="dxa"/>
            <w:vAlign w:val="center"/>
          </w:tcPr>
          <w:p>
            <w:pPr>
              <w:pStyle w:val="39"/>
              <w:rPr>
                <w:rFonts w:ascii="Times New Roman" w:hAnsi="Times New Roman"/>
              </w:rPr>
            </w:pPr>
            <w:r>
              <w:rPr>
                <w:rFonts w:ascii="Times New Roman" w:hAnsi="Times New Roman"/>
              </w:rPr>
              <w:t>污染源总量(kg)</w:t>
            </w:r>
          </w:p>
        </w:tc>
        <w:tc>
          <w:tcPr>
            <w:tcW w:w="1139" w:type="dxa"/>
            <w:vAlign w:val="center"/>
          </w:tcPr>
          <w:p>
            <w:pPr>
              <w:pStyle w:val="39"/>
              <w:rPr>
                <w:rFonts w:ascii="Times New Roman" w:hAnsi="Times New Roman"/>
              </w:rPr>
            </w:pPr>
            <w:r>
              <w:rPr>
                <w:rFonts w:ascii="Times New Roman" w:hAnsi="Times New Roman"/>
              </w:rPr>
              <w:t>模拟时间(天）</w:t>
            </w:r>
          </w:p>
        </w:tc>
        <w:tc>
          <w:tcPr>
            <w:tcW w:w="1137" w:type="dxa"/>
            <w:vAlign w:val="center"/>
          </w:tcPr>
          <w:p>
            <w:pPr>
              <w:pStyle w:val="39"/>
              <w:rPr>
                <w:rFonts w:ascii="Times New Roman" w:hAnsi="Times New Roman"/>
              </w:rPr>
            </w:pPr>
            <w:r>
              <w:rPr>
                <w:rFonts w:ascii="Times New Roman" w:hAnsi="Times New Roman"/>
              </w:rPr>
              <w:t>最大超标距离(m)</w:t>
            </w:r>
          </w:p>
        </w:tc>
        <w:tc>
          <w:tcPr>
            <w:tcW w:w="1138" w:type="dxa"/>
            <w:vAlign w:val="center"/>
          </w:tcPr>
          <w:p>
            <w:pPr>
              <w:pStyle w:val="39"/>
              <w:rPr>
                <w:rFonts w:ascii="Times New Roman" w:hAnsi="Times New Roman"/>
              </w:rPr>
            </w:pPr>
            <w:r>
              <w:rPr>
                <w:rFonts w:ascii="Times New Roman" w:hAnsi="Times New Roman"/>
              </w:rPr>
              <w:t>中心迁移距离(m)</w:t>
            </w:r>
          </w:p>
        </w:tc>
        <w:tc>
          <w:tcPr>
            <w:tcW w:w="1496" w:type="dxa"/>
            <w:vAlign w:val="center"/>
          </w:tcPr>
          <w:p>
            <w:pPr>
              <w:pStyle w:val="39"/>
              <w:rPr>
                <w:rFonts w:ascii="Times New Roman" w:hAnsi="Times New Roman"/>
              </w:rPr>
            </w:pPr>
            <w:r>
              <w:rPr>
                <w:rFonts w:ascii="Times New Roman" w:hAnsi="Times New Roman"/>
              </w:rPr>
              <w:t>中心点处浓度(mg/L)</w:t>
            </w:r>
          </w:p>
        </w:tc>
        <w:tc>
          <w:tcPr>
            <w:tcW w:w="1497" w:type="dxa"/>
            <w:vAlign w:val="center"/>
          </w:tcPr>
          <w:p>
            <w:pPr>
              <w:pStyle w:val="39"/>
              <w:rPr>
                <w:rFonts w:ascii="Times New Roman" w:hAnsi="Times New Roman"/>
              </w:rPr>
            </w:pPr>
            <w:r>
              <w:rPr>
                <w:rFonts w:ascii="Times New Roman" w:hAnsi="Times New Roman"/>
              </w:rPr>
              <w:t>超标范围</w:t>
            </w:r>
          </w:p>
          <w:p>
            <w:pPr>
              <w:pStyle w:val="39"/>
              <w:rPr>
                <w:rFonts w:ascii="Times New Roman" w:hAnsi="Times New Roman"/>
              </w:rPr>
            </w:pPr>
            <w:r>
              <w:rPr>
                <w:rFonts w:ascii="Times New Roman" w:hAnsi="Times New Roman"/>
              </w:rPr>
              <w:t>(m</w:t>
            </w:r>
            <w:r>
              <w:rPr>
                <w:rFonts w:ascii="Times New Roman" w:hAnsi="Times New Roman"/>
                <w:vertAlign w:val="superscript"/>
              </w:rPr>
              <w:t>2</w:t>
            </w:r>
            <w:r>
              <w:rPr>
                <w:rFonts w:ascii="Times New Roman" w:hAnsi="Times New Roman"/>
              </w:rPr>
              <w:t>)</w:t>
            </w:r>
          </w:p>
        </w:tc>
        <w:tc>
          <w:tcPr>
            <w:tcW w:w="1499" w:type="dxa"/>
            <w:vAlign w:val="center"/>
          </w:tcPr>
          <w:p>
            <w:pPr>
              <w:pStyle w:val="39"/>
              <w:rPr>
                <w:rFonts w:ascii="Times New Roman" w:hAnsi="Times New Roman"/>
              </w:rPr>
            </w:pPr>
            <w:r>
              <w:rPr>
                <w:rFonts w:ascii="Times New Roman" w:hAnsi="Times New Roman"/>
              </w:rPr>
              <w:t>背景值(mg/L)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380" w:type="dxa"/>
            <w:vMerge w:val="restart"/>
            <w:vAlign w:val="center"/>
          </w:tcPr>
          <w:p>
            <w:pPr>
              <w:pStyle w:val="39"/>
              <w:rPr>
                <w:rFonts w:ascii="Times New Roman" w:hAnsi="Times New Roman"/>
              </w:rPr>
            </w:pPr>
            <w:r>
              <w:rPr>
                <w:rFonts w:ascii="Times New Roman" w:hAnsi="Times New Roman"/>
              </w:rPr>
              <w:t>0.0046</w:t>
            </w:r>
          </w:p>
        </w:tc>
        <w:tc>
          <w:tcPr>
            <w:tcW w:w="1139" w:type="dxa"/>
            <w:vAlign w:val="center"/>
          </w:tcPr>
          <w:p>
            <w:pPr>
              <w:pStyle w:val="39"/>
              <w:rPr>
                <w:rFonts w:ascii="Times New Roman" w:hAnsi="Times New Roman"/>
              </w:rPr>
            </w:pPr>
            <w:r>
              <w:rPr>
                <w:rFonts w:ascii="Times New Roman" w:hAnsi="Times New Roman"/>
              </w:rPr>
              <w:t>100</w:t>
            </w:r>
          </w:p>
        </w:tc>
        <w:tc>
          <w:tcPr>
            <w:tcW w:w="1137" w:type="dxa"/>
            <w:vAlign w:val="center"/>
          </w:tcPr>
          <w:p>
            <w:pPr>
              <w:pStyle w:val="39"/>
              <w:rPr>
                <w:rFonts w:ascii="Times New Roman" w:hAnsi="Times New Roman"/>
              </w:rPr>
            </w:pPr>
            <w:r>
              <w:rPr>
                <w:rFonts w:ascii="Times New Roman" w:hAnsi="Times New Roman"/>
              </w:rPr>
              <w:t>/</w:t>
            </w:r>
          </w:p>
        </w:tc>
        <w:tc>
          <w:tcPr>
            <w:tcW w:w="1138" w:type="dxa"/>
            <w:vAlign w:val="center"/>
          </w:tcPr>
          <w:p>
            <w:pPr>
              <w:pStyle w:val="39"/>
              <w:rPr>
                <w:rFonts w:ascii="Times New Roman" w:hAnsi="Times New Roman"/>
              </w:rPr>
            </w:pPr>
            <w:r>
              <w:rPr>
                <w:rFonts w:ascii="Times New Roman" w:hAnsi="Times New Roman"/>
              </w:rPr>
              <w:t>3.9</w:t>
            </w:r>
          </w:p>
        </w:tc>
        <w:tc>
          <w:tcPr>
            <w:tcW w:w="1496" w:type="dxa"/>
            <w:vAlign w:val="center"/>
          </w:tcPr>
          <w:p>
            <w:pPr>
              <w:pStyle w:val="39"/>
              <w:rPr>
                <w:rFonts w:ascii="Times New Roman" w:hAnsi="Times New Roman"/>
              </w:rPr>
            </w:pPr>
            <w:r>
              <w:rPr>
                <w:rFonts w:ascii="Times New Roman" w:hAnsi="Times New Roman"/>
              </w:rPr>
              <w:t>0.023</w:t>
            </w:r>
          </w:p>
        </w:tc>
        <w:tc>
          <w:tcPr>
            <w:tcW w:w="1497" w:type="dxa"/>
            <w:vAlign w:val="center"/>
          </w:tcPr>
          <w:p>
            <w:pPr>
              <w:pStyle w:val="39"/>
              <w:rPr>
                <w:rFonts w:ascii="Times New Roman" w:hAnsi="Times New Roman"/>
              </w:rPr>
            </w:pPr>
            <w:r>
              <w:rPr>
                <w:rFonts w:ascii="Times New Roman" w:hAnsi="Times New Roman"/>
              </w:rPr>
              <w:t>/</w:t>
            </w:r>
          </w:p>
        </w:tc>
        <w:tc>
          <w:tcPr>
            <w:tcW w:w="1499" w:type="dxa"/>
            <w:vMerge w:val="restart"/>
            <w:vAlign w:val="center"/>
          </w:tcPr>
          <w:p>
            <w:pPr>
              <w:pStyle w:val="39"/>
              <w:rPr>
                <w:rFonts w:ascii="Times New Roman" w:hAnsi="Times New Roman"/>
              </w:rPr>
            </w:pPr>
            <w:r>
              <w:rPr>
                <w:rFonts w:ascii="Times New Roman" w:hAnsi="Times New Roman"/>
                <w:kern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380" w:type="dxa"/>
            <w:vMerge w:val="continue"/>
            <w:vAlign w:val="center"/>
          </w:tcPr>
          <w:p>
            <w:pPr>
              <w:pStyle w:val="39"/>
              <w:rPr>
                <w:rFonts w:ascii="Times New Roman" w:hAnsi="Times New Roman"/>
              </w:rPr>
            </w:pPr>
          </w:p>
        </w:tc>
        <w:tc>
          <w:tcPr>
            <w:tcW w:w="1139" w:type="dxa"/>
            <w:vAlign w:val="center"/>
          </w:tcPr>
          <w:p>
            <w:pPr>
              <w:pStyle w:val="39"/>
              <w:rPr>
                <w:rFonts w:ascii="Times New Roman" w:hAnsi="Times New Roman"/>
              </w:rPr>
            </w:pPr>
            <w:r>
              <w:rPr>
                <w:rFonts w:ascii="Times New Roman" w:hAnsi="Times New Roman"/>
              </w:rPr>
              <w:t>1000</w:t>
            </w:r>
          </w:p>
        </w:tc>
        <w:tc>
          <w:tcPr>
            <w:tcW w:w="1137" w:type="dxa"/>
            <w:vAlign w:val="center"/>
          </w:tcPr>
          <w:p>
            <w:pPr>
              <w:pStyle w:val="39"/>
              <w:rPr>
                <w:rFonts w:ascii="Times New Roman" w:hAnsi="Times New Roman"/>
              </w:rPr>
            </w:pPr>
            <w:r>
              <w:rPr>
                <w:rFonts w:ascii="Times New Roman" w:hAnsi="Times New Roman"/>
              </w:rPr>
              <w:t>/</w:t>
            </w:r>
          </w:p>
        </w:tc>
        <w:tc>
          <w:tcPr>
            <w:tcW w:w="1138" w:type="dxa"/>
            <w:vAlign w:val="center"/>
          </w:tcPr>
          <w:p>
            <w:pPr>
              <w:pStyle w:val="39"/>
              <w:rPr>
                <w:rFonts w:ascii="Times New Roman" w:hAnsi="Times New Roman"/>
              </w:rPr>
            </w:pPr>
            <w:r>
              <w:rPr>
                <w:rFonts w:ascii="Times New Roman" w:hAnsi="Times New Roman"/>
              </w:rPr>
              <w:t>39</w:t>
            </w:r>
          </w:p>
        </w:tc>
        <w:tc>
          <w:tcPr>
            <w:tcW w:w="1496" w:type="dxa"/>
            <w:vAlign w:val="center"/>
          </w:tcPr>
          <w:p>
            <w:pPr>
              <w:pStyle w:val="39"/>
              <w:rPr>
                <w:rFonts w:ascii="Times New Roman" w:hAnsi="Times New Roman"/>
              </w:rPr>
            </w:pPr>
            <w:r>
              <w:rPr>
                <w:rFonts w:ascii="Times New Roman" w:hAnsi="Times New Roman"/>
              </w:rPr>
              <w:t>0.0023</w:t>
            </w:r>
          </w:p>
        </w:tc>
        <w:tc>
          <w:tcPr>
            <w:tcW w:w="1497" w:type="dxa"/>
            <w:vAlign w:val="center"/>
          </w:tcPr>
          <w:p>
            <w:pPr>
              <w:pStyle w:val="39"/>
              <w:rPr>
                <w:rFonts w:ascii="Times New Roman" w:hAnsi="Times New Roman"/>
              </w:rPr>
            </w:pPr>
            <w:r>
              <w:rPr>
                <w:rFonts w:ascii="Times New Roman" w:hAnsi="Times New Roman"/>
              </w:rPr>
              <w:t>/</w:t>
            </w:r>
          </w:p>
        </w:tc>
        <w:tc>
          <w:tcPr>
            <w:tcW w:w="1499"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380" w:type="dxa"/>
            <w:vMerge w:val="continue"/>
            <w:vAlign w:val="center"/>
          </w:tcPr>
          <w:p>
            <w:pPr>
              <w:pStyle w:val="39"/>
              <w:rPr>
                <w:rFonts w:ascii="Times New Roman" w:hAnsi="Times New Roman"/>
              </w:rPr>
            </w:pPr>
          </w:p>
        </w:tc>
        <w:tc>
          <w:tcPr>
            <w:tcW w:w="1139" w:type="dxa"/>
            <w:vAlign w:val="center"/>
          </w:tcPr>
          <w:p>
            <w:pPr>
              <w:pStyle w:val="39"/>
              <w:rPr>
                <w:rFonts w:ascii="Times New Roman" w:hAnsi="Times New Roman"/>
              </w:rPr>
            </w:pPr>
            <w:r>
              <w:rPr>
                <w:rFonts w:ascii="Times New Roman" w:hAnsi="Times New Roman"/>
              </w:rPr>
              <w:t>3600</w:t>
            </w:r>
          </w:p>
        </w:tc>
        <w:tc>
          <w:tcPr>
            <w:tcW w:w="1137" w:type="dxa"/>
            <w:vAlign w:val="center"/>
          </w:tcPr>
          <w:p>
            <w:pPr>
              <w:pStyle w:val="39"/>
              <w:rPr>
                <w:rFonts w:ascii="Times New Roman" w:hAnsi="Times New Roman"/>
              </w:rPr>
            </w:pPr>
            <w:r>
              <w:rPr>
                <w:rFonts w:ascii="Times New Roman" w:hAnsi="Times New Roman"/>
              </w:rPr>
              <w:t>/</w:t>
            </w:r>
          </w:p>
        </w:tc>
        <w:tc>
          <w:tcPr>
            <w:tcW w:w="1138" w:type="dxa"/>
            <w:vAlign w:val="center"/>
          </w:tcPr>
          <w:p>
            <w:pPr>
              <w:pStyle w:val="39"/>
              <w:rPr>
                <w:rFonts w:ascii="Times New Roman" w:hAnsi="Times New Roman"/>
              </w:rPr>
            </w:pPr>
            <w:r>
              <w:rPr>
                <w:rFonts w:ascii="Times New Roman" w:hAnsi="Times New Roman"/>
              </w:rPr>
              <w:t>140.4</w:t>
            </w:r>
          </w:p>
        </w:tc>
        <w:tc>
          <w:tcPr>
            <w:tcW w:w="1496" w:type="dxa"/>
            <w:vAlign w:val="center"/>
          </w:tcPr>
          <w:p>
            <w:pPr>
              <w:pStyle w:val="39"/>
              <w:rPr>
                <w:rFonts w:ascii="Times New Roman" w:hAnsi="Times New Roman"/>
              </w:rPr>
            </w:pPr>
            <w:r>
              <w:rPr>
                <w:rFonts w:ascii="Times New Roman" w:hAnsi="Times New Roman"/>
              </w:rPr>
              <w:t>0.0011</w:t>
            </w:r>
          </w:p>
        </w:tc>
        <w:tc>
          <w:tcPr>
            <w:tcW w:w="1497" w:type="dxa"/>
            <w:vAlign w:val="center"/>
          </w:tcPr>
          <w:p>
            <w:pPr>
              <w:pStyle w:val="39"/>
              <w:rPr>
                <w:rFonts w:ascii="Times New Roman" w:hAnsi="Times New Roman"/>
              </w:rPr>
            </w:pPr>
            <w:r>
              <w:rPr>
                <w:rFonts w:ascii="Times New Roman" w:hAnsi="Times New Roman"/>
              </w:rPr>
              <w:t>/</w:t>
            </w:r>
          </w:p>
        </w:tc>
        <w:tc>
          <w:tcPr>
            <w:tcW w:w="1499" w:type="dxa"/>
            <w:vMerge w:val="continue"/>
            <w:vAlign w:val="center"/>
          </w:tcPr>
          <w:p>
            <w:pPr>
              <w:pStyle w:val="39"/>
              <w:rPr>
                <w:rFonts w:ascii="Times New Roman" w:hAnsi="Times New Roman"/>
              </w:rPr>
            </w:pPr>
          </w:p>
        </w:tc>
      </w:tr>
    </w:tbl>
    <w:p>
      <w:pPr>
        <w:widowControl/>
        <w:tabs>
          <w:tab w:val="left" w:pos="420"/>
        </w:tabs>
        <w:ind w:firstLine="400"/>
        <w:jc w:val="center"/>
        <w:rPr>
          <w:rFonts w:ascii="Times New Roman" w:hAnsi="Times New Roman"/>
          <w:kern w:val="0"/>
          <w:sz w:val="20"/>
          <w:szCs w:val="20"/>
        </w:rPr>
      </w:pPr>
    </w:p>
    <w:tbl>
      <w:tblPr>
        <w:tblStyle w:val="28"/>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tcBorders>
              <w:top w:val="single" w:color="auto" w:sz="4" w:space="0"/>
              <w:left w:val="single" w:color="auto" w:sz="4" w:space="0"/>
              <w:bottom w:val="nil"/>
              <w:right w:val="single" w:color="auto" w:sz="4" w:space="0"/>
            </w:tcBorders>
            <w:vAlign w:val="center"/>
          </w:tcPr>
          <w:p>
            <w:pPr>
              <w:keepNext/>
              <w:spacing w:after="120" w:line="480" w:lineRule="auto"/>
              <w:ind w:firstLine="480"/>
              <w:rPr>
                <w:rFonts w:ascii="Times New Roman" w:hAnsi="Times New Roman"/>
                <w:szCs w:val="21"/>
              </w:rPr>
            </w:pPr>
            <w:r>
              <w:rPr>
                <w:rFonts w:ascii="Times New Roman" w:hAnsi="Times New Roman"/>
                <w:szCs w:val="21"/>
              </w:rPr>
              <w:drawing>
                <wp:inline distT="0" distB="0" distL="0" distR="0">
                  <wp:extent cx="5759450" cy="1887220"/>
                  <wp:effectExtent l="19050" t="0" r="0" b="0"/>
                  <wp:docPr id="131" name="图片 7" descr="C:\Users\Administrator\Desktop\宣兴\气田\石油类-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7" descr="C:\Users\Administrator\Desktop\宣兴\气田\石油类-100.jpg"/>
                          <pic:cNvPicPr>
                            <a:picLocks noChangeAspect="1" noChangeArrowheads="1"/>
                          </pic:cNvPicPr>
                        </pic:nvPicPr>
                        <pic:blipFill>
                          <a:blip r:embed="rId111"/>
                          <a:srcRect/>
                          <a:stretch>
                            <a:fillRect/>
                          </a:stretch>
                        </pic:blipFill>
                        <pic:spPr>
                          <a:xfrm>
                            <a:off x="0" y="0"/>
                            <a:ext cx="5760000" cy="1887608"/>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100d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tcBorders>
              <w:top w:val="single" w:color="auto" w:sz="4" w:space="0"/>
              <w:left w:val="single" w:color="auto" w:sz="4" w:space="0"/>
              <w:bottom w:val="single" w:color="auto" w:sz="4" w:space="0"/>
              <w:right w:val="single" w:color="auto" w:sz="4" w:space="0"/>
            </w:tcBorders>
            <w:vAlign w:val="center"/>
          </w:tcPr>
          <w:p>
            <w:pPr>
              <w:keepNext/>
              <w:spacing w:after="120" w:line="480" w:lineRule="auto"/>
              <w:ind w:firstLine="480"/>
              <w:rPr>
                <w:rFonts w:ascii="Times New Roman" w:hAnsi="Times New Roman"/>
                <w:szCs w:val="21"/>
              </w:rPr>
            </w:pPr>
            <w:r>
              <w:rPr>
                <w:rFonts w:ascii="Times New Roman" w:hAnsi="Times New Roman"/>
                <w:szCs w:val="21"/>
              </w:rPr>
              <w:drawing>
                <wp:inline distT="0" distB="0" distL="0" distR="0">
                  <wp:extent cx="5759450" cy="1887220"/>
                  <wp:effectExtent l="19050" t="0" r="0" b="0"/>
                  <wp:docPr id="132" name="图片 8" descr="C:\Users\Administrator\Desktop\宣兴\气田\石油类-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8" descr="C:\Users\Administrator\Desktop\宣兴\气田\石油类-1000.jpg"/>
                          <pic:cNvPicPr>
                            <a:picLocks noChangeAspect="1" noChangeArrowheads="1"/>
                          </pic:cNvPicPr>
                        </pic:nvPicPr>
                        <pic:blipFill>
                          <a:blip r:embed="rId112"/>
                          <a:srcRect/>
                          <a:stretch>
                            <a:fillRect/>
                          </a:stretch>
                        </pic:blipFill>
                        <pic:spPr>
                          <a:xfrm>
                            <a:off x="0" y="0"/>
                            <a:ext cx="5760000" cy="1887608"/>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1000d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tcBorders>
              <w:top w:val="single" w:color="auto" w:sz="4" w:space="0"/>
              <w:left w:val="single" w:color="auto" w:sz="4" w:space="0"/>
              <w:bottom w:val="single" w:color="auto" w:sz="4" w:space="0"/>
              <w:right w:val="single" w:color="auto" w:sz="4" w:space="0"/>
            </w:tcBorders>
            <w:vAlign w:val="center"/>
          </w:tcPr>
          <w:p>
            <w:pPr>
              <w:keepNext/>
              <w:spacing w:after="120" w:line="480" w:lineRule="auto"/>
              <w:ind w:firstLine="480"/>
              <w:rPr>
                <w:rFonts w:ascii="Times New Roman" w:hAnsi="Times New Roman"/>
                <w:szCs w:val="21"/>
              </w:rPr>
            </w:pPr>
            <w:r>
              <w:rPr>
                <w:rFonts w:ascii="Times New Roman" w:hAnsi="Times New Roman"/>
                <w:szCs w:val="21"/>
              </w:rPr>
              <w:drawing>
                <wp:inline distT="0" distB="0" distL="0" distR="0">
                  <wp:extent cx="5759450" cy="1887220"/>
                  <wp:effectExtent l="19050" t="0" r="0" b="0"/>
                  <wp:docPr id="133" name="图片 9" descr="C:\Users\Administrator\Desktop\宣兴\气田\石油类-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9" descr="C:\Users\Administrator\Desktop\宣兴\气田\石油类-3600.jpg"/>
                          <pic:cNvPicPr>
                            <a:picLocks noChangeAspect="1" noChangeArrowheads="1"/>
                          </pic:cNvPicPr>
                        </pic:nvPicPr>
                        <pic:blipFill>
                          <a:blip r:embed="rId113"/>
                          <a:srcRect/>
                          <a:stretch>
                            <a:fillRect/>
                          </a:stretch>
                        </pic:blipFill>
                        <pic:spPr>
                          <a:xfrm>
                            <a:off x="0" y="0"/>
                            <a:ext cx="5760000" cy="1887608"/>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3600d</w:t>
            </w:r>
          </w:p>
        </w:tc>
      </w:tr>
    </w:tbl>
    <w:p>
      <w:pPr>
        <w:pStyle w:val="37"/>
        <w:rPr>
          <w:rFonts w:ascii="Times New Roman" w:hAnsi="Times New Roman" w:cs="Times New Roman"/>
          <w:b/>
          <w:kern w:val="0"/>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b/>
          <w:kern w:val="0"/>
        </w:rPr>
        <w:t>泄漏点水流下游石油类浓度变化分布图</w:t>
      </w:r>
    </w:p>
    <w:p>
      <w:pPr>
        <w:spacing w:before="156" w:beforeLines="50"/>
        <w:ind w:firstLine="480"/>
        <w:rPr>
          <w:rFonts w:ascii="Times New Roman" w:hAnsi="Times New Roman"/>
        </w:rPr>
      </w:pPr>
      <w:r>
        <w:rPr>
          <w:rFonts w:ascii="Times New Roman" w:hAnsi="Times New Roman"/>
        </w:rPr>
        <w:t>2）地下水污染特征因子氯化物的影响范围及距离计算结果见下表、下图。</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24</w:t>
      </w:r>
      <w:r>
        <w:rPr>
          <w:rFonts w:ascii="Times New Roman" w:hAnsi="Times New Roman" w:cs="Times New Roman"/>
        </w:rPr>
        <w:fldChar w:fldCharType="end"/>
      </w:r>
      <w:r>
        <w:rPr>
          <w:rFonts w:ascii="Times New Roman" w:hAnsi="Times New Roman" w:cs="Times New Roman"/>
        </w:rPr>
        <w:t xml:space="preserve">  地下水中氯化物超标及影响范围</w:t>
      </w:r>
    </w:p>
    <w:tbl>
      <w:tblPr>
        <w:tblStyle w:val="28"/>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0"/>
        <w:gridCol w:w="1139"/>
        <w:gridCol w:w="1137"/>
        <w:gridCol w:w="1138"/>
        <w:gridCol w:w="1496"/>
        <w:gridCol w:w="1497"/>
        <w:gridCol w:w="14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1380" w:type="dxa"/>
            <w:vAlign w:val="center"/>
          </w:tcPr>
          <w:p>
            <w:pPr>
              <w:pStyle w:val="39"/>
              <w:rPr>
                <w:rFonts w:ascii="Times New Roman" w:hAnsi="Times New Roman"/>
              </w:rPr>
            </w:pPr>
            <w:r>
              <w:rPr>
                <w:rFonts w:ascii="Times New Roman" w:hAnsi="Times New Roman"/>
              </w:rPr>
              <w:t>污染源总量(kg)</w:t>
            </w:r>
          </w:p>
        </w:tc>
        <w:tc>
          <w:tcPr>
            <w:tcW w:w="1139" w:type="dxa"/>
            <w:vAlign w:val="center"/>
          </w:tcPr>
          <w:p>
            <w:pPr>
              <w:pStyle w:val="39"/>
              <w:rPr>
                <w:rFonts w:ascii="Times New Roman" w:hAnsi="Times New Roman"/>
              </w:rPr>
            </w:pPr>
            <w:r>
              <w:rPr>
                <w:rFonts w:ascii="Times New Roman" w:hAnsi="Times New Roman"/>
              </w:rPr>
              <w:t>模拟时间(天）</w:t>
            </w:r>
          </w:p>
        </w:tc>
        <w:tc>
          <w:tcPr>
            <w:tcW w:w="1137" w:type="dxa"/>
            <w:vAlign w:val="center"/>
          </w:tcPr>
          <w:p>
            <w:pPr>
              <w:pStyle w:val="39"/>
              <w:rPr>
                <w:rFonts w:ascii="Times New Roman" w:hAnsi="Times New Roman"/>
              </w:rPr>
            </w:pPr>
            <w:r>
              <w:rPr>
                <w:rFonts w:ascii="Times New Roman" w:hAnsi="Times New Roman"/>
              </w:rPr>
              <w:t>最大超标距离(m)</w:t>
            </w:r>
          </w:p>
        </w:tc>
        <w:tc>
          <w:tcPr>
            <w:tcW w:w="1138" w:type="dxa"/>
            <w:vAlign w:val="center"/>
          </w:tcPr>
          <w:p>
            <w:pPr>
              <w:pStyle w:val="39"/>
              <w:rPr>
                <w:rFonts w:ascii="Times New Roman" w:hAnsi="Times New Roman"/>
              </w:rPr>
            </w:pPr>
            <w:r>
              <w:rPr>
                <w:rFonts w:ascii="Times New Roman" w:hAnsi="Times New Roman"/>
              </w:rPr>
              <w:t>中心迁移距离(m)</w:t>
            </w:r>
          </w:p>
        </w:tc>
        <w:tc>
          <w:tcPr>
            <w:tcW w:w="1496" w:type="dxa"/>
            <w:vAlign w:val="center"/>
          </w:tcPr>
          <w:p>
            <w:pPr>
              <w:pStyle w:val="39"/>
              <w:rPr>
                <w:rFonts w:ascii="Times New Roman" w:hAnsi="Times New Roman"/>
              </w:rPr>
            </w:pPr>
            <w:r>
              <w:rPr>
                <w:rFonts w:ascii="Times New Roman" w:hAnsi="Times New Roman"/>
              </w:rPr>
              <w:t>中心点处浓度(mg/L)</w:t>
            </w:r>
          </w:p>
        </w:tc>
        <w:tc>
          <w:tcPr>
            <w:tcW w:w="1497" w:type="dxa"/>
            <w:vAlign w:val="center"/>
          </w:tcPr>
          <w:p>
            <w:pPr>
              <w:pStyle w:val="39"/>
              <w:rPr>
                <w:rFonts w:ascii="Times New Roman" w:hAnsi="Times New Roman"/>
              </w:rPr>
            </w:pPr>
            <w:r>
              <w:rPr>
                <w:rFonts w:ascii="Times New Roman" w:hAnsi="Times New Roman"/>
              </w:rPr>
              <w:t>超标范围</w:t>
            </w:r>
          </w:p>
          <w:p>
            <w:pPr>
              <w:pStyle w:val="39"/>
              <w:rPr>
                <w:rFonts w:ascii="Times New Roman" w:hAnsi="Times New Roman"/>
              </w:rPr>
            </w:pPr>
            <w:r>
              <w:rPr>
                <w:rFonts w:ascii="Times New Roman" w:hAnsi="Times New Roman"/>
              </w:rPr>
              <w:t>(m</w:t>
            </w:r>
            <w:r>
              <w:rPr>
                <w:rFonts w:ascii="Times New Roman" w:hAnsi="Times New Roman"/>
                <w:vertAlign w:val="superscript"/>
              </w:rPr>
              <w:t>2</w:t>
            </w:r>
            <w:r>
              <w:rPr>
                <w:rFonts w:ascii="Times New Roman" w:hAnsi="Times New Roman"/>
              </w:rPr>
              <w:t>)</w:t>
            </w:r>
          </w:p>
        </w:tc>
        <w:tc>
          <w:tcPr>
            <w:tcW w:w="1499" w:type="dxa"/>
            <w:vAlign w:val="center"/>
          </w:tcPr>
          <w:p>
            <w:pPr>
              <w:pStyle w:val="39"/>
              <w:rPr>
                <w:rFonts w:ascii="Times New Roman" w:hAnsi="Times New Roman"/>
              </w:rPr>
            </w:pPr>
            <w:r>
              <w:rPr>
                <w:rFonts w:ascii="Times New Roman" w:hAnsi="Times New Roman"/>
              </w:rPr>
              <w:t>背景值(mg/L)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380" w:type="dxa"/>
            <w:vMerge w:val="restart"/>
            <w:vAlign w:val="center"/>
          </w:tcPr>
          <w:p>
            <w:pPr>
              <w:pStyle w:val="39"/>
              <w:rPr>
                <w:rFonts w:ascii="Times New Roman" w:hAnsi="Times New Roman"/>
              </w:rPr>
            </w:pPr>
            <w:r>
              <w:rPr>
                <w:rFonts w:ascii="Times New Roman" w:hAnsi="Times New Roman"/>
              </w:rPr>
              <w:t>26.15</w:t>
            </w:r>
          </w:p>
        </w:tc>
        <w:tc>
          <w:tcPr>
            <w:tcW w:w="1139" w:type="dxa"/>
            <w:vAlign w:val="center"/>
          </w:tcPr>
          <w:p>
            <w:pPr>
              <w:pStyle w:val="39"/>
              <w:rPr>
                <w:rFonts w:ascii="Times New Roman" w:hAnsi="Times New Roman"/>
              </w:rPr>
            </w:pPr>
            <w:r>
              <w:rPr>
                <w:rFonts w:ascii="Times New Roman" w:hAnsi="Times New Roman"/>
              </w:rPr>
              <w:t>100</w:t>
            </w:r>
          </w:p>
        </w:tc>
        <w:tc>
          <w:tcPr>
            <w:tcW w:w="1137" w:type="dxa"/>
            <w:vAlign w:val="center"/>
          </w:tcPr>
          <w:p>
            <w:pPr>
              <w:pStyle w:val="39"/>
              <w:rPr>
                <w:rFonts w:ascii="Times New Roman" w:hAnsi="Times New Roman"/>
              </w:rPr>
            </w:pPr>
            <w:r>
              <w:rPr>
                <w:rFonts w:ascii="Times New Roman" w:hAnsi="Times New Roman"/>
              </w:rPr>
              <w:t>/</w:t>
            </w:r>
          </w:p>
        </w:tc>
        <w:tc>
          <w:tcPr>
            <w:tcW w:w="1138" w:type="dxa"/>
            <w:vAlign w:val="center"/>
          </w:tcPr>
          <w:p>
            <w:pPr>
              <w:pStyle w:val="39"/>
              <w:rPr>
                <w:rFonts w:ascii="Times New Roman" w:hAnsi="Times New Roman"/>
              </w:rPr>
            </w:pPr>
            <w:r>
              <w:rPr>
                <w:rFonts w:ascii="Times New Roman" w:hAnsi="Times New Roman"/>
              </w:rPr>
              <w:t>3.9</w:t>
            </w:r>
          </w:p>
        </w:tc>
        <w:tc>
          <w:tcPr>
            <w:tcW w:w="1496" w:type="dxa"/>
            <w:vAlign w:val="center"/>
          </w:tcPr>
          <w:p>
            <w:pPr>
              <w:pStyle w:val="39"/>
              <w:rPr>
                <w:rFonts w:ascii="Times New Roman" w:hAnsi="Times New Roman"/>
              </w:rPr>
            </w:pPr>
            <w:r>
              <w:rPr>
                <w:rFonts w:ascii="Times New Roman" w:hAnsi="Times New Roman"/>
              </w:rPr>
              <w:t>131.61</w:t>
            </w:r>
          </w:p>
        </w:tc>
        <w:tc>
          <w:tcPr>
            <w:tcW w:w="1497" w:type="dxa"/>
            <w:vAlign w:val="center"/>
          </w:tcPr>
          <w:p>
            <w:pPr>
              <w:pStyle w:val="39"/>
              <w:rPr>
                <w:rFonts w:ascii="Times New Roman" w:hAnsi="Times New Roman"/>
              </w:rPr>
            </w:pPr>
            <w:r>
              <w:rPr>
                <w:rFonts w:ascii="Times New Roman" w:hAnsi="Times New Roman"/>
              </w:rPr>
              <w:t>/</w:t>
            </w:r>
          </w:p>
        </w:tc>
        <w:tc>
          <w:tcPr>
            <w:tcW w:w="1499" w:type="dxa"/>
            <w:vMerge w:val="restart"/>
            <w:vAlign w:val="center"/>
          </w:tcPr>
          <w:p>
            <w:pPr>
              <w:pStyle w:val="39"/>
              <w:rPr>
                <w:rFonts w:ascii="Times New Roman" w:hAnsi="Times New Roman"/>
              </w:rPr>
            </w:pPr>
            <w:r>
              <w:rPr>
                <w:rFonts w:ascii="Times New Roman" w:hAnsi="Times New Roman"/>
              </w:rPr>
              <w:t>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380" w:type="dxa"/>
            <w:vMerge w:val="continue"/>
            <w:vAlign w:val="center"/>
          </w:tcPr>
          <w:p>
            <w:pPr>
              <w:pStyle w:val="39"/>
              <w:rPr>
                <w:rFonts w:ascii="Times New Roman" w:hAnsi="Times New Roman"/>
              </w:rPr>
            </w:pPr>
          </w:p>
        </w:tc>
        <w:tc>
          <w:tcPr>
            <w:tcW w:w="1139" w:type="dxa"/>
            <w:vAlign w:val="center"/>
          </w:tcPr>
          <w:p>
            <w:pPr>
              <w:pStyle w:val="39"/>
              <w:rPr>
                <w:rFonts w:ascii="Times New Roman" w:hAnsi="Times New Roman"/>
              </w:rPr>
            </w:pPr>
            <w:r>
              <w:rPr>
                <w:rFonts w:ascii="Times New Roman" w:hAnsi="Times New Roman"/>
              </w:rPr>
              <w:t>1000</w:t>
            </w:r>
          </w:p>
        </w:tc>
        <w:tc>
          <w:tcPr>
            <w:tcW w:w="1137" w:type="dxa"/>
            <w:vAlign w:val="center"/>
          </w:tcPr>
          <w:p>
            <w:pPr>
              <w:pStyle w:val="39"/>
              <w:rPr>
                <w:rFonts w:ascii="Times New Roman" w:hAnsi="Times New Roman"/>
              </w:rPr>
            </w:pPr>
            <w:r>
              <w:rPr>
                <w:rFonts w:ascii="Times New Roman" w:hAnsi="Times New Roman"/>
              </w:rPr>
              <w:t>/</w:t>
            </w:r>
          </w:p>
        </w:tc>
        <w:tc>
          <w:tcPr>
            <w:tcW w:w="1138" w:type="dxa"/>
            <w:vAlign w:val="center"/>
          </w:tcPr>
          <w:p>
            <w:pPr>
              <w:pStyle w:val="39"/>
              <w:rPr>
                <w:rFonts w:ascii="Times New Roman" w:hAnsi="Times New Roman"/>
              </w:rPr>
            </w:pPr>
            <w:r>
              <w:rPr>
                <w:rFonts w:ascii="Times New Roman" w:hAnsi="Times New Roman"/>
              </w:rPr>
              <w:t>39</w:t>
            </w:r>
          </w:p>
        </w:tc>
        <w:tc>
          <w:tcPr>
            <w:tcW w:w="1496" w:type="dxa"/>
            <w:vAlign w:val="center"/>
          </w:tcPr>
          <w:p>
            <w:pPr>
              <w:pStyle w:val="39"/>
              <w:rPr>
                <w:rFonts w:ascii="Times New Roman" w:hAnsi="Times New Roman"/>
              </w:rPr>
            </w:pPr>
            <w:r>
              <w:rPr>
                <w:rFonts w:ascii="Times New Roman" w:hAnsi="Times New Roman"/>
              </w:rPr>
              <w:t>13.16</w:t>
            </w:r>
          </w:p>
        </w:tc>
        <w:tc>
          <w:tcPr>
            <w:tcW w:w="1497" w:type="dxa"/>
            <w:vAlign w:val="center"/>
          </w:tcPr>
          <w:p>
            <w:pPr>
              <w:pStyle w:val="39"/>
              <w:rPr>
                <w:rFonts w:ascii="Times New Roman" w:hAnsi="Times New Roman"/>
              </w:rPr>
            </w:pPr>
            <w:r>
              <w:rPr>
                <w:rFonts w:ascii="Times New Roman" w:hAnsi="Times New Roman"/>
              </w:rPr>
              <w:t>/</w:t>
            </w:r>
          </w:p>
        </w:tc>
        <w:tc>
          <w:tcPr>
            <w:tcW w:w="1499"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380" w:type="dxa"/>
            <w:vMerge w:val="continue"/>
            <w:vAlign w:val="center"/>
          </w:tcPr>
          <w:p>
            <w:pPr>
              <w:pStyle w:val="39"/>
              <w:rPr>
                <w:rFonts w:ascii="Times New Roman" w:hAnsi="Times New Roman"/>
              </w:rPr>
            </w:pPr>
          </w:p>
        </w:tc>
        <w:tc>
          <w:tcPr>
            <w:tcW w:w="1139" w:type="dxa"/>
            <w:vAlign w:val="center"/>
          </w:tcPr>
          <w:p>
            <w:pPr>
              <w:pStyle w:val="39"/>
              <w:rPr>
                <w:rFonts w:ascii="Times New Roman" w:hAnsi="Times New Roman"/>
              </w:rPr>
            </w:pPr>
            <w:r>
              <w:rPr>
                <w:rFonts w:ascii="Times New Roman" w:hAnsi="Times New Roman"/>
              </w:rPr>
              <w:t>3600</w:t>
            </w:r>
          </w:p>
        </w:tc>
        <w:tc>
          <w:tcPr>
            <w:tcW w:w="1137" w:type="dxa"/>
            <w:vAlign w:val="center"/>
          </w:tcPr>
          <w:p>
            <w:pPr>
              <w:pStyle w:val="39"/>
              <w:rPr>
                <w:rFonts w:ascii="Times New Roman" w:hAnsi="Times New Roman"/>
              </w:rPr>
            </w:pPr>
            <w:r>
              <w:rPr>
                <w:rFonts w:ascii="Times New Roman" w:hAnsi="Times New Roman"/>
              </w:rPr>
              <w:t>/</w:t>
            </w:r>
          </w:p>
        </w:tc>
        <w:tc>
          <w:tcPr>
            <w:tcW w:w="1138" w:type="dxa"/>
            <w:vAlign w:val="center"/>
          </w:tcPr>
          <w:p>
            <w:pPr>
              <w:pStyle w:val="39"/>
              <w:rPr>
                <w:rFonts w:ascii="Times New Roman" w:hAnsi="Times New Roman"/>
              </w:rPr>
            </w:pPr>
            <w:r>
              <w:rPr>
                <w:rFonts w:ascii="Times New Roman" w:hAnsi="Times New Roman"/>
              </w:rPr>
              <w:t>140.4</w:t>
            </w:r>
          </w:p>
        </w:tc>
        <w:tc>
          <w:tcPr>
            <w:tcW w:w="1496" w:type="dxa"/>
            <w:vAlign w:val="center"/>
          </w:tcPr>
          <w:p>
            <w:pPr>
              <w:pStyle w:val="39"/>
              <w:rPr>
                <w:rFonts w:ascii="Times New Roman" w:hAnsi="Times New Roman"/>
              </w:rPr>
            </w:pPr>
            <w:r>
              <w:rPr>
                <w:rFonts w:ascii="Times New Roman" w:hAnsi="Times New Roman"/>
              </w:rPr>
              <w:t>3.65</w:t>
            </w:r>
          </w:p>
        </w:tc>
        <w:tc>
          <w:tcPr>
            <w:tcW w:w="1497" w:type="dxa"/>
            <w:vAlign w:val="center"/>
          </w:tcPr>
          <w:p>
            <w:pPr>
              <w:pStyle w:val="39"/>
              <w:rPr>
                <w:rFonts w:ascii="Times New Roman" w:hAnsi="Times New Roman"/>
              </w:rPr>
            </w:pPr>
            <w:r>
              <w:rPr>
                <w:rFonts w:ascii="Times New Roman" w:hAnsi="Times New Roman"/>
              </w:rPr>
              <w:t>/</w:t>
            </w:r>
          </w:p>
        </w:tc>
        <w:tc>
          <w:tcPr>
            <w:tcW w:w="1499" w:type="dxa"/>
            <w:vMerge w:val="continue"/>
            <w:vAlign w:val="center"/>
          </w:tcPr>
          <w:p>
            <w:pPr>
              <w:pStyle w:val="39"/>
              <w:rPr>
                <w:rFonts w:ascii="Times New Roman" w:hAnsi="Times New Roman"/>
              </w:rPr>
            </w:pPr>
          </w:p>
        </w:tc>
      </w:tr>
    </w:tbl>
    <w:p>
      <w:pPr>
        <w:widowControl/>
        <w:tabs>
          <w:tab w:val="left" w:pos="420"/>
        </w:tabs>
        <w:ind w:firstLine="402"/>
        <w:jc w:val="center"/>
        <w:rPr>
          <w:rFonts w:ascii="Times New Roman" w:hAnsi="Times New Roman"/>
          <w:b/>
          <w:bCs/>
          <w:kern w:val="0"/>
          <w:sz w:val="20"/>
          <w:szCs w:val="20"/>
        </w:rPr>
      </w:pPr>
    </w:p>
    <w:tbl>
      <w:tblPr>
        <w:tblStyle w:val="28"/>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tcBorders>
              <w:top w:val="single" w:color="auto" w:sz="4" w:space="0"/>
              <w:left w:val="single" w:color="auto" w:sz="4" w:space="0"/>
              <w:bottom w:val="nil"/>
              <w:right w:val="single" w:color="auto" w:sz="4" w:space="0"/>
            </w:tcBorders>
            <w:vAlign w:val="center"/>
          </w:tcPr>
          <w:p>
            <w:pPr>
              <w:keepNext/>
              <w:spacing w:after="120" w:line="480" w:lineRule="auto"/>
              <w:ind w:firstLine="480"/>
              <w:rPr>
                <w:rFonts w:ascii="Times New Roman" w:hAnsi="Times New Roman"/>
                <w:szCs w:val="21"/>
              </w:rPr>
            </w:pPr>
            <w:r>
              <w:rPr>
                <w:rFonts w:ascii="Times New Roman" w:hAnsi="Times New Roman"/>
                <w:szCs w:val="21"/>
              </w:rPr>
              <w:drawing>
                <wp:inline distT="0" distB="0" distL="0" distR="0">
                  <wp:extent cx="5759450" cy="1887220"/>
                  <wp:effectExtent l="19050" t="0" r="0" b="0"/>
                  <wp:docPr id="1254388580" name="图片 1254388580" descr="C:\Users\Administrator\Desktop\宣兴\气田\氯化物-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388580" name="图片 1254388580" descr="C:\Users\Administrator\Desktop\宣兴\气田\氯化物-100.jpg"/>
                          <pic:cNvPicPr>
                            <a:picLocks noChangeAspect="1" noChangeArrowheads="1"/>
                          </pic:cNvPicPr>
                        </pic:nvPicPr>
                        <pic:blipFill>
                          <a:blip r:embed="rId114"/>
                          <a:srcRect/>
                          <a:stretch>
                            <a:fillRect/>
                          </a:stretch>
                        </pic:blipFill>
                        <pic:spPr>
                          <a:xfrm>
                            <a:off x="0" y="0"/>
                            <a:ext cx="5760000" cy="1887608"/>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100d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tcBorders>
              <w:top w:val="single" w:color="auto" w:sz="4" w:space="0"/>
              <w:left w:val="single" w:color="auto" w:sz="4" w:space="0"/>
              <w:bottom w:val="single" w:color="auto" w:sz="4" w:space="0"/>
              <w:right w:val="single" w:color="auto" w:sz="4" w:space="0"/>
            </w:tcBorders>
            <w:vAlign w:val="center"/>
          </w:tcPr>
          <w:p>
            <w:pPr>
              <w:keepNext/>
              <w:spacing w:after="120" w:line="480" w:lineRule="auto"/>
              <w:ind w:firstLine="480"/>
              <w:rPr>
                <w:rFonts w:ascii="Times New Roman" w:hAnsi="Times New Roman"/>
                <w:szCs w:val="21"/>
              </w:rPr>
            </w:pPr>
            <w:r>
              <w:rPr>
                <w:rFonts w:ascii="Times New Roman" w:hAnsi="Times New Roman"/>
                <w:szCs w:val="21"/>
              </w:rPr>
              <w:drawing>
                <wp:inline distT="0" distB="0" distL="0" distR="0">
                  <wp:extent cx="5759450" cy="1887220"/>
                  <wp:effectExtent l="19050" t="0" r="0" b="0"/>
                  <wp:docPr id="322357401" name="图片 322357401" descr="C:\Users\Administrator\Desktop\宣兴\气田\氯化物-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357401" name="图片 322357401" descr="C:\Users\Administrator\Desktop\宣兴\气田\氯化物-1000.jpg"/>
                          <pic:cNvPicPr>
                            <a:picLocks noChangeAspect="1" noChangeArrowheads="1"/>
                          </pic:cNvPicPr>
                        </pic:nvPicPr>
                        <pic:blipFill>
                          <a:blip r:embed="rId115"/>
                          <a:srcRect/>
                          <a:stretch>
                            <a:fillRect/>
                          </a:stretch>
                        </pic:blipFill>
                        <pic:spPr>
                          <a:xfrm>
                            <a:off x="0" y="0"/>
                            <a:ext cx="5760000" cy="1887608"/>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1000d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tcBorders>
              <w:top w:val="single" w:color="auto" w:sz="4" w:space="0"/>
              <w:left w:val="single" w:color="auto" w:sz="4" w:space="0"/>
              <w:bottom w:val="single" w:color="auto" w:sz="4" w:space="0"/>
              <w:right w:val="single" w:color="auto" w:sz="4" w:space="0"/>
            </w:tcBorders>
            <w:vAlign w:val="center"/>
          </w:tcPr>
          <w:p>
            <w:pPr>
              <w:keepNext/>
              <w:spacing w:after="120" w:line="480" w:lineRule="auto"/>
              <w:ind w:firstLine="480"/>
              <w:rPr>
                <w:rFonts w:ascii="Times New Roman" w:hAnsi="Times New Roman"/>
                <w:szCs w:val="21"/>
              </w:rPr>
            </w:pPr>
            <w:r>
              <w:rPr>
                <w:rFonts w:ascii="Times New Roman" w:hAnsi="Times New Roman"/>
                <w:szCs w:val="21"/>
              </w:rPr>
              <w:drawing>
                <wp:inline distT="0" distB="0" distL="0" distR="0">
                  <wp:extent cx="5759450" cy="1887220"/>
                  <wp:effectExtent l="19050" t="0" r="0" b="0"/>
                  <wp:docPr id="2114659963" name="图片 6" descr="C:\Users\Administrator\Desktop\宣兴\气田\氯化物-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659963" name="图片 6" descr="C:\Users\Administrator\Desktop\宣兴\气田\氯化物-3600.jpg"/>
                          <pic:cNvPicPr>
                            <a:picLocks noChangeAspect="1" noChangeArrowheads="1"/>
                          </pic:cNvPicPr>
                        </pic:nvPicPr>
                        <pic:blipFill>
                          <a:blip r:embed="rId116"/>
                          <a:srcRect/>
                          <a:stretch>
                            <a:fillRect/>
                          </a:stretch>
                        </pic:blipFill>
                        <pic:spPr>
                          <a:xfrm>
                            <a:off x="0" y="0"/>
                            <a:ext cx="5760000" cy="1887608"/>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3600d</w:t>
            </w:r>
          </w:p>
        </w:tc>
      </w:tr>
    </w:tbl>
    <w:p>
      <w:pPr>
        <w:pStyle w:val="37"/>
        <w:rPr>
          <w:rFonts w:ascii="Times New Roman" w:hAnsi="Times New Roman" w:cs="Times New Roman"/>
          <w:b/>
          <w:kern w:val="0"/>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b/>
          <w:kern w:val="0"/>
        </w:rPr>
        <w:t>泄漏点水流下游氯化物浓度变化分布图</w:t>
      </w:r>
    </w:p>
    <w:p>
      <w:pPr>
        <w:spacing w:after="120"/>
        <w:ind w:left="480" w:leftChars="200" w:firstLine="480"/>
        <w:rPr>
          <w:rFonts w:ascii="Times New Roman" w:hAnsi="Times New Roman"/>
        </w:rPr>
      </w:pPr>
      <w:r>
        <w:rPr>
          <w:rFonts w:ascii="Times New Roman" w:hAnsi="Times New Roman"/>
        </w:rPr>
        <w:t>3）地下水污染特征因子COD的影响范围及距离计算结果见下表、下图。</w:t>
      </w:r>
    </w:p>
    <w:p>
      <w:pPr>
        <w:spacing w:after="120"/>
        <w:ind w:left="480" w:leftChars="200" w:firstLine="480"/>
        <w:rPr>
          <w:rFonts w:ascii="Times New Roman" w:hAnsi="Times New Roman"/>
        </w:rPr>
      </w:pP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25</w:t>
      </w:r>
      <w:r>
        <w:rPr>
          <w:rFonts w:ascii="Times New Roman" w:hAnsi="Times New Roman" w:cs="Times New Roman"/>
        </w:rPr>
        <w:fldChar w:fldCharType="end"/>
      </w:r>
      <w:r>
        <w:rPr>
          <w:rFonts w:ascii="Times New Roman" w:hAnsi="Times New Roman" w:cs="Times New Roman"/>
        </w:rPr>
        <w:t xml:space="preserve">  地下水中COD超标及影响范围</w:t>
      </w:r>
    </w:p>
    <w:tbl>
      <w:tblPr>
        <w:tblStyle w:val="28"/>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1"/>
        <w:gridCol w:w="1298"/>
        <w:gridCol w:w="1167"/>
        <w:gridCol w:w="1157"/>
        <w:gridCol w:w="1586"/>
        <w:gridCol w:w="1320"/>
        <w:gridCol w:w="13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1381" w:type="dxa"/>
            <w:vAlign w:val="center"/>
          </w:tcPr>
          <w:p>
            <w:pPr>
              <w:pStyle w:val="39"/>
              <w:rPr>
                <w:rFonts w:ascii="Times New Roman" w:hAnsi="Times New Roman"/>
              </w:rPr>
            </w:pPr>
            <w:r>
              <w:rPr>
                <w:rFonts w:ascii="Times New Roman" w:hAnsi="Times New Roman"/>
              </w:rPr>
              <w:t>污染源总量(kg)</w:t>
            </w:r>
          </w:p>
        </w:tc>
        <w:tc>
          <w:tcPr>
            <w:tcW w:w="1298" w:type="dxa"/>
            <w:vAlign w:val="center"/>
          </w:tcPr>
          <w:p>
            <w:pPr>
              <w:pStyle w:val="39"/>
              <w:rPr>
                <w:rFonts w:ascii="Times New Roman" w:hAnsi="Times New Roman"/>
              </w:rPr>
            </w:pPr>
            <w:r>
              <w:rPr>
                <w:rFonts w:ascii="Times New Roman" w:hAnsi="Times New Roman"/>
              </w:rPr>
              <w:t>模拟时间(天）</w:t>
            </w:r>
          </w:p>
        </w:tc>
        <w:tc>
          <w:tcPr>
            <w:tcW w:w="1167" w:type="dxa"/>
            <w:vAlign w:val="center"/>
          </w:tcPr>
          <w:p>
            <w:pPr>
              <w:pStyle w:val="39"/>
              <w:rPr>
                <w:rFonts w:ascii="Times New Roman" w:hAnsi="Times New Roman"/>
              </w:rPr>
            </w:pPr>
            <w:r>
              <w:rPr>
                <w:rFonts w:ascii="Times New Roman" w:hAnsi="Times New Roman"/>
              </w:rPr>
              <w:t>最大超标距离(m)</w:t>
            </w:r>
          </w:p>
        </w:tc>
        <w:tc>
          <w:tcPr>
            <w:tcW w:w="1157" w:type="dxa"/>
            <w:vAlign w:val="center"/>
          </w:tcPr>
          <w:p>
            <w:pPr>
              <w:pStyle w:val="39"/>
              <w:rPr>
                <w:rFonts w:ascii="Times New Roman" w:hAnsi="Times New Roman"/>
              </w:rPr>
            </w:pPr>
            <w:r>
              <w:rPr>
                <w:rFonts w:ascii="Times New Roman" w:hAnsi="Times New Roman"/>
              </w:rPr>
              <w:t>中心迁移距离(m)</w:t>
            </w:r>
          </w:p>
        </w:tc>
        <w:tc>
          <w:tcPr>
            <w:tcW w:w="1586" w:type="dxa"/>
            <w:vAlign w:val="center"/>
          </w:tcPr>
          <w:p>
            <w:pPr>
              <w:pStyle w:val="39"/>
              <w:rPr>
                <w:rFonts w:ascii="Times New Roman" w:hAnsi="Times New Roman"/>
              </w:rPr>
            </w:pPr>
            <w:r>
              <w:rPr>
                <w:rFonts w:ascii="Times New Roman" w:hAnsi="Times New Roman"/>
              </w:rPr>
              <w:t>中心点处浓度(mg/L)</w:t>
            </w:r>
          </w:p>
        </w:tc>
        <w:tc>
          <w:tcPr>
            <w:tcW w:w="1320" w:type="dxa"/>
            <w:vAlign w:val="center"/>
          </w:tcPr>
          <w:p>
            <w:pPr>
              <w:pStyle w:val="39"/>
              <w:rPr>
                <w:rFonts w:ascii="Times New Roman" w:hAnsi="Times New Roman"/>
              </w:rPr>
            </w:pPr>
            <w:r>
              <w:rPr>
                <w:rFonts w:ascii="Times New Roman" w:hAnsi="Times New Roman"/>
              </w:rPr>
              <w:t>超标范围</w:t>
            </w:r>
          </w:p>
          <w:p>
            <w:pPr>
              <w:pStyle w:val="39"/>
              <w:rPr>
                <w:rFonts w:ascii="Times New Roman" w:hAnsi="Times New Roman"/>
              </w:rPr>
            </w:pPr>
            <w:r>
              <w:rPr>
                <w:rFonts w:ascii="Times New Roman" w:hAnsi="Times New Roman"/>
              </w:rPr>
              <w:t>(m</w:t>
            </w:r>
            <w:r>
              <w:rPr>
                <w:rFonts w:ascii="Times New Roman" w:hAnsi="Times New Roman"/>
                <w:vertAlign w:val="superscript"/>
              </w:rPr>
              <w:t>2</w:t>
            </w:r>
            <w:r>
              <w:rPr>
                <w:rFonts w:ascii="Times New Roman" w:hAnsi="Times New Roman"/>
              </w:rPr>
              <w:t>)</w:t>
            </w:r>
          </w:p>
        </w:tc>
        <w:tc>
          <w:tcPr>
            <w:tcW w:w="1377" w:type="dxa"/>
            <w:vAlign w:val="center"/>
          </w:tcPr>
          <w:p>
            <w:pPr>
              <w:pStyle w:val="39"/>
              <w:rPr>
                <w:rFonts w:ascii="Times New Roman" w:hAnsi="Times New Roman"/>
              </w:rPr>
            </w:pPr>
            <w:r>
              <w:rPr>
                <w:rFonts w:ascii="Times New Roman" w:hAnsi="Times New Roman"/>
              </w:rPr>
              <w:t>背景值(mg/L)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1381" w:type="dxa"/>
            <w:vMerge w:val="restart"/>
            <w:vAlign w:val="center"/>
          </w:tcPr>
          <w:p>
            <w:pPr>
              <w:pStyle w:val="39"/>
              <w:rPr>
                <w:rFonts w:ascii="Times New Roman" w:hAnsi="Times New Roman"/>
              </w:rPr>
            </w:pPr>
            <w:r>
              <w:rPr>
                <w:rFonts w:ascii="Times New Roman" w:hAnsi="Times New Roman"/>
              </w:rPr>
              <w:t>0.092</w:t>
            </w:r>
          </w:p>
        </w:tc>
        <w:tc>
          <w:tcPr>
            <w:tcW w:w="1298" w:type="dxa"/>
            <w:vAlign w:val="center"/>
          </w:tcPr>
          <w:p>
            <w:pPr>
              <w:pStyle w:val="39"/>
              <w:rPr>
                <w:rFonts w:ascii="Times New Roman" w:hAnsi="Times New Roman"/>
              </w:rPr>
            </w:pPr>
            <w:r>
              <w:rPr>
                <w:rFonts w:ascii="Times New Roman" w:hAnsi="Times New Roman"/>
              </w:rPr>
              <w:t>100</w:t>
            </w:r>
          </w:p>
        </w:tc>
        <w:tc>
          <w:tcPr>
            <w:tcW w:w="1167" w:type="dxa"/>
            <w:vAlign w:val="center"/>
          </w:tcPr>
          <w:p>
            <w:pPr>
              <w:pStyle w:val="39"/>
              <w:rPr>
                <w:rFonts w:ascii="Times New Roman" w:hAnsi="Times New Roman"/>
              </w:rPr>
            </w:pPr>
            <w:r>
              <w:rPr>
                <w:rFonts w:ascii="Times New Roman" w:hAnsi="Times New Roman"/>
              </w:rPr>
              <w:t>/</w:t>
            </w:r>
          </w:p>
        </w:tc>
        <w:tc>
          <w:tcPr>
            <w:tcW w:w="1157" w:type="dxa"/>
            <w:vAlign w:val="center"/>
          </w:tcPr>
          <w:p>
            <w:pPr>
              <w:pStyle w:val="39"/>
              <w:rPr>
                <w:rFonts w:ascii="Times New Roman" w:hAnsi="Times New Roman"/>
              </w:rPr>
            </w:pPr>
            <w:r>
              <w:rPr>
                <w:rFonts w:ascii="Times New Roman" w:hAnsi="Times New Roman"/>
              </w:rPr>
              <w:t>3.9</w:t>
            </w:r>
          </w:p>
        </w:tc>
        <w:tc>
          <w:tcPr>
            <w:tcW w:w="1586" w:type="dxa"/>
            <w:vAlign w:val="center"/>
          </w:tcPr>
          <w:p>
            <w:pPr>
              <w:pStyle w:val="39"/>
              <w:rPr>
                <w:rFonts w:ascii="Times New Roman" w:hAnsi="Times New Roman"/>
              </w:rPr>
            </w:pPr>
            <w:r>
              <w:rPr>
                <w:rFonts w:ascii="Times New Roman" w:hAnsi="Times New Roman"/>
              </w:rPr>
              <w:t>0.463</w:t>
            </w:r>
          </w:p>
        </w:tc>
        <w:tc>
          <w:tcPr>
            <w:tcW w:w="1320" w:type="dxa"/>
            <w:vAlign w:val="center"/>
          </w:tcPr>
          <w:p>
            <w:pPr>
              <w:pStyle w:val="39"/>
              <w:rPr>
                <w:rFonts w:ascii="Times New Roman" w:hAnsi="Times New Roman"/>
              </w:rPr>
            </w:pPr>
            <w:r>
              <w:rPr>
                <w:rFonts w:ascii="Times New Roman" w:hAnsi="Times New Roman"/>
              </w:rPr>
              <w:t>/</w:t>
            </w:r>
          </w:p>
        </w:tc>
        <w:tc>
          <w:tcPr>
            <w:tcW w:w="1377" w:type="dxa"/>
            <w:vMerge w:val="restart"/>
            <w:vAlign w:val="center"/>
          </w:tcPr>
          <w:p>
            <w:pPr>
              <w:pStyle w:val="39"/>
              <w:rPr>
                <w:rFonts w:ascii="Times New Roman" w:hAnsi="Times New Roman"/>
              </w:rPr>
            </w:pPr>
            <w:r>
              <w:rPr>
                <w:rFonts w:ascii="Times New Roman" w:hAnsi="Times New Roman"/>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1381" w:type="dxa"/>
            <w:vMerge w:val="continue"/>
            <w:vAlign w:val="center"/>
          </w:tcPr>
          <w:p>
            <w:pPr>
              <w:pStyle w:val="39"/>
              <w:rPr>
                <w:rFonts w:ascii="Times New Roman" w:hAnsi="Times New Roman"/>
              </w:rPr>
            </w:pPr>
          </w:p>
        </w:tc>
        <w:tc>
          <w:tcPr>
            <w:tcW w:w="1298" w:type="dxa"/>
            <w:vAlign w:val="center"/>
          </w:tcPr>
          <w:p>
            <w:pPr>
              <w:pStyle w:val="39"/>
              <w:rPr>
                <w:rFonts w:ascii="Times New Roman" w:hAnsi="Times New Roman"/>
              </w:rPr>
            </w:pPr>
            <w:r>
              <w:rPr>
                <w:rFonts w:ascii="Times New Roman" w:hAnsi="Times New Roman"/>
              </w:rPr>
              <w:t>1000</w:t>
            </w:r>
          </w:p>
        </w:tc>
        <w:tc>
          <w:tcPr>
            <w:tcW w:w="1167" w:type="dxa"/>
            <w:vAlign w:val="center"/>
          </w:tcPr>
          <w:p>
            <w:pPr>
              <w:pStyle w:val="39"/>
              <w:rPr>
                <w:rFonts w:ascii="Times New Roman" w:hAnsi="Times New Roman"/>
              </w:rPr>
            </w:pPr>
            <w:r>
              <w:rPr>
                <w:rFonts w:ascii="Times New Roman" w:hAnsi="Times New Roman"/>
              </w:rPr>
              <w:t>/</w:t>
            </w:r>
          </w:p>
        </w:tc>
        <w:tc>
          <w:tcPr>
            <w:tcW w:w="1157" w:type="dxa"/>
            <w:vAlign w:val="center"/>
          </w:tcPr>
          <w:p>
            <w:pPr>
              <w:pStyle w:val="39"/>
              <w:rPr>
                <w:rFonts w:ascii="Times New Roman" w:hAnsi="Times New Roman"/>
              </w:rPr>
            </w:pPr>
            <w:r>
              <w:rPr>
                <w:rFonts w:ascii="Times New Roman" w:hAnsi="Times New Roman"/>
              </w:rPr>
              <w:t>39</w:t>
            </w:r>
          </w:p>
        </w:tc>
        <w:tc>
          <w:tcPr>
            <w:tcW w:w="1586" w:type="dxa"/>
            <w:vAlign w:val="center"/>
          </w:tcPr>
          <w:p>
            <w:pPr>
              <w:pStyle w:val="39"/>
              <w:rPr>
                <w:rFonts w:ascii="Times New Roman" w:hAnsi="Times New Roman"/>
              </w:rPr>
            </w:pPr>
            <w:r>
              <w:rPr>
                <w:rFonts w:ascii="Times New Roman" w:hAnsi="Times New Roman"/>
              </w:rPr>
              <w:t>0.046</w:t>
            </w:r>
          </w:p>
        </w:tc>
        <w:tc>
          <w:tcPr>
            <w:tcW w:w="1320" w:type="dxa"/>
            <w:vAlign w:val="center"/>
          </w:tcPr>
          <w:p>
            <w:pPr>
              <w:pStyle w:val="39"/>
              <w:rPr>
                <w:rFonts w:ascii="Times New Roman" w:hAnsi="Times New Roman"/>
              </w:rPr>
            </w:pPr>
            <w:r>
              <w:rPr>
                <w:rFonts w:ascii="Times New Roman" w:hAnsi="Times New Roman"/>
              </w:rPr>
              <w:t>/</w:t>
            </w:r>
          </w:p>
        </w:tc>
        <w:tc>
          <w:tcPr>
            <w:tcW w:w="1377"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1381" w:type="dxa"/>
            <w:vMerge w:val="continue"/>
            <w:vAlign w:val="center"/>
          </w:tcPr>
          <w:p>
            <w:pPr>
              <w:pStyle w:val="39"/>
              <w:rPr>
                <w:rFonts w:ascii="Times New Roman" w:hAnsi="Times New Roman"/>
              </w:rPr>
            </w:pPr>
          </w:p>
        </w:tc>
        <w:tc>
          <w:tcPr>
            <w:tcW w:w="1298" w:type="dxa"/>
            <w:vAlign w:val="center"/>
          </w:tcPr>
          <w:p>
            <w:pPr>
              <w:pStyle w:val="39"/>
              <w:rPr>
                <w:rFonts w:ascii="Times New Roman" w:hAnsi="Times New Roman"/>
              </w:rPr>
            </w:pPr>
            <w:r>
              <w:rPr>
                <w:rFonts w:ascii="Times New Roman" w:hAnsi="Times New Roman"/>
              </w:rPr>
              <w:t>3600</w:t>
            </w:r>
          </w:p>
        </w:tc>
        <w:tc>
          <w:tcPr>
            <w:tcW w:w="1167" w:type="dxa"/>
            <w:vAlign w:val="center"/>
          </w:tcPr>
          <w:p>
            <w:pPr>
              <w:pStyle w:val="39"/>
              <w:rPr>
                <w:rFonts w:ascii="Times New Roman" w:hAnsi="Times New Roman"/>
              </w:rPr>
            </w:pPr>
            <w:r>
              <w:rPr>
                <w:rFonts w:ascii="Times New Roman" w:hAnsi="Times New Roman"/>
              </w:rPr>
              <w:t>/</w:t>
            </w:r>
          </w:p>
        </w:tc>
        <w:tc>
          <w:tcPr>
            <w:tcW w:w="1157" w:type="dxa"/>
            <w:vAlign w:val="center"/>
          </w:tcPr>
          <w:p>
            <w:pPr>
              <w:pStyle w:val="39"/>
              <w:rPr>
                <w:rFonts w:ascii="Times New Roman" w:hAnsi="Times New Roman"/>
              </w:rPr>
            </w:pPr>
            <w:r>
              <w:rPr>
                <w:rFonts w:ascii="Times New Roman" w:hAnsi="Times New Roman"/>
              </w:rPr>
              <w:t>140.4</w:t>
            </w:r>
          </w:p>
        </w:tc>
        <w:tc>
          <w:tcPr>
            <w:tcW w:w="1586" w:type="dxa"/>
            <w:vAlign w:val="center"/>
          </w:tcPr>
          <w:p>
            <w:pPr>
              <w:pStyle w:val="39"/>
              <w:rPr>
                <w:rFonts w:ascii="Times New Roman" w:hAnsi="Times New Roman"/>
              </w:rPr>
            </w:pPr>
            <w:r>
              <w:rPr>
                <w:rFonts w:ascii="Times New Roman" w:hAnsi="Times New Roman"/>
              </w:rPr>
              <w:t>0.012</w:t>
            </w:r>
          </w:p>
        </w:tc>
        <w:tc>
          <w:tcPr>
            <w:tcW w:w="1320" w:type="dxa"/>
            <w:vAlign w:val="center"/>
          </w:tcPr>
          <w:p>
            <w:pPr>
              <w:pStyle w:val="39"/>
              <w:rPr>
                <w:rFonts w:ascii="Times New Roman" w:hAnsi="Times New Roman"/>
              </w:rPr>
            </w:pPr>
            <w:r>
              <w:rPr>
                <w:rFonts w:ascii="Times New Roman" w:hAnsi="Times New Roman"/>
              </w:rPr>
              <w:t>/</w:t>
            </w:r>
          </w:p>
        </w:tc>
        <w:tc>
          <w:tcPr>
            <w:tcW w:w="1377" w:type="dxa"/>
            <w:vMerge w:val="continue"/>
            <w:vAlign w:val="center"/>
          </w:tcPr>
          <w:p>
            <w:pPr>
              <w:pStyle w:val="39"/>
              <w:rPr>
                <w:rFonts w:ascii="Times New Roman" w:hAnsi="Times New Roman"/>
              </w:rPr>
            </w:pPr>
          </w:p>
        </w:tc>
      </w:tr>
    </w:tbl>
    <w:p>
      <w:pPr>
        <w:widowControl/>
        <w:tabs>
          <w:tab w:val="left" w:pos="420"/>
        </w:tabs>
        <w:adjustRightInd w:val="0"/>
        <w:snapToGrid w:val="0"/>
        <w:ind w:firstLine="400"/>
        <w:jc w:val="center"/>
        <w:rPr>
          <w:rFonts w:ascii="Times New Roman" w:hAnsi="Times New Roman"/>
          <w:kern w:val="0"/>
          <w:sz w:val="20"/>
          <w:szCs w:val="20"/>
        </w:rPr>
      </w:pPr>
    </w:p>
    <w:tbl>
      <w:tblPr>
        <w:tblStyle w:val="28"/>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tcBorders>
              <w:top w:val="single" w:color="auto" w:sz="4" w:space="0"/>
              <w:left w:val="single" w:color="auto" w:sz="4" w:space="0"/>
              <w:bottom w:val="nil"/>
              <w:right w:val="single" w:color="auto" w:sz="4" w:space="0"/>
            </w:tcBorders>
            <w:vAlign w:val="center"/>
          </w:tcPr>
          <w:p>
            <w:pPr>
              <w:keepNext/>
              <w:spacing w:after="120" w:line="480" w:lineRule="auto"/>
              <w:ind w:firstLine="480"/>
              <w:jc w:val="center"/>
              <w:rPr>
                <w:rFonts w:ascii="Times New Roman" w:hAnsi="Times New Roman"/>
                <w:szCs w:val="21"/>
              </w:rPr>
            </w:pPr>
            <w:r>
              <w:rPr>
                <w:rFonts w:ascii="Times New Roman" w:hAnsi="Times New Roman"/>
                <w:szCs w:val="21"/>
              </w:rPr>
              <w:drawing>
                <wp:inline distT="0" distB="0" distL="0" distR="0">
                  <wp:extent cx="5759450" cy="1885950"/>
                  <wp:effectExtent l="19050" t="0" r="0" b="0"/>
                  <wp:docPr id="125" name="图片 1" descr="C:\Users\Administrator\Desktop\宣兴\气田\COD-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descr="C:\Users\Administrator\Desktop\宣兴\气田\COD-100.jpg"/>
                          <pic:cNvPicPr>
                            <a:picLocks noChangeAspect="1" noChangeArrowheads="1"/>
                          </pic:cNvPicPr>
                        </pic:nvPicPr>
                        <pic:blipFill>
                          <a:blip r:embed="rId117"/>
                          <a:srcRect/>
                          <a:stretch>
                            <a:fillRect/>
                          </a:stretch>
                        </pic:blipFill>
                        <pic:spPr>
                          <a:xfrm>
                            <a:off x="0" y="0"/>
                            <a:ext cx="5760000" cy="1886145"/>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100d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tcBorders>
              <w:top w:val="single" w:color="auto" w:sz="4" w:space="0"/>
              <w:left w:val="single" w:color="auto" w:sz="4" w:space="0"/>
              <w:bottom w:val="single" w:color="auto" w:sz="4" w:space="0"/>
              <w:right w:val="single" w:color="auto" w:sz="4" w:space="0"/>
            </w:tcBorders>
            <w:vAlign w:val="center"/>
          </w:tcPr>
          <w:p>
            <w:pPr>
              <w:keepNext/>
              <w:spacing w:after="120" w:line="480" w:lineRule="auto"/>
              <w:ind w:firstLine="480"/>
              <w:rPr>
                <w:rFonts w:ascii="Times New Roman" w:hAnsi="Times New Roman"/>
                <w:szCs w:val="21"/>
              </w:rPr>
            </w:pPr>
            <w:r>
              <w:rPr>
                <w:rFonts w:ascii="Times New Roman" w:hAnsi="Times New Roman"/>
                <w:szCs w:val="21"/>
              </w:rPr>
              <w:drawing>
                <wp:inline distT="0" distB="0" distL="0" distR="0">
                  <wp:extent cx="5759450" cy="1887220"/>
                  <wp:effectExtent l="19050" t="0" r="0" b="0"/>
                  <wp:docPr id="126" name="图片 2" descr="C:\Users\Administrator\Desktop\宣兴\气田\COD-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 descr="C:\Users\Administrator\Desktop\宣兴\气田\COD-1000.jpg"/>
                          <pic:cNvPicPr>
                            <a:picLocks noChangeAspect="1" noChangeArrowheads="1"/>
                          </pic:cNvPicPr>
                        </pic:nvPicPr>
                        <pic:blipFill>
                          <a:blip r:embed="rId118"/>
                          <a:srcRect/>
                          <a:stretch>
                            <a:fillRect/>
                          </a:stretch>
                        </pic:blipFill>
                        <pic:spPr>
                          <a:xfrm>
                            <a:off x="0" y="0"/>
                            <a:ext cx="5760000" cy="1887608"/>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1000d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tcBorders>
              <w:top w:val="single" w:color="auto" w:sz="4" w:space="0"/>
              <w:left w:val="single" w:color="auto" w:sz="4" w:space="0"/>
              <w:bottom w:val="single" w:color="auto" w:sz="4" w:space="0"/>
              <w:right w:val="single" w:color="auto" w:sz="4" w:space="0"/>
            </w:tcBorders>
            <w:vAlign w:val="center"/>
          </w:tcPr>
          <w:p>
            <w:pPr>
              <w:keepNext/>
              <w:spacing w:after="120" w:line="480" w:lineRule="auto"/>
              <w:ind w:firstLine="480"/>
              <w:rPr>
                <w:rFonts w:ascii="Times New Roman" w:hAnsi="Times New Roman"/>
                <w:szCs w:val="21"/>
              </w:rPr>
            </w:pPr>
            <w:r>
              <w:rPr>
                <w:rFonts w:ascii="Times New Roman" w:hAnsi="Times New Roman"/>
                <w:szCs w:val="21"/>
              </w:rPr>
              <w:drawing>
                <wp:inline distT="0" distB="0" distL="0" distR="0">
                  <wp:extent cx="5759450" cy="1887220"/>
                  <wp:effectExtent l="19050" t="0" r="0" b="0"/>
                  <wp:docPr id="127" name="图片 3" descr="C:\Users\Administrator\Desktop\宣兴\气田\COD-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 descr="C:\Users\Administrator\Desktop\宣兴\气田\COD-3600.jpg"/>
                          <pic:cNvPicPr>
                            <a:picLocks noChangeAspect="1" noChangeArrowheads="1"/>
                          </pic:cNvPicPr>
                        </pic:nvPicPr>
                        <pic:blipFill>
                          <a:blip r:embed="rId119"/>
                          <a:srcRect/>
                          <a:stretch>
                            <a:fillRect/>
                          </a:stretch>
                        </pic:blipFill>
                        <pic:spPr>
                          <a:xfrm>
                            <a:off x="0" y="0"/>
                            <a:ext cx="5760000" cy="1887608"/>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3600d</w:t>
            </w:r>
          </w:p>
        </w:tc>
      </w:tr>
    </w:tbl>
    <w:p>
      <w:pPr>
        <w:pStyle w:val="37"/>
        <w:rPr>
          <w:rFonts w:ascii="Times New Roman" w:hAnsi="Times New Roman" w:cs="Times New Roman"/>
          <w:b/>
          <w:kern w:val="0"/>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b/>
          <w:kern w:val="0"/>
        </w:rPr>
        <w:t>泄漏点水流下游COD浓度变化分布图</w:t>
      </w:r>
    </w:p>
    <w:p>
      <w:pPr>
        <w:spacing w:before="156" w:beforeLines="50"/>
        <w:ind w:firstLine="482"/>
        <w:rPr>
          <w:rFonts w:ascii="Times New Roman" w:hAnsi="Times New Roman"/>
          <w:b/>
          <w:bCs/>
          <w:u w:val="single"/>
        </w:rPr>
      </w:pPr>
      <w:r>
        <w:rPr>
          <w:rFonts w:ascii="Times New Roman" w:hAnsi="Times New Roman"/>
          <w:b/>
          <w:bCs/>
          <w:u w:val="single"/>
        </w:rPr>
        <w:t>宣探1#井站气田水罐泄漏预测结果：</w:t>
      </w:r>
    </w:p>
    <w:p>
      <w:pPr>
        <w:spacing w:before="156" w:beforeLines="50"/>
        <w:ind w:firstLine="480"/>
        <w:rPr>
          <w:rFonts w:ascii="Times New Roman" w:hAnsi="Times New Roman"/>
        </w:rPr>
      </w:pPr>
      <w:r>
        <w:rPr>
          <w:rFonts w:ascii="Times New Roman" w:hAnsi="Times New Roman"/>
        </w:rPr>
        <w:t>1）地下水污染特征因子石油类的影响范围及距离计算结果见下表、下图。</w:t>
      </w:r>
    </w:p>
    <w:p>
      <w:pPr>
        <w:pStyle w:val="37"/>
        <w:rPr>
          <w:rFonts w:ascii="Times New Roman" w:hAnsi="Times New Roman" w:cs="Times New Roman"/>
          <w:b/>
          <w:bCs/>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26</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b/>
          <w:bCs/>
        </w:rPr>
        <w:t>地下水中</w:t>
      </w:r>
      <w:r>
        <w:rPr>
          <w:rFonts w:ascii="Times New Roman" w:hAnsi="Times New Roman" w:cs="Times New Roman"/>
          <w:b/>
        </w:rPr>
        <w:t>石油类</w:t>
      </w:r>
      <w:r>
        <w:rPr>
          <w:rFonts w:ascii="Times New Roman" w:hAnsi="Times New Roman" w:cs="Times New Roman"/>
          <w:b/>
          <w:bCs/>
        </w:rPr>
        <w:t>超标及影响范围</w:t>
      </w:r>
    </w:p>
    <w:tbl>
      <w:tblPr>
        <w:tblStyle w:val="28"/>
        <w:tblW w:w="94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1"/>
        <w:gridCol w:w="1139"/>
        <w:gridCol w:w="1137"/>
        <w:gridCol w:w="1138"/>
        <w:gridCol w:w="1496"/>
        <w:gridCol w:w="1497"/>
        <w:gridCol w:w="1198"/>
        <w:gridCol w:w="8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11" w:type="dxa"/>
          <w:trHeight w:val="689" w:hRule="atLeast"/>
        </w:trPr>
        <w:tc>
          <w:tcPr>
            <w:tcW w:w="1061" w:type="dxa"/>
            <w:vAlign w:val="center"/>
          </w:tcPr>
          <w:p>
            <w:pPr>
              <w:pStyle w:val="39"/>
              <w:rPr>
                <w:rFonts w:ascii="Times New Roman" w:hAnsi="Times New Roman"/>
              </w:rPr>
            </w:pPr>
            <w:r>
              <w:rPr>
                <w:rFonts w:ascii="Times New Roman" w:hAnsi="Times New Roman"/>
              </w:rPr>
              <w:t>污染源总量(kg)</w:t>
            </w:r>
          </w:p>
        </w:tc>
        <w:tc>
          <w:tcPr>
            <w:tcW w:w="1139" w:type="dxa"/>
            <w:vAlign w:val="center"/>
          </w:tcPr>
          <w:p>
            <w:pPr>
              <w:pStyle w:val="39"/>
              <w:rPr>
                <w:rFonts w:ascii="Times New Roman" w:hAnsi="Times New Roman"/>
              </w:rPr>
            </w:pPr>
            <w:r>
              <w:rPr>
                <w:rFonts w:ascii="Times New Roman" w:hAnsi="Times New Roman"/>
              </w:rPr>
              <w:t>模拟时间(天）</w:t>
            </w:r>
          </w:p>
        </w:tc>
        <w:tc>
          <w:tcPr>
            <w:tcW w:w="1137" w:type="dxa"/>
            <w:vAlign w:val="center"/>
          </w:tcPr>
          <w:p>
            <w:pPr>
              <w:pStyle w:val="39"/>
              <w:rPr>
                <w:rFonts w:ascii="Times New Roman" w:hAnsi="Times New Roman"/>
              </w:rPr>
            </w:pPr>
            <w:r>
              <w:rPr>
                <w:rFonts w:ascii="Times New Roman" w:hAnsi="Times New Roman"/>
              </w:rPr>
              <w:t>最大超标距离(m)</w:t>
            </w:r>
          </w:p>
        </w:tc>
        <w:tc>
          <w:tcPr>
            <w:tcW w:w="1138" w:type="dxa"/>
            <w:vAlign w:val="center"/>
          </w:tcPr>
          <w:p>
            <w:pPr>
              <w:pStyle w:val="39"/>
              <w:rPr>
                <w:rFonts w:ascii="Times New Roman" w:hAnsi="Times New Roman"/>
              </w:rPr>
            </w:pPr>
            <w:r>
              <w:rPr>
                <w:rFonts w:ascii="Times New Roman" w:hAnsi="Times New Roman"/>
              </w:rPr>
              <w:t>中心迁移距离(m)</w:t>
            </w:r>
          </w:p>
        </w:tc>
        <w:tc>
          <w:tcPr>
            <w:tcW w:w="1496" w:type="dxa"/>
            <w:vAlign w:val="center"/>
          </w:tcPr>
          <w:p>
            <w:pPr>
              <w:pStyle w:val="39"/>
              <w:rPr>
                <w:rFonts w:ascii="Times New Roman" w:hAnsi="Times New Roman"/>
              </w:rPr>
            </w:pPr>
            <w:r>
              <w:rPr>
                <w:rFonts w:ascii="Times New Roman" w:hAnsi="Times New Roman"/>
              </w:rPr>
              <w:t>中心点处浓度(mg/L)</w:t>
            </w:r>
          </w:p>
        </w:tc>
        <w:tc>
          <w:tcPr>
            <w:tcW w:w="1497" w:type="dxa"/>
            <w:vAlign w:val="center"/>
          </w:tcPr>
          <w:p>
            <w:pPr>
              <w:pStyle w:val="39"/>
              <w:rPr>
                <w:rFonts w:ascii="Times New Roman" w:hAnsi="Times New Roman"/>
              </w:rPr>
            </w:pPr>
            <w:r>
              <w:rPr>
                <w:rFonts w:ascii="Times New Roman" w:hAnsi="Times New Roman"/>
              </w:rPr>
              <w:t>超标范围</w:t>
            </w:r>
          </w:p>
          <w:p>
            <w:pPr>
              <w:pStyle w:val="39"/>
              <w:rPr>
                <w:rFonts w:ascii="Times New Roman" w:hAnsi="Times New Roman"/>
              </w:rPr>
            </w:pPr>
            <w:r>
              <w:rPr>
                <w:rFonts w:ascii="Times New Roman" w:hAnsi="Times New Roman"/>
              </w:rPr>
              <w:t>(m</w:t>
            </w:r>
            <w:r>
              <w:rPr>
                <w:rFonts w:ascii="Times New Roman" w:hAnsi="Times New Roman"/>
                <w:vertAlign w:val="superscript"/>
              </w:rPr>
              <w:t>2</w:t>
            </w:r>
            <w:r>
              <w:rPr>
                <w:rFonts w:ascii="Times New Roman" w:hAnsi="Times New Roman"/>
              </w:rPr>
              <w:t>)</w:t>
            </w:r>
          </w:p>
        </w:tc>
        <w:tc>
          <w:tcPr>
            <w:tcW w:w="1198" w:type="dxa"/>
            <w:vAlign w:val="center"/>
          </w:tcPr>
          <w:p>
            <w:pPr>
              <w:pStyle w:val="39"/>
              <w:rPr>
                <w:rFonts w:ascii="Times New Roman" w:hAnsi="Times New Roman"/>
              </w:rPr>
            </w:pPr>
            <w:r>
              <w:rPr>
                <w:rFonts w:ascii="Times New Roman" w:hAnsi="Times New Roman"/>
              </w:rPr>
              <w:t>背景值(mg/L)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11" w:type="dxa"/>
          <w:trHeight w:val="287" w:hRule="atLeast"/>
        </w:trPr>
        <w:tc>
          <w:tcPr>
            <w:tcW w:w="1061" w:type="dxa"/>
            <w:vMerge w:val="restart"/>
            <w:vAlign w:val="center"/>
          </w:tcPr>
          <w:p>
            <w:pPr>
              <w:pStyle w:val="39"/>
              <w:rPr>
                <w:rFonts w:ascii="Times New Roman" w:hAnsi="Times New Roman"/>
              </w:rPr>
            </w:pPr>
            <w:r>
              <w:rPr>
                <w:rFonts w:ascii="Times New Roman" w:hAnsi="Times New Roman"/>
              </w:rPr>
              <w:t>0.0046</w:t>
            </w:r>
          </w:p>
        </w:tc>
        <w:tc>
          <w:tcPr>
            <w:tcW w:w="1139" w:type="dxa"/>
            <w:vAlign w:val="center"/>
          </w:tcPr>
          <w:p>
            <w:pPr>
              <w:pStyle w:val="39"/>
              <w:rPr>
                <w:rFonts w:ascii="Times New Roman" w:hAnsi="Times New Roman"/>
              </w:rPr>
            </w:pPr>
            <w:r>
              <w:rPr>
                <w:rFonts w:ascii="Times New Roman" w:hAnsi="Times New Roman"/>
              </w:rPr>
              <w:t>100</w:t>
            </w:r>
          </w:p>
        </w:tc>
        <w:tc>
          <w:tcPr>
            <w:tcW w:w="1137" w:type="dxa"/>
            <w:vAlign w:val="center"/>
          </w:tcPr>
          <w:p>
            <w:pPr>
              <w:pStyle w:val="39"/>
              <w:rPr>
                <w:rFonts w:ascii="Times New Roman" w:hAnsi="Times New Roman"/>
              </w:rPr>
            </w:pPr>
            <w:r>
              <w:rPr>
                <w:rFonts w:ascii="Times New Roman" w:hAnsi="Times New Roman"/>
              </w:rPr>
              <w:t>/</w:t>
            </w:r>
          </w:p>
        </w:tc>
        <w:tc>
          <w:tcPr>
            <w:tcW w:w="1138" w:type="dxa"/>
            <w:vAlign w:val="center"/>
          </w:tcPr>
          <w:p>
            <w:pPr>
              <w:pStyle w:val="39"/>
              <w:rPr>
                <w:rFonts w:ascii="Times New Roman" w:hAnsi="Times New Roman"/>
              </w:rPr>
            </w:pPr>
            <w:r>
              <w:rPr>
                <w:rFonts w:ascii="Times New Roman" w:hAnsi="Times New Roman"/>
              </w:rPr>
              <w:t>4.7</w:t>
            </w:r>
          </w:p>
        </w:tc>
        <w:tc>
          <w:tcPr>
            <w:tcW w:w="1496" w:type="dxa"/>
            <w:vAlign w:val="center"/>
          </w:tcPr>
          <w:p>
            <w:pPr>
              <w:pStyle w:val="39"/>
              <w:rPr>
                <w:rFonts w:ascii="Times New Roman" w:hAnsi="Times New Roman"/>
              </w:rPr>
            </w:pPr>
            <w:r>
              <w:rPr>
                <w:rFonts w:ascii="Times New Roman" w:hAnsi="Times New Roman"/>
              </w:rPr>
              <w:t>0.021</w:t>
            </w:r>
          </w:p>
        </w:tc>
        <w:tc>
          <w:tcPr>
            <w:tcW w:w="1497" w:type="dxa"/>
            <w:vAlign w:val="center"/>
          </w:tcPr>
          <w:p>
            <w:pPr>
              <w:pStyle w:val="39"/>
              <w:rPr>
                <w:rFonts w:ascii="Times New Roman" w:hAnsi="Times New Roman"/>
              </w:rPr>
            </w:pPr>
            <w:r>
              <w:rPr>
                <w:rFonts w:ascii="Times New Roman" w:hAnsi="Times New Roman"/>
              </w:rPr>
              <w:t>/</w:t>
            </w:r>
          </w:p>
        </w:tc>
        <w:tc>
          <w:tcPr>
            <w:tcW w:w="1198" w:type="dxa"/>
            <w:vMerge w:val="restart"/>
            <w:vAlign w:val="center"/>
          </w:tcPr>
          <w:p>
            <w:pPr>
              <w:pStyle w:val="39"/>
              <w:rPr>
                <w:rFonts w:ascii="Times New Roman" w:hAnsi="Times New Roman"/>
              </w:rPr>
            </w:pPr>
            <w:r>
              <w:rPr>
                <w:rFonts w:ascii="Times New Roman" w:hAnsi="Times New Roman"/>
                <w:kern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11" w:type="dxa"/>
          <w:trHeight w:val="287" w:hRule="atLeast"/>
        </w:trPr>
        <w:tc>
          <w:tcPr>
            <w:tcW w:w="1061" w:type="dxa"/>
            <w:vMerge w:val="continue"/>
            <w:vAlign w:val="center"/>
          </w:tcPr>
          <w:p>
            <w:pPr>
              <w:pStyle w:val="39"/>
              <w:rPr>
                <w:rFonts w:ascii="Times New Roman" w:hAnsi="Times New Roman"/>
              </w:rPr>
            </w:pPr>
          </w:p>
        </w:tc>
        <w:tc>
          <w:tcPr>
            <w:tcW w:w="1139" w:type="dxa"/>
            <w:vAlign w:val="center"/>
          </w:tcPr>
          <w:p>
            <w:pPr>
              <w:pStyle w:val="39"/>
              <w:rPr>
                <w:rFonts w:ascii="Times New Roman" w:hAnsi="Times New Roman"/>
              </w:rPr>
            </w:pPr>
            <w:r>
              <w:rPr>
                <w:rFonts w:ascii="Times New Roman" w:hAnsi="Times New Roman"/>
              </w:rPr>
              <w:t>1000</w:t>
            </w:r>
          </w:p>
        </w:tc>
        <w:tc>
          <w:tcPr>
            <w:tcW w:w="1137" w:type="dxa"/>
            <w:vAlign w:val="center"/>
          </w:tcPr>
          <w:p>
            <w:pPr>
              <w:pStyle w:val="39"/>
              <w:rPr>
                <w:rFonts w:ascii="Times New Roman" w:hAnsi="Times New Roman"/>
              </w:rPr>
            </w:pPr>
            <w:r>
              <w:rPr>
                <w:rFonts w:ascii="Times New Roman" w:hAnsi="Times New Roman"/>
              </w:rPr>
              <w:t>/</w:t>
            </w:r>
          </w:p>
        </w:tc>
        <w:tc>
          <w:tcPr>
            <w:tcW w:w="1138" w:type="dxa"/>
            <w:vAlign w:val="center"/>
          </w:tcPr>
          <w:p>
            <w:pPr>
              <w:pStyle w:val="39"/>
              <w:rPr>
                <w:rFonts w:ascii="Times New Roman" w:hAnsi="Times New Roman"/>
              </w:rPr>
            </w:pPr>
            <w:r>
              <w:rPr>
                <w:rFonts w:ascii="Times New Roman" w:hAnsi="Times New Roman"/>
              </w:rPr>
              <w:t>47</w:t>
            </w:r>
          </w:p>
        </w:tc>
        <w:tc>
          <w:tcPr>
            <w:tcW w:w="1496" w:type="dxa"/>
            <w:vAlign w:val="center"/>
          </w:tcPr>
          <w:p>
            <w:pPr>
              <w:pStyle w:val="39"/>
              <w:rPr>
                <w:rFonts w:ascii="Times New Roman" w:hAnsi="Times New Roman"/>
              </w:rPr>
            </w:pPr>
            <w:r>
              <w:rPr>
                <w:rFonts w:ascii="Times New Roman" w:hAnsi="Times New Roman"/>
              </w:rPr>
              <w:t>0.002</w:t>
            </w:r>
          </w:p>
        </w:tc>
        <w:tc>
          <w:tcPr>
            <w:tcW w:w="1497" w:type="dxa"/>
            <w:vAlign w:val="center"/>
          </w:tcPr>
          <w:p>
            <w:pPr>
              <w:pStyle w:val="39"/>
              <w:rPr>
                <w:rFonts w:ascii="Times New Roman" w:hAnsi="Times New Roman"/>
              </w:rPr>
            </w:pPr>
            <w:r>
              <w:rPr>
                <w:rFonts w:ascii="Times New Roman" w:hAnsi="Times New Roman"/>
              </w:rPr>
              <w:t>/</w:t>
            </w:r>
          </w:p>
        </w:tc>
        <w:tc>
          <w:tcPr>
            <w:tcW w:w="1198"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11" w:type="dxa"/>
          <w:trHeight w:val="287" w:hRule="atLeast"/>
        </w:trPr>
        <w:tc>
          <w:tcPr>
            <w:tcW w:w="1061" w:type="dxa"/>
            <w:vMerge w:val="continue"/>
            <w:vAlign w:val="center"/>
          </w:tcPr>
          <w:p>
            <w:pPr>
              <w:pStyle w:val="39"/>
              <w:rPr>
                <w:rFonts w:ascii="Times New Roman" w:hAnsi="Times New Roman"/>
              </w:rPr>
            </w:pPr>
          </w:p>
        </w:tc>
        <w:tc>
          <w:tcPr>
            <w:tcW w:w="1139" w:type="dxa"/>
            <w:vAlign w:val="center"/>
          </w:tcPr>
          <w:p>
            <w:pPr>
              <w:pStyle w:val="39"/>
              <w:rPr>
                <w:rFonts w:ascii="Times New Roman" w:hAnsi="Times New Roman"/>
              </w:rPr>
            </w:pPr>
            <w:r>
              <w:rPr>
                <w:rFonts w:ascii="Times New Roman" w:hAnsi="Times New Roman"/>
              </w:rPr>
              <w:t>3600</w:t>
            </w:r>
          </w:p>
        </w:tc>
        <w:tc>
          <w:tcPr>
            <w:tcW w:w="1137" w:type="dxa"/>
            <w:vAlign w:val="center"/>
          </w:tcPr>
          <w:p>
            <w:pPr>
              <w:pStyle w:val="39"/>
              <w:rPr>
                <w:rFonts w:ascii="Times New Roman" w:hAnsi="Times New Roman"/>
              </w:rPr>
            </w:pPr>
            <w:r>
              <w:rPr>
                <w:rFonts w:ascii="Times New Roman" w:hAnsi="Times New Roman"/>
              </w:rPr>
              <w:t>/</w:t>
            </w:r>
          </w:p>
        </w:tc>
        <w:tc>
          <w:tcPr>
            <w:tcW w:w="1138" w:type="dxa"/>
            <w:vAlign w:val="center"/>
          </w:tcPr>
          <w:p>
            <w:pPr>
              <w:pStyle w:val="39"/>
              <w:rPr>
                <w:rFonts w:ascii="Times New Roman" w:hAnsi="Times New Roman"/>
              </w:rPr>
            </w:pPr>
            <w:r>
              <w:rPr>
                <w:rFonts w:ascii="Times New Roman" w:hAnsi="Times New Roman"/>
              </w:rPr>
              <w:t>169.2</w:t>
            </w:r>
          </w:p>
        </w:tc>
        <w:tc>
          <w:tcPr>
            <w:tcW w:w="1496" w:type="dxa"/>
            <w:vAlign w:val="center"/>
          </w:tcPr>
          <w:p>
            <w:pPr>
              <w:pStyle w:val="39"/>
              <w:rPr>
                <w:rFonts w:ascii="Times New Roman" w:hAnsi="Times New Roman"/>
              </w:rPr>
            </w:pPr>
            <w:r>
              <w:rPr>
                <w:rFonts w:ascii="Times New Roman" w:hAnsi="Times New Roman"/>
              </w:rPr>
              <w:t>0.001</w:t>
            </w:r>
          </w:p>
        </w:tc>
        <w:tc>
          <w:tcPr>
            <w:tcW w:w="1497" w:type="dxa"/>
            <w:vAlign w:val="center"/>
          </w:tcPr>
          <w:p>
            <w:pPr>
              <w:pStyle w:val="39"/>
              <w:rPr>
                <w:rFonts w:ascii="Times New Roman" w:hAnsi="Times New Roman"/>
              </w:rPr>
            </w:pPr>
            <w:r>
              <w:rPr>
                <w:rFonts w:ascii="Times New Roman" w:hAnsi="Times New Roman"/>
              </w:rPr>
              <w:t>/</w:t>
            </w:r>
          </w:p>
        </w:tc>
        <w:tc>
          <w:tcPr>
            <w:tcW w:w="1198"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7" w:type="dxa"/>
            <w:gridSpan w:val="8"/>
            <w:tcBorders>
              <w:top w:val="single" w:color="auto" w:sz="4" w:space="0"/>
              <w:left w:val="single" w:color="auto" w:sz="4" w:space="0"/>
              <w:bottom w:val="nil"/>
              <w:right w:val="single" w:color="auto" w:sz="4" w:space="0"/>
            </w:tcBorders>
            <w:vAlign w:val="center"/>
          </w:tcPr>
          <w:p>
            <w:pPr>
              <w:keepNext/>
              <w:spacing w:after="120" w:line="480" w:lineRule="auto"/>
              <w:ind w:firstLine="480"/>
              <w:jc w:val="center"/>
              <w:rPr>
                <w:rFonts w:ascii="Times New Roman" w:hAnsi="Times New Roman"/>
                <w:szCs w:val="21"/>
              </w:rPr>
            </w:pPr>
            <w:r>
              <w:rPr>
                <w:rFonts w:ascii="Times New Roman" w:hAnsi="Times New Roman"/>
                <w:szCs w:val="21"/>
              </w:rPr>
              <w:drawing>
                <wp:inline distT="0" distB="0" distL="0" distR="0">
                  <wp:extent cx="5759450" cy="1824355"/>
                  <wp:effectExtent l="19050" t="0" r="0" b="0"/>
                  <wp:docPr id="155" name="图片 28" descr="C:\Users\Administrator\Desktop\宣探\气田\石油类-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8" descr="C:\Users\Administrator\Desktop\宣探\气田\石油类-100.jpg"/>
                          <pic:cNvPicPr>
                            <a:picLocks noChangeAspect="1" noChangeArrowheads="1"/>
                          </pic:cNvPicPr>
                        </pic:nvPicPr>
                        <pic:blipFill>
                          <a:blip r:embed="rId120"/>
                          <a:srcRect/>
                          <a:stretch>
                            <a:fillRect/>
                          </a:stretch>
                        </pic:blipFill>
                        <pic:spPr>
                          <a:xfrm>
                            <a:off x="0" y="0"/>
                            <a:ext cx="5760000" cy="1824535"/>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100d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7" w:type="dxa"/>
            <w:gridSpan w:val="8"/>
            <w:tcBorders>
              <w:top w:val="single" w:color="auto" w:sz="4" w:space="0"/>
              <w:left w:val="single" w:color="auto" w:sz="4" w:space="0"/>
              <w:bottom w:val="single" w:color="auto" w:sz="4" w:space="0"/>
              <w:right w:val="single" w:color="auto" w:sz="4" w:space="0"/>
            </w:tcBorders>
            <w:vAlign w:val="center"/>
          </w:tcPr>
          <w:p>
            <w:pPr>
              <w:keepNext/>
              <w:spacing w:after="120" w:line="480" w:lineRule="auto"/>
              <w:ind w:firstLine="480"/>
              <w:rPr>
                <w:rFonts w:ascii="Times New Roman" w:hAnsi="Times New Roman"/>
                <w:szCs w:val="21"/>
              </w:rPr>
            </w:pPr>
            <w:r>
              <w:rPr>
                <w:rFonts w:ascii="Times New Roman" w:hAnsi="Times New Roman"/>
                <w:szCs w:val="21"/>
              </w:rPr>
              <w:drawing>
                <wp:inline distT="0" distB="0" distL="0" distR="0">
                  <wp:extent cx="5759450" cy="1824355"/>
                  <wp:effectExtent l="19050" t="0" r="0" b="0"/>
                  <wp:docPr id="156" name="图片 29" descr="C:\Users\Administrator\Desktop\宣探\气田\石油类-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9" descr="C:\Users\Administrator\Desktop\宣探\气田\石油类-1000.jpg"/>
                          <pic:cNvPicPr>
                            <a:picLocks noChangeAspect="1" noChangeArrowheads="1"/>
                          </pic:cNvPicPr>
                        </pic:nvPicPr>
                        <pic:blipFill>
                          <a:blip r:embed="rId121"/>
                          <a:srcRect/>
                          <a:stretch>
                            <a:fillRect/>
                          </a:stretch>
                        </pic:blipFill>
                        <pic:spPr>
                          <a:xfrm>
                            <a:off x="0" y="0"/>
                            <a:ext cx="5760000" cy="1824536"/>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1000d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7" w:type="dxa"/>
            <w:gridSpan w:val="8"/>
            <w:tcBorders>
              <w:top w:val="single" w:color="auto" w:sz="4" w:space="0"/>
              <w:left w:val="single" w:color="auto" w:sz="4" w:space="0"/>
              <w:bottom w:val="single" w:color="auto" w:sz="4" w:space="0"/>
              <w:right w:val="single" w:color="auto" w:sz="4" w:space="0"/>
            </w:tcBorders>
            <w:vAlign w:val="center"/>
          </w:tcPr>
          <w:p>
            <w:pPr>
              <w:keepNext/>
              <w:spacing w:after="120" w:line="480" w:lineRule="auto"/>
              <w:ind w:firstLine="480"/>
              <w:rPr>
                <w:rFonts w:ascii="Times New Roman" w:hAnsi="Times New Roman"/>
                <w:szCs w:val="21"/>
              </w:rPr>
            </w:pPr>
            <w:r>
              <w:rPr>
                <w:rFonts w:ascii="Times New Roman" w:hAnsi="Times New Roman"/>
                <w:szCs w:val="21"/>
              </w:rPr>
              <w:drawing>
                <wp:inline distT="0" distB="0" distL="0" distR="0">
                  <wp:extent cx="5759450" cy="1824355"/>
                  <wp:effectExtent l="19050" t="0" r="0" b="0"/>
                  <wp:docPr id="157" name="图片 30" descr="C:\Users\Administrator\Desktop\宣探\气田\石油类-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0" descr="C:\Users\Administrator\Desktop\宣探\气田\石油类-3600.jpg"/>
                          <pic:cNvPicPr>
                            <a:picLocks noChangeAspect="1" noChangeArrowheads="1"/>
                          </pic:cNvPicPr>
                        </pic:nvPicPr>
                        <pic:blipFill>
                          <a:blip r:embed="rId122"/>
                          <a:srcRect/>
                          <a:stretch>
                            <a:fillRect/>
                          </a:stretch>
                        </pic:blipFill>
                        <pic:spPr>
                          <a:xfrm>
                            <a:off x="0" y="0"/>
                            <a:ext cx="5760000" cy="1824536"/>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3600d</w:t>
            </w:r>
          </w:p>
        </w:tc>
      </w:tr>
    </w:tbl>
    <w:p>
      <w:pPr>
        <w:pStyle w:val="37"/>
        <w:rPr>
          <w:rFonts w:ascii="Times New Roman" w:hAnsi="Times New Roman" w:cs="Times New Roman"/>
          <w:b/>
          <w:kern w:val="0"/>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b/>
          <w:kern w:val="0"/>
        </w:rPr>
        <w:t>泄漏点水流下游石油类浓度变化分布图</w:t>
      </w:r>
    </w:p>
    <w:p>
      <w:pPr>
        <w:spacing w:before="156" w:beforeLines="50"/>
        <w:ind w:firstLine="480"/>
        <w:rPr>
          <w:rFonts w:ascii="Times New Roman" w:hAnsi="Times New Roman"/>
        </w:rPr>
      </w:pPr>
    </w:p>
    <w:p>
      <w:pPr>
        <w:spacing w:before="156" w:beforeLines="50"/>
        <w:ind w:firstLine="480"/>
        <w:rPr>
          <w:rFonts w:ascii="Times New Roman" w:hAnsi="Times New Roman"/>
        </w:rPr>
      </w:pPr>
      <w:r>
        <w:rPr>
          <w:rFonts w:ascii="Times New Roman" w:hAnsi="Times New Roman"/>
        </w:rPr>
        <w:t>2）地下水污染特征因子氯化物的影响范围及距离计算结果见下表、下图。</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27</w:t>
      </w:r>
      <w:r>
        <w:rPr>
          <w:rFonts w:ascii="Times New Roman" w:hAnsi="Times New Roman" w:cs="Times New Roman"/>
        </w:rPr>
        <w:fldChar w:fldCharType="end"/>
      </w:r>
      <w:r>
        <w:rPr>
          <w:rFonts w:ascii="Times New Roman" w:hAnsi="Times New Roman" w:cs="Times New Roman"/>
        </w:rPr>
        <w:t xml:space="preserve">  地下水中氯化物超标及影响范围</w:t>
      </w:r>
    </w:p>
    <w:tbl>
      <w:tblPr>
        <w:tblStyle w:val="28"/>
        <w:tblW w:w="89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2"/>
        <w:gridCol w:w="1139"/>
        <w:gridCol w:w="1137"/>
        <w:gridCol w:w="1138"/>
        <w:gridCol w:w="1496"/>
        <w:gridCol w:w="1497"/>
        <w:gridCol w:w="14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1032" w:type="dxa"/>
            <w:vAlign w:val="center"/>
          </w:tcPr>
          <w:p>
            <w:pPr>
              <w:pStyle w:val="39"/>
              <w:rPr>
                <w:rFonts w:ascii="Times New Roman" w:hAnsi="Times New Roman"/>
              </w:rPr>
            </w:pPr>
            <w:r>
              <w:rPr>
                <w:rFonts w:ascii="Times New Roman" w:hAnsi="Times New Roman"/>
              </w:rPr>
              <w:t>污染源总量(kg)</w:t>
            </w:r>
          </w:p>
        </w:tc>
        <w:tc>
          <w:tcPr>
            <w:tcW w:w="1139" w:type="dxa"/>
            <w:vAlign w:val="center"/>
          </w:tcPr>
          <w:p>
            <w:pPr>
              <w:pStyle w:val="39"/>
              <w:rPr>
                <w:rFonts w:ascii="Times New Roman" w:hAnsi="Times New Roman"/>
              </w:rPr>
            </w:pPr>
            <w:r>
              <w:rPr>
                <w:rFonts w:ascii="Times New Roman" w:hAnsi="Times New Roman"/>
              </w:rPr>
              <w:t>模拟时间(天）</w:t>
            </w:r>
          </w:p>
        </w:tc>
        <w:tc>
          <w:tcPr>
            <w:tcW w:w="1137" w:type="dxa"/>
            <w:vAlign w:val="center"/>
          </w:tcPr>
          <w:p>
            <w:pPr>
              <w:pStyle w:val="39"/>
              <w:rPr>
                <w:rFonts w:ascii="Times New Roman" w:hAnsi="Times New Roman"/>
              </w:rPr>
            </w:pPr>
            <w:r>
              <w:rPr>
                <w:rFonts w:ascii="Times New Roman" w:hAnsi="Times New Roman"/>
              </w:rPr>
              <w:t>最大超标距离(m)</w:t>
            </w:r>
          </w:p>
        </w:tc>
        <w:tc>
          <w:tcPr>
            <w:tcW w:w="1138" w:type="dxa"/>
            <w:vAlign w:val="center"/>
          </w:tcPr>
          <w:p>
            <w:pPr>
              <w:pStyle w:val="39"/>
              <w:rPr>
                <w:rFonts w:ascii="Times New Roman" w:hAnsi="Times New Roman"/>
              </w:rPr>
            </w:pPr>
            <w:r>
              <w:rPr>
                <w:rFonts w:ascii="Times New Roman" w:hAnsi="Times New Roman"/>
              </w:rPr>
              <w:t>中心迁移距离(m)</w:t>
            </w:r>
          </w:p>
        </w:tc>
        <w:tc>
          <w:tcPr>
            <w:tcW w:w="1496" w:type="dxa"/>
            <w:vAlign w:val="center"/>
          </w:tcPr>
          <w:p>
            <w:pPr>
              <w:pStyle w:val="39"/>
              <w:rPr>
                <w:rFonts w:ascii="Times New Roman" w:hAnsi="Times New Roman"/>
              </w:rPr>
            </w:pPr>
            <w:r>
              <w:rPr>
                <w:rFonts w:ascii="Times New Roman" w:hAnsi="Times New Roman"/>
              </w:rPr>
              <w:t>中心点处浓度(mg/L)</w:t>
            </w:r>
          </w:p>
        </w:tc>
        <w:tc>
          <w:tcPr>
            <w:tcW w:w="1497" w:type="dxa"/>
            <w:vAlign w:val="center"/>
          </w:tcPr>
          <w:p>
            <w:pPr>
              <w:pStyle w:val="39"/>
              <w:rPr>
                <w:rFonts w:ascii="Times New Roman" w:hAnsi="Times New Roman"/>
              </w:rPr>
            </w:pPr>
            <w:r>
              <w:rPr>
                <w:rFonts w:ascii="Times New Roman" w:hAnsi="Times New Roman"/>
              </w:rPr>
              <w:t>超标范围</w:t>
            </w:r>
          </w:p>
          <w:p>
            <w:pPr>
              <w:pStyle w:val="39"/>
              <w:rPr>
                <w:rFonts w:ascii="Times New Roman" w:hAnsi="Times New Roman"/>
              </w:rPr>
            </w:pPr>
            <w:r>
              <w:rPr>
                <w:rFonts w:ascii="Times New Roman" w:hAnsi="Times New Roman"/>
              </w:rPr>
              <w:t>(m</w:t>
            </w:r>
            <w:r>
              <w:rPr>
                <w:rFonts w:ascii="Times New Roman" w:hAnsi="Times New Roman"/>
                <w:vertAlign w:val="superscript"/>
              </w:rPr>
              <w:t>2</w:t>
            </w:r>
            <w:r>
              <w:rPr>
                <w:rFonts w:ascii="Times New Roman" w:hAnsi="Times New Roman"/>
              </w:rPr>
              <w:t>)</w:t>
            </w:r>
          </w:p>
        </w:tc>
        <w:tc>
          <w:tcPr>
            <w:tcW w:w="1499" w:type="dxa"/>
            <w:vAlign w:val="center"/>
          </w:tcPr>
          <w:p>
            <w:pPr>
              <w:pStyle w:val="39"/>
              <w:rPr>
                <w:rFonts w:ascii="Times New Roman" w:hAnsi="Times New Roman"/>
              </w:rPr>
            </w:pPr>
            <w:r>
              <w:rPr>
                <w:rFonts w:ascii="Times New Roman" w:hAnsi="Times New Roman"/>
              </w:rPr>
              <w:t>背景值(mg/L)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032" w:type="dxa"/>
            <w:vMerge w:val="restart"/>
            <w:vAlign w:val="center"/>
          </w:tcPr>
          <w:p>
            <w:pPr>
              <w:pStyle w:val="39"/>
              <w:rPr>
                <w:rFonts w:ascii="Times New Roman" w:hAnsi="Times New Roman"/>
              </w:rPr>
            </w:pPr>
            <w:r>
              <w:rPr>
                <w:rFonts w:ascii="Times New Roman" w:hAnsi="Times New Roman"/>
              </w:rPr>
              <w:t>26.15</w:t>
            </w:r>
          </w:p>
        </w:tc>
        <w:tc>
          <w:tcPr>
            <w:tcW w:w="1139" w:type="dxa"/>
            <w:vAlign w:val="center"/>
          </w:tcPr>
          <w:p>
            <w:pPr>
              <w:pStyle w:val="39"/>
              <w:rPr>
                <w:rFonts w:ascii="Times New Roman" w:hAnsi="Times New Roman"/>
              </w:rPr>
            </w:pPr>
            <w:r>
              <w:rPr>
                <w:rFonts w:ascii="Times New Roman" w:hAnsi="Times New Roman"/>
              </w:rPr>
              <w:t>100</w:t>
            </w:r>
          </w:p>
        </w:tc>
        <w:tc>
          <w:tcPr>
            <w:tcW w:w="1137" w:type="dxa"/>
            <w:vAlign w:val="center"/>
          </w:tcPr>
          <w:p>
            <w:pPr>
              <w:pStyle w:val="39"/>
              <w:rPr>
                <w:rFonts w:ascii="Times New Roman" w:hAnsi="Times New Roman"/>
              </w:rPr>
            </w:pPr>
            <w:r>
              <w:rPr>
                <w:rFonts w:ascii="Times New Roman" w:hAnsi="Times New Roman"/>
              </w:rPr>
              <w:t>/</w:t>
            </w:r>
          </w:p>
        </w:tc>
        <w:tc>
          <w:tcPr>
            <w:tcW w:w="1138" w:type="dxa"/>
            <w:vAlign w:val="center"/>
          </w:tcPr>
          <w:p>
            <w:pPr>
              <w:pStyle w:val="39"/>
              <w:rPr>
                <w:rFonts w:ascii="Times New Roman" w:hAnsi="Times New Roman"/>
              </w:rPr>
            </w:pPr>
            <w:r>
              <w:rPr>
                <w:rFonts w:ascii="Times New Roman" w:hAnsi="Times New Roman"/>
              </w:rPr>
              <w:t>4.7</w:t>
            </w:r>
          </w:p>
        </w:tc>
        <w:tc>
          <w:tcPr>
            <w:tcW w:w="1496" w:type="dxa"/>
            <w:vAlign w:val="center"/>
          </w:tcPr>
          <w:p>
            <w:pPr>
              <w:pStyle w:val="39"/>
              <w:rPr>
                <w:rFonts w:ascii="Times New Roman" w:hAnsi="Times New Roman"/>
              </w:rPr>
            </w:pPr>
            <w:r>
              <w:rPr>
                <w:rFonts w:ascii="Times New Roman" w:hAnsi="Times New Roman"/>
              </w:rPr>
              <w:t>121.86</w:t>
            </w:r>
          </w:p>
        </w:tc>
        <w:tc>
          <w:tcPr>
            <w:tcW w:w="1497" w:type="dxa"/>
            <w:vAlign w:val="center"/>
          </w:tcPr>
          <w:p>
            <w:pPr>
              <w:pStyle w:val="39"/>
              <w:rPr>
                <w:rFonts w:ascii="Times New Roman" w:hAnsi="Times New Roman"/>
              </w:rPr>
            </w:pPr>
            <w:r>
              <w:rPr>
                <w:rFonts w:ascii="Times New Roman" w:hAnsi="Times New Roman"/>
              </w:rPr>
              <w:t>/</w:t>
            </w:r>
          </w:p>
        </w:tc>
        <w:tc>
          <w:tcPr>
            <w:tcW w:w="1499" w:type="dxa"/>
            <w:vMerge w:val="restart"/>
            <w:vAlign w:val="center"/>
          </w:tcPr>
          <w:p>
            <w:pPr>
              <w:pStyle w:val="39"/>
              <w:rPr>
                <w:rFonts w:ascii="Times New Roman" w:hAnsi="Times New Roman"/>
              </w:rPr>
            </w:pPr>
            <w:r>
              <w:rPr>
                <w:rFonts w:ascii="Times New Roman" w:hAnsi="Times New Roman"/>
              </w:rPr>
              <w:t>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032" w:type="dxa"/>
            <w:vMerge w:val="continue"/>
            <w:vAlign w:val="center"/>
          </w:tcPr>
          <w:p>
            <w:pPr>
              <w:pStyle w:val="39"/>
              <w:rPr>
                <w:rFonts w:ascii="Times New Roman" w:hAnsi="Times New Roman"/>
              </w:rPr>
            </w:pPr>
          </w:p>
        </w:tc>
        <w:tc>
          <w:tcPr>
            <w:tcW w:w="1139" w:type="dxa"/>
            <w:vAlign w:val="center"/>
          </w:tcPr>
          <w:p>
            <w:pPr>
              <w:pStyle w:val="39"/>
              <w:rPr>
                <w:rFonts w:ascii="Times New Roman" w:hAnsi="Times New Roman"/>
              </w:rPr>
            </w:pPr>
            <w:r>
              <w:rPr>
                <w:rFonts w:ascii="Times New Roman" w:hAnsi="Times New Roman"/>
              </w:rPr>
              <w:t>1000</w:t>
            </w:r>
          </w:p>
        </w:tc>
        <w:tc>
          <w:tcPr>
            <w:tcW w:w="1137" w:type="dxa"/>
            <w:vAlign w:val="center"/>
          </w:tcPr>
          <w:p>
            <w:pPr>
              <w:pStyle w:val="39"/>
              <w:rPr>
                <w:rFonts w:ascii="Times New Roman" w:hAnsi="Times New Roman"/>
              </w:rPr>
            </w:pPr>
            <w:r>
              <w:rPr>
                <w:rFonts w:ascii="Times New Roman" w:hAnsi="Times New Roman"/>
              </w:rPr>
              <w:t>/</w:t>
            </w:r>
          </w:p>
        </w:tc>
        <w:tc>
          <w:tcPr>
            <w:tcW w:w="1138" w:type="dxa"/>
            <w:vAlign w:val="center"/>
          </w:tcPr>
          <w:p>
            <w:pPr>
              <w:pStyle w:val="39"/>
              <w:rPr>
                <w:rFonts w:ascii="Times New Roman" w:hAnsi="Times New Roman"/>
              </w:rPr>
            </w:pPr>
            <w:r>
              <w:rPr>
                <w:rFonts w:ascii="Times New Roman" w:hAnsi="Times New Roman"/>
              </w:rPr>
              <w:t>47</w:t>
            </w:r>
          </w:p>
        </w:tc>
        <w:tc>
          <w:tcPr>
            <w:tcW w:w="1496" w:type="dxa"/>
            <w:vAlign w:val="center"/>
          </w:tcPr>
          <w:p>
            <w:pPr>
              <w:pStyle w:val="39"/>
              <w:rPr>
                <w:rFonts w:ascii="Times New Roman" w:hAnsi="Times New Roman"/>
              </w:rPr>
            </w:pPr>
            <w:r>
              <w:rPr>
                <w:rFonts w:ascii="Times New Roman" w:hAnsi="Times New Roman"/>
              </w:rPr>
              <w:t>12.18</w:t>
            </w:r>
          </w:p>
        </w:tc>
        <w:tc>
          <w:tcPr>
            <w:tcW w:w="1497" w:type="dxa"/>
            <w:vAlign w:val="center"/>
          </w:tcPr>
          <w:p>
            <w:pPr>
              <w:pStyle w:val="39"/>
              <w:rPr>
                <w:rFonts w:ascii="Times New Roman" w:hAnsi="Times New Roman"/>
              </w:rPr>
            </w:pPr>
            <w:r>
              <w:rPr>
                <w:rFonts w:ascii="Times New Roman" w:hAnsi="Times New Roman"/>
              </w:rPr>
              <w:t>/</w:t>
            </w:r>
          </w:p>
        </w:tc>
        <w:tc>
          <w:tcPr>
            <w:tcW w:w="1499"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032" w:type="dxa"/>
            <w:vMerge w:val="continue"/>
            <w:vAlign w:val="center"/>
          </w:tcPr>
          <w:p>
            <w:pPr>
              <w:pStyle w:val="39"/>
              <w:rPr>
                <w:rFonts w:ascii="Times New Roman" w:hAnsi="Times New Roman"/>
              </w:rPr>
            </w:pPr>
          </w:p>
        </w:tc>
        <w:tc>
          <w:tcPr>
            <w:tcW w:w="1139" w:type="dxa"/>
            <w:vAlign w:val="center"/>
          </w:tcPr>
          <w:p>
            <w:pPr>
              <w:pStyle w:val="39"/>
              <w:rPr>
                <w:rFonts w:ascii="Times New Roman" w:hAnsi="Times New Roman"/>
              </w:rPr>
            </w:pPr>
            <w:r>
              <w:rPr>
                <w:rFonts w:ascii="Times New Roman" w:hAnsi="Times New Roman"/>
              </w:rPr>
              <w:t>3600</w:t>
            </w:r>
          </w:p>
        </w:tc>
        <w:tc>
          <w:tcPr>
            <w:tcW w:w="1137" w:type="dxa"/>
            <w:vAlign w:val="center"/>
          </w:tcPr>
          <w:p>
            <w:pPr>
              <w:pStyle w:val="39"/>
              <w:rPr>
                <w:rFonts w:ascii="Times New Roman" w:hAnsi="Times New Roman"/>
              </w:rPr>
            </w:pPr>
            <w:r>
              <w:rPr>
                <w:rFonts w:ascii="Times New Roman" w:hAnsi="Times New Roman"/>
              </w:rPr>
              <w:t>/</w:t>
            </w:r>
          </w:p>
        </w:tc>
        <w:tc>
          <w:tcPr>
            <w:tcW w:w="1138" w:type="dxa"/>
            <w:vAlign w:val="center"/>
          </w:tcPr>
          <w:p>
            <w:pPr>
              <w:pStyle w:val="39"/>
              <w:rPr>
                <w:rFonts w:ascii="Times New Roman" w:hAnsi="Times New Roman"/>
              </w:rPr>
            </w:pPr>
            <w:r>
              <w:rPr>
                <w:rFonts w:ascii="Times New Roman" w:hAnsi="Times New Roman"/>
              </w:rPr>
              <w:t>169.2</w:t>
            </w:r>
          </w:p>
        </w:tc>
        <w:tc>
          <w:tcPr>
            <w:tcW w:w="1496" w:type="dxa"/>
            <w:vAlign w:val="center"/>
          </w:tcPr>
          <w:p>
            <w:pPr>
              <w:pStyle w:val="39"/>
              <w:rPr>
                <w:rFonts w:ascii="Times New Roman" w:hAnsi="Times New Roman"/>
              </w:rPr>
            </w:pPr>
            <w:r>
              <w:rPr>
                <w:rFonts w:ascii="Times New Roman" w:hAnsi="Times New Roman"/>
              </w:rPr>
              <w:t>3.38</w:t>
            </w:r>
          </w:p>
        </w:tc>
        <w:tc>
          <w:tcPr>
            <w:tcW w:w="1497" w:type="dxa"/>
            <w:vAlign w:val="center"/>
          </w:tcPr>
          <w:p>
            <w:pPr>
              <w:pStyle w:val="39"/>
              <w:rPr>
                <w:rFonts w:ascii="Times New Roman" w:hAnsi="Times New Roman"/>
              </w:rPr>
            </w:pPr>
            <w:r>
              <w:rPr>
                <w:rFonts w:ascii="Times New Roman" w:hAnsi="Times New Roman"/>
              </w:rPr>
              <w:t>/</w:t>
            </w:r>
          </w:p>
        </w:tc>
        <w:tc>
          <w:tcPr>
            <w:tcW w:w="1499" w:type="dxa"/>
            <w:vMerge w:val="continue"/>
            <w:vAlign w:val="center"/>
          </w:tcPr>
          <w:p>
            <w:pPr>
              <w:pStyle w:val="39"/>
              <w:rPr>
                <w:rFonts w:ascii="Times New Roman" w:hAnsi="Times New Roman"/>
              </w:rPr>
            </w:pPr>
          </w:p>
        </w:tc>
      </w:tr>
    </w:tbl>
    <w:p>
      <w:pPr>
        <w:widowControl/>
        <w:tabs>
          <w:tab w:val="left" w:pos="420"/>
        </w:tabs>
        <w:ind w:firstLine="402"/>
        <w:jc w:val="center"/>
        <w:rPr>
          <w:rFonts w:ascii="Times New Roman" w:hAnsi="Times New Roman"/>
          <w:b/>
          <w:bCs/>
          <w:kern w:val="0"/>
          <w:sz w:val="20"/>
          <w:szCs w:val="20"/>
        </w:rPr>
      </w:pPr>
    </w:p>
    <w:tbl>
      <w:tblPr>
        <w:tblStyle w:val="28"/>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tcBorders>
              <w:top w:val="single" w:color="auto" w:sz="4" w:space="0"/>
              <w:left w:val="single" w:color="auto" w:sz="4" w:space="0"/>
              <w:bottom w:val="nil"/>
              <w:right w:val="single" w:color="auto" w:sz="4" w:space="0"/>
            </w:tcBorders>
            <w:vAlign w:val="center"/>
          </w:tcPr>
          <w:p>
            <w:pPr>
              <w:keepNext/>
              <w:spacing w:after="120" w:line="480" w:lineRule="auto"/>
              <w:ind w:firstLine="480"/>
              <w:rPr>
                <w:rFonts w:ascii="Times New Roman" w:hAnsi="Times New Roman"/>
                <w:szCs w:val="21"/>
              </w:rPr>
            </w:pPr>
            <w:r>
              <w:rPr>
                <w:rFonts w:ascii="Times New Roman" w:hAnsi="Times New Roman"/>
                <w:szCs w:val="21"/>
              </w:rPr>
              <w:drawing>
                <wp:inline distT="0" distB="0" distL="0" distR="0">
                  <wp:extent cx="5759450" cy="1887220"/>
                  <wp:effectExtent l="19050" t="0" r="0" b="0"/>
                  <wp:docPr id="95" name="图片 25" descr="C:\Users\Administrator\Desktop\宣探\气田\氯化物-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5" descr="C:\Users\Administrator\Desktop\宣探\气田\氯化物-100.jpg"/>
                          <pic:cNvPicPr>
                            <a:picLocks noChangeAspect="1" noChangeArrowheads="1"/>
                          </pic:cNvPicPr>
                        </pic:nvPicPr>
                        <pic:blipFill>
                          <a:blip r:embed="rId123"/>
                          <a:srcRect/>
                          <a:stretch>
                            <a:fillRect/>
                          </a:stretch>
                        </pic:blipFill>
                        <pic:spPr>
                          <a:xfrm>
                            <a:off x="0" y="0"/>
                            <a:ext cx="5760000" cy="1887608"/>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100d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tcBorders>
              <w:top w:val="single" w:color="auto" w:sz="4" w:space="0"/>
              <w:left w:val="single" w:color="auto" w:sz="4" w:space="0"/>
              <w:bottom w:val="single" w:color="auto" w:sz="4" w:space="0"/>
              <w:right w:val="single" w:color="auto" w:sz="4" w:space="0"/>
            </w:tcBorders>
            <w:vAlign w:val="center"/>
          </w:tcPr>
          <w:p>
            <w:pPr>
              <w:keepNext/>
              <w:spacing w:after="120" w:line="480" w:lineRule="auto"/>
              <w:ind w:firstLine="480"/>
              <w:rPr>
                <w:rFonts w:ascii="Times New Roman" w:hAnsi="Times New Roman"/>
                <w:szCs w:val="21"/>
              </w:rPr>
            </w:pPr>
            <w:r>
              <w:rPr>
                <w:rFonts w:ascii="Times New Roman" w:hAnsi="Times New Roman"/>
                <w:szCs w:val="21"/>
              </w:rPr>
              <w:drawing>
                <wp:inline distT="0" distB="0" distL="0" distR="0">
                  <wp:extent cx="5759450" cy="1887220"/>
                  <wp:effectExtent l="19050" t="0" r="0" b="0"/>
                  <wp:docPr id="96" name="图片 26" descr="C:\Users\Administrator\Desktop\宣探\气田\氯化物-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6" descr="C:\Users\Administrator\Desktop\宣探\气田\氯化物-1000.jpg"/>
                          <pic:cNvPicPr>
                            <a:picLocks noChangeAspect="1" noChangeArrowheads="1"/>
                          </pic:cNvPicPr>
                        </pic:nvPicPr>
                        <pic:blipFill>
                          <a:blip r:embed="rId124"/>
                          <a:srcRect/>
                          <a:stretch>
                            <a:fillRect/>
                          </a:stretch>
                        </pic:blipFill>
                        <pic:spPr>
                          <a:xfrm>
                            <a:off x="0" y="0"/>
                            <a:ext cx="5760000" cy="1887608"/>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1000d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tcBorders>
              <w:top w:val="single" w:color="auto" w:sz="4" w:space="0"/>
              <w:left w:val="single" w:color="auto" w:sz="4" w:space="0"/>
              <w:bottom w:val="single" w:color="auto" w:sz="4" w:space="0"/>
              <w:right w:val="single" w:color="auto" w:sz="4" w:space="0"/>
            </w:tcBorders>
            <w:vAlign w:val="center"/>
          </w:tcPr>
          <w:p>
            <w:pPr>
              <w:keepNext/>
              <w:spacing w:after="120" w:line="480" w:lineRule="auto"/>
              <w:ind w:firstLine="480"/>
              <w:rPr>
                <w:rFonts w:ascii="Times New Roman" w:hAnsi="Times New Roman"/>
                <w:szCs w:val="21"/>
              </w:rPr>
            </w:pPr>
            <w:r>
              <w:rPr>
                <w:rFonts w:ascii="Times New Roman" w:hAnsi="Times New Roman"/>
                <w:szCs w:val="21"/>
              </w:rPr>
              <w:drawing>
                <wp:inline distT="0" distB="0" distL="0" distR="0">
                  <wp:extent cx="5759450" cy="1887220"/>
                  <wp:effectExtent l="19050" t="0" r="0" b="0"/>
                  <wp:docPr id="97" name="图片 27" descr="C:\Users\Administrator\Desktop\宣探\气田\氯化物-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7" descr="C:\Users\Administrator\Desktop\宣探\气田\氯化物-3600.jpg"/>
                          <pic:cNvPicPr>
                            <a:picLocks noChangeAspect="1" noChangeArrowheads="1"/>
                          </pic:cNvPicPr>
                        </pic:nvPicPr>
                        <pic:blipFill>
                          <a:blip r:embed="rId125"/>
                          <a:srcRect/>
                          <a:stretch>
                            <a:fillRect/>
                          </a:stretch>
                        </pic:blipFill>
                        <pic:spPr>
                          <a:xfrm>
                            <a:off x="0" y="0"/>
                            <a:ext cx="5760000" cy="1887608"/>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3600d</w:t>
            </w:r>
          </w:p>
        </w:tc>
      </w:tr>
    </w:tbl>
    <w:p>
      <w:pPr>
        <w:pStyle w:val="37"/>
        <w:rPr>
          <w:rFonts w:ascii="Times New Roman" w:hAnsi="Times New Roman" w:cs="Times New Roman"/>
          <w:b/>
          <w:kern w:val="0"/>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b/>
          <w:kern w:val="0"/>
        </w:rPr>
        <w:t>泄漏点水流下游氯化物浓度变化分布图</w:t>
      </w:r>
    </w:p>
    <w:p>
      <w:pPr>
        <w:spacing w:after="120"/>
        <w:ind w:left="480" w:leftChars="200" w:firstLine="480"/>
        <w:rPr>
          <w:rFonts w:ascii="Times New Roman" w:hAnsi="Times New Roman"/>
        </w:rPr>
      </w:pPr>
      <w:r>
        <w:rPr>
          <w:rFonts w:ascii="Times New Roman" w:hAnsi="Times New Roman"/>
        </w:rPr>
        <w:t>3）地下水污染特征因子COD的影响范围及距离计算结果见下表、下图。</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28</w:t>
      </w:r>
      <w:r>
        <w:rPr>
          <w:rFonts w:ascii="Times New Roman" w:hAnsi="Times New Roman" w:cs="Times New Roman"/>
        </w:rPr>
        <w:fldChar w:fldCharType="end"/>
      </w:r>
      <w:r>
        <w:rPr>
          <w:rFonts w:ascii="Times New Roman" w:hAnsi="Times New Roman" w:cs="Times New Roman"/>
        </w:rPr>
        <w:t xml:space="preserve">  地下水中COD超标及影响范围</w:t>
      </w:r>
    </w:p>
    <w:tbl>
      <w:tblPr>
        <w:tblStyle w:val="28"/>
        <w:tblW w:w="90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5"/>
        <w:gridCol w:w="1298"/>
        <w:gridCol w:w="1167"/>
        <w:gridCol w:w="1157"/>
        <w:gridCol w:w="1586"/>
        <w:gridCol w:w="1320"/>
        <w:gridCol w:w="13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1175" w:type="dxa"/>
            <w:vAlign w:val="center"/>
          </w:tcPr>
          <w:p>
            <w:pPr>
              <w:pStyle w:val="39"/>
              <w:rPr>
                <w:rFonts w:ascii="Times New Roman" w:hAnsi="Times New Roman"/>
              </w:rPr>
            </w:pPr>
            <w:r>
              <w:rPr>
                <w:rFonts w:ascii="Times New Roman" w:hAnsi="Times New Roman"/>
              </w:rPr>
              <w:t>污染源总量(kg)</w:t>
            </w:r>
          </w:p>
        </w:tc>
        <w:tc>
          <w:tcPr>
            <w:tcW w:w="1298" w:type="dxa"/>
            <w:vAlign w:val="center"/>
          </w:tcPr>
          <w:p>
            <w:pPr>
              <w:pStyle w:val="39"/>
              <w:rPr>
                <w:rFonts w:ascii="Times New Roman" w:hAnsi="Times New Roman"/>
              </w:rPr>
            </w:pPr>
            <w:r>
              <w:rPr>
                <w:rFonts w:ascii="Times New Roman" w:hAnsi="Times New Roman"/>
              </w:rPr>
              <w:t>模拟时间(天）</w:t>
            </w:r>
          </w:p>
        </w:tc>
        <w:tc>
          <w:tcPr>
            <w:tcW w:w="1167" w:type="dxa"/>
            <w:vAlign w:val="center"/>
          </w:tcPr>
          <w:p>
            <w:pPr>
              <w:pStyle w:val="39"/>
              <w:rPr>
                <w:rFonts w:ascii="Times New Roman" w:hAnsi="Times New Roman"/>
              </w:rPr>
            </w:pPr>
            <w:r>
              <w:rPr>
                <w:rFonts w:ascii="Times New Roman" w:hAnsi="Times New Roman"/>
              </w:rPr>
              <w:t>最大超标距离(m)</w:t>
            </w:r>
          </w:p>
        </w:tc>
        <w:tc>
          <w:tcPr>
            <w:tcW w:w="1157" w:type="dxa"/>
            <w:vAlign w:val="center"/>
          </w:tcPr>
          <w:p>
            <w:pPr>
              <w:pStyle w:val="39"/>
              <w:rPr>
                <w:rFonts w:ascii="Times New Roman" w:hAnsi="Times New Roman"/>
              </w:rPr>
            </w:pPr>
            <w:r>
              <w:rPr>
                <w:rFonts w:ascii="Times New Roman" w:hAnsi="Times New Roman"/>
              </w:rPr>
              <w:t>中心迁移距离(m)</w:t>
            </w:r>
          </w:p>
        </w:tc>
        <w:tc>
          <w:tcPr>
            <w:tcW w:w="1586" w:type="dxa"/>
            <w:vAlign w:val="center"/>
          </w:tcPr>
          <w:p>
            <w:pPr>
              <w:pStyle w:val="39"/>
              <w:rPr>
                <w:rFonts w:ascii="Times New Roman" w:hAnsi="Times New Roman"/>
              </w:rPr>
            </w:pPr>
            <w:r>
              <w:rPr>
                <w:rFonts w:ascii="Times New Roman" w:hAnsi="Times New Roman"/>
              </w:rPr>
              <w:t>中心点处浓度(mg/L)</w:t>
            </w:r>
          </w:p>
        </w:tc>
        <w:tc>
          <w:tcPr>
            <w:tcW w:w="1320" w:type="dxa"/>
            <w:vAlign w:val="center"/>
          </w:tcPr>
          <w:p>
            <w:pPr>
              <w:pStyle w:val="39"/>
              <w:rPr>
                <w:rFonts w:ascii="Times New Roman" w:hAnsi="Times New Roman"/>
              </w:rPr>
            </w:pPr>
            <w:r>
              <w:rPr>
                <w:rFonts w:ascii="Times New Roman" w:hAnsi="Times New Roman"/>
              </w:rPr>
              <w:t>超标范围</w:t>
            </w:r>
          </w:p>
          <w:p>
            <w:pPr>
              <w:pStyle w:val="39"/>
              <w:rPr>
                <w:rFonts w:ascii="Times New Roman" w:hAnsi="Times New Roman"/>
              </w:rPr>
            </w:pPr>
            <w:r>
              <w:rPr>
                <w:rFonts w:ascii="Times New Roman" w:hAnsi="Times New Roman"/>
              </w:rPr>
              <w:t>(m</w:t>
            </w:r>
            <w:r>
              <w:rPr>
                <w:rFonts w:ascii="Times New Roman" w:hAnsi="Times New Roman"/>
                <w:vertAlign w:val="superscript"/>
              </w:rPr>
              <w:t>2</w:t>
            </w:r>
            <w:r>
              <w:rPr>
                <w:rFonts w:ascii="Times New Roman" w:hAnsi="Times New Roman"/>
              </w:rPr>
              <w:t>)</w:t>
            </w:r>
          </w:p>
        </w:tc>
        <w:tc>
          <w:tcPr>
            <w:tcW w:w="1377" w:type="dxa"/>
            <w:vAlign w:val="center"/>
          </w:tcPr>
          <w:p>
            <w:pPr>
              <w:pStyle w:val="39"/>
              <w:rPr>
                <w:rFonts w:ascii="Times New Roman" w:hAnsi="Times New Roman"/>
              </w:rPr>
            </w:pPr>
            <w:r>
              <w:rPr>
                <w:rFonts w:ascii="Times New Roman" w:hAnsi="Times New Roman"/>
              </w:rPr>
              <w:t>背景值(mg/L)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1175" w:type="dxa"/>
            <w:vMerge w:val="restart"/>
            <w:vAlign w:val="center"/>
          </w:tcPr>
          <w:p>
            <w:pPr>
              <w:pStyle w:val="39"/>
              <w:rPr>
                <w:rFonts w:ascii="Times New Roman" w:hAnsi="Times New Roman"/>
              </w:rPr>
            </w:pPr>
            <w:r>
              <w:rPr>
                <w:rFonts w:ascii="Times New Roman" w:hAnsi="Times New Roman"/>
              </w:rPr>
              <w:t>0.092</w:t>
            </w:r>
          </w:p>
        </w:tc>
        <w:tc>
          <w:tcPr>
            <w:tcW w:w="1298" w:type="dxa"/>
            <w:vAlign w:val="center"/>
          </w:tcPr>
          <w:p>
            <w:pPr>
              <w:pStyle w:val="39"/>
              <w:rPr>
                <w:rFonts w:ascii="Times New Roman" w:hAnsi="Times New Roman"/>
              </w:rPr>
            </w:pPr>
            <w:r>
              <w:rPr>
                <w:rFonts w:ascii="Times New Roman" w:hAnsi="Times New Roman"/>
              </w:rPr>
              <w:t>100</w:t>
            </w:r>
          </w:p>
        </w:tc>
        <w:tc>
          <w:tcPr>
            <w:tcW w:w="1167" w:type="dxa"/>
            <w:vAlign w:val="center"/>
          </w:tcPr>
          <w:p>
            <w:pPr>
              <w:pStyle w:val="39"/>
              <w:rPr>
                <w:rFonts w:ascii="Times New Roman" w:hAnsi="Times New Roman"/>
              </w:rPr>
            </w:pPr>
            <w:r>
              <w:rPr>
                <w:rFonts w:ascii="Times New Roman" w:hAnsi="Times New Roman"/>
              </w:rPr>
              <w:t>/</w:t>
            </w:r>
          </w:p>
        </w:tc>
        <w:tc>
          <w:tcPr>
            <w:tcW w:w="1157" w:type="dxa"/>
            <w:vAlign w:val="center"/>
          </w:tcPr>
          <w:p>
            <w:pPr>
              <w:pStyle w:val="39"/>
              <w:rPr>
                <w:rFonts w:ascii="Times New Roman" w:hAnsi="Times New Roman"/>
              </w:rPr>
            </w:pPr>
            <w:r>
              <w:rPr>
                <w:rFonts w:ascii="Times New Roman" w:hAnsi="Times New Roman"/>
              </w:rPr>
              <w:t>4.7</w:t>
            </w:r>
          </w:p>
        </w:tc>
        <w:tc>
          <w:tcPr>
            <w:tcW w:w="1586" w:type="dxa"/>
            <w:vAlign w:val="center"/>
          </w:tcPr>
          <w:p>
            <w:pPr>
              <w:pStyle w:val="39"/>
              <w:rPr>
                <w:rFonts w:ascii="Times New Roman" w:hAnsi="Times New Roman"/>
              </w:rPr>
            </w:pPr>
            <w:r>
              <w:rPr>
                <w:rFonts w:ascii="Times New Roman" w:hAnsi="Times New Roman"/>
              </w:rPr>
              <w:t>0.42</w:t>
            </w:r>
          </w:p>
        </w:tc>
        <w:tc>
          <w:tcPr>
            <w:tcW w:w="1320" w:type="dxa"/>
            <w:vAlign w:val="center"/>
          </w:tcPr>
          <w:p>
            <w:pPr>
              <w:pStyle w:val="39"/>
              <w:rPr>
                <w:rFonts w:ascii="Times New Roman" w:hAnsi="Times New Roman"/>
              </w:rPr>
            </w:pPr>
            <w:r>
              <w:rPr>
                <w:rFonts w:ascii="Times New Roman" w:hAnsi="Times New Roman"/>
              </w:rPr>
              <w:t>/</w:t>
            </w:r>
          </w:p>
        </w:tc>
        <w:tc>
          <w:tcPr>
            <w:tcW w:w="1377" w:type="dxa"/>
            <w:vMerge w:val="restart"/>
            <w:vAlign w:val="center"/>
          </w:tcPr>
          <w:p>
            <w:pPr>
              <w:pStyle w:val="39"/>
              <w:rPr>
                <w:rFonts w:ascii="Times New Roman" w:hAnsi="Times New Roman"/>
              </w:rPr>
            </w:pPr>
            <w:r>
              <w:rPr>
                <w:rFonts w:ascii="Times New Roman" w:hAnsi="Times New Roman"/>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1175" w:type="dxa"/>
            <w:vMerge w:val="continue"/>
            <w:vAlign w:val="center"/>
          </w:tcPr>
          <w:p>
            <w:pPr>
              <w:pStyle w:val="39"/>
              <w:rPr>
                <w:rFonts w:ascii="Times New Roman" w:hAnsi="Times New Roman"/>
              </w:rPr>
            </w:pPr>
          </w:p>
        </w:tc>
        <w:tc>
          <w:tcPr>
            <w:tcW w:w="1298" w:type="dxa"/>
            <w:vAlign w:val="center"/>
          </w:tcPr>
          <w:p>
            <w:pPr>
              <w:pStyle w:val="39"/>
              <w:rPr>
                <w:rFonts w:ascii="Times New Roman" w:hAnsi="Times New Roman"/>
              </w:rPr>
            </w:pPr>
            <w:r>
              <w:rPr>
                <w:rFonts w:ascii="Times New Roman" w:hAnsi="Times New Roman"/>
              </w:rPr>
              <w:t>1000</w:t>
            </w:r>
          </w:p>
        </w:tc>
        <w:tc>
          <w:tcPr>
            <w:tcW w:w="1167" w:type="dxa"/>
            <w:vAlign w:val="center"/>
          </w:tcPr>
          <w:p>
            <w:pPr>
              <w:pStyle w:val="39"/>
              <w:rPr>
                <w:rFonts w:ascii="Times New Roman" w:hAnsi="Times New Roman"/>
              </w:rPr>
            </w:pPr>
            <w:r>
              <w:rPr>
                <w:rFonts w:ascii="Times New Roman" w:hAnsi="Times New Roman"/>
              </w:rPr>
              <w:t>/</w:t>
            </w:r>
          </w:p>
        </w:tc>
        <w:tc>
          <w:tcPr>
            <w:tcW w:w="1157" w:type="dxa"/>
            <w:vAlign w:val="center"/>
          </w:tcPr>
          <w:p>
            <w:pPr>
              <w:pStyle w:val="39"/>
              <w:rPr>
                <w:rFonts w:ascii="Times New Roman" w:hAnsi="Times New Roman"/>
              </w:rPr>
            </w:pPr>
            <w:r>
              <w:rPr>
                <w:rFonts w:ascii="Times New Roman" w:hAnsi="Times New Roman"/>
              </w:rPr>
              <w:t>47</w:t>
            </w:r>
          </w:p>
        </w:tc>
        <w:tc>
          <w:tcPr>
            <w:tcW w:w="1586" w:type="dxa"/>
            <w:vAlign w:val="center"/>
          </w:tcPr>
          <w:p>
            <w:pPr>
              <w:pStyle w:val="39"/>
              <w:rPr>
                <w:rFonts w:ascii="Times New Roman" w:hAnsi="Times New Roman"/>
              </w:rPr>
            </w:pPr>
            <w:r>
              <w:rPr>
                <w:rFonts w:ascii="Times New Roman" w:hAnsi="Times New Roman"/>
              </w:rPr>
              <w:t>0.04</w:t>
            </w:r>
          </w:p>
        </w:tc>
        <w:tc>
          <w:tcPr>
            <w:tcW w:w="1320" w:type="dxa"/>
            <w:vAlign w:val="center"/>
          </w:tcPr>
          <w:p>
            <w:pPr>
              <w:pStyle w:val="39"/>
              <w:rPr>
                <w:rFonts w:ascii="Times New Roman" w:hAnsi="Times New Roman"/>
              </w:rPr>
            </w:pPr>
            <w:r>
              <w:rPr>
                <w:rFonts w:ascii="Times New Roman" w:hAnsi="Times New Roman"/>
              </w:rPr>
              <w:t>/</w:t>
            </w:r>
          </w:p>
        </w:tc>
        <w:tc>
          <w:tcPr>
            <w:tcW w:w="1377"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1175" w:type="dxa"/>
            <w:vMerge w:val="continue"/>
            <w:vAlign w:val="center"/>
          </w:tcPr>
          <w:p>
            <w:pPr>
              <w:pStyle w:val="39"/>
              <w:rPr>
                <w:rFonts w:ascii="Times New Roman" w:hAnsi="Times New Roman"/>
              </w:rPr>
            </w:pPr>
          </w:p>
        </w:tc>
        <w:tc>
          <w:tcPr>
            <w:tcW w:w="1298" w:type="dxa"/>
            <w:vAlign w:val="center"/>
          </w:tcPr>
          <w:p>
            <w:pPr>
              <w:pStyle w:val="39"/>
              <w:rPr>
                <w:rFonts w:ascii="Times New Roman" w:hAnsi="Times New Roman"/>
              </w:rPr>
            </w:pPr>
            <w:r>
              <w:rPr>
                <w:rFonts w:ascii="Times New Roman" w:hAnsi="Times New Roman"/>
              </w:rPr>
              <w:t>3600</w:t>
            </w:r>
          </w:p>
        </w:tc>
        <w:tc>
          <w:tcPr>
            <w:tcW w:w="1167" w:type="dxa"/>
            <w:vAlign w:val="center"/>
          </w:tcPr>
          <w:p>
            <w:pPr>
              <w:pStyle w:val="39"/>
              <w:rPr>
                <w:rFonts w:ascii="Times New Roman" w:hAnsi="Times New Roman"/>
              </w:rPr>
            </w:pPr>
            <w:r>
              <w:rPr>
                <w:rFonts w:ascii="Times New Roman" w:hAnsi="Times New Roman"/>
              </w:rPr>
              <w:t>/</w:t>
            </w:r>
          </w:p>
        </w:tc>
        <w:tc>
          <w:tcPr>
            <w:tcW w:w="1157" w:type="dxa"/>
            <w:vAlign w:val="center"/>
          </w:tcPr>
          <w:p>
            <w:pPr>
              <w:pStyle w:val="39"/>
              <w:rPr>
                <w:rFonts w:ascii="Times New Roman" w:hAnsi="Times New Roman"/>
              </w:rPr>
            </w:pPr>
            <w:r>
              <w:rPr>
                <w:rFonts w:ascii="Times New Roman" w:hAnsi="Times New Roman"/>
              </w:rPr>
              <w:t>169.2</w:t>
            </w:r>
          </w:p>
        </w:tc>
        <w:tc>
          <w:tcPr>
            <w:tcW w:w="1586" w:type="dxa"/>
            <w:vAlign w:val="center"/>
          </w:tcPr>
          <w:p>
            <w:pPr>
              <w:pStyle w:val="39"/>
              <w:rPr>
                <w:rFonts w:ascii="Times New Roman" w:hAnsi="Times New Roman"/>
              </w:rPr>
            </w:pPr>
            <w:r>
              <w:rPr>
                <w:rFonts w:ascii="Times New Roman" w:hAnsi="Times New Roman"/>
              </w:rPr>
              <w:t>0.01</w:t>
            </w:r>
          </w:p>
        </w:tc>
        <w:tc>
          <w:tcPr>
            <w:tcW w:w="1320" w:type="dxa"/>
            <w:vAlign w:val="center"/>
          </w:tcPr>
          <w:p>
            <w:pPr>
              <w:pStyle w:val="39"/>
              <w:rPr>
                <w:rFonts w:ascii="Times New Roman" w:hAnsi="Times New Roman"/>
              </w:rPr>
            </w:pPr>
            <w:r>
              <w:rPr>
                <w:rFonts w:ascii="Times New Roman" w:hAnsi="Times New Roman"/>
              </w:rPr>
              <w:t>/</w:t>
            </w:r>
          </w:p>
        </w:tc>
        <w:tc>
          <w:tcPr>
            <w:tcW w:w="1377" w:type="dxa"/>
            <w:vMerge w:val="continue"/>
            <w:vAlign w:val="center"/>
          </w:tcPr>
          <w:p>
            <w:pPr>
              <w:pStyle w:val="39"/>
              <w:rPr>
                <w:rFonts w:ascii="Times New Roman" w:hAnsi="Times New Roman"/>
              </w:rPr>
            </w:pPr>
          </w:p>
        </w:tc>
      </w:tr>
    </w:tbl>
    <w:p>
      <w:pPr>
        <w:widowControl/>
        <w:tabs>
          <w:tab w:val="left" w:pos="420"/>
        </w:tabs>
        <w:adjustRightInd w:val="0"/>
        <w:snapToGrid w:val="0"/>
        <w:ind w:firstLine="400"/>
        <w:jc w:val="center"/>
        <w:rPr>
          <w:rFonts w:ascii="Times New Roman" w:hAnsi="Times New Roman"/>
          <w:kern w:val="0"/>
          <w:sz w:val="20"/>
          <w:szCs w:val="20"/>
        </w:rPr>
      </w:pPr>
    </w:p>
    <w:tbl>
      <w:tblPr>
        <w:tblStyle w:val="28"/>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tcBorders>
              <w:top w:val="single" w:color="auto" w:sz="4" w:space="0"/>
              <w:left w:val="single" w:color="auto" w:sz="4" w:space="0"/>
              <w:bottom w:val="nil"/>
              <w:right w:val="single" w:color="auto" w:sz="4" w:space="0"/>
            </w:tcBorders>
            <w:vAlign w:val="center"/>
          </w:tcPr>
          <w:p>
            <w:pPr>
              <w:keepNext/>
              <w:spacing w:after="120" w:line="480" w:lineRule="auto"/>
              <w:ind w:firstLine="480"/>
              <w:jc w:val="center"/>
              <w:rPr>
                <w:rFonts w:ascii="Times New Roman" w:hAnsi="Times New Roman"/>
                <w:szCs w:val="21"/>
              </w:rPr>
            </w:pPr>
            <w:r>
              <w:rPr>
                <w:rFonts w:ascii="Times New Roman" w:hAnsi="Times New Roman"/>
                <w:szCs w:val="21"/>
              </w:rPr>
              <w:drawing>
                <wp:inline distT="0" distB="0" distL="0" distR="0">
                  <wp:extent cx="5759450" cy="1887220"/>
                  <wp:effectExtent l="19050" t="0" r="0" b="0"/>
                  <wp:docPr id="149" name="图片 22" descr="C:\Users\Administrator\Desktop\宣探\气田\COD-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2" descr="C:\Users\Administrator\Desktop\宣探\气田\COD-100.jpg"/>
                          <pic:cNvPicPr>
                            <a:picLocks noChangeAspect="1" noChangeArrowheads="1"/>
                          </pic:cNvPicPr>
                        </pic:nvPicPr>
                        <pic:blipFill>
                          <a:blip r:embed="rId126"/>
                          <a:srcRect/>
                          <a:stretch>
                            <a:fillRect/>
                          </a:stretch>
                        </pic:blipFill>
                        <pic:spPr>
                          <a:xfrm>
                            <a:off x="0" y="0"/>
                            <a:ext cx="5760000" cy="1887608"/>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100d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tcBorders>
              <w:top w:val="single" w:color="auto" w:sz="4" w:space="0"/>
              <w:left w:val="single" w:color="auto" w:sz="4" w:space="0"/>
              <w:bottom w:val="single" w:color="auto" w:sz="4" w:space="0"/>
              <w:right w:val="single" w:color="auto" w:sz="4" w:space="0"/>
            </w:tcBorders>
            <w:vAlign w:val="center"/>
          </w:tcPr>
          <w:p>
            <w:pPr>
              <w:keepNext/>
              <w:spacing w:after="120" w:line="480" w:lineRule="auto"/>
              <w:ind w:firstLine="480"/>
              <w:rPr>
                <w:rFonts w:ascii="Times New Roman" w:hAnsi="Times New Roman"/>
                <w:szCs w:val="21"/>
              </w:rPr>
            </w:pPr>
            <w:r>
              <w:rPr>
                <w:rFonts w:ascii="Times New Roman" w:hAnsi="Times New Roman"/>
                <w:szCs w:val="21"/>
              </w:rPr>
              <w:drawing>
                <wp:inline distT="0" distB="0" distL="0" distR="0">
                  <wp:extent cx="5759450" cy="1887220"/>
                  <wp:effectExtent l="19050" t="0" r="0" b="0"/>
                  <wp:docPr id="150" name="图片 23" descr="C:\Users\Administrator\Desktop\宣探\气田\COD-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3" descr="C:\Users\Administrator\Desktop\宣探\气田\COD-1000.jpg"/>
                          <pic:cNvPicPr>
                            <a:picLocks noChangeAspect="1" noChangeArrowheads="1"/>
                          </pic:cNvPicPr>
                        </pic:nvPicPr>
                        <pic:blipFill>
                          <a:blip r:embed="rId127"/>
                          <a:srcRect/>
                          <a:stretch>
                            <a:fillRect/>
                          </a:stretch>
                        </pic:blipFill>
                        <pic:spPr>
                          <a:xfrm>
                            <a:off x="0" y="0"/>
                            <a:ext cx="5760000" cy="1887608"/>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1000d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tcBorders>
              <w:top w:val="single" w:color="auto" w:sz="4" w:space="0"/>
              <w:left w:val="single" w:color="auto" w:sz="4" w:space="0"/>
              <w:bottom w:val="single" w:color="auto" w:sz="4" w:space="0"/>
              <w:right w:val="single" w:color="auto" w:sz="4" w:space="0"/>
            </w:tcBorders>
            <w:vAlign w:val="center"/>
          </w:tcPr>
          <w:p>
            <w:pPr>
              <w:keepNext/>
              <w:spacing w:after="120" w:line="480" w:lineRule="auto"/>
              <w:ind w:firstLine="480"/>
              <w:rPr>
                <w:rFonts w:ascii="Times New Roman" w:hAnsi="Times New Roman"/>
                <w:szCs w:val="21"/>
              </w:rPr>
            </w:pPr>
            <w:r>
              <w:rPr>
                <w:rFonts w:ascii="Times New Roman" w:hAnsi="Times New Roman"/>
                <w:szCs w:val="21"/>
              </w:rPr>
              <w:drawing>
                <wp:inline distT="0" distB="0" distL="0" distR="0">
                  <wp:extent cx="5759450" cy="1887220"/>
                  <wp:effectExtent l="19050" t="0" r="0" b="0"/>
                  <wp:docPr id="151" name="图片 24" descr="C:\Users\Administrator\Desktop\宣探\气田\COD-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4" descr="C:\Users\Administrator\Desktop\宣探\气田\COD-3600.jpg"/>
                          <pic:cNvPicPr>
                            <a:picLocks noChangeAspect="1" noChangeArrowheads="1"/>
                          </pic:cNvPicPr>
                        </pic:nvPicPr>
                        <pic:blipFill>
                          <a:blip r:embed="rId128"/>
                          <a:srcRect/>
                          <a:stretch>
                            <a:fillRect/>
                          </a:stretch>
                        </pic:blipFill>
                        <pic:spPr>
                          <a:xfrm>
                            <a:off x="0" y="0"/>
                            <a:ext cx="5760000" cy="1887608"/>
                          </a:xfrm>
                          <a:prstGeom prst="rect">
                            <a:avLst/>
                          </a:prstGeom>
                          <a:noFill/>
                          <a:ln w="9525">
                            <a:noFill/>
                            <a:miter lim="800000"/>
                            <a:headEnd/>
                            <a:tailEnd/>
                          </a:ln>
                        </pic:spPr>
                      </pic:pic>
                    </a:graphicData>
                  </a:graphic>
                </wp:inline>
              </w:drawing>
            </w:r>
          </w:p>
          <w:p>
            <w:pPr>
              <w:keepNext/>
              <w:spacing w:line="240" w:lineRule="atLeast"/>
              <w:ind w:firstLine="480"/>
              <w:jc w:val="center"/>
              <w:rPr>
                <w:rFonts w:ascii="Times New Roman" w:hAnsi="Times New Roman"/>
                <w:szCs w:val="21"/>
              </w:rPr>
            </w:pPr>
            <w:r>
              <w:rPr>
                <w:rFonts w:ascii="Times New Roman" w:hAnsi="Times New Roman"/>
                <w:szCs w:val="21"/>
              </w:rPr>
              <w:t>3600d</w:t>
            </w:r>
          </w:p>
        </w:tc>
      </w:tr>
    </w:tbl>
    <w:p>
      <w:pPr>
        <w:pStyle w:val="37"/>
        <w:rPr>
          <w:rFonts w:ascii="Times New Roman" w:hAnsi="Times New Roman" w:cs="Times New Roman"/>
          <w:b/>
          <w:kern w:val="0"/>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b/>
          <w:kern w:val="0"/>
        </w:rPr>
        <w:t>泄漏点水流下游COD浓度变化分布图</w:t>
      </w:r>
    </w:p>
    <w:p>
      <w:pPr>
        <w:pStyle w:val="5"/>
        <w:rPr>
          <w:rFonts w:ascii="Times New Roman" w:hAnsi="Times New Roman"/>
        </w:rPr>
      </w:pPr>
      <w:r>
        <w:rPr>
          <w:rFonts w:ascii="Times New Roman" w:hAnsi="Times New Roman"/>
        </w:rPr>
        <w:t>地下水环境污染模拟结论</w:t>
      </w:r>
    </w:p>
    <w:p>
      <w:pPr>
        <w:ind w:firstLine="480"/>
        <w:rPr>
          <w:rFonts w:ascii="Times New Roman" w:hAnsi="Times New Roman"/>
          <w:kern w:val="0"/>
        </w:rPr>
      </w:pPr>
      <w:r>
        <w:rPr>
          <w:rFonts w:ascii="Times New Roman" w:hAnsi="Times New Roman"/>
          <w:kern w:val="0"/>
        </w:rPr>
        <w:t>1）潜水含水层影响分析</w:t>
      </w:r>
    </w:p>
    <w:p>
      <w:pPr>
        <w:ind w:firstLine="480"/>
        <w:rPr>
          <w:rFonts w:ascii="Times New Roman" w:hAnsi="Times New Roman"/>
          <w:kern w:val="0"/>
          <w:szCs w:val="20"/>
        </w:rPr>
      </w:pPr>
      <w:r>
        <w:rPr>
          <w:rFonts w:ascii="Times New Roman" w:hAnsi="Times New Roman"/>
          <w:kern w:val="0"/>
          <w:szCs w:val="20"/>
        </w:rPr>
        <w:t>本项目产生的气田水有专门储罐进行收集，定期拉运处理；管道采用外防腐层与强制电流阴极保护相结合的防腐方式。因此，正常工况下站场和管道不会对地下水造成污染。</w:t>
      </w:r>
    </w:p>
    <w:p>
      <w:pPr>
        <w:ind w:firstLine="480"/>
        <w:rPr>
          <w:rFonts w:ascii="Times New Roman" w:hAnsi="Times New Roman"/>
          <w:kern w:val="0"/>
          <w:szCs w:val="20"/>
        </w:rPr>
      </w:pPr>
      <w:r>
        <w:rPr>
          <w:rFonts w:ascii="Times New Roman" w:hAnsi="Times New Roman"/>
          <w:kern w:val="0"/>
          <w:szCs w:val="20"/>
        </w:rPr>
        <w:t>非正常状况下，因施工质量、地震及人为因素发生污染物泄漏，会造成地下水污染。根据预测结果分析，非正常状况下污染物泄漏对地下水环境影响中，本项目氯化物对地下水影响最大，宣兴1井站气田水罐泄漏，氯化物地下水污染迁移100天时，地下水氯化物最大浓度131.61mg/L，叠加背景值未超过《地下水质量标准》（GB/T 14848-2017）III类标准限值250mg/L，对泄漏点周边地下水造成的影响较小。</w:t>
      </w:r>
    </w:p>
    <w:p>
      <w:pPr>
        <w:ind w:firstLine="480"/>
        <w:rPr>
          <w:rFonts w:ascii="Times New Roman" w:hAnsi="Times New Roman"/>
          <w:kern w:val="0"/>
          <w:szCs w:val="20"/>
        </w:rPr>
      </w:pPr>
      <w:r>
        <w:rPr>
          <w:rFonts w:ascii="Times New Roman" w:hAnsi="Times New Roman"/>
          <w:kern w:val="0"/>
          <w:szCs w:val="20"/>
        </w:rPr>
        <w:t>2）周边饮用水井影响分析</w:t>
      </w:r>
    </w:p>
    <w:p>
      <w:pPr>
        <w:ind w:firstLine="480"/>
        <w:rPr>
          <w:rFonts w:ascii="Times New Roman" w:hAnsi="Times New Roman"/>
          <w:kern w:val="0"/>
          <w:szCs w:val="20"/>
        </w:rPr>
      </w:pPr>
      <w:r>
        <w:rPr>
          <w:rFonts w:ascii="Times New Roman" w:hAnsi="Times New Roman"/>
          <w:kern w:val="0"/>
          <w:szCs w:val="20"/>
        </w:rPr>
        <w:t>根据预测结果，宣兴1井站气田水罐泄漏，标准指数最大的特征因子氯化物在地下水污染迁移最远距离为140.4m；宣探1井站气田水罐泄漏，标准指数最大的特征因子氯化物在地下水污染迁移最远距离为169.2m。污染物仅在泄漏点周边分布，不会对周边水井点造成影响。</w:t>
      </w:r>
    </w:p>
    <w:p>
      <w:pPr>
        <w:ind w:firstLine="480"/>
        <w:rPr>
          <w:rFonts w:ascii="Times New Roman" w:hAnsi="Times New Roman"/>
        </w:rPr>
      </w:pPr>
      <w:r>
        <w:rPr>
          <w:rFonts w:ascii="Times New Roman" w:hAnsi="Times New Roman"/>
        </w:rPr>
        <w:t>综上所述，正常状况下，运营期产生的气田水都放置在相应的罐体中，并且项目各工艺区及辅助设备区均有防渗设计。采气管道采用无缝钢管，具有较强的防渗、防腐及刚度，正常情况下建设项目不会对周边地下水水质造成不利影响。非正常工况下污水泄漏对地下水环境造成影响也仅限于泄漏点附近，通过现状调查结合预测结果，污染物最远的超标距离内没有水井点分布，不会对周边保护目标造成水质影响。因此，在施工过程中应注重施工质量，做好分区防渗措施，加强运营期管理，及后期监测杜绝非正常工况的发生，同时还应制定废水泄漏风险防范措施。发生风险事故后，通过及时处理，工程建设对地下水环境影响可接受。</w:t>
      </w:r>
    </w:p>
    <w:p>
      <w:pPr>
        <w:ind w:firstLine="0" w:firstLineChars="0"/>
        <w:rPr>
          <w:rFonts w:ascii="Times New Roman" w:hAnsi="Times New Roman"/>
        </w:rPr>
      </w:pPr>
    </w:p>
    <w:p>
      <w:pPr>
        <w:ind w:firstLine="480"/>
        <w:rPr>
          <w:rFonts w:ascii="Times New Roman" w:hAnsi="Times New Roman"/>
        </w:rPr>
      </w:pPr>
    </w:p>
    <w:p>
      <w:pPr>
        <w:ind w:firstLine="480"/>
        <w:rPr>
          <w:rFonts w:ascii="Times New Roman" w:hAnsi="Times New Roman"/>
        </w:rPr>
      </w:pPr>
    </w:p>
    <w:p>
      <w:pPr>
        <w:pStyle w:val="3"/>
        <w:rPr>
          <w:rFonts w:ascii="Times New Roman" w:hAnsi="Times New Roman" w:cs="Times New Roman"/>
        </w:rPr>
      </w:pPr>
      <w:bookmarkStart w:id="225" w:name="_Toc162339427"/>
      <w:r>
        <w:rPr>
          <w:rFonts w:ascii="Times New Roman" w:hAnsi="Times New Roman" w:cs="Times New Roman"/>
        </w:rPr>
        <w:t>土壤环境</w:t>
      </w:r>
      <w:bookmarkEnd w:id="225"/>
    </w:p>
    <w:p>
      <w:pPr>
        <w:pStyle w:val="4"/>
        <w:rPr>
          <w:rFonts w:ascii="Times New Roman" w:hAnsi="Times New Roman" w:cs="Times New Roman"/>
        </w:rPr>
      </w:pPr>
      <w:r>
        <w:rPr>
          <w:rFonts w:ascii="Times New Roman" w:hAnsi="Times New Roman" w:cs="Times New Roman"/>
        </w:rPr>
        <w:t>施工期</w:t>
      </w:r>
    </w:p>
    <w:p>
      <w:pPr>
        <w:ind w:firstLine="480"/>
        <w:rPr>
          <w:rFonts w:ascii="Times New Roman" w:hAnsi="Times New Roman"/>
        </w:rPr>
      </w:pPr>
      <w:r>
        <w:rPr>
          <w:rFonts w:ascii="Times New Roman" w:hAnsi="Times New Roman"/>
        </w:rPr>
        <w:t>本项目施工期污染源主要包括废气、废水、噪声、固废。施工废水均可以有效收集处置，施工固废均定期清理并且有效处置，施工期污染物的排放是暂时的，且排放量较小，对土壤环境影响很小。</w:t>
      </w:r>
    </w:p>
    <w:p>
      <w:pPr>
        <w:ind w:firstLine="480"/>
        <w:rPr>
          <w:rFonts w:ascii="Times New Roman" w:hAnsi="Times New Roman"/>
        </w:rPr>
      </w:pPr>
      <w:r>
        <w:rPr>
          <w:rFonts w:ascii="Times New Roman" w:hAnsi="Times New Roman"/>
        </w:rPr>
        <w:t>一般来说，项目建设对土壤的影响主要是施工期建设对土壤的占压和扰动破坏。工程建设阶段，如场地就地平整，对土壤植被的破坏均集中于施工场地内部，对场地外部影响较小。施工机械和车辆运输等对自然土壤的理化性质、肥力水平带来一定的影响，并进一步影响地表植被恢复。随着时间的推移影响逐渐消失，最终使土壤质量恢复到原来的水平。因此，对土壤环境影响较小。</w:t>
      </w:r>
    </w:p>
    <w:p>
      <w:pPr>
        <w:pStyle w:val="4"/>
        <w:rPr>
          <w:rFonts w:ascii="Times New Roman" w:hAnsi="Times New Roman" w:cs="Times New Roman"/>
        </w:rPr>
      </w:pPr>
      <w:r>
        <w:rPr>
          <w:rFonts w:ascii="Times New Roman" w:hAnsi="Times New Roman" w:cs="Times New Roman"/>
        </w:rPr>
        <w:t>运营期</w:t>
      </w:r>
    </w:p>
    <w:p>
      <w:pPr>
        <w:pStyle w:val="5"/>
        <w:rPr>
          <w:rFonts w:ascii="Times New Roman" w:hAnsi="Times New Roman"/>
        </w:rPr>
      </w:pPr>
      <w:r>
        <w:rPr>
          <w:rFonts w:ascii="Times New Roman" w:hAnsi="Times New Roman"/>
        </w:rPr>
        <w:t>污染源及污染途径</w:t>
      </w:r>
    </w:p>
    <w:p>
      <w:pPr>
        <w:ind w:firstLine="480"/>
        <w:rPr>
          <w:rFonts w:ascii="Times New Roman" w:hAnsi="Times New Roman"/>
        </w:rPr>
      </w:pPr>
      <w:r>
        <w:rPr>
          <w:rFonts w:ascii="Times New Roman" w:hAnsi="Times New Roman"/>
        </w:rPr>
        <w:t>本项目对土壤的潜在污染源主要为宣兴1井站和宣探1井站的气田水罐及配套装车设施。</w:t>
      </w:r>
    </w:p>
    <w:p>
      <w:pPr>
        <w:ind w:firstLine="480"/>
        <w:rPr>
          <w:rFonts w:ascii="Times New Roman" w:hAnsi="Times New Roman"/>
        </w:rPr>
      </w:pPr>
      <w:r>
        <w:rPr>
          <w:rFonts w:ascii="Times New Roman" w:hAnsi="Times New Roman"/>
        </w:rPr>
        <w:t>本项目排放的废气污染物主要是SO</w:t>
      </w:r>
      <w:r>
        <w:rPr>
          <w:rFonts w:ascii="Times New Roman" w:hAnsi="Times New Roman"/>
          <w:vertAlign w:val="subscript"/>
        </w:rPr>
        <w:t>2</w:t>
      </w:r>
      <w:r>
        <w:rPr>
          <w:rFonts w:ascii="Times New Roman" w:hAnsi="Times New Roman"/>
        </w:rPr>
        <w:t>、NO</w:t>
      </w:r>
      <w:r>
        <w:rPr>
          <w:rFonts w:ascii="Times New Roman" w:hAnsi="Times New Roman"/>
          <w:vertAlign w:val="subscript"/>
        </w:rPr>
        <w:t>X</w:t>
      </w:r>
      <w:r>
        <w:rPr>
          <w:rFonts w:ascii="Times New Roman" w:hAnsi="Times New Roman"/>
        </w:rPr>
        <w:t>、PM</w:t>
      </w:r>
      <w:r>
        <w:rPr>
          <w:rFonts w:ascii="Times New Roman" w:hAnsi="Times New Roman"/>
          <w:vertAlign w:val="subscript"/>
        </w:rPr>
        <w:t>10</w:t>
      </w:r>
      <w:r>
        <w:rPr>
          <w:rFonts w:ascii="Times New Roman" w:hAnsi="Times New Roman"/>
        </w:rPr>
        <w:t>、PM</w:t>
      </w:r>
      <w:r>
        <w:rPr>
          <w:rFonts w:ascii="Times New Roman" w:hAnsi="Times New Roman"/>
          <w:vertAlign w:val="subscript"/>
        </w:rPr>
        <w:t>2.5</w:t>
      </w:r>
      <w:r>
        <w:rPr>
          <w:rFonts w:ascii="Times New Roman" w:hAnsi="Times New Roman"/>
        </w:rPr>
        <w:t>、VOCs和H</w:t>
      </w:r>
      <w:r>
        <w:rPr>
          <w:rFonts w:ascii="Times New Roman" w:hAnsi="Times New Roman"/>
          <w:vertAlign w:val="subscript"/>
        </w:rPr>
        <w:t>2</w:t>
      </w:r>
      <w:r>
        <w:rPr>
          <w:rFonts w:ascii="Times New Roman" w:hAnsi="Times New Roman"/>
        </w:rPr>
        <w:t>S，基本不会通过大气沉降的途径对土壤造成累积性影响。气田水罐设置有围堰，井站地势平坦，基本不会通过地面漫流对土壤产生影响。因此本项目对土壤环境的影响途径主要为垂直入渗。</w:t>
      </w:r>
    </w:p>
    <w:p>
      <w:pPr>
        <w:pStyle w:val="5"/>
        <w:rPr>
          <w:rFonts w:ascii="Times New Roman" w:hAnsi="Times New Roman"/>
        </w:rPr>
      </w:pPr>
      <w:r>
        <w:rPr>
          <w:rFonts w:ascii="Times New Roman" w:hAnsi="Times New Roman"/>
        </w:rPr>
        <w:t>正常情况下对土壤的影响</w:t>
      </w:r>
    </w:p>
    <w:p>
      <w:pPr>
        <w:ind w:firstLine="480"/>
        <w:rPr>
          <w:rFonts w:ascii="Times New Roman" w:hAnsi="Times New Roman"/>
        </w:rPr>
      </w:pPr>
      <w:r>
        <w:rPr>
          <w:rFonts w:ascii="Times New Roman" w:hAnsi="Times New Roman"/>
        </w:rPr>
        <w:t>本项目天然气在密闭状态下输送，气田水密闭储存，因此正常运营情况下，对土壤环境影响较小。</w:t>
      </w:r>
    </w:p>
    <w:p>
      <w:pPr>
        <w:pStyle w:val="5"/>
        <w:rPr>
          <w:rFonts w:ascii="Times New Roman" w:hAnsi="Times New Roman"/>
        </w:rPr>
      </w:pPr>
      <w:r>
        <w:rPr>
          <w:rFonts w:ascii="Times New Roman" w:hAnsi="Times New Roman"/>
        </w:rPr>
        <w:t>非正常情况对土壤环境的影响分析</w:t>
      </w:r>
    </w:p>
    <w:p>
      <w:pPr>
        <w:ind w:firstLine="480"/>
        <w:rPr>
          <w:rFonts w:ascii="Times New Roman" w:hAnsi="Times New Roman"/>
        </w:rPr>
      </w:pPr>
      <w:r>
        <w:rPr>
          <w:rFonts w:ascii="Times New Roman" w:hAnsi="Times New Roman"/>
        </w:rPr>
        <w:t>在非正常情况下，气田水罐及配套设施腐蚀渗漏气田水“跑、冒、滴、漏”通过垂直入渗进入土壤，对土壤环境产生一定的影响。因此本次评价对土壤环境的预测主要考虑非正常工况。</w:t>
      </w:r>
    </w:p>
    <w:p>
      <w:pPr>
        <w:ind w:firstLine="482"/>
        <w:rPr>
          <w:rFonts w:ascii="Times New Roman" w:hAnsi="Times New Roman"/>
          <w:b/>
        </w:rPr>
      </w:pPr>
      <w:r>
        <w:rPr>
          <w:rFonts w:ascii="Times New Roman" w:hAnsi="Times New Roman"/>
          <w:b/>
        </w:rPr>
        <w:t>（1）预测范围</w:t>
      </w:r>
    </w:p>
    <w:p>
      <w:pPr>
        <w:ind w:firstLine="480"/>
        <w:rPr>
          <w:rFonts w:ascii="Times New Roman" w:hAnsi="Times New Roman"/>
        </w:rPr>
      </w:pPr>
      <w:r>
        <w:rPr>
          <w:rFonts w:ascii="Times New Roman" w:hAnsi="Times New Roman"/>
        </w:rPr>
        <w:t>预测范围与现状调查范围一致，为项目占地范围及占地范围外200m的区域。</w:t>
      </w:r>
    </w:p>
    <w:p>
      <w:pPr>
        <w:ind w:firstLine="482"/>
        <w:rPr>
          <w:rFonts w:ascii="Times New Roman" w:hAnsi="Times New Roman"/>
          <w:b/>
        </w:rPr>
      </w:pPr>
      <w:r>
        <w:rPr>
          <w:rFonts w:ascii="Times New Roman" w:hAnsi="Times New Roman"/>
          <w:b/>
        </w:rPr>
        <w:t>（2）预测评价时段</w:t>
      </w:r>
    </w:p>
    <w:p>
      <w:pPr>
        <w:ind w:firstLine="480"/>
        <w:rPr>
          <w:rFonts w:ascii="Times New Roman" w:hAnsi="Times New Roman"/>
        </w:rPr>
      </w:pPr>
      <w:r>
        <w:rPr>
          <w:rFonts w:ascii="Times New Roman" w:hAnsi="Times New Roman"/>
        </w:rPr>
        <w:t>根据土壤环境影响识别结果，本项目重点预测评价时段为运营期。</w:t>
      </w:r>
    </w:p>
    <w:p>
      <w:pPr>
        <w:adjustRightInd w:val="0"/>
        <w:snapToGrid w:val="0"/>
        <w:ind w:firstLine="480"/>
        <w:rPr>
          <w:rFonts w:ascii="Times New Roman" w:hAnsi="Times New Roman"/>
        </w:rPr>
      </w:pPr>
      <w:r>
        <w:rPr>
          <w:rFonts w:ascii="Times New Roman" w:hAnsi="Times New Roman"/>
        </w:rPr>
        <w:t>1）正常工况</w:t>
      </w:r>
    </w:p>
    <w:p>
      <w:pPr>
        <w:adjustRightInd w:val="0"/>
        <w:snapToGrid w:val="0"/>
        <w:ind w:firstLine="480"/>
        <w:rPr>
          <w:rFonts w:ascii="Times New Roman" w:hAnsi="Times New Roman"/>
        </w:rPr>
      </w:pPr>
      <w:r>
        <w:rPr>
          <w:rFonts w:ascii="Times New Roman" w:hAnsi="Times New Roman"/>
        </w:rPr>
        <w:t>在采取源头控制和分区防控措施的基础上，正常工况下基本不会有污染物渗漏至地下的情景发生。因此，本次土壤污染预测情景主要针对非正常工况进行设定。</w:t>
      </w:r>
    </w:p>
    <w:p>
      <w:pPr>
        <w:adjustRightInd w:val="0"/>
        <w:snapToGrid w:val="0"/>
        <w:ind w:firstLine="480"/>
        <w:rPr>
          <w:rFonts w:ascii="Times New Roman" w:hAnsi="Times New Roman"/>
        </w:rPr>
      </w:pPr>
      <w:r>
        <w:rPr>
          <w:rFonts w:ascii="Times New Roman" w:hAnsi="Times New Roman"/>
        </w:rPr>
        <w:t>2）非正常工况</w:t>
      </w:r>
    </w:p>
    <w:p>
      <w:pPr>
        <w:adjustRightInd w:val="0"/>
        <w:snapToGrid w:val="0"/>
        <w:ind w:firstLine="480"/>
        <w:rPr>
          <w:rFonts w:ascii="Times New Roman" w:hAnsi="Times New Roman"/>
        </w:rPr>
      </w:pPr>
      <w:r>
        <w:rPr>
          <w:rFonts w:ascii="Times New Roman" w:hAnsi="Times New Roman"/>
        </w:rPr>
        <w:t>根据项目的实际情况分析，如果是工艺装置区气田水罐发生渗漏，地面同时发生裂缝的情况下，含油污水通过漏点，逐渐渗入进入土壤。</w:t>
      </w:r>
    </w:p>
    <w:p>
      <w:pPr>
        <w:adjustRightInd w:val="0"/>
        <w:snapToGrid w:val="0"/>
        <w:ind w:firstLine="480"/>
        <w:rPr>
          <w:rFonts w:ascii="Times New Roman" w:hAnsi="Times New Roman"/>
        </w:rPr>
      </w:pPr>
      <w:r>
        <w:rPr>
          <w:rFonts w:ascii="Times New Roman" w:hAnsi="Times New Roman"/>
        </w:rPr>
        <w:t>综合考虑本项目含油污水的特性和装置设施的装备情况，本次评价非正常工况泄漏点设定为：宣兴1井站和宣探1井站工艺装置区气田水罐破损渗漏，气田水罐为地上储罐，泄漏后容易被发现，因此泄漏时间按照1h考虑，预测源强见</w:t>
      </w:r>
      <w:r>
        <w:rPr>
          <w:rFonts w:ascii="Times New Roman" w:hAnsi="Times New Roman"/>
        </w:rPr>
        <w:fldChar w:fldCharType="begin"/>
      </w:r>
      <w:r>
        <w:rPr>
          <w:rFonts w:ascii="Times New Roman" w:hAnsi="Times New Roman"/>
        </w:rPr>
        <w:instrText xml:space="preserve"> REF _Ref119572178 \h  \* MERGEFORMAT </w:instrText>
      </w:r>
      <w:r>
        <w:rPr>
          <w:rFonts w:ascii="Times New Roman" w:hAnsi="Times New Roman"/>
        </w:rPr>
        <w:fldChar w:fldCharType="separate"/>
      </w:r>
      <w:r>
        <w:rPr>
          <w:rFonts w:ascii="Times New Roman" w:hAnsi="Times New Roman" w:eastAsia="黑体"/>
          <w:kern w:val="0"/>
          <w:lang w:val="zh-CN" w:eastAsia="zh-CN"/>
        </w:rPr>
        <w:t>表 6</w:t>
      </w:r>
      <w:r>
        <w:rPr>
          <w:rFonts w:ascii="Times New Roman" w:hAnsi="Times New Roman" w:eastAsia="黑体"/>
          <w:kern w:val="0"/>
          <w:lang w:val="zh-CN" w:eastAsia="zh-CN"/>
        </w:rPr>
        <w:noBreakHyphen/>
      </w:r>
      <w:r>
        <w:rPr>
          <w:rFonts w:ascii="Times New Roman" w:hAnsi="Times New Roman" w:eastAsia="黑体"/>
          <w:kern w:val="0"/>
          <w:lang w:val="zh-CN" w:eastAsia="zh-CN"/>
        </w:rPr>
        <w:t>29</w:t>
      </w:r>
      <w:r>
        <w:rPr>
          <w:rFonts w:ascii="Times New Roman" w:hAnsi="Times New Roman"/>
        </w:rPr>
        <w:fldChar w:fldCharType="end"/>
      </w:r>
      <w:r>
        <w:rPr>
          <w:rFonts w:ascii="Times New Roman" w:hAnsi="Times New Roman"/>
        </w:rPr>
        <w:t>，泄漏位置见</w:t>
      </w:r>
      <w:r>
        <w:rPr>
          <w:rFonts w:ascii="Times New Roman" w:hAnsi="Times New Roman"/>
        </w:rPr>
        <w:fldChar w:fldCharType="begin"/>
      </w:r>
      <w:r>
        <w:rPr>
          <w:rFonts w:ascii="Times New Roman" w:hAnsi="Times New Roman"/>
        </w:rPr>
        <w:instrText xml:space="preserve"> REF _Ref116119725 \h  \* MERGEFORMAT </w:instrText>
      </w:r>
      <w:r>
        <w:rPr>
          <w:rFonts w:ascii="Times New Roman" w:hAnsi="Times New Roman"/>
        </w:rPr>
        <w:fldChar w:fldCharType="separate"/>
      </w:r>
      <w:r>
        <w:rPr>
          <w:rFonts w:ascii="Times New Roman" w:hAnsi="Times New Roman" w:eastAsia="黑体"/>
          <w:kern w:val="0"/>
          <w:lang w:val="zh-CN" w:eastAsia="zh-CN"/>
        </w:rPr>
        <w:t>图6</w:t>
      </w:r>
      <w:r>
        <w:rPr>
          <w:rFonts w:ascii="Times New Roman" w:hAnsi="Times New Roman" w:eastAsia="黑体"/>
          <w:kern w:val="0"/>
          <w:lang w:val="zh-CN" w:eastAsia="zh-CN"/>
        </w:rPr>
        <w:noBreakHyphen/>
      </w:r>
      <w:r>
        <w:rPr>
          <w:rFonts w:ascii="Times New Roman" w:hAnsi="Times New Roman" w:eastAsia="黑体"/>
          <w:kern w:val="0"/>
          <w:lang w:val="zh-CN" w:eastAsia="zh-CN"/>
        </w:rPr>
        <w:t>14</w:t>
      </w:r>
      <w:r>
        <w:rPr>
          <w:rFonts w:ascii="Times New Roman" w:hAnsi="Times New Roman"/>
        </w:rPr>
        <w:fldChar w:fldCharType="end"/>
      </w:r>
      <w:r>
        <w:rPr>
          <w:rFonts w:ascii="Times New Roman" w:hAnsi="Times New Roman"/>
        </w:rPr>
        <w:t>。</w:t>
      </w:r>
    </w:p>
    <w:p>
      <w:pPr>
        <w:widowControl/>
        <w:wordWrap w:val="0"/>
        <w:adjustRightInd w:val="0"/>
        <w:snapToGrid w:val="0"/>
        <w:spacing w:line="240" w:lineRule="auto"/>
        <w:ind w:firstLine="0" w:firstLineChars="0"/>
        <w:jc w:val="center"/>
        <w:rPr>
          <w:rFonts w:ascii="Times New Roman" w:hAnsi="Times New Roman" w:eastAsia="黑体"/>
          <w:kern w:val="0"/>
          <w:lang w:val="zh-CN" w:eastAsia="zh-CN"/>
        </w:rPr>
      </w:pPr>
      <w:bookmarkStart w:id="226" w:name="_Ref119572178"/>
      <w:r>
        <w:rPr>
          <w:rFonts w:ascii="Times New Roman" w:hAnsi="Times New Roman" w:eastAsia="黑体"/>
          <w:kern w:val="0"/>
          <w:lang w:val="zh-CN" w:eastAsia="zh-CN"/>
        </w:rPr>
        <w:t xml:space="preserve">表 </w:t>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STYLEREF 1 \s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6</w:t>
      </w:r>
      <w:r>
        <w:rPr>
          <w:rFonts w:ascii="Times New Roman" w:hAnsi="Times New Roman" w:eastAsia="黑体"/>
          <w:kern w:val="0"/>
          <w:lang w:val="zh-CN" w:eastAsia="zh-CN"/>
        </w:rPr>
        <w:fldChar w:fldCharType="end"/>
      </w:r>
      <w:r>
        <w:rPr>
          <w:rFonts w:ascii="Times New Roman" w:hAnsi="Times New Roman" w:eastAsia="黑体"/>
          <w:kern w:val="0"/>
          <w:lang w:val="zh-CN" w:eastAsia="zh-CN"/>
        </w:rPr>
        <w:noBreakHyphen/>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SEQ 表 \* ARABIC \s 1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29</w:t>
      </w:r>
      <w:r>
        <w:rPr>
          <w:rFonts w:ascii="Times New Roman" w:hAnsi="Times New Roman" w:eastAsia="黑体"/>
          <w:kern w:val="0"/>
          <w:lang w:val="zh-CN" w:eastAsia="zh-CN"/>
        </w:rPr>
        <w:fldChar w:fldCharType="end"/>
      </w:r>
      <w:bookmarkEnd w:id="226"/>
      <w:r>
        <w:rPr>
          <w:rFonts w:ascii="Times New Roman" w:hAnsi="Times New Roman" w:eastAsia="黑体"/>
          <w:kern w:val="0"/>
          <w:lang w:val="zh-CN" w:eastAsia="zh-CN"/>
        </w:rPr>
        <w:t xml:space="preserve">  </w:t>
      </w:r>
      <w:r>
        <w:rPr>
          <w:rFonts w:ascii="Times New Roman" w:hAnsi="Times New Roman" w:eastAsia="黑体"/>
          <w:kern w:val="0"/>
          <w:lang w:val="zh-CN"/>
        </w:rPr>
        <w:t>土</w:t>
      </w:r>
      <w:r>
        <w:rPr>
          <w:rFonts w:ascii="Times New Roman" w:hAnsi="Times New Roman" w:eastAsia="黑体"/>
          <w:kern w:val="0"/>
          <w:lang w:val="zh-CN" w:eastAsia="zh-CN"/>
        </w:rPr>
        <w:t>壤预测情景</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6"/>
        <w:gridCol w:w="1450"/>
        <w:gridCol w:w="1304"/>
        <w:gridCol w:w="1450"/>
        <w:gridCol w:w="1161"/>
        <w:gridCol w:w="17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 w:type="pct"/>
            <w:vAlign w:val="center"/>
          </w:tcPr>
          <w:p>
            <w:pPr>
              <w:widowControl/>
              <w:adjustRightInd w:val="0"/>
              <w:snapToGrid w:val="0"/>
              <w:spacing w:line="240" w:lineRule="auto"/>
              <w:ind w:firstLine="0" w:firstLineChars="0"/>
              <w:jc w:val="center"/>
              <w:textAlignment w:val="center"/>
              <w:rPr>
                <w:rFonts w:ascii="Times New Roman" w:hAnsi="Times New Roman"/>
                <w:b/>
                <w:sz w:val="21"/>
                <w:szCs w:val="21"/>
              </w:rPr>
            </w:pPr>
            <w:r>
              <w:rPr>
                <w:rFonts w:ascii="Times New Roman" w:hAnsi="Times New Roman"/>
                <w:b/>
                <w:sz w:val="21"/>
                <w:szCs w:val="21"/>
              </w:rPr>
              <w:t>情景设定</w:t>
            </w:r>
          </w:p>
        </w:tc>
        <w:tc>
          <w:tcPr>
            <w:tcW w:w="851" w:type="pct"/>
            <w:vAlign w:val="center"/>
          </w:tcPr>
          <w:p>
            <w:pPr>
              <w:widowControl/>
              <w:adjustRightInd w:val="0"/>
              <w:snapToGrid w:val="0"/>
              <w:spacing w:line="240" w:lineRule="auto"/>
              <w:ind w:firstLine="0" w:firstLineChars="0"/>
              <w:jc w:val="center"/>
              <w:textAlignment w:val="center"/>
              <w:rPr>
                <w:rFonts w:ascii="Times New Roman" w:hAnsi="Times New Roman"/>
                <w:b/>
                <w:sz w:val="21"/>
                <w:szCs w:val="21"/>
              </w:rPr>
            </w:pPr>
            <w:r>
              <w:rPr>
                <w:rFonts w:ascii="Times New Roman" w:hAnsi="Times New Roman"/>
                <w:b/>
                <w:sz w:val="21"/>
                <w:szCs w:val="21"/>
              </w:rPr>
              <w:t>渗漏点</w:t>
            </w:r>
          </w:p>
        </w:tc>
        <w:tc>
          <w:tcPr>
            <w:tcW w:w="765" w:type="pct"/>
            <w:vAlign w:val="center"/>
          </w:tcPr>
          <w:p>
            <w:pPr>
              <w:widowControl/>
              <w:adjustRightInd w:val="0"/>
              <w:snapToGrid w:val="0"/>
              <w:spacing w:line="240" w:lineRule="auto"/>
              <w:ind w:firstLine="0" w:firstLineChars="0"/>
              <w:jc w:val="center"/>
              <w:textAlignment w:val="center"/>
              <w:rPr>
                <w:rFonts w:ascii="Times New Roman" w:hAnsi="Times New Roman"/>
                <w:b/>
                <w:sz w:val="21"/>
                <w:szCs w:val="21"/>
              </w:rPr>
            </w:pPr>
            <w:r>
              <w:rPr>
                <w:rFonts w:ascii="Times New Roman" w:hAnsi="Times New Roman"/>
                <w:b/>
                <w:sz w:val="21"/>
                <w:szCs w:val="21"/>
              </w:rPr>
              <w:t>特征污染物</w:t>
            </w:r>
          </w:p>
        </w:tc>
        <w:tc>
          <w:tcPr>
            <w:tcW w:w="851" w:type="pct"/>
            <w:vAlign w:val="center"/>
          </w:tcPr>
          <w:p>
            <w:pPr>
              <w:widowControl/>
              <w:adjustRightInd w:val="0"/>
              <w:snapToGrid w:val="0"/>
              <w:spacing w:line="240" w:lineRule="auto"/>
              <w:ind w:firstLine="0" w:firstLineChars="0"/>
              <w:jc w:val="center"/>
              <w:textAlignment w:val="center"/>
              <w:rPr>
                <w:rFonts w:ascii="Times New Roman" w:hAnsi="Times New Roman"/>
                <w:b/>
                <w:sz w:val="21"/>
                <w:szCs w:val="21"/>
              </w:rPr>
            </w:pPr>
            <w:r>
              <w:rPr>
                <w:rFonts w:ascii="Times New Roman" w:hAnsi="Times New Roman"/>
                <w:b/>
                <w:sz w:val="21"/>
                <w:szCs w:val="21"/>
              </w:rPr>
              <w:t>浓度（mg/kg）</w:t>
            </w:r>
          </w:p>
        </w:tc>
        <w:tc>
          <w:tcPr>
            <w:tcW w:w="681" w:type="pct"/>
            <w:vAlign w:val="center"/>
          </w:tcPr>
          <w:p>
            <w:pPr>
              <w:widowControl/>
              <w:adjustRightInd w:val="0"/>
              <w:snapToGrid w:val="0"/>
              <w:spacing w:line="240" w:lineRule="auto"/>
              <w:ind w:firstLine="0" w:firstLineChars="0"/>
              <w:jc w:val="center"/>
              <w:textAlignment w:val="center"/>
              <w:rPr>
                <w:rFonts w:ascii="Times New Roman" w:hAnsi="Times New Roman"/>
                <w:b/>
                <w:sz w:val="21"/>
                <w:szCs w:val="21"/>
              </w:rPr>
            </w:pPr>
            <w:r>
              <w:rPr>
                <w:rFonts w:ascii="Times New Roman" w:hAnsi="Times New Roman"/>
                <w:b/>
                <w:sz w:val="21"/>
                <w:szCs w:val="21"/>
              </w:rPr>
              <w:t>渗漏特征</w:t>
            </w:r>
          </w:p>
        </w:tc>
        <w:tc>
          <w:tcPr>
            <w:tcW w:w="1021" w:type="pct"/>
            <w:vAlign w:val="center"/>
          </w:tcPr>
          <w:p>
            <w:pPr>
              <w:widowControl/>
              <w:adjustRightInd w:val="0"/>
              <w:snapToGrid w:val="0"/>
              <w:spacing w:line="240" w:lineRule="auto"/>
              <w:ind w:firstLine="0" w:firstLineChars="0"/>
              <w:jc w:val="center"/>
              <w:textAlignment w:val="center"/>
              <w:rPr>
                <w:rFonts w:ascii="Times New Roman" w:hAnsi="Times New Roman"/>
                <w:b/>
                <w:sz w:val="21"/>
                <w:szCs w:val="21"/>
              </w:rPr>
            </w:pPr>
            <w:r>
              <w:rPr>
                <w:rFonts w:ascii="Times New Roman" w:hAnsi="Times New Roman"/>
                <w:b/>
                <w:sz w:val="21"/>
                <w:szCs w:val="21"/>
              </w:rPr>
              <w:t>泄漏时间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 w:type="pct"/>
            <w:vMerge w:val="restar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非正常工况</w:t>
            </w:r>
          </w:p>
        </w:tc>
        <w:tc>
          <w:tcPr>
            <w:tcW w:w="851"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宣探1井站气田水罐</w:t>
            </w:r>
          </w:p>
        </w:tc>
        <w:tc>
          <w:tcPr>
            <w:tcW w:w="765"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p>
        </w:tc>
        <w:tc>
          <w:tcPr>
            <w:tcW w:w="851"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20</w:t>
            </w:r>
          </w:p>
        </w:tc>
        <w:tc>
          <w:tcPr>
            <w:tcW w:w="681"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瞬时</w:t>
            </w:r>
          </w:p>
        </w:tc>
        <w:tc>
          <w:tcPr>
            <w:tcW w:w="1021"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1h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 w:type="pct"/>
            <w:vMerge w:val="continue"/>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p>
        </w:tc>
        <w:tc>
          <w:tcPr>
            <w:tcW w:w="851"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宣兴1井站气田水罐</w:t>
            </w:r>
          </w:p>
        </w:tc>
        <w:tc>
          <w:tcPr>
            <w:tcW w:w="765"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石油烃C</w:t>
            </w:r>
            <w:r>
              <w:rPr>
                <w:rFonts w:ascii="Times New Roman" w:hAnsi="Times New Roman"/>
                <w:sz w:val="21"/>
                <w:szCs w:val="21"/>
                <w:vertAlign w:val="subscript"/>
              </w:rPr>
              <w:t>10</w:t>
            </w:r>
            <w:r>
              <w:rPr>
                <w:rFonts w:ascii="Times New Roman" w:hAnsi="Times New Roman"/>
                <w:sz w:val="21"/>
                <w:szCs w:val="21"/>
              </w:rPr>
              <w:t>-C</w:t>
            </w:r>
            <w:r>
              <w:rPr>
                <w:rFonts w:ascii="Times New Roman" w:hAnsi="Times New Roman"/>
                <w:sz w:val="21"/>
                <w:szCs w:val="21"/>
                <w:vertAlign w:val="subscript"/>
              </w:rPr>
              <w:t>40</w:t>
            </w:r>
          </w:p>
        </w:tc>
        <w:tc>
          <w:tcPr>
            <w:tcW w:w="851"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20</w:t>
            </w:r>
          </w:p>
        </w:tc>
        <w:tc>
          <w:tcPr>
            <w:tcW w:w="681"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瞬时</w:t>
            </w:r>
          </w:p>
        </w:tc>
        <w:tc>
          <w:tcPr>
            <w:tcW w:w="1021" w:type="pct"/>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1"/>
                <w:szCs w:val="21"/>
              </w:rPr>
              <w:t>1h</w:t>
            </w:r>
          </w:p>
        </w:tc>
      </w:tr>
    </w:tbl>
    <w:p>
      <w:pPr>
        <w:adjustRightInd w:val="0"/>
        <w:snapToGrid w:val="0"/>
        <w:ind w:firstLine="0" w:firstLineChars="0"/>
        <w:rPr>
          <w:rFonts w:ascii="Times New Roman" w:hAnsi="Times New Roman"/>
        </w:rPr>
      </w:pPr>
    </w:p>
    <w:p>
      <w:pPr>
        <w:widowControl/>
        <w:wordWrap w:val="0"/>
        <w:adjustRightInd w:val="0"/>
        <w:snapToGrid w:val="0"/>
        <w:spacing w:line="240" w:lineRule="auto"/>
        <w:ind w:firstLine="0" w:firstLineChars="0"/>
        <w:jc w:val="center"/>
        <w:rPr>
          <w:rFonts w:ascii="Times New Roman" w:hAnsi="Times New Roman" w:eastAsia="黑体"/>
          <w:sz w:val="20"/>
          <w:szCs w:val="20"/>
        </w:rPr>
      </w:pPr>
      <w:bookmarkStart w:id="227" w:name="_Ref57128965"/>
      <w:r>
        <w:rPr>
          <w:rFonts w:ascii="Times New Roman" w:hAnsi="Times New Roman" w:eastAsia="黑体"/>
          <w:sz w:val="20"/>
          <w:szCs w:val="20"/>
        </w:rPr>
        <w:drawing>
          <wp:inline distT="0" distB="0" distL="0" distR="0">
            <wp:extent cx="5274310" cy="2796540"/>
            <wp:effectExtent l="19050" t="19050" r="21590" b="22860"/>
            <wp:docPr id="1986738094" name="图片 1986738094" descr="D:\0、2023年\23、四川达州\4、Photographs\0、报告用图\S202230400D0-WP10-9990-GT-LAY-0001-00_0_宣探1井站设备平面布置图.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38094" name="图片 1986738094" descr="D:\0、2023年\23、四川达州\4、Photographs\0、报告用图\S202230400D0-WP10-9990-GT-LAY-0001-00_0_宣探1井站设备平面布置图.tiff"/>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a:xfrm>
                      <a:off x="0" y="0"/>
                      <a:ext cx="5274310" cy="2796645"/>
                    </a:xfrm>
                    <a:prstGeom prst="rect">
                      <a:avLst/>
                    </a:prstGeom>
                    <a:noFill/>
                    <a:ln>
                      <a:solidFill>
                        <a:schemeClr val="tx1"/>
                      </a:solidFill>
                    </a:ln>
                  </pic:spPr>
                </pic:pic>
              </a:graphicData>
            </a:graphic>
          </wp:inline>
        </w:drawing>
      </w:r>
    </w:p>
    <w:p>
      <w:pPr>
        <w:widowControl/>
        <w:wordWrap w:val="0"/>
        <w:adjustRightInd w:val="0"/>
        <w:snapToGrid w:val="0"/>
        <w:spacing w:line="240" w:lineRule="auto"/>
        <w:ind w:firstLine="0" w:firstLineChars="0"/>
        <w:jc w:val="center"/>
        <w:rPr>
          <w:rFonts w:ascii="Times New Roman" w:hAnsi="Times New Roman" w:eastAsia="黑体"/>
          <w:kern w:val="0"/>
          <w:lang w:val="zh-CN" w:eastAsia="zh-CN"/>
        </w:rPr>
      </w:pPr>
      <w:r>
        <w:rPr>
          <w:rFonts w:ascii="Times New Roman" w:hAnsi="Times New Roman" w:eastAsia="黑体"/>
          <w:kern w:val="0"/>
          <w:lang w:val="zh-CN" w:eastAsia="zh-CN"/>
        </w:rPr>
        <w:t>图</w:t>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STYLEREF 1 \s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6</w:t>
      </w:r>
      <w:r>
        <w:rPr>
          <w:rFonts w:ascii="Times New Roman" w:hAnsi="Times New Roman" w:eastAsia="黑体"/>
          <w:kern w:val="0"/>
          <w:lang w:val="zh-CN" w:eastAsia="zh-CN"/>
        </w:rPr>
        <w:fldChar w:fldCharType="end"/>
      </w:r>
      <w:r>
        <w:rPr>
          <w:rFonts w:ascii="Times New Roman" w:hAnsi="Times New Roman" w:eastAsia="黑体"/>
          <w:kern w:val="0"/>
          <w:lang w:val="zh-CN" w:eastAsia="zh-CN"/>
        </w:rPr>
        <w:noBreakHyphen/>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SEQ 图 \* ARABIC \s 1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13</w:t>
      </w:r>
      <w:r>
        <w:rPr>
          <w:rFonts w:ascii="Times New Roman" w:hAnsi="Times New Roman" w:eastAsia="黑体"/>
          <w:kern w:val="0"/>
          <w:lang w:val="zh-CN" w:eastAsia="zh-CN"/>
        </w:rPr>
        <w:fldChar w:fldCharType="end"/>
      </w:r>
      <w:r>
        <w:rPr>
          <w:rFonts w:ascii="Times New Roman" w:hAnsi="Times New Roman" w:eastAsia="黑体"/>
          <w:kern w:val="0"/>
          <w:lang w:val="zh-CN" w:eastAsia="zh-CN"/>
        </w:rPr>
        <w:t xml:space="preserve">  宣探</w:t>
      </w:r>
      <w:r>
        <w:rPr>
          <w:rFonts w:ascii="Times New Roman" w:hAnsi="Times New Roman" w:eastAsia="黑体"/>
          <w:kern w:val="0"/>
          <w:lang w:val="zh-CN"/>
        </w:rPr>
        <w:t>1井站预测漏点</w:t>
      </w:r>
      <w:r>
        <w:rPr>
          <w:rFonts w:ascii="Times New Roman" w:hAnsi="Times New Roman" w:eastAsia="黑体"/>
          <w:kern w:val="0"/>
          <w:lang w:val="zh-CN" w:eastAsia="zh-CN"/>
        </w:rPr>
        <w:t>设定位置图</w:t>
      </w:r>
    </w:p>
    <w:p>
      <w:pPr>
        <w:widowControl/>
        <w:wordWrap w:val="0"/>
        <w:adjustRightInd w:val="0"/>
        <w:snapToGrid w:val="0"/>
        <w:spacing w:line="240" w:lineRule="auto"/>
        <w:ind w:firstLine="0" w:firstLineChars="0"/>
        <w:jc w:val="center"/>
        <w:rPr>
          <w:rFonts w:ascii="Times New Roman" w:hAnsi="Times New Roman" w:eastAsia="黑体"/>
          <w:sz w:val="20"/>
          <w:szCs w:val="20"/>
        </w:rPr>
      </w:pPr>
      <w:r>
        <w:rPr>
          <w:rFonts w:ascii="Times New Roman" w:hAnsi="Times New Roman" w:eastAsia="黑体"/>
          <w:sz w:val="20"/>
          <w:szCs w:val="20"/>
        </w:rPr>
        <w:drawing>
          <wp:inline distT="0" distB="0" distL="0" distR="0">
            <wp:extent cx="5274310" cy="2491740"/>
            <wp:effectExtent l="19050" t="19050" r="21590" b="22860"/>
            <wp:docPr id="979070463" name="图片 979070463" descr="D:\0、2023年\23、四川达州\4、Photographs\0、报告用图\S202230400D0-WP11-9990-GT-LAY-0001-00_0_宣兴1井站设备平面布置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070463" name="图片 979070463" descr="D:\0、2023年\23、四川达州\4、Photographs\0、报告用图\S202230400D0-WP11-9990-GT-LAY-0001-00_0_宣兴1井站设备平面布置图.tif"/>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a:xfrm>
                      <a:off x="0" y="0"/>
                      <a:ext cx="5274310" cy="2491752"/>
                    </a:xfrm>
                    <a:prstGeom prst="rect">
                      <a:avLst/>
                    </a:prstGeom>
                    <a:noFill/>
                    <a:ln>
                      <a:solidFill>
                        <a:schemeClr val="tx1"/>
                      </a:solidFill>
                    </a:ln>
                  </pic:spPr>
                </pic:pic>
              </a:graphicData>
            </a:graphic>
          </wp:inline>
        </w:drawing>
      </w:r>
    </w:p>
    <w:p>
      <w:pPr>
        <w:widowControl/>
        <w:wordWrap w:val="0"/>
        <w:adjustRightInd w:val="0"/>
        <w:snapToGrid w:val="0"/>
        <w:spacing w:line="240" w:lineRule="auto"/>
        <w:ind w:firstLine="0" w:firstLineChars="0"/>
        <w:jc w:val="center"/>
        <w:rPr>
          <w:rFonts w:ascii="Times New Roman" w:hAnsi="Times New Roman" w:eastAsia="黑体"/>
          <w:kern w:val="0"/>
          <w:lang w:val="zh-CN" w:eastAsia="zh-CN"/>
        </w:rPr>
      </w:pPr>
      <w:bookmarkStart w:id="228" w:name="_Ref116119725"/>
      <w:r>
        <w:rPr>
          <w:rFonts w:ascii="Times New Roman" w:hAnsi="Times New Roman" w:eastAsia="黑体"/>
          <w:kern w:val="0"/>
          <w:lang w:val="zh-CN" w:eastAsia="zh-CN"/>
        </w:rPr>
        <w:t>图</w:t>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STYLEREF 1 \s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6</w:t>
      </w:r>
      <w:r>
        <w:rPr>
          <w:rFonts w:ascii="Times New Roman" w:hAnsi="Times New Roman" w:eastAsia="黑体"/>
          <w:kern w:val="0"/>
          <w:lang w:val="zh-CN" w:eastAsia="zh-CN"/>
        </w:rPr>
        <w:fldChar w:fldCharType="end"/>
      </w:r>
      <w:r>
        <w:rPr>
          <w:rFonts w:ascii="Times New Roman" w:hAnsi="Times New Roman" w:eastAsia="黑体"/>
          <w:kern w:val="0"/>
          <w:lang w:val="zh-CN" w:eastAsia="zh-CN"/>
        </w:rPr>
        <w:noBreakHyphen/>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SEQ 图 \* ARABIC \s 1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14</w:t>
      </w:r>
      <w:r>
        <w:rPr>
          <w:rFonts w:ascii="Times New Roman" w:hAnsi="Times New Roman" w:eastAsia="黑体"/>
          <w:kern w:val="0"/>
          <w:lang w:val="zh-CN" w:eastAsia="zh-CN"/>
        </w:rPr>
        <w:fldChar w:fldCharType="end"/>
      </w:r>
      <w:bookmarkEnd w:id="227"/>
      <w:bookmarkEnd w:id="228"/>
      <w:r>
        <w:rPr>
          <w:rFonts w:ascii="Times New Roman" w:hAnsi="Times New Roman" w:eastAsia="黑体"/>
          <w:kern w:val="0"/>
          <w:lang w:val="zh-CN" w:eastAsia="zh-CN"/>
        </w:rPr>
        <w:t xml:space="preserve">  宣兴</w:t>
      </w:r>
      <w:r>
        <w:rPr>
          <w:rFonts w:ascii="Times New Roman" w:hAnsi="Times New Roman" w:eastAsia="黑体"/>
          <w:kern w:val="0"/>
          <w:lang w:val="zh-CN"/>
        </w:rPr>
        <w:t>1井站预测漏点</w:t>
      </w:r>
      <w:r>
        <w:rPr>
          <w:rFonts w:ascii="Times New Roman" w:hAnsi="Times New Roman" w:eastAsia="黑体"/>
          <w:kern w:val="0"/>
          <w:lang w:val="zh-CN" w:eastAsia="zh-CN"/>
        </w:rPr>
        <w:t>设定位置图</w:t>
      </w:r>
    </w:p>
    <w:p>
      <w:pPr>
        <w:ind w:firstLine="482"/>
        <w:rPr>
          <w:rFonts w:ascii="Times New Roman" w:hAnsi="Times New Roman"/>
          <w:b/>
        </w:rPr>
      </w:pPr>
      <w:r>
        <w:rPr>
          <w:rFonts w:ascii="Times New Roman" w:hAnsi="Times New Roman"/>
          <w:b/>
        </w:rPr>
        <w:t>（3）预测模型</w:t>
      </w:r>
    </w:p>
    <w:p>
      <w:pPr>
        <w:adjustRightInd w:val="0"/>
        <w:snapToGrid w:val="0"/>
        <w:ind w:firstLine="480"/>
        <w:rPr>
          <w:rFonts w:ascii="Times New Roman" w:hAnsi="Times New Roman"/>
        </w:rPr>
      </w:pPr>
      <w:r>
        <w:rPr>
          <w:rFonts w:ascii="Times New Roman" w:hAnsi="Times New Roman"/>
        </w:rPr>
        <w:t>根据本项目污染物在包气带中的运移特性，本次模拟预测运用HYDRUS-1D软件中水流及溶质运移两大模块模拟污染溶质在非饱和带中水分运移及溶质运移。</w:t>
      </w:r>
    </w:p>
    <w:p>
      <w:pPr>
        <w:adjustRightInd w:val="0"/>
        <w:snapToGrid w:val="0"/>
        <w:ind w:firstLine="482"/>
        <w:rPr>
          <w:rFonts w:ascii="Times New Roman" w:hAnsi="Times New Roman"/>
          <w:b/>
        </w:rPr>
      </w:pPr>
      <w:r>
        <w:rPr>
          <w:rFonts w:ascii="Times New Roman" w:hAnsi="Times New Roman"/>
          <w:b/>
        </w:rPr>
        <w:t>1）水流运动方程</w:t>
      </w:r>
    </w:p>
    <w:p>
      <w:pPr>
        <w:adjustRightInd w:val="0"/>
        <w:snapToGrid w:val="0"/>
        <w:ind w:firstLine="480"/>
        <w:rPr>
          <w:rFonts w:ascii="Times New Roman" w:hAnsi="Times New Roman"/>
        </w:rPr>
      </w:pPr>
      <w:r>
        <w:rPr>
          <w:rFonts w:ascii="Times New Roman" w:hAnsi="Times New Roman"/>
        </w:rPr>
        <w:t>包气带中土壤水流数学模型选择各向同性的土壤、不可压缩的液体、垂向一维情形的非饱和土壤水流运动的控制方程，即HYDRUS-1D中使用的经典Richards方程描述一维平衡水流运动。公式如下：</w:t>
      </w:r>
    </w:p>
    <w:p>
      <w:pPr>
        <w:adjustRightInd w:val="0"/>
        <w:snapToGrid w:val="0"/>
        <w:ind w:firstLine="0" w:firstLineChars="0"/>
        <w:jc w:val="center"/>
        <w:rPr>
          <w:rFonts w:ascii="Times New Roman" w:hAnsi="Times New Roman"/>
        </w:rPr>
      </w:pPr>
      <w:r>
        <w:rPr>
          <w:rFonts w:ascii="Times New Roman" w:hAnsi="Times New Roman"/>
        </w:rPr>
        <w:object>
          <v:shape id="_x0000_i1031" o:spt="75" type="#_x0000_t75" style="height:36pt;width:136.5pt;" o:ole="t" filled="f" o:preferrelative="t" stroked="f" coordsize="21600,21600">
            <v:path/>
            <v:fill on="f" focussize="0,0"/>
            <v:stroke on="f" joinstyle="miter"/>
            <v:imagedata r:id="rId132" o:title=""/>
            <o:lock v:ext="edit" aspectratio="t"/>
            <w10:wrap type="none"/>
            <w10:anchorlock/>
          </v:shape>
          <o:OLEObject Type="Embed" ProgID="Equation.3" ShapeID="_x0000_i1031" DrawAspect="Content" ObjectID="_1468075730" r:id="rId131">
            <o:LockedField>false</o:LockedField>
          </o:OLEObject>
        </w:object>
      </w:r>
    </w:p>
    <w:p>
      <w:pPr>
        <w:adjustRightInd w:val="0"/>
        <w:snapToGrid w:val="0"/>
        <w:ind w:firstLine="480"/>
        <w:rPr>
          <w:rFonts w:ascii="Times New Roman" w:hAnsi="Times New Roman"/>
        </w:rPr>
      </w:pPr>
      <w:r>
        <w:rPr>
          <w:rFonts w:ascii="Times New Roman" w:hAnsi="Times New Roman"/>
        </w:rPr>
        <w:t>式中，</w:t>
      </w:r>
      <w:r>
        <w:rPr>
          <w:rFonts w:ascii="Times New Roman" w:hAnsi="Times New Roman"/>
        </w:rPr>
        <w:sym w:font="Symbol" w:char="F071"/>
      </w:r>
      <w:r>
        <w:rPr>
          <w:rFonts w:ascii="Times New Roman" w:hAnsi="Times New Roman"/>
        </w:rPr>
        <w:t>为土壤含水率；t为模拟时间；h为水势；z为沿z轴的距离，z轴以地面为零基准点，向上为正；K（h）为非饱和渗透系数；α为水流方向与纵轴夹角，本次模拟认为水流一维连续垂向入渗，故α=0。</w:t>
      </w:r>
    </w:p>
    <w:p>
      <w:pPr>
        <w:adjustRightInd w:val="0"/>
        <w:snapToGrid w:val="0"/>
        <w:ind w:firstLine="480"/>
        <w:rPr>
          <w:rFonts w:ascii="Times New Roman" w:hAnsi="Times New Roman"/>
        </w:rPr>
      </w:pPr>
      <w:r>
        <w:rPr>
          <w:rFonts w:ascii="Times New Roman" w:hAnsi="Times New Roman"/>
        </w:rPr>
        <w:t>初始条件：</w:t>
      </w:r>
    </w:p>
    <w:p>
      <w:pPr>
        <w:adjustRightInd w:val="0"/>
        <w:snapToGrid w:val="0"/>
        <w:ind w:firstLine="0" w:firstLineChars="0"/>
        <w:jc w:val="center"/>
        <w:rPr>
          <w:rFonts w:ascii="Times New Roman" w:hAnsi="Times New Roman"/>
        </w:rPr>
      </w:pPr>
      <m:oMathPara>
        <m:oMath>
          <m:r>
            <m:rPr>
              <m:sty m:val="p"/>
            </m:rPr>
            <w:rPr>
              <w:rFonts w:ascii="Cambria Math" w:hAnsi="Cambria Math"/>
            </w:rPr>
            <m:t>h(z,t)=</m:t>
          </m:r>
          <m:sSub>
            <m:sSubPr>
              <m:ctrlPr>
                <w:rPr>
                  <w:rFonts w:ascii="Cambria Math" w:hAnsi="Cambria Math"/>
                </w:rPr>
              </m:ctrlPr>
            </m:sSubPr>
            <m:e>
              <m:r>
                <m:rPr>
                  <m:sty m:val="p"/>
                </m:rPr>
                <w:rPr>
                  <w:rFonts w:ascii="Cambria Math" w:hAnsi="Cambria Math"/>
                </w:rPr>
                <m:t>h</m:t>
              </m:r>
              <m:ctrlPr>
                <w:rPr>
                  <w:rFonts w:ascii="Cambria Math" w:hAnsi="Cambria Math"/>
                </w:rPr>
              </m:ctrlPr>
            </m:e>
            <m:sub>
              <m:r>
                <m:rPr>
                  <m:sty m:val="p"/>
                </m:rPr>
                <w:rPr>
                  <w:rFonts w:ascii="Cambria Math" w:hAnsi="Cambria Math"/>
                </w:rPr>
                <m:t>0</m:t>
              </m:r>
              <m:ctrlPr>
                <w:rPr>
                  <w:rFonts w:ascii="Cambria Math" w:hAnsi="Cambria Math"/>
                </w:rPr>
              </m:ctrlPr>
            </m:sub>
          </m:sSub>
          <m:r>
            <m:rPr>
              <m:sty m:val="p"/>
            </m:rPr>
            <w:rPr>
              <w:rFonts w:ascii="Cambria Math" w:hAnsi="Cambria Math"/>
            </w:rPr>
            <m:t>(z)       t=0,L≤z≤0</m:t>
          </m:r>
        </m:oMath>
      </m:oMathPara>
    </w:p>
    <w:p>
      <w:pPr>
        <w:adjustRightInd w:val="0"/>
        <w:snapToGrid w:val="0"/>
        <w:ind w:firstLine="480"/>
        <w:rPr>
          <w:rFonts w:ascii="Times New Roman" w:hAnsi="Times New Roman"/>
        </w:rPr>
      </w:pPr>
      <w:r>
        <w:rPr>
          <w:rFonts w:ascii="Times New Roman" w:hAnsi="Times New Roman"/>
        </w:rPr>
        <w:t>上边界条件：设定连续点源污染（污染物以定浓度c0连续注入）的情境下，供水强度R不超过土壤入渗强度，地表无积水时，给出定水流通量的第二类Neumann边界条件。</w:t>
      </w:r>
    </w:p>
    <w:p>
      <w:pPr>
        <w:adjustRightInd w:val="0"/>
        <w:snapToGrid w:val="0"/>
        <w:ind w:firstLine="480"/>
        <w:jc w:val="center"/>
        <w:rPr>
          <w:rFonts w:ascii="Times New Roman" w:hAnsi="Times New Roman"/>
        </w:rPr>
      </w:pPr>
      <w:r>
        <w:rPr>
          <w:rFonts w:ascii="Times New Roman" w:hAnsi="Times New Roman"/>
        </w:rPr>
        <w:drawing>
          <wp:inline distT="0" distB="0" distL="0" distR="0">
            <wp:extent cx="1695450" cy="466725"/>
            <wp:effectExtent l="0" t="0" r="0" b="9525"/>
            <wp:docPr id="136624202" name="图片 13662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24202" name="图片 13662420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1695450" cy="466725"/>
                    </a:xfrm>
                    <a:prstGeom prst="rect">
                      <a:avLst/>
                    </a:prstGeom>
                    <a:noFill/>
                    <a:ln>
                      <a:noFill/>
                    </a:ln>
                  </pic:spPr>
                </pic:pic>
              </a:graphicData>
            </a:graphic>
          </wp:inline>
        </w:drawing>
      </w:r>
      <m:oMath>
        <m:r>
          <m:rPr>
            <m:sty m:val="p"/>
          </m:rPr>
          <w:rPr>
            <w:rFonts w:ascii="Cambria Math" w:hAnsi="Cambria Math"/>
          </w:rPr>
          <m:t>t&gt;0,z=0</m:t>
        </m:r>
      </m:oMath>
    </w:p>
    <w:p>
      <w:pPr>
        <w:adjustRightInd w:val="0"/>
        <w:snapToGrid w:val="0"/>
        <w:ind w:firstLine="480"/>
        <w:rPr>
          <w:rFonts w:ascii="Times New Roman" w:hAnsi="Times New Roman"/>
        </w:rPr>
      </w:pPr>
      <w:r>
        <w:rPr>
          <w:rFonts w:ascii="Times New Roman" w:hAnsi="Times New Roman"/>
        </w:rPr>
        <w:t>下边界条件：假设潜水面随时间的变化幅度较小，可忽略不计，则给出水势为零的第一类Dirichlet边界条件。</w:t>
      </w:r>
    </w:p>
    <w:p>
      <w:pPr>
        <w:adjustRightInd w:val="0"/>
        <w:snapToGrid w:val="0"/>
        <w:ind w:firstLine="482"/>
        <w:rPr>
          <w:rFonts w:ascii="Times New Roman" w:hAnsi="Times New Roman"/>
          <w:b/>
        </w:rPr>
      </w:pPr>
      <w:r>
        <w:rPr>
          <w:rFonts w:ascii="Times New Roman" w:hAnsi="Times New Roman"/>
          <w:b/>
        </w:rPr>
        <w:t>2）溶质运移方程</w:t>
      </w:r>
    </w:p>
    <w:p>
      <w:pPr>
        <w:adjustRightInd w:val="0"/>
        <w:snapToGrid w:val="0"/>
        <w:ind w:firstLine="480"/>
        <w:rPr>
          <w:rFonts w:ascii="Times New Roman" w:hAnsi="Times New Roman"/>
        </w:rPr>
      </w:pPr>
      <w:r>
        <w:rPr>
          <w:rFonts w:ascii="Times New Roman" w:hAnsi="Times New Roman"/>
        </w:rPr>
        <w:t>溶质运移方程建立在水流模型的基础上，不考虑溶液密度的变化，且本着风险最大的原则，模拟忽略污染物吸附、解析和自然衰减等物理、化学、生物反应，只关注对流、弥散作用，建立一维非饱和溶质垂向运移控制方程：</w:t>
      </w:r>
    </w:p>
    <w:p>
      <w:pPr>
        <w:adjustRightInd w:val="0"/>
        <w:snapToGrid w:val="0"/>
        <w:ind w:firstLine="0" w:firstLineChars="0"/>
        <w:jc w:val="center"/>
        <w:rPr>
          <w:rFonts w:ascii="Times New Roman" w:hAnsi="Times New Roman"/>
          <w:position w:val="-30"/>
        </w:rPr>
      </w:pPr>
      <w:r>
        <w:rPr>
          <w:rFonts w:ascii="Times New Roman" w:hAnsi="Times New Roman"/>
          <w:position w:val="-30"/>
        </w:rPr>
        <w:object>
          <v:shape id="_x0000_i1032" o:spt="75" type="#_x0000_t75" style="height:36pt;width:158.5pt;" o:ole="t" filled="f" o:preferrelative="t" stroked="f" coordsize="21600,21600">
            <v:path/>
            <v:fill on="f" focussize="0,0"/>
            <v:stroke on="f" joinstyle="miter"/>
            <v:imagedata r:id="rId135" o:title=""/>
            <o:lock v:ext="edit" aspectratio="t"/>
            <w10:wrap type="none"/>
            <w10:anchorlock/>
          </v:shape>
          <o:OLEObject Type="Embed" ProgID="Equation.3" ShapeID="_x0000_i1032" DrawAspect="Content" ObjectID="_1468075731" r:id="rId134">
            <o:LockedField>false</o:LockedField>
          </o:OLEObject>
        </w:object>
      </w:r>
    </w:p>
    <w:p>
      <w:pPr>
        <w:adjustRightInd w:val="0"/>
        <w:snapToGrid w:val="0"/>
        <w:ind w:firstLine="480"/>
        <w:rPr>
          <w:rFonts w:ascii="Times New Roman" w:hAnsi="Times New Roman"/>
        </w:rPr>
      </w:pPr>
      <w:r>
        <w:rPr>
          <w:rFonts w:ascii="Times New Roman" w:hAnsi="Times New Roman"/>
        </w:rPr>
        <w:t>式中：c—污染物的浓度，mg/L；</w:t>
      </w:r>
    </w:p>
    <w:p>
      <w:pPr>
        <w:adjustRightInd w:val="0"/>
        <w:snapToGrid w:val="0"/>
        <w:ind w:firstLine="1200" w:firstLineChars="500"/>
        <w:rPr>
          <w:rFonts w:ascii="Times New Roman" w:hAnsi="Times New Roman"/>
        </w:rPr>
      </w:pPr>
      <w:r>
        <w:rPr>
          <w:rFonts w:ascii="Times New Roman" w:hAnsi="Times New Roman"/>
        </w:rPr>
        <w:t>D—弥散系数，m</w:t>
      </w:r>
      <w:r>
        <w:rPr>
          <w:rFonts w:ascii="Times New Roman" w:hAnsi="Times New Roman"/>
          <w:vertAlign w:val="superscript"/>
        </w:rPr>
        <w:t>2</w:t>
      </w:r>
      <w:r>
        <w:rPr>
          <w:rFonts w:ascii="Times New Roman" w:hAnsi="Times New Roman"/>
        </w:rPr>
        <w:t>/d；</w:t>
      </w:r>
    </w:p>
    <w:p>
      <w:pPr>
        <w:adjustRightInd w:val="0"/>
        <w:snapToGrid w:val="0"/>
        <w:ind w:firstLine="1200" w:firstLineChars="500"/>
        <w:rPr>
          <w:rFonts w:ascii="Times New Roman" w:hAnsi="Times New Roman"/>
        </w:rPr>
      </w:pPr>
      <w:r>
        <w:rPr>
          <w:rFonts w:ascii="Times New Roman" w:hAnsi="Times New Roman"/>
        </w:rPr>
        <w:t>q—渗流速度，m/d；</w:t>
      </w:r>
    </w:p>
    <w:p>
      <w:pPr>
        <w:adjustRightInd w:val="0"/>
        <w:snapToGrid w:val="0"/>
        <w:ind w:firstLine="1200" w:firstLineChars="500"/>
        <w:rPr>
          <w:rFonts w:ascii="Times New Roman" w:hAnsi="Times New Roman"/>
        </w:rPr>
      </w:pPr>
      <w:r>
        <w:rPr>
          <w:rFonts w:ascii="Times New Roman" w:hAnsi="Times New Roman"/>
        </w:rPr>
        <w:t>z—沿z轴的距离，m；</w:t>
      </w:r>
    </w:p>
    <w:p>
      <w:pPr>
        <w:adjustRightInd w:val="0"/>
        <w:snapToGrid w:val="0"/>
        <w:ind w:firstLine="1200" w:firstLineChars="500"/>
        <w:rPr>
          <w:rFonts w:ascii="Times New Roman" w:hAnsi="Times New Roman"/>
        </w:rPr>
      </w:pPr>
      <w:r>
        <w:rPr>
          <w:rFonts w:ascii="Times New Roman" w:hAnsi="Times New Roman"/>
        </w:rPr>
        <w:t>t—时间变量，d；</w:t>
      </w:r>
    </w:p>
    <w:p>
      <w:pPr>
        <w:adjustRightInd w:val="0"/>
        <w:snapToGrid w:val="0"/>
        <w:ind w:firstLine="1200" w:firstLineChars="500"/>
        <w:rPr>
          <w:rFonts w:ascii="Times New Roman" w:hAnsi="Times New Roman"/>
        </w:rPr>
      </w:pPr>
      <w:r>
        <w:rPr>
          <w:rFonts w:ascii="Times New Roman" w:hAnsi="Times New Roman"/>
        </w:rPr>
        <w:t>θ—土壤含水率，%。</w:t>
      </w:r>
    </w:p>
    <w:p>
      <w:pPr>
        <w:adjustRightInd w:val="0"/>
        <w:snapToGrid w:val="0"/>
        <w:ind w:firstLine="480"/>
        <w:rPr>
          <w:rFonts w:ascii="Times New Roman" w:hAnsi="Times New Roman"/>
        </w:rPr>
      </w:pPr>
      <w:r>
        <w:rPr>
          <w:rFonts w:ascii="Times New Roman" w:hAnsi="Times New Roman"/>
        </w:rPr>
        <w:t>初始条件：</w:t>
      </w:r>
    </w:p>
    <w:p>
      <w:pPr>
        <w:adjustRightInd w:val="0"/>
        <w:snapToGrid w:val="0"/>
        <w:ind w:firstLine="0" w:firstLineChars="0"/>
        <w:jc w:val="center"/>
        <w:rPr>
          <w:rFonts w:ascii="Times New Roman" w:hAnsi="Times New Roman"/>
        </w:rPr>
      </w:pPr>
      <m:oMathPara>
        <m:oMath>
          <m:r>
            <m:rPr>
              <m:sty m:val="p"/>
            </m:rPr>
            <w:rPr>
              <w:rFonts w:ascii="Cambria Math" w:hAnsi="Cambria Math"/>
            </w:rPr>
            <m:t>c</m:t>
          </m:r>
          <m:d>
            <m:dPr>
              <m:ctrlPr>
                <w:rPr>
                  <w:rFonts w:ascii="Cambria Math" w:hAnsi="Cambria Math"/>
                </w:rPr>
              </m:ctrlPr>
            </m:dPr>
            <m:e>
              <m:r>
                <m:rPr>
                  <m:sty m:val="p"/>
                </m:rPr>
                <w:rPr>
                  <w:rFonts w:ascii="Cambria Math" w:hAnsi="Cambria Math"/>
                </w:rPr>
                <m:t>z,t</m:t>
              </m:r>
              <m:ctrlPr>
                <w:rPr>
                  <w:rFonts w:ascii="Cambria Math" w:hAnsi="Cambria Math"/>
                </w:rPr>
              </m:ctrlPr>
            </m:e>
          </m:d>
          <m:r>
            <m:rPr>
              <m:sty m:val="p"/>
            </m:rPr>
            <w:rPr>
              <w:rFonts w:ascii="Cambria Math" w:hAnsi="Cambria Math"/>
            </w:rPr>
            <m:t>=0     t=0,   L≤z&lt;0</m:t>
          </m:r>
        </m:oMath>
      </m:oMathPara>
    </w:p>
    <w:p>
      <w:pPr>
        <w:adjustRightInd w:val="0"/>
        <w:snapToGrid w:val="0"/>
        <w:ind w:firstLine="480"/>
        <w:rPr>
          <w:rFonts w:ascii="Times New Roman" w:hAnsi="Times New Roman"/>
        </w:rPr>
      </w:pPr>
      <w:r>
        <w:rPr>
          <w:rFonts w:ascii="Times New Roman" w:hAnsi="Times New Roman"/>
        </w:rPr>
        <w:t>上边界条件：设定连续点源污染（污染物以定浓度c0连续注入）的情境下，地表为给定浓度的第一类Dirichlet边界条件。</w:t>
      </w:r>
    </w:p>
    <w:p>
      <w:pPr>
        <w:adjustRightInd w:val="0"/>
        <w:snapToGrid w:val="0"/>
        <w:ind w:firstLine="480"/>
        <w:rPr>
          <w:rFonts w:ascii="Times New Roman" w:hAnsi="Times New Roman"/>
        </w:rPr>
      </w:pPr>
      <m:oMathPara>
        <m:oMath>
          <m:r>
            <m:rPr>
              <m:sty m:val="p"/>
            </m:rPr>
            <w:rPr>
              <w:rFonts w:ascii="Cambria Math" w:hAnsi="Cambria Math"/>
            </w:rPr>
            <m:t>c</m:t>
          </m:r>
          <m:d>
            <m:dPr>
              <m:ctrlPr>
                <w:rPr>
                  <w:rFonts w:ascii="Cambria Math" w:hAnsi="Cambria Math"/>
                </w:rPr>
              </m:ctrlPr>
            </m:dPr>
            <m:e>
              <m:r>
                <m:rPr>
                  <m:sty m:val="p"/>
                </m:rPr>
                <w:rPr>
                  <w:rFonts w:ascii="Cambria Math" w:hAnsi="Cambria Math"/>
                </w:rPr>
                <m:t>z,t</m:t>
              </m:r>
              <m:ctrlPr>
                <w:rPr>
                  <w:rFonts w:ascii="Cambria Math" w:hAnsi="Cambria Math"/>
                </w:rPr>
              </m:ctrlPr>
            </m:e>
          </m:d>
          <m:r>
            <m:rPr>
              <m:sty m:val="p"/>
            </m:rPr>
            <w:rPr>
              <w:rFonts w:ascii="Cambria Math" w:hAnsi="Cambria Math"/>
            </w:rPr>
            <m:t>=</m:t>
          </m:r>
          <m:sSub>
            <m:sSubPr>
              <m:ctrlPr>
                <w:rPr>
                  <w:rFonts w:ascii="Cambria Math" w:hAnsi="Cambria Math"/>
                </w:rPr>
              </m:ctrlPr>
            </m:sSubPr>
            <m:e>
              <m:r>
                <m:rPr>
                  <m:sty m:val="p"/>
                </m:rPr>
                <w:rPr>
                  <w:rFonts w:ascii="Cambria Math" w:hAnsi="Cambria Math"/>
                </w:rPr>
                <m:t>c</m:t>
              </m:r>
              <m:ctrlPr>
                <w:rPr>
                  <w:rFonts w:ascii="Cambria Math" w:hAnsi="Cambria Math"/>
                </w:rPr>
              </m:ctrlPr>
            </m:e>
            <m:sub>
              <m:r>
                <m:rPr>
                  <m:sty m:val="p"/>
                </m:rPr>
                <w:rPr>
                  <w:rFonts w:ascii="Cambria Math" w:hAnsi="Cambria Math"/>
                </w:rPr>
                <m:t>0</m:t>
              </m:r>
              <m:ctrlPr>
                <w:rPr>
                  <w:rFonts w:ascii="Cambria Math" w:hAnsi="Cambria Math"/>
                </w:rPr>
              </m:ctrlPr>
            </m:sub>
          </m:sSub>
          <m:r>
            <m:rPr>
              <m:sty m:val="p"/>
            </m:rPr>
            <w:rPr>
              <w:rFonts w:ascii="Cambria Math" w:hAnsi="Cambria Math"/>
            </w:rPr>
            <m:t xml:space="preserve">      t&gt;0，z=0</m:t>
          </m:r>
        </m:oMath>
      </m:oMathPara>
    </w:p>
    <w:p>
      <w:pPr>
        <w:autoSpaceDE w:val="0"/>
        <w:autoSpaceDN w:val="0"/>
        <w:adjustRightInd w:val="0"/>
        <w:snapToGrid w:val="0"/>
        <w:spacing w:line="240" w:lineRule="auto"/>
        <w:ind w:firstLine="0" w:firstLineChars="0"/>
        <w:jc w:val="center"/>
        <w:rPr>
          <w:rFonts w:ascii="Times New Roman" w:hAnsi="Times New Roman"/>
          <w:kern w:val="0"/>
          <w:sz w:val="17"/>
          <w:szCs w:val="17"/>
        </w:rPr>
      </w:pPr>
      <w:r>
        <w:rPr>
          <w:rFonts w:ascii="Times New Roman" w:hAnsi="Times New Roman"/>
          <w:kern w:val="0"/>
        </w:rPr>
        <w:t xml:space="preserve">c(z，t) = </w:t>
      </w:r>
      <m:oMath>
        <m:d>
          <m:dPr>
            <m:begChr m:val="{"/>
            <m:endChr m:val=""/>
            <m:ctrlPr>
              <w:rPr>
                <w:rFonts w:ascii="Cambria Math" w:hAnsi="Cambria Math"/>
                <w:kern w:val="0"/>
              </w:rPr>
            </m:ctrlPr>
          </m:dPr>
          <m:e>
            <m:eqArr>
              <m:eqArrPr>
                <m:ctrlPr>
                  <w:rPr>
                    <w:rFonts w:ascii="Cambria Math" w:hAnsi="Cambria Math"/>
                    <w:kern w:val="0"/>
                  </w:rPr>
                </m:ctrlPr>
              </m:eqArrPr>
              <m:e>
                <m:sSub>
                  <m:sSubPr>
                    <m:ctrlPr>
                      <w:rPr>
                        <w:rFonts w:ascii="Cambria Math" w:hAnsi="Cambria Math"/>
                        <w:kern w:val="0"/>
                      </w:rPr>
                    </m:ctrlPr>
                  </m:sSubPr>
                  <m:e>
                    <m:r>
                      <m:rPr/>
                      <w:rPr>
                        <w:rFonts w:ascii="Cambria Math" w:hAnsi="Cambria Math"/>
                        <w:kern w:val="0"/>
                      </w:rPr>
                      <m:t>c</m:t>
                    </m:r>
                    <m:ctrlPr>
                      <w:rPr>
                        <w:rFonts w:ascii="Cambria Math" w:hAnsi="Cambria Math"/>
                        <w:kern w:val="0"/>
                      </w:rPr>
                    </m:ctrlPr>
                  </m:e>
                  <m:sub>
                    <m:r>
                      <m:rPr/>
                      <w:rPr>
                        <w:rFonts w:ascii="Cambria Math" w:hAnsi="Cambria Math"/>
                        <w:kern w:val="0"/>
                      </w:rPr>
                      <m:t>0</m:t>
                    </m:r>
                    <m:ctrlPr>
                      <w:rPr>
                        <w:rFonts w:ascii="Cambria Math" w:hAnsi="Cambria Math"/>
                        <w:kern w:val="0"/>
                      </w:rPr>
                    </m:ctrlPr>
                  </m:sub>
                </m:sSub>
                <m:ctrlPr>
                  <w:rPr>
                    <w:rFonts w:ascii="Cambria Math" w:hAnsi="Cambria Math"/>
                    <w:kern w:val="0"/>
                  </w:rPr>
                </m:ctrlPr>
              </m:e>
              <m:e>
                <m:r>
                  <m:rPr/>
                  <w:rPr>
                    <w:rFonts w:ascii="Cambria Math" w:hAnsi="Cambria Math"/>
                    <w:kern w:val="0"/>
                  </w:rPr>
                  <m:t>0</m:t>
                </m:r>
                <m:ctrlPr>
                  <w:rPr>
                    <w:rFonts w:ascii="Cambria Math" w:hAnsi="Cambria Math"/>
                    <w:kern w:val="0"/>
                  </w:rPr>
                </m:ctrlPr>
              </m:e>
            </m:eqArr>
            <m:ctrlPr>
              <w:rPr>
                <w:rFonts w:ascii="Cambria Math" w:hAnsi="Cambria Math"/>
                <w:kern w:val="0"/>
              </w:rPr>
            </m:ctrlPr>
          </m:e>
        </m:d>
      </m:oMath>
      <w:r>
        <w:rPr>
          <w:rFonts w:ascii="Times New Roman" w:hAnsi="Times New Roman"/>
          <w:kern w:val="0"/>
          <w:sz w:val="17"/>
          <w:szCs w:val="17"/>
        </w:rPr>
        <w:t xml:space="preserve">                     </w:t>
      </w:r>
      <w:r>
        <w:rPr>
          <w:rFonts w:ascii="Times New Roman" w:hAnsi="Times New Roman"/>
          <w:kern w:val="0"/>
        </w:rPr>
        <w:t>0&lt;t≤t</w:t>
      </w:r>
      <w:r>
        <w:rPr>
          <w:rFonts w:ascii="Times New Roman" w:hAnsi="Times New Roman"/>
          <w:kern w:val="0"/>
          <w:sz w:val="17"/>
          <w:szCs w:val="17"/>
        </w:rPr>
        <w:t>0</w:t>
      </w:r>
    </w:p>
    <w:p>
      <w:pPr>
        <w:adjustRightInd w:val="0"/>
        <w:snapToGrid w:val="0"/>
        <w:spacing w:line="240" w:lineRule="auto"/>
        <w:ind w:left="5520" w:leftChars="2300" w:firstLine="0" w:firstLineChars="0"/>
        <w:rPr>
          <w:rFonts w:ascii="Times New Roman" w:hAnsi="Times New Roman"/>
        </w:rPr>
      </w:pPr>
      <w:r>
        <w:rPr>
          <w:rFonts w:ascii="Times New Roman" w:hAnsi="Times New Roman"/>
          <w:kern w:val="0"/>
        </w:rPr>
        <w:t>t&gt;t</w:t>
      </w:r>
      <w:r>
        <w:rPr>
          <w:rFonts w:ascii="Times New Roman" w:hAnsi="Times New Roman"/>
          <w:kern w:val="0"/>
          <w:sz w:val="17"/>
          <w:szCs w:val="17"/>
        </w:rPr>
        <w:t>0</w:t>
      </w:r>
    </w:p>
    <w:p>
      <w:pPr>
        <w:adjustRightInd w:val="0"/>
        <w:snapToGrid w:val="0"/>
        <w:ind w:firstLine="480"/>
        <w:rPr>
          <w:rFonts w:ascii="Times New Roman" w:hAnsi="Times New Roman"/>
        </w:rPr>
      </w:pPr>
      <w:r>
        <w:rPr>
          <w:rFonts w:ascii="Times New Roman" w:hAnsi="Times New Roman"/>
        </w:rPr>
        <w:t>下边界条件：由于模拟选择的下边界为潜水面，污染物质呈自由渗漏状态，边界内外的浓度相等，故而将其认为是不存在弥散通量的第二类Neumann零梯度边界。</w:t>
      </w:r>
    </w:p>
    <w:p>
      <w:pPr>
        <w:adjustRightInd w:val="0"/>
        <w:snapToGrid w:val="0"/>
        <w:ind w:firstLine="0" w:firstLineChars="0"/>
        <w:rPr>
          <w:rFonts w:ascii="Times New Roman" w:hAnsi="Times New Roman"/>
        </w:rPr>
      </w:pPr>
      <m:oMathPara>
        <m:oMath>
          <m:r>
            <m:rPr>
              <m:sty m:val="p"/>
            </m:rPr>
            <w:rPr>
              <w:rFonts w:ascii="Cambria Math" w:hAnsi="Cambria Math" w:eastAsia="MS Gothic"/>
            </w:rPr>
            <m:t>−</m:t>
          </m:r>
          <m:r>
            <m:rPr>
              <m:sty m:val="p"/>
            </m:rPr>
            <w:rPr>
              <w:rFonts w:ascii="Cambria Math" w:hAnsi="Cambria Math"/>
            </w:rPr>
            <m:t>θD</m:t>
          </m:r>
          <m:f>
            <m:fPr>
              <m:ctrlPr>
                <w:rPr>
                  <w:rFonts w:ascii="Cambria Math" w:hAnsi="Cambria Math"/>
                </w:rPr>
              </m:ctrlPr>
            </m:fPr>
            <m:num>
              <m:r>
                <m:rPr>
                  <m:sty m:val="p"/>
                </m:rPr>
                <w:rPr>
                  <w:rFonts w:ascii="Cambria Math" w:hAnsi="Cambria Math"/>
                </w:rPr>
                <m:t>∂c</m:t>
              </m:r>
              <m:ctrlPr>
                <w:rPr>
                  <w:rFonts w:ascii="Cambria Math" w:hAnsi="Cambria Math"/>
                </w:rPr>
              </m:ctrlPr>
            </m:num>
            <m:den>
              <m:r>
                <m:rPr>
                  <m:sty m:val="p"/>
                </m:rPr>
                <w:rPr>
                  <w:rFonts w:ascii="Cambria Math" w:hAnsi="Cambria Math"/>
                </w:rPr>
                <m:t>∂z</m:t>
              </m:r>
              <m:ctrlPr>
                <w:rPr>
                  <w:rFonts w:ascii="Cambria Math" w:hAnsi="Cambria Math"/>
                </w:rPr>
              </m:ctrlPr>
            </m:den>
          </m:f>
          <m:r>
            <m:rPr>
              <m:sty m:val="p"/>
            </m:rPr>
            <w:rPr>
              <w:rFonts w:ascii="Cambria Math" w:hAnsi="Cambria Math"/>
            </w:rPr>
            <m:t>=0       t&gt;0 , z=L</m:t>
          </m:r>
        </m:oMath>
      </m:oMathPara>
    </w:p>
    <w:p>
      <w:pPr>
        <w:ind w:firstLine="482"/>
        <w:rPr>
          <w:rFonts w:ascii="Times New Roman" w:hAnsi="Times New Roman"/>
          <w:b/>
        </w:rPr>
      </w:pPr>
      <w:bookmarkStart w:id="229" w:name="_Toc57120832"/>
      <w:r>
        <w:rPr>
          <w:rFonts w:ascii="Times New Roman" w:hAnsi="Times New Roman"/>
          <w:b/>
        </w:rPr>
        <w:t>（4）模型概化</w:t>
      </w:r>
      <w:bookmarkEnd w:id="229"/>
    </w:p>
    <w:p>
      <w:pPr>
        <w:adjustRightInd w:val="0"/>
        <w:snapToGrid w:val="0"/>
        <w:ind w:firstLine="482"/>
        <w:jc w:val="both"/>
        <w:rPr>
          <w:rFonts w:ascii="Times New Roman" w:hAnsi="Times New Roman"/>
          <w:b/>
          <w:bCs/>
        </w:rPr>
      </w:pPr>
      <w:r>
        <w:rPr>
          <w:rFonts w:ascii="Times New Roman" w:hAnsi="Times New Roman"/>
          <w:b/>
          <w:bCs/>
        </w:rPr>
        <w:t>1）土壤概况</w:t>
      </w:r>
    </w:p>
    <w:p>
      <w:pPr>
        <w:adjustRightInd w:val="0"/>
        <w:snapToGrid w:val="0"/>
        <w:ind w:firstLine="480"/>
        <w:rPr>
          <w:rFonts w:ascii="Times New Roman" w:hAnsi="Times New Roman"/>
        </w:rPr>
      </w:pPr>
      <w:r>
        <w:rPr>
          <w:rFonts w:ascii="Times New Roman" w:hAnsi="Times New Roman"/>
        </w:rPr>
        <w:t>本项目场地参数取值见</w:t>
      </w:r>
      <w:r>
        <w:rPr>
          <w:rFonts w:ascii="Times New Roman" w:hAnsi="Times New Roman"/>
        </w:rPr>
        <w:fldChar w:fldCharType="begin"/>
      </w:r>
      <w:r>
        <w:rPr>
          <w:rFonts w:ascii="Times New Roman" w:hAnsi="Times New Roman"/>
        </w:rPr>
        <w:instrText xml:space="preserve"> REF _Ref119571700 \h  \* MERGEFORMAT </w:instrText>
      </w:r>
      <w:r>
        <w:rPr>
          <w:rFonts w:ascii="Times New Roman" w:hAnsi="Times New Roman"/>
        </w:rPr>
        <w:fldChar w:fldCharType="separate"/>
      </w:r>
      <w:r>
        <w:rPr>
          <w:rFonts w:ascii="Times New Roman" w:hAnsi="Times New Roman"/>
        </w:rPr>
        <w:t>表6</w:t>
      </w:r>
      <w:r>
        <w:rPr>
          <w:rFonts w:ascii="Times New Roman" w:hAnsi="Times New Roman"/>
        </w:rPr>
        <w:noBreakHyphen/>
      </w:r>
      <w:r>
        <w:rPr>
          <w:rFonts w:ascii="Times New Roman" w:hAnsi="Times New Roman"/>
        </w:rPr>
        <w:t>30</w:t>
      </w:r>
      <w:r>
        <w:rPr>
          <w:rFonts w:ascii="Times New Roman" w:hAnsi="Times New Roman"/>
        </w:rPr>
        <w:fldChar w:fldCharType="end"/>
      </w:r>
      <w:r>
        <w:rPr>
          <w:rFonts w:ascii="Times New Roman" w:hAnsi="Times New Roman"/>
        </w:rPr>
        <w:t>。</w:t>
      </w:r>
    </w:p>
    <w:p>
      <w:pPr>
        <w:widowControl/>
        <w:wordWrap w:val="0"/>
        <w:adjustRightInd w:val="0"/>
        <w:snapToGrid w:val="0"/>
        <w:spacing w:line="240" w:lineRule="auto"/>
        <w:ind w:firstLine="0" w:firstLineChars="0"/>
        <w:jc w:val="center"/>
        <w:rPr>
          <w:rFonts w:ascii="Times New Roman" w:hAnsi="Times New Roman" w:eastAsia="黑体"/>
          <w:kern w:val="0"/>
          <w:lang w:val="zh-CN" w:eastAsia="zh-CN"/>
        </w:rPr>
      </w:pPr>
      <w:bookmarkStart w:id="230" w:name="_Ref119571700"/>
      <w:r>
        <w:rPr>
          <w:rFonts w:ascii="Times New Roman" w:hAnsi="Times New Roman" w:eastAsia="黑体"/>
          <w:kern w:val="0"/>
          <w:lang w:val="zh-CN" w:eastAsia="zh-CN"/>
        </w:rPr>
        <w:t>表</w:t>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STYLEREF 1 \s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6</w:t>
      </w:r>
      <w:r>
        <w:rPr>
          <w:rFonts w:ascii="Times New Roman" w:hAnsi="Times New Roman" w:eastAsia="黑体"/>
          <w:kern w:val="0"/>
          <w:lang w:val="zh-CN" w:eastAsia="zh-CN"/>
        </w:rPr>
        <w:fldChar w:fldCharType="end"/>
      </w:r>
      <w:r>
        <w:rPr>
          <w:rFonts w:ascii="Times New Roman" w:hAnsi="Times New Roman" w:eastAsia="黑体"/>
          <w:kern w:val="0"/>
          <w:lang w:val="zh-CN" w:eastAsia="zh-CN"/>
        </w:rPr>
        <w:noBreakHyphen/>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SEQ 表 \* ARABIC \s 1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30</w:t>
      </w:r>
      <w:r>
        <w:rPr>
          <w:rFonts w:ascii="Times New Roman" w:hAnsi="Times New Roman" w:eastAsia="黑体"/>
          <w:kern w:val="0"/>
          <w:lang w:val="zh-CN" w:eastAsia="zh-CN"/>
        </w:rPr>
        <w:fldChar w:fldCharType="end"/>
      </w:r>
      <w:bookmarkEnd w:id="230"/>
      <w:r>
        <w:rPr>
          <w:rFonts w:ascii="Times New Roman" w:hAnsi="Times New Roman" w:eastAsia="黑体"/>
          <w:kern w:val="24"/>
          <w:lang w:val="zh-CN" w:eastAsia="zh-CN"/>
        </w:rPr>
        <w:t xml:space="preserve">  </w:t>
      </w:r>
      <w:r>
        <w:rPr>
          <w:rFonts w:ascii="Times New Roman" w:hAnsi="Times New Roman" w:eastAsia="黑体"/>
          <w:kern w:val="0"/>
          <w:lang w:val="zh-CN" w:eastAsia="zh-CN"/>
        </w:rPr>
        <w:t>土壤预测</w:t>
      </w:r>
      <w:r>
        <w:rPr>
          <w:rFonts w:ascii="Times New Roman" w:hAnsi="Times New Roman" w:eastAsia="黑体"/>
          <w:kern w:val="0"/>
          <w:lang w:val="zh-CN"/>
        </w:rPr>
        <w:t>参数</w:t>
      </w:r>
      <w:r>
        <w:rPr>
          <w:rFonts w:ascii="Times New Roman" w:hAnsi="Times New Roman" w:eastAsia="黑体"/>
          <w:kern w:val="0"/>
          <w:lang w:val="zh-CN" w:eastAsia="zh-CN"/>
        </w:rPr>
        <w:t>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4"/>
        <w:gridCol w:w="1277"/>
        <w:gridCol w:w="1117"/>
        <w:gridCol w:w="1369"/>
        <w:gridCol w:w="1302"/>
        <w:gridCol w:w="1295"/>
        <w:gridCol w:w="10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4" w:type="dxa"/>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情景</w:t>
            </w:r>
          </w:p>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设定</w:t>
            </w:r>
          </w:p>
        </w:tc>
        <w:tc>
          <w:tcPr>
            <w:tcW w:w="1277" w:type="dxa"/>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深度（m）</w:t>
            </w:r>
          </w:p>
        </w:tc>
        <w:tc>
          <w:tcPr>
            <w:tcW w:w="1117" w:type="dxa"/>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土壤含水率</w:t>
            </w:r>
          </w:p>
        </w:tc>
        <w:tc>
          <w:tcPr>
            <w:tcW w:w="1369"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土壤容重（mg/cm</w:t>
            </w:r>
            <w:r>
              <w:rPr>
                <w:rFonts w:ascii="Times New Roman" w:hAnsi="Times New Roman"/>
                <w:sz w:val="21"/>
                <w:szCs w:val="21"/>
                <w:vertAlign w:val="superscript"/>
                <w:lang w:val="zh-CN"/>
              </w:rPr>
              <w:t>3</w:t>
            </w:r>
            <w:r>
              <w:rPr>
                <w:rFonts w:ascii="Times New Roman" w:hAnsi="Times New Roman"/>
                <w:sz w:val="21"/>
                <w:szCs w:val="21"/>
                <w:lang w:val="zh-CN"/>
              </w:rPr>
              <w:t>）</w:t>
            </w:r>
          </w:p>
        </w:tc>
        <w:tc>
          <w:tcPr>
            <w:tcW w:w="1302"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饱和导水率（cm/d）</w:t>
            </w:r>
          </w:p>
        </w:tc>
        <w:tc>
          <w:tcPr>
            <w:tcW w:w="1295"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孔隙度（%）</w:t>
            </w:r>
          </w:p>
        </w:tc>
        <w:tc>
          <w:tcPr>
            <w:tcW w:w="1058"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弥散系数（m</w:t>
            </w:r>
            <w:r>
              <w:rPr>
                <w:rFonts w:ascii="Times New Roman" w:hAnsi="Times New Roman"/>
                <w:sz w:val="21"/>
                <w:szCs w:val="21"/>
                <w:vertAlign w:val="superscript"/>
                <w:lang w:val="zh-CN"/>
              </w:rPr>
              <w:t>2</w:t>
            </w:r>
            <w:r>
              <w:rPr>
                <w:rFonts w:ascii="Times New Roman" w:hAnsi="Times New Roman"/>
                <w:sz w:val="21"/>
                <w:szCs w:val="21"/>
                <w:lang w:val="zh-CN"/>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1104" w:type="dxa"/>
            <w:vMerge w:val="restart"/>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宣兴1井气田水罐破损渗漏</w:t>
            </w:r>
          </w:p>
        </w:tc>
        <w:tc>
          <w:tcPr>
            <w:tcW w:w="1277" w:type="dxa"/>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2"/>
                <w:szCs w:val="22"/>
              </w:rPr>
              <w:t>0-0.3</w:t>
            </w:r>
          </w:p>
        </w:tc>
        <w:tc>
          <w:tcPr>
            <w:tcW w:w="1117"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19.9</w:t>
            </w:r>
          </w:p>
        </w:tc>
        <w:tc>
          <w:tcPr>
            <w:tcW w:w="1369"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1.31</w:t>
            </w:r>
          </w:p>
        </w:tc>
        <w:tc>
          <w:tcPr>
            <w:tcW w:w="1302"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95.04</w:t>
            </w:r>
          </w:p>
        </w:tc>
        <w:tc>
          <w:tcPr>
            <w:tcW w:w="1295"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36</w:t>
            </w:r>
          </w:p>
        </w:tc>
        <w:tc>
          <w:tcPr>
            <w:tcW w:w="1058"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104" w:type="dxa"/>
            <w:vMerge w:val="continue"/>
            <w:vAlign w:val="center"/>
          </w:tcPr>
          <w:p>
            <w:pPr>
              <w:adjustRightInd w:val="0"/>
              <w:snapToGrid w:val="0"/>
              <w:spacing w:line="160" w:lineRule="atLeast"/>
              <w:ind w:firstLine="0" w:firstLineChars="0"/>
              <w:jc w:val="center"/>
              <w:rPr>
                <w:rFonts w:ascii="Times New Roman" w:hAnsi="Times New Roman"/>
                <w:sz w:val="21"/>
                <w:szCs w:val="21"/>
                <w:lang w:val="zh-CN" w:eastAsia="zh-CN"/>
              </w:rPr>
            </w:pPr>
          </w:p>
        </w:tc>
        <w:tc>
          <w:tcPr>
            <w:tcW w:w="1277" w:type="dxa"/>
            <w:vAlign w:val="center"/>
          </w:tcPr>
          <w:p>
            <w:pPr>
              <w:widowControl/>
              <w:adjustRightInd w:val="0"/>
              <w:snapToGrid w:val="0"/>
              <w:spacing w:line="240" w:lineRule="auto"/>
              <w:ind w:firstLine="0" w:firstLineChars="0"/>
              <w:jc w:val="center"/>
              <w:textAlignment w:val="center"/>
              <w:rPr>
                <w:rFonts w:ascii="Times New Roman" w:hAnsi="Times New Roman"/>
                <w:sz w:val="21"/>
                <w:szCs w:val="21"/>
              </w:rPr>
            </w:pPr>
            <w:r>
              <w:rPr>
                <w:rFonts w:ascii="Times New Roman" w:hAnsi="Times New Roman"/>
                <w:sz w:val="22"/>
                <w:szCs w:val="22"/>
              </w:rPr>
              <w:t>0.3-1.2</w:t>
            </w:r>
          </w:p>
        </w:tc>
        <w:tc>
          <w:tcPr>
            <w:tcW w:w="1117"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19.9</w:t>
            </w:r>
          </w:p>
        </w:tc>
        <w:tc>
          <w:tcPr>
            <w:tcW w:w="1369"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1.29</w:t>
            </w:r>
          </w:p>
        </w:tc>
        <w:tc>
          <w:tcPr>
            <w:tcW w:w="1302"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109.44</w:t>
            </w:r>
          </w:p>
        </w:tc>
        <w:tc>
          <w:tcPr>
            <w:tcW w:w="1295"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32</w:t>
            </w:r>
          </w:p>
        </w:tc>
        <w:tc>
          <w:tcPr>
            <w:tcW w:w="1058"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4" w:type="dxa"/>
            <w:vMerge w:val="continue"/>
            <w:vAlign w:val="center"/>
          </w:tcPr>
          <w:p>
            <w:pPr>
              <w:adjustRightInd w:val="0"/>
              <w:snapToGrid w:val="0"/>
              <w:spacing w:line="160" w:lineRule="atLeast"/>
              <w:ind w:firstLine="0" w:firstLineChars="0"/>
              <w:jc w:val="center"/>
              <w:rPr>
                <w:rFonts w:ascii="Times New Roman" w:hAnsi="Times New Roman"/>
                <w:sz w:val="21"/>
                <w:szCs w:val="21"/>
                <w:lang w:val="zh-CN" w:eastAsia="zh-CN"/>
              </w:rPr>
            </w:pPr>
          </w:p>
        </w:tc>
        <w:tc>
          <w:tcPr>
            <w:tcW w:w="1277"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2"/>
                <w:szCs w:val="22"/>
              </w:rPr>
              <w:t>1.2-2.2</w:t>
            </w:r>
          </w:p>
        </w:tc>
        <w:tc>
          <w:tcPr>
            <w:tcW w:w="1117"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22.3</w:t>
            </w:r>
          </w:p>
        </w:tc>
        <w:tc>
          <w:tcPr>
            <w:tcW w:w="1369"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1.34</w:t>
            </w:r>
          </w:p>
        </w:tc>
        <w:tc>
          <w:tcPr>
            <w:tcW w:w="1302"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105.12</w:t>
            </w:r>
          </w:p>
        </w:tc>
        <w:tc>
          <w:tcPr>
            <w:tcW w:w="1295"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34</w:t>
            </w:r>
          </w:p>
        </w:tc>
        <w:tc>
          <w:tcPr>
            <w:tcW w:w="1058"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4" w:type="dxa"/>
            <w:vMerge w:val="restart"/>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lang w:val="zh-CN" w:eastAsia="zh-CN"/>
              </w:rPr>
              <w:t>宣</w:t>
            </w:r>
            <w:r>
              <w:rPr>
                <w:rFonts w:ascii="Times New Roman" w:hAnsi="Times New Roman"/>
                <w:sz w:val="21"/>
                <w:szCs w:val="21"/>
                <w:lang w:val="zh-CN"/>
              </w:rPr>
              <w:t>探</w:t>
            </w:r>
            <w:r>
              <w:rPr>
                <w:rFonts w:ascii="Times New Roman" w:hAnsi="Times New Roman"/>
                <w:sz w:val="21"/>
                <w:szCs w:val="21"/>
                <w:lang w:val="zh-CN" w:eastAsia="zh-CN"/>
              </w:rPr>
              <w:t>1井</w:t>
            </w:r>
            <w:r>
              <w:rPr>
                <w:rFonts w:ascii="Times New Roman" w:hAnsi="Times New Roman"/>
                <w:sz w:val="21"/>
                <w:szCs w:val="21"/>
                <w:lang w:val="zh-CN"/>
              </w:rPr>
              <w:t>放空</w:t>
            </w:r>
            <w:r>
              <w:rPr>
                <w:rFonts w:ascii="Times New Roman" w:hAnsi="Times New Roman"/>
                <w:sz w:val="21"/>
                <w:szCs w:val="21"/>
                <w:lang w:val="zh-CN" w:eastAsia="zh-CN"/>
              </w:rPr>
              <w:t>分液罐破损渗漏</w:t>
            </w:r>
          </w:p>
        </w:tc>
        <w:tc>
          <w:tcPr>
            <w:tcW w:w="1277" w:type="dxa"/>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0-0.3</w:t>
            </w:r>
          </w:p>
        </w:tc>
        <w:tc>
          <w:tcPr>
            <w:tcW w:w="1117" w:type="dxa"/>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22.9</w:t>
            </w:r>
          </w:p>
        </w:tc>
        <w:tc>
          <w:tcPr>
            <w:tcW w:w="1369"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1.21</w:t>
            </w:r>
          </w:p>
        </w:tc>
        <w:tc>
          <w:tcPr>
            <w:tcW w:w="1302"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83.52</w:t>
            </w:r>
          </w:p>
        </w:tc>
        <w:tc>
          <w:tcPr>
            <w:tcW w:w="1295"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40</w:t>
            </w:r>
          </w:p>
        </w:tc>
        <w:tc>
          <w:tcPr>
            <w:tcW w:w="1058"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4" w:type="dxa"/>
            <w:vMerge w:val="continue"/>
            <w:vAlign w:val="center"/>
          </w:tcPr>
          <w:p>
            <w:pPr>
              <w:adjustRightInd w:val="0"/>
              <w:snapToGrid w:val="0"/>
              <w:spacing w:line="160" w:lineRule="atLeast"/>
              <w:ind w:firstLine="0" w:firstLineChars="0"/>
              <w:jc w:val="center"/>
              <w:rPr>
                <w:rFonts w:ascii="Times New Roman" w:hAnsi="Times New Roman"/>
                <w:sz w:val="21"/>
                <w:szCs w:val="21"/>
                <w:lang w:val="zh-CN" w:eastAsia="zh-CN"/>
              </w:rPr>
            </w:pPr>
          </w:p>
        </w:tc>
        <w:tc>
          <w:tcPr>
            <w:tcW w:w="1277" w:type="dxa"/>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0.3-1.2</w:t>
            </w:r>
          </w:p>
        </w:tc>
        <w:tc>
          <w:tcPr>
            <w:tcW w:w="1117" w:type="dxa"/>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27</w:t>
            </w:r>
          </w:p>
        </w:tc>
        <w:tc>
          <w:tcPr>
            <w:tcW w:w="1369"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1.26</w:t>
            </w:r>
          </w:p>
        </w:tc>
        <w:tc>
          <w:tcPr>
            <w:tcW w:w="1302"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99.36</w:t>
            </w:r>
          </w:p>
        </w:tc>
        <w:tc>
          <w:tcPr>
            <w:tcW w:w="1295"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34</w:t>
            </w:r>
          </w:p>
        </w:tc>
        <w:tc>
          <w:tcPr>
            <w:tcW w:w="1058"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4" w:type="dxa"/>
            <w:vMerge w:val="continue"/>
            <w:vAlign w:val="center"/>
          </w:tcPr>
          <w:p>
            <w:pPr>
              <w:adjustRightInd w:val="0"/>
              <w:snapToGrid w:val="0"/>
              <w:spacing w:line="160" w:lineRule="atLeast"/>
              <w:ind w:firstLine="0" w:firstLineChars="0"/>
              <w:jc w:val="center"/>
              <w:rPr>
                <w:rFonts w:ascii="Times New Roman" w:hAnsi="Times New Roman"/>
                <w:sz w:val="21"/>
                <w:szCs w:val="21"/>
                <w:lang w:val="zh-CN" w:eastAsia="zh-CN"/>
              </w:rPr>
            </w:pPr>
          </w:p>
        </w:tc>
        <w:tc>
          <w:tcPr>
            <w:tcW w:w="1277" w:type="dxa"/>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1.2-4.5</w:t>
            </w:r>
          </w:p>
        </w:tc>
        <w:tc>
          <w:tcPr>
            <w:tcW w:w="1117" w:type="dxa"/>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29.7</w:t>
            </w:r>
          </w:p>
        </w:tc>
        <w:tc>
          <w:tcPr>
            <w:tcW w:w="1369"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1.37</w:t>
            </w:r>
          </w:p>
        </w:tc>
        <w:tc>
          <w:tcPr>
            <w:tcW w:w="1302"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93.6</w:t>
            </w:r>
          </w:p>
        </w:tc>
        <w:tc>
          <w:tcPr>
            <w:tcW w:w="1295"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32</w:t>
            </w:r>
          </w:p>
        </w:tc>
        <w:tc>
          <w:tcPr>
            <w:tcW w:w="1058" w:type="dxa"/>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rPr>
              <w:t>10</w:t>
            </w:r>
          </w:p>
        </w:tc>
      </w:tr>
    </w:tbl>
    <w:p>
      <w:pPr>
        <w:adjustRightInd w:val="0"/>
        <w:snapToGrid w:val="0"/>
        <w:ind w:firstLine="482"/>
        <w:jc w:val="both"/>
        <w:rPr>
          <w:rFonts w:ascii="Times New Roman" w:hAnsi="Times New Roman"/>
          <w:b/>
          <w:bCs/>
        </w:rPr>
      </w:pPr>
    </w:p>
    <w:p>
      <w:pPr>
        <w:adjustRightInd w:val="0"/>
        <w:snapToGrid w:val="0"/>
        <w:ind w:firstLine="482"/>
        <w:jc w:val="both"/>
        <w:rPr>
          <w:rFonts w:ascii="Times New Roman" w:hAnsi="Times New Roman"/>
          <w:b/>
          <w:bCs/>
        </w:rPr>
      </w:pPr>
      <w:r>
        <w:rPr>
          <w:rFonts w:ascii="Times New Roman" w:hAnsi="Times New Roman"/>
          <w:b/>
          <w:bCs/>
        </w:rPr>
        <w:t>2）边界条件</w:t>
      </w:r>
    </w:p>
    <w:p>
      <w:pPr>
        <w:adjustRightInd w:val="0"/>
        <w:snapToGrid w:val="0"/>
        <w:ind w:firstLine="480"/>
        <w:rPr>
          <w:rFonts w:ascii="Times New Roman" w:hAnsi="Times New Roman"/>
        </w:rPr>
      </w:pPr>
      <w:r>
        <w:rPr>
          <w:rFonts w:ascii="Times New Roman" w:hAnsi="Times New Roman"/>
        </w:rPr>
        <w:t>水流模型上边界概化为已知入渗流量的第二类边界条件，下边界为水势为零的自由面边界即第一类边界条件；溶质运移模型上边界定浓度的第一类边界条件，下边界为通量等于零的第二类边界条件。</w:t>
      </w:r>
    </w:p>
    <w:p>
      <w:pPr>
        <w:ind w:firstLine="482"/>
        <w:rPr>
          <w:rFonts w:ascii="Times New Roman" w:hAnsi="Times New Roman"/>
          <w:b/>
        </w:rPr>
      </w:pPr>
      <w:r>
        <w:rPr>
          <w:rFonts w:ascii="Times New Roman" w:hAnsi="Times New Roman"/>
          <w:b/>
        </w:rPr>
        <w:t>（5）预测结果</w:t>
      </w:r>
    </w:p>
    <w:p>
      <w:pPr>
        <w:adjustRightInd w:val="0"/>
        <w:snapToGrid w:val="0"/>
        <w:ind w:firstLine="480"/>
        <w:rPr>
          <w:rFonts w:ascii="Times New Roman" w:hAnsi="Times New Roman"/>
        </w:rPr>
      </w:pPr>
      <w:r>
        <w:rPr>
          <w:rFonts w:ascii="Times New Roman" w:hAnsi="Times New Roman"/>
        </w:rPr>
        <w:t>1）宣兴1井站气田水罐破损渗漏预测结果</w:t>
      </w:r>
    </w:p>
    <w:p>
      <w:pPr>
        <w:adjustRightInd w:val="0"/>
        <w:snapToGrid w:val="0"/>
        <w:ind w:firstLine="480"/>
        <w:rPr>
          <w:rFonts w:ascii="Times New Roman" w:hAnsi="Times New Roman"/>
        </w:rPr>
      </w:pPr>
      <w:r>
        <w:rPr>
          <w:rFonts w:ascii="Times New Roman" w:hAnsi="Times New Roman"/>
        </w:rPr>
        <w:t>本项目宣兴1井站气田水罐破损渗漏，石油烃预测结果见</w:t>
      </w:r>
      <w:r>
        <w:rPr>
          <w:rFonts w:ascii="Times New Roman" w:hAnsi="Times New Roman"/>
        </w:rPr>
        <w:fldChar w:fldCharType="begin"/>
      </w:r>
      <w:r>
        <w:rPr>
          <w:rFonts w:ascii="Times New Roman" w:hAnsi="Times New Roman"/>
        </w:rPr>
        <w:instrText xml:space="preserve"> REF _Ref69127977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31</w:t>
      </w:r>
      <w:r>
        <w:rPr>
          <w:rFonts w:ascii="Times New Roman" w:hAnsi="Times New Roman"/>
        </w:rPr>
        <w:fldChar w:fldCharType="end"/>
      </w:r>
      <w:r>
        <w:rPr>
          <w:rFonts w:ascii="Times New Roman" w:hAnsi="Times New Roman"/>
        </w:rPr>
        <w:t>。</w:t>
      </w:r>
    </w:p>
    <w:p>
      <w:pPr>
        <w:adjustRightInd w:val="0"/>
        <w:snapToGrid w:val="0"/>
        <w:ind w:firstLine="480"/>
        <w:rPr>
          <w:rFonts w:ascii="Times New Roman" w:hAnsi="Times New Roman"/>
        </w:rPr>
      </w:pPr>
      <w:r>
        <w:rPr>
          <w:rFonts w:ascii="Times New Roman" w:hAnsi="Times New Roman"/>
        </w:rPr>
        <w:t>石油烃持续入渗土壤并向下运移，不同时间在土壤中迁移的模拟结果见</w:t>
      </w:r>
      <w:r>
        <w:rPr>
          <w:rFonts w:ascii="Times New Roman" w:hAnsi="Times New Roman"/>
        </w:rPr>
        <w:fldChar w:fldCharType="begin"/>
      </w:r>
      <w:r>
        <w:rPr>
          <w:rFonts w:ascii="Times New Roman" w:hAnsi="Times New Roman"/>
        </w:rPr>
        <w:instrText xml:space="preserve"> REF _Ref119574649 \h  \* MERGEFORMAT </w:instrText>
      </w:r>
      <w:r>
        <w:rPr>
          <w:rFonts w:ascii="Times New Roman" w:hAnsi="Times New Roman"/>
        </w:rPr>
        <w:fldChar w:fldCharType="separate"/>
      </w:r>
      <w:r>
        <w:rPr>
          <w:rFonts w:ascii="Times New Roman" w:hAnsi="Times New Roman"/>
        </w:rPr>
        <w:t>图 6</w:t>
      </w:r>
      <w:r>
        <w:rPr>
          <w:rFonts w:ascii="Times New Roman" w:hAnsi="Times New Roman"/>
        </w:rPr>
        <w:noBreakHyphen/>
      </w:r>
      <w:r>
        <w:rPr>
          <w:rFonts w:ascii="Times New Roman" w:hAnsi="Times New Roman"/>
        </w:rPr>
        <w:t>15</w:t>
      </w:r>
      <w:r>
        <w:rPr>
          <w:rFonts w:ascii="Times New Roman" w:hAnsi="Times New Roman"/>
        </w:rPr>
        <w:fldChar w:fldCharType="end"/>
      </w:r>
      <w:r>
        <w:rPr>
          <w:rFonts w:ascii="Times New Roman" w:hAnsi="Times New Roman"/>
        </w:rPr>
        <w:t>。土壤底部石油烃浓度随时间变化的模拟结果见</w:t>
      </w:r>
      <w:r>
        <w:rPr>
          <w:rFonts w:ascii="Times New Roman" w:hAnsi="Times New Roman"/>
        </w:rPr>
        <w:fldChar w:fldCharType="begin"/>
      </w:r>
      <w:r>
        <w:rPr>
          <w:rFonts w:ascii="Times New Roman" w:hAnsi="Times New Roman"/>
        </w:rPr>
        <w:instrText xml:space="preserve"> REF _Ref70698834 \h  \* MERGEFORMAT </w:instrText>
      </w:r>
      <w:r>
        <w:rPr>
          <w:rFonts w:ascii="Times New Roman" w:hAnsi="Times New Roman"/>
        </w:rPr>
        <w:fldChar w:fldCharType="separate"/>
      </w:r>
      <w:r>
        <w:rPr>
          <w:rFonts w:ascii="Times New Roman" w:hAnsi="Times New Roman"/>
        </w:rPr>
        <w:t>图 6</w:t>
      </w:r>
      <w:r>
        <w:rPr>
          <w:rFonts w:ascii="Times New Roman" w:hAnsi="Times New Roman"/>
        </w:rPr>
        <w:noBreakHyphen/>
      </w:r>
      <w:r>
        <w:rPr>
          <w:rFonts w:ascii="Times New Roman" w:hAnsi="Times New Roman"/>
        </w:rPr>
        <w:t>16</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根据</w:t>
      </w:r>
      <w:r>
        <w:rPr>
          <w:rFonts w:ascii="Times New Roman" w:hAnsi="Times New Roman"/>
        </w:rPr>
        <w:fldChar w:fldCharType="begin"/>
      </w:r>
      <w:r>
        <w:rPr>
          <w:rFonts w:ascii="Times New Roman" w:hAnsi="Times New Roman"/>
        </w:rPr>
        <w:instrText xml:space="preserve"> REF _Ref119590194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31</w:t>
      </w:r>
      <w:r>
        <w:rPr>
          <w:rFonts w:ascii="Times New Roman" w:hAnsi="Times New Roman"/>
        </w:rPr>
        <w:fldChar w:fldCharType="end"/>
      </w:r>
      <w:r>
        <w:rPr>
          <w:rFonts w:ascii="Times New Roman" w:hAnsi="Times New Roman"/>
        </w:rPr>
        <w:t>可知，石油烃在土壤中随时间不断向下迁移，365天时，石油烃出现深度在-66cm（-0.66m）；1095天时，石油烃出现深度在-121cm（-1.21m）；1825天时，石油烃出现深度在-176cm（-1.76m）；3650天时，土壤水分中石油烃浓度在0-0.005mg/L之间；7300天时，土壤水分中石油烃浓度在0-0.002mg/L之间；10950天时，土壤水分中石油烃浓度为0.0001，土壤水分中石油烃已全部入渗到岩石层。</w:t>
      </w:r>
    </w:p>
    <w:p>
      <w:pPr>
        <w:adjustRightInd w:val="0"/>
        <w:snapToGrid w:val="0"/>
        <w:ind w:firstLine="480"/>
        <w:jc w:val="both"/>
        <w:rPr>
          <w:rFonts w:ascii="Times New Roman" w:hAnsi="Times New Roman"/>
        </w:rPr>
      </w:pPr>
      <w:r>
        <w:rPr>
          <w:rFonts w:ascii="Times New Roman" w:hAnsi="Times New Roman"/>
        </w:rPr>
        <w:t>由</w:t>
      </w:r>
      <w:r>
        <w:rPr>
          <w:rFonts w:ascii="Times New Roman" w:hAnsi="Times New Roman"/>
        </w:rPr>
        <w:fldChar w:fldCharType="begin"/>
      </w:r>
      <w:r>
        <w:rPr>
          <w:rFonts w:ascii="Times New Roman" w:hAnsi="Times New Roman"/>
        </w:rPr>
        <w:instrText xml:space="preserve"> REF _Ref119573813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32</w:t>
      </w:r>
      <w:r>
        <w:rPr>
          <w:rFonts w:ascii="Times New Roman" w:hAnsi="Times New Roman"/>
        </w:rPr>
        <w:fldChar w:fldCharType="end"/>
      </w:r>
      <w:r>
        <w:rPr>
          <w:rFonts w:ascii="Times New Roman" w:hAnsi="Times New Roman"/>
        </w:rPr>
        <w:t>和</w:t>
      </w:r>
      <w:r>
        <w:rPr>
          <w:rFonts w:ascii="Times New Roman" w:hAnsi="Times New Roman"/>
        </w:rPr>
        <w:fldChar w:fldCharType="begin"/>
      </w:r>
      <w:r>
        <w:rPr>
          <w:rFonts w:ascii="Times New Roman" w:hAnsi="Times New Roman"/>
        </w:rPr>
        <w:instrText xml:space="preserve"> REF _Ref70698834 \h  \* MERGEFORMAT </w:instrText>
      </w:r>
      <w:r>
        <w:rPr>
          <w:rFonts w:ascii="Times New Roman" w:hAnsi="Times New Roman"/>
        </w:rPr>
        <w:fldChar w:fldCharType="separate"/>
      </w:r>
      <w:r>
        <w:rPr>
          <w:rFonts w:ascii="Times New Roman" w:hAnsi="Times New Roman"/>
        </w:rPr>
        <w:t>图 6</w:t>
      </w:r>
      <w:r>
        <w:rPr>
          <w:rFonts w:ascii="Times New Roman" w:hAnsi="Times New Roman"/>
        </w:rPr>
        <w:noBreakHyphen/>
      </w:r>
      <w:r>
        <w:rPr>
          <w:rFonts w:ascii="Times New Roman" w:hAnsi="Times New Roman"/>
        </w:rPr>
        <w:t>16</w:t>
      </w:r>
      <w:r>
        <w:rPr>
          <w:rFonts w:ascii="Times New Roman" w:hAnsi="Times New Roman"/>
        </w:rPr>
        <w:fldChar w:fldCharType="end"/>
      </w:r>
      <w:r>
        <w:rPr>
          <w:rFonts w:ascii="Times New Roman" w:hAnsi="Times New Roman"/>
        </w:rPr>
        <w:t>土壤预测结果可知，石油烃在土壤中随时间不断向下迁移。</w:t>
      </w:r>
    </w:p>
    <w:p>
      <w:pPr>
        <w:adjustRightInd w:val="0"/>
        <w:snapToGrid w:val="0"/>
        <w:ind w:firstLine="480" w:firstLineChars="0"/>
        <w:jc w:val="both"/>
        <w:rPr>
          <w:rFonts w:ascii="Times New Roman" w:hAnsi="Times New Roman"/>
        </w:rPr>
      </w:pPr>
      <w:r>
        <w:rPr>
          <w:rFonts w:ascii="Times New Roman" w:hAnsi="Times New Roman"/>
        </w:rPr>
        <w:t>-2.2m观测点处，在事故发生的1875天出现石油烃；4385天时石油烃浓度最大，为0.0065mg/L（折算成土壤中含量为0.0011mg/kg）；10950天时石油烃浓度为0.0001mg/L（折算成土壤中含量为0），此时石油烃全部渗入到岩石层。</w:t>
      </w:r>
    </w:p>
    <w:p>
      <w:pPr>
        <w:adjustRightInd w:val="0"/>
        <w:snapToGrid w:val="0"/>
        <w:spacing w:line="240" w:lineRule="auto"/>
        <w:ind w:firstLine="0" w:firstLineChars="0"/>
        <w:jc w:val="center"/>
        <w:outlineLvl w:val="4"/>
        <w:rPr>
          <w:rFonts w:ascii="Times New Roman" w:hAnsi="Times New Roman"/>
          <w:b/>
          <w:szCs w:val="21"/>
        </w:rPr>
      </w:pPr>
      <w:bookmarkStart w:id="231" w:name="_Ref69127977"/>
      <w:bookmarkStart w:id="232" w:name="_Ref119590194"/>
      <w:r>
        <w:rPr>
          <w:rFonts w:ascii="Times New Roman" w:hAnsi="Times New Roman"/>
          <w:b/>
          <w:szCs w:val="21"/>
        </w:rPr>
        <w:t xml:space="preserve">表 </w:t>
      </w:r>
      <w:r>
        <w:rPr>
          <w:rFonts w:ascii="Times New Roman" w:hAnsi="Times New Roman"/>
          <w:b/>
          <w:szCs w:val="21"/>
        </w:rPr>
        <w:fldChar w:fldCharType="begin"/>
      </w:r>
      <w:r>
        <w:rPr>
          <w:rFonts w:ascii="Times New Roman" w:hAnsi="Times New Roman"/>
          <w:b/>
          <w:szCs w:val="21"/>
        </w:rPr>
        <w:instrText xml:space="preserve"> STYLEREF 1 \s </w:instrText>
      </w:r>
      <w:r>
        <w:rPr>
          <w:rFonts w:ascii="Times New Roman" w:hAnsi="Times New Roman"/>
          <w:b/>
          <w:szCs w:val="21"/>
        </w:rPr>
        <w:fldChar w:fldCharType="separate"/>
      </w:r>
      <w:r>
        <w:rPr>
          <w:rFonts w:ascii="Times New Roman" w:hAnsi="Times New Roman"/>
          <w:b/>
          <w:szCs w:val="21"/>
        </w:rPr>
        <w:t>6</w:t>
      </w:r>
      <w:r>
        <w:rPr>
          <w:rFonts w:ascii="Times New Roman" w:hAnsi="Times New Roman"/>
          <w:b/>
          <w:szCs w:val="21"/>
        </w:rPr>
        <w:fldChar w:fldCharType="end"/>
      </w:r>
      <w:r>
        <w:rPr>
          <w:rFonts w:ascii="Times New Roman" w:hAnsi="Times New Roman"/>
          <w:b/>
          <w:szCs w:val="21"/>
        </w:rPr>
        <w:noBreakHyphen/>
      </w:r>
      <w:r>
        <w:rPr>
          <w:rFonts w:ascii="Times New Roman" w:hAnsi="Times New Roman"/>
          <w:b/>
          <w:szCs w:val="21"/>
        </w:rPr>
        <w:fldChar w:fldCharType="begin"/>
      </w:r>
      <w:r>
        <w:rPr>
          <w:rFonts w:ascii="Times New Roman" w:hAnsi="Times New Roman"/>
          <w:b/>
          <w:szCs w:val="21"/>
        </w:rPr>
        <w:instrText xml:space="preserve"> SEQ 表 \* ARABIC \s 1 </w:instrText>
      </w:r>
      <w:r>
        <w:rPr>
          <w:rFonts w:ascii="Times New Roman" w:hAnsi="Times New Roman"/>
          <w:b/>
          <w:szCs w:val="21"/>
        </w:rPr>
        <w:fldChar w:fldCharType="separate"/>
      </w:r>
      <w:r>
        <w:rPr>
          <w:rFonts w:ascii="Times New Roman" w:hAnsi="Times New Roman"/>
          <w:b/>
          <w:szCs w:val="21"/>
        </w:rPr>
        <w:t>31</w:t>
      </w:r>
      <w:r>
        <w:rPr>
          <w:rFonts w:ascii="Times New Roman" w:hAnsi="Times New Roman"/>
          <w:b/>
          <w:szCs w:val="21"/>
        </w:rPr>
        <w:fldChar w:fldCharType="end"/>
      </w:r>
      <w:bookmarkEnd w:id="231"/>
      <w:bookmarkEnd w:id="232"/>
      <w:r>
        <w:rPr>
          <w:rFonts w:ascii="Times New Roman" w:hAnsi="Times New Roman"/>
          <w:b/>
          <w:szCs w:val="21"/>
        </w:rPr>
        <w:t xml:space="preserve">  宣兴1井气田水罐泄漏石油烃不同时间在土壤中迁移情况统计表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0"/>
        <w:gridCol w:w="1070"/>
        <w:gridCol w:w="1222"/>
        <w:gridCol w:w="1070"/>
        <w:gridCol w:w="1222"/>
        <w:gridCol w:w="1070"/>
        <w:gridCol w:w="9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6" w:hRule="atLeast"/>
        </w:trPr>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mc:AlternateContent>
                <mc:Choice Requires="wps">
                  <w:drawing>
                    <wp:anchor distT="0" distB="0" distL="114300" distR="114300" simplePos="0" relativeHeight="251662336" behindDoc="0" locked="0" layoutInCell="1" allowOverlap="1">
                      <wp:simplePos x="0" y="0"/>
                      <wp:positionH relativeFrom="column">
                        <wp:posOffset>229235</wp:posOffset>
                      </wp:positionH>
                      <wp:positionV relativeFrom="paragraph">
                        <wp:posOffset>10160</wp:posOffset>
                      </wp:positionV>
                      <wp:extent cx="851535" cy="774700"/>
                      <wp:effectExtent l="0" t="0" r="24765" b="25400"/>
                      <wp:wrapNone/>
                      <wp:docPr id="149887487" name="直接连接符 149887487"/>
                      <wp:cNvGraphicFramePr/>
                      <a:graphic xmlns:a="http://schemas.openxmlformats.org/drawingml/2006/main">
                        <a:graphicData uri="http://schemas.microsoft.com/office/word/2010/wordprocessingShape">
                          <wps:wsp>
                            <wps:cNvCnPr/>
                            <wps:spPr>
                              <a:xfrm>
                                <a:off x="0" y="0"/>
                                <a:ext cx="851535" cy="774700"/>
                              </a:xfrm>
                              <a:prstGeom prst="line">
                                <a:avLst/>
                              </a:prstGeom>
                              <a:noFill/>
                              <a:ln w="9525" cap="flat" cmpd="sng" algn="ctr">
                                <a:solidFill>
                                  <a:sysClr val="windowText" lastClr="000000"/>
                                </a:solidFill>
                                <a:prstDash val="solid"/>
                              </a:ln>
                              <a:effectLst/>
                            </wps:spPr>
                            <wps:bodyPr/>
                          </wps:wsp>
                        </a:graphicData>
                      </a:graphic>
                    </wp:anchor>
                  </w:drawing>
                </mc:Choice>
                <mc:Fallback>
                  <w:pict>
                    <v:line id="_x0000_s1026" o:spid="_x0000_s1026" o:spt="20" style="position:absolute;left:0pt;margin-left:18.05pt;margin-top:0.8pt;height:61pt;width:67.05pt;z-index:251662336;mso-width-relative:page;mso-height-relative:page;" filled="f" stroked="t" coordsize="21600,21600" o:gfxdata="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nUkAjWAAAACAEAAA8AAAAAAAAAAQAgAAAAIgAAAGRycy9kb3ducmV2LnhtbFBL&#10;AQIUABQAAAAIAIdO4kAOYhLj+AEAANADAAAOAAAAAAAAAAEAIAAAACUBAABkcnMvZTJvRG9jLnht&#10;bFBLBQYAAAAABgAGAFkBAACPBQAAAAA=&#10;">
                      <v:fill on="f" focussize="0,0"/>
                      <v:stroke color="#000000" joinstyle="round"/>
                      <v:imagedata o:title=""/>
                      <o:lock v:ext="edit" aspectratio="f"/>
                    </v:line>
                  </w:pict>
                </mc:Fallback>
              </mc:AlternateContent>
            </w:r>
            <w:r>
              <w:rPr>
                <w:rFonts w:ascii="Times New Roman" w:hAnsi="Times New Roman"/>
                <w:sz w:val="21"/>
                <w:szCs w:val="21"/>
                <w:lang w:val="zh-CN"/>
              </w:rPr>
              <w:t xml:space="preserve">       </w:t>
            </w:r>
            <w:r>
              <w:rPr>
                <w:rFonts w:ascii="Times New Roman" w:hAnsi="Times New Roman"/>
                <w:sz w:val="21"/>
                <w:szCs w:val="21"/>
                <w:lang w:val="zh-CN" w:eastAsia="zh-CN"/>
              </w:rPr>
              <w:t>时间（d）</w:t>
            </w:r>
          </w:p>
          <w:p>
            <w:pPr>
              <w:adjustRightInd w:val="0"/>
              <w:snapToGrid w:val="0"/>
              <w:spacing w:line="160" w:lineRule="atLeast"/>
              <w:ind w:firstLine="0" w:firstLineChars="0"/>
              <w:jc w:val="center"/>
              <w:rPr>
                <w:rFonts w:ascii="Times New Roman" w:hAnsi="Times New Roman"/>
                <w:sz w:val="21"/>
                <w:szCs w:val="21"/>
                <w:lang w:val="zh-CN"/>
              </w:rPr>
            </w:pPr>
          </w:p>
          <w:p>
            <w:pPr>
              <w:adjustRightInd w:val="0"/>
              <w:snapToGrid w:val="0"/>
              <w:spacing w:line="160" w:lineRule="atLeast"/>
              <w:ind w:firstLine="0" w:firstLineChars="0"/>
              <w:rPr>
                <w:rFonts w:ascii="Times New Roman" w:hAnsi="Times New Roman"/>
                <w:sz w:val="21"/>
                <w:szCs w:val="21"/>
                <w:lang w:val="zh-CN"/>
              </w:rPr>
            </w:pPr>
            <w:r>
              <w:rPr>
                <w:rFonts w:ascii="Times New Roman" w:hAnsi="Times New Roman"/>
                <w:sz w:val="21"/>
                <w:szCs w:val="21"/>
                <w:lang w:val="zh-CN" w:eastAsia="zh-CN"/>
              </w:rPr>
              <w:t>浓度(mg/L)</w:t>
            </w:r>
          </w:p>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mc:AlternateContent>
                <mc:Choice Requires="wps">
                  <w:drawing>
                    <wp:anchor distT="0" distB="0" distL="114300" distR="114300" simplePos="0" relativeHeight="251661312" behindDoc="0" locked="0" layoutInCell="1" allowOverlap="1">
                      <wp:simplePos x="0" y="0"/>
                      <wp:positionH relativeFrom="column">
                        <wp:posOffset>-55245</wp:posOffset>
                      </wp:positionH>
                      <wp:positionV relativeFrom="paragraph">
                        <wp:posOffset>3175</wp:posOffset>
                      </wp:positionV>
                      <wp:extent cx="1135380" cy="283210"/>
                      <wp:effectExtent l="0" t="0" r="26670" b="21590"/>
                      <wp:wrapNone/>
                      <wp:docPr id="1000749686" name="直接连接符 1000749686"/>
                      <wp:cNvGraphicFramePr/>
                      <a:graphic xmlns:a="http://schemas.openxmlformats.org/drawingml/2006/main">
                        <a:graphicData uri="http://schemas.microsoft.com/office/word/2010/wordprocessingShape">
                          <wps:wsp>
                            <wps:cNvCnPr/>
                            <wps:spPr>
                              <a:xfrm>
                                <a:off x="0" y="0"/>
                                <a:ext cx="1135380" cy="28321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id="_x0000_s1026" o:spid="_x0000_s1026" o:spt="20" style="position:absolute;left:0pt;margin-left:-4.35pt;margin-top:0.25pt;height:22.3pt;width:89.4pt;z-index:251661312;mso-width-relative:page;mso-height-relative:page;" filled="f" stroked="t" coordsize="21600,21600" o:gfxdata="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8I0ufUAAAABgEAAA8AAAAAAAAAAQAg&#10;AAAAIgAAAGRycy9kb3ducmV2LnhtbFBLAQIUABQAAAAIAIdO4kDmRhNDEgIAAAsEAAAOAAAAAAAA&#10;AAEAIAAAACMBAABkcnMvZTJvRG9jLnhtbFBLBQYAAAAABgAGAFkBAACnBQAAAAA=&#10;">
                      <v:fill on="f" focussize="0,0"/>
                      <v:stroke color="#000000" joinstyle="round"/>
                      <v:imagedata o:title=""/>
                      <o:lock v:ext="edit" aspectratio="f"/>
                    </v:line>
                  </w:pict>
                </mc:Fallback>
              </mc:AlternateContent>
            </w:r>
          </w:p>
          <w:p>
            <w:pPr>
              <w:adjustRightInd w:val="0"/>
              <w:snapToGrid w:val="0"/>
              <w:spacing w:line="160" w:lineRule="atLeast"/>
              <w:ind w:firstLine="0" w:firstLineChars="0"/>
              <w:rPr>
                <w:rFonts w:ascii="Times New Roman" w:hAnsi="Times New Roman"/>
                <w:sz w:val="21"/>
                <w:szCs w:val="21"/>
                <w:lang w:val="zh-CN"/>
              </w:rPr>
            </w:pPr>
            <w:r>
              <w:rPr>
                <w:rFonts w:ascii="Times New Roman" w:hAnsi="Times New Roman"/>
                <w:sz w:val="21"/>
                <w:szCs w:val="21"/>
                <w:lang w:val="zh-CN" w:eastAsia="zh-CN"/>
              </w:rPr>
              <w:t>深度（cm）</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365</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1095</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1825</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3650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7300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10950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-2.2</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0.003</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-4.4</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0.005</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-11</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0.016</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0.002</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-22</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0.029</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0.005</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-33</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0.027</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0.009</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0.002</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-44</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0.014</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0.012</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0.004</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-55</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0.005</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0.014</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0.006</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-66</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0.014</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0.008</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-77</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0.012</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-88</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0.008</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0.011</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0.002</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-99</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0.005</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0.003</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-110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0.003</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0.009</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0.004</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-121</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0.007</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0.005</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-132</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0.005</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0.006</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-143</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0.004</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0.006</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-154</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0.002</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0.007</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-165</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0.007</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-176</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0.007</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-187</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0.007</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-198</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0.006</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-209</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0.005</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0.002</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-220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0</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0</w:t>
            </w:r>
          </w:p>
        </w:tc>
        <w:tc>
          <w:tcPr>
            <w:tcW w:w="717" w:type="pct"/>
            <w:shd w:val="clear" w:color="auto" w:fill="auto"/>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0.005</w:t>
            </w:r>
          </w:p>
        </w:tc>
        <w:tc>
          <w:tcPr>
            <w:tcW w:w="628" w:type="pct"/>
            <w:shd w:val="clear" w:color="auto" w:fill="auto"/>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0.002</w:t>
            </w:r>
          </w:p>
        </w:tc>
        <w:tc>
          <w:tcPr>
            <w:tcW w:w="538" w:type="pct"/>
            <w:shd w:val="clear" w:color="auto" w:fill="auto"/>
            <w:vAlign w:val="center"/>
          </w:tcPr>
          <w:p>
            <w:pPr>
              <w:adjustRightInd w:val="0"/>
              <w:snapToGrid w:val="0"/>
              <w:spacing w:line="160" w:lineRule="atLeast"/>
              <w:ind w:firstLine="0" w:firstLineChars="0"/>
              <w:jc w:val="center"/>
              <w:rPr>
                <w:rFonts w:ascii="Times New Roman" w:hAnsi="Times New Roman"/>
                <w:sz w:val="22"/>
                <w:szCs w:val="22"/>
              </w:rPr>
            </w:pPr>
            <w:r>
              <w:rPr>
                <w:rFonts w:ascii="Times New Roman" w:hAnsi="Times New Roman"/>
                <w:sz w:val="22"/>
                <w:szCs w:val="22"/>
              </w:rPr>
              <w:t>0.0001</w:t>
            </w:r>
          </w:p>
        </w:tc>
      </w:tr>
    </w:tbl>
    <w:p>
      <w:pPr>
        <w:topLinePunct/>
        <w:spacing w:line="480" w:lineRule="exact"/>
        <w:ind w:firstLine="560"/>
        <w:jc w:val="both"/>
        <w:rPr>
          <w:rFonts w:ascii="Times New Roman" w:hAnsi="Times New Roman" w:eastAsia="仿宋"/>
          <w:sz w:val="28"/>
        </w:rPr>
      </w:pPr>
    </w:p>
    <w:p>
      <w:pPr>
        <w:widowControl/>
        <w:wordWrap w:val="0"/>
        <w:adjustRightInd w:val="0"/>
        <w:snapToGrid w:val="0"/>
        <w:spacing w:line="240" w:lineRule="auto"/>
        <w:ind w:firstLine="0" w:firstLineChars="0"/>
        <w:jc w:val="center"/>
        <w:rPr>
          <w:rFonts w:ascii="Times New Roman" w:hAnsi="Times New Roman" w:eastAsia="黑体"/>
          <w:kern w:val="0"/>
          <w:lang w:val="zh-CN"/>
        </w:rPr>
      </w:pPr>
      <w:bookmarkStart w:id="233" w:name="_Ref119573813"/>
      <w:r>
        <w:rPr>
          <w:rFonts w:ascii="Times New Roman" w:hAnsi="Times New Roman" w:eastAsia="黑体"/>
          <w:kern w:val="0"/>
          <w:lang w:val="zh-CN" w:eastAsia="zh-CN"/>
        </w:rPr>
        <w:t xml:space="preserve">表 </w:t>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STYLEREF 1 \s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6</w:t>
      </w:r>
      <w:r>
        <w:rPr>
          <w:rFonts w:ascii="Times New Roman" w:hAnsi="Times New Roman" w:eastAsia="黑体"/>
          <w:kern w:val="0"/>
          <w:lang w:val="zh-CN" w:eastAsia="zh-CN"/>
        </w:rPr>
        <w:fldChar w:fldCharType="end"/>
      </w:r>
      <w:r>
        <w:rPr>
          <w:rFonts w:ascii="Times New Roman" w:hAnsi="Times New Roman" w:eastAsia="黑体"/>
          <w:kern w:val="0"/>
          <w:lang w:val="zh-CN" w:eastAsia="zh-CN"/>
        </w:rPr>
        <w:noBreakHyphen/>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SEQ 表 \* ARABIC \s 1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32</w:t>
      </w:r>
      <w:r>
        <w:rPr>
          <w:rFonts w:ascii="Times New Roman" w:hAnsi="Times New Roman" w:eastAsia="黑体"/>
          <w:kern w:val="0"/>
          <w:lang w:val="zh-CN" w:eastAsia="zh-CN"/>
        </w:rPr>
        <w:fldChar w:fldCharType="end"/>
      </w:r>
      <w:bookmarkEnd w:id="233"/>
      <w:r>
        <w:rPr>
          <w:rFonts w:ascii="Times New Roman" w:hAnsi="Times New Roman" w:eastAsia="黑体"/>
          <w:kern w:val="0"/>
          <w:lang w:val="zh-CN" w:eastAsia="zh-CN"/>
        </w:rPr>
        <w:t xml:space="preserve">   土壤观测点（-</w:t>
      </w:r>
      <w:r>
        <w:rPr>
          <w:rFonts w:ascii="Times New Roman" w:hAnsi="Times New Roman" w:eastAsia="黑体"/>
          <w:kern w:val="0"/>
          <w:lang w:val="zh-CN"/>
        </w:rPr>
        <w:t>2.2</w:t>
      </w:r>
      <w:r>
        <w:rPr>
          <w:rFonts w:ascii="Times New Roman" w:hAnsi="Times New Roman" w:eastAsia="黑体"/>
          <w:kern w:val="0"/>
          <w:lang w:val="zh-CN" w:eastAsia="zh-CN"/>
        </w:rPr>
        <w:t>m）</w:t>
      </w:r>
      <w:r>
        <w:rPr>
          <w:rFonts w:ascii="Times New Roman" w:hAnsi="Times New Roman" w:eastAsia="黑体"/>
          <w:kern w:val="0"/>
          <w:lang w:val="zh-CN"/>
        </w:rPr>
        <w:t>石油烃</w:t>
      </w:r>
      <w:r>
        <w:rPr>
          <w:rFonts w:ascii="Times New Roman" w:hAnsi="Times New Roman" w:eastAsia="黑体"/>
          <w:kern w:val="0"/>
          <w:lang w:val="zh-CN" w:eastAsia="zh-CN"/>
        </w:rPr>
        <w:t>浓度-时间模拟结果统计表</w:t>
      </w:r>
    </w:p>
    <w:tbl>
      <w:tblPr>
        <w:tblStyle w:val="28"/>
        <w:tblW w:w="8669"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52"/>
        <w:gridCol w:w="3119"/>
        <w:gridCol w:w="2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vAlign w:val="center"/>
          </w:tcPr>
          <w:p>
            <w:pPr>
              <w:widowControl/>
              <w:spacing w:line="240" w:lineRule="auto"/>
              <w:ind w:firstLine="422" w:firstLineChars="0"/>
              <w:jc w:val="center"/>
              <w:rPr>
                <w:rFonts w:ascii="Times New Roman" w:hAnsi="Times New Roman"/>
                <w:b/>
                <w:bCs/>
                <w:kern w:val="0"/>
                <w:sz w:val="21"/>
                <w:szCs w:val="21"/>
              </w:rPr>
            </w:pPr>
            <w:r>
              <w:rPr>
                <w:rFonts w:ascii="Times New Roman" w:hAnsi="Times New Roman"/>
                <w:b/>
                <w:bCs/>
                <w:kern w:val="0"/>
                <w:sz w:val="21"/>
                <w:szCs w:val="21"/>
              </w:rPr>
              <w:t>时间</w:t>
            </w:r>
          </w:p>
        </w:tc>
        <w:tc>
          <w:tcPr>
            <w:tcW w:w="3119" w:type="dxa"/>
            <w:shd w:val="clear" w:color="auto" w:fill="auto"/>
            <w:vAlign w:val="center"/>
          </w:tcPr>
          <w:p>
            <w:pPr>
              <w:widowControl/>
              <w:spacing w:line="240" w:lineRule="auto"/>
              <w:ind w:firstLine="0" w:firstLineChars="0"/>
              <w:jc w:val="center"/>
              <w:rPr>
                <w:rFonts w:ascii="Times New Roman" w:hAnsi="Times New Roman"/>
                <w:b/>
                <w:bCs/>
                <w:kern w:val="0"/>
                <w:sz w:val="21"/>
                <w:szCs w:val="21"/>
              </w:rPr>
            </w:pPr>
            <w:r>
              <w:rPr>
                <w:rFonts w:ascii="Times New Roman" w:hAnsi="Times New Roman"/>
                <w:b/>
                <w:bCs/>
                <w:kern w:val="0"/>
                <w:sz w:val="21"/>
                <w:szCs w:val="21"/>
              </w:rPr>
              <w:t>石油烃浓度（土壤水份中，mg/L）</w:t>
            </w:r>
          </w:p>
        </w:tc>
        <w:tc>
          <w:tcPr>
            <w:tcW w:w="2998" w:type="dxa"/>
            <w:shd w:val="clear" w:color="auto" w:fill="auto"/>
            <w:vAlign w:val="center"/>
          </w:tcPr>
          <w:p>
            <w:pPr>
              <w:widowControl/>
              <w:spacing w:line="240" w:lineRule="auto"/>
              <w:ind w:firstLine="0" w:firstLineChars="0"/>
              <w:jc w:val="center"/>
              <w:rPr>
                <w:rFonts w:ascii="Times New Roman" w:hAnsi="Times New Roman"/>
                <w:b/>
                <w:bCs/>
                <w:kern w:val="0"/>
                <w:sz w:val="21"/>
                <w:szCs w:val="21"/>
              </w:rPr>
            </w:pPr>
            <w:r>
              <w:rPr>
                <w:rFonts w:ascii="Times New Roman" w:hAnsi="Times New Roman"/>
                <w:b/>
                <w:bCs/>
                <w:kern w:val="0"/>
                <w:sz w:val="21"/>
                <w:szCs w:val="21"/>
              </w:rPr>
              <w:t>石油烃含量（土壤中，mg/kg）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vAlign w:val="center"/>
          </w:tcPr>
          <w:p>
            <w:pPr>
              <w:widowControl/>
              <w:spacing w:line="240" w:lineRule="auto"/>
              <w:ind w:firstLine="0" w:firstLineChars="0"/>
              <w:jc w:val="center"/>
              <w:rPr>
                <w:rFonts w:ascii="Times New Roman" w:hAnsi="Times New Roman"/>
                <w:b/>
                <w:bCs/>
                <w:kern w:val="0"/>
                <w:sz w:val="21"/>
                <w:szCs w:val="21"/>
              </w:rPr>
            </w:pPr>
            <w:r>
              <w:rPr>
                <w:rFonts w:ascii="Times New Roman" w:hAnsi="Times New Roman"/>
                <w:b/>
                <w:bCs/>
                <w:kern w:val="0"/>
                <w:sz w:val="21"/>
                <w:szCs w:val="21"/>
              </w:rPr>
              <w:t>（从泄漏开始后第n天）</w:t>
            </w:r>
          </w:p>
        </w:tc>
        <w:tc>
          <w:tcPr>
            <w:tcW w:w="6117" w:type="dxa"/>
            <w:gridSpan w:val="2"/>
            <w:shd w:val="clear" w:color="auto" w:fill="auto"/>
            <w:noWrap/>
            <w:vAlign w:val="center"/>
          </w:tcPr>
          <w:p>
            <w:pPr>
              <w:widowControl/>
              <w:spacing w:line="240" w:lineRule="auto"/>
              <w:ind w:firstLine="0" w:firstLineChars="0"/>
              <w:jc w:val="center"/>
              <w:rPr>
                <w:rFonts w:ascii="Times New Roman" w:hAnsi="Times New Roman"/>
                <w:b/>
                <w:bCs/>
                <w:kern w:val="0"/>
                <w:sz w:val="21"/>
                <w:szCs w:val="21"/>
              </w:rPr>
            </w:pPr>
            <w:r>
              <w:rPr>
                <w:rFonts w:ascii="Times New Roman" w:hAnsi="Times New Roman"/>
                <w:b/>
                <w:bCs/>
                <w:kern w:val="0"/>
                <w:sz w:val="21"/>
                <w:szCs w:val="21"/>
              </w:rPr>
              <w:t>观测点（-2.2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365</w:t>
            </w:r>
          </w:p>
        </w:tc>
        <w:tc>
          <w:tcPr>
            <w:tcW w:w="3119"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w:t>
            </w:r>
          </w:p>
        </w:tc>
        <w:tc>
          <w:tcPr>
            <w:tcW w:w="2998"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1095</w:t>
            </w:r>
          </w:p>
        </w:tc>
        <w:tc>
          <w:tcPr>
            <w:tcW w:w="3119"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w:t>
            </w:r>
          </w:p>
        </w:tc>
        <w:tc>
          <w:tcPr>
            <w:tcW w:w="2998"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1825</w:t>
            </w:r>
          </w:p>
        </w:tc>
        <w:tc>
          <w:tcPr>
            <w:tcW w:w="3119"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w:t>
            </w:r>
          </w:p>
        </w:tc>
        <w:tc>
          <w:tcPr>
            <w:tcW w:w="2998"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1875</w:t>
            </w:r>
          </w:p>
        </w:tc>
        <w:tc>
          <w:tcPr>
            <w:tcW w:w="3119"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0.0001</w:t>
            </w:r>
          </w:p>
        </w:tc>
        <w:tc>
          <w:tcPr>
            <w:tcW w:w="2998"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3650</w:t>
            </w:r>
          </w:p>
        </w:tc>
        <w:tc>
          <w:tcPr>
            <w:tcW w:w="3119"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0.0050</w:t>
            </w:r>
          </w:p>
        </w:tc>
        <w:tc>
          <w:tcPr>
            <w:tcW w:w="2998"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4385</w:t>
            </w:r>
          </w:p>
        </w:tc>
        <w:tc>
          <w:tcPr>
            <w:tcW w:w="3119"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0.0065</w:t>
            </w:r>
          </w:p>
        </w:tc>
        <w:tc>
          <w:tcPr>
            <w:tcW w:w="2998"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0.0011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7300</w:t>
            </w:r>
          </w:p>
        </w:tc>
        <w:tc>
          <w:tcPr>
            <w:tcW w:w="3119"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0.0017</w:t>
            </w:r>
          </w:p>
        </w:tc>
        <w:tc>
          <w:tcPr>
            <w:tcW w:w="2998"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10950</w:t>
            </w:r>
          </w:p>
        </w:tc>
        <w:tc>
          <w:tcPr>
            <w:tcW w:w="3119"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0.0001</w:t>
            </w:r>
          </w:p>
        </w:tc>
        <w:tc>
          <w:tcPr>
            <w:tcW w:w="2998"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bl>
    <w:p>
      <w:pPr>
        <w:widowControl/>
        <w:wordWrap w:val="0"/>
        <w:adjustRightInd w:val="0"/>
        <w:snapToGrid w:val="0"/>
        <w:spacing w:line="240" w:lineRule="auto"/>
        <w:ind w:firstLine="0" w:firstLineChars="0"/>
        <w:jc w:val="center"/>
        <w:rPr>
          <w:rFonts w:ascii="Times New Roman" w:hAnsi="Times New Roman" w:eastAsia="黑体"/>
          <w:kern w:val="0"/>
          <w:lang w:val="zh-CN"/>
        </w:rPr>
      </w:pPr>
    </w:p>
    <w:p>
      <w:pPr>
        <w:keepNext/>
        <w:spacing w:line="240" w:lineRule="auto"/>
        <w:ind w:firstLine="0" w:firstLineChars="0"/>
        <w:jc w:val="center"/>
        <w:rPr>
          <w:rFonts w:ascii="Times New Roman" w:hAnsi="Times New Roman" w:eastAsia="仿宋"/>
          <w:kern w:val="0"/>
        </w:rPr>
      </w:pPr>
      <w:r>
        <w:rPr>
          <w:rFonts w:ascii="Times New Roman" w:hAnsi="Times New Roman" w:eastAsia="仿宋"/>
          <w:kern w:val="0"/>
        </w:rPr>
        <w:drawing>
          <wp:inline distT="0" distB="0" distL="0" distR="0">
            <wp:extent cx="4499610" cy="3576320"/>
            <wp:effectExtent l="0" t="0" r="0" b="5080"/>
            <wp:docPr id="1794601852" name="图片 1794601852" descr="D:\0、2023年\23、四川达州\3、Data&amp;Analysis\1、土壤预测\3、预测统计\1、宣兴\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601852" name="图片 1794601852" descr="D:\0、2023年\23、四川达州\3、Data&amp;Analysis\1、土壤预测\3、预测统计\1、宣兴\1-1.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4500000" cy="3576694"/>
                    </a:xfrm>
                    <a:prstGeom prst="rect">
                      <a:avLst/>
                    </a:prstGeom>
                    <a:noFill/>
                    <a:ln>
                      <a:noFill/>
                    </a:ln>
                  </pic:spPr>
                </pic:pic>
              </a:graphicData>
            </a:graphic>
          </wp:inline>
        </w:drawing>
      </w:r>
    </w:p>
    <w:p>
      <w:pPr>
        <w:widowControl/>
        <w:wordWrap w:val="0"/>
        <w:adjustRightInd w:val="0"/>
        <w:snapToGrid w:val="0"/>
        <w:spacing w:line="240" w:lineRule="auto"/>
        <w:ind w:firstLine="0" w:firstLineChars="0"/>
        <w:jc w:val="center"/>
        <w:rPr>
          <w:rFonts w:ascii="Times New Roman" w:hAnsi="Times New Roman" w:eastAsia="黑体"/>
          <w:kern w:val="0"/>
        </w:rPr>
      </w:pPr>
      <w:bookmarkStart w:id="234" w:name="_Ref119574649"/>
      <w:r>
        <w:rPr>
          <w:rFonts w:ascii="Times New Roman" w:hAnsi="Times New Roman" w:eastAsia="黑体"/>
          <w:kern w:val="0"/>
          <w:lang w:val="zh-CN" w:eastAsia="zh-CN"/>
        </w:rPr>
        <w:t xml:space="preserve">图 </w:t>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STYLEREF 1 \s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6</w:t>
      </w:r>
      <w:r>
        <w:rPr>
          <w:rFonts w:ascii="Times New Roman" w:hAnsi="Times New Roman" w:eastAsia="黑体"/>
          <w:kern w:val="0"/>
          <w:lang w:val="zh-CN" w:eastAsia="zh-CN"/>
        </w:rPr>
        <w:fldChar w:fldCharType="end"/>
      </w:r>
      <w:r>
        <w:rPr>
          <w:rFonts w:ascii="Times New Roman" w:hAnsi="Times New Roman" w:eastAsia="黑体"/>
          <w:kern w:val="0"/>
          <w:lang w:val="zh-CN" w:eastAsia="zh-CN"/>
        </w:rPr>
        <w:noBreakHyphen/>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SEQ 图 \* ARABIC \s 1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15</w:t>
      </w:r>
      <w:r>
        <w:rPr>
          <w:rFonts w:ascii="Times New Roman" w:hAnsi="Times New Roman" w:eastAsia="黑体"/>
          <w:kern w:val="0"/>
          <w:lang w:val="zh-CN" w:eastAsia="zh-CN"/>
        </w:rPr>
        <w:fldChar w:fldCharType="end"/>
      </w:r>
      <w:bookmarkEnd w:id="234"/>
      <w:r>
        <w:rPr>
          <w:rFonts w:ascii="Times New Roman" w:hAnsi="Times New Roman" w:eastAsia="黑体"/>
          <w:kern w:val="0"/>
          <w:lang w:val="zh-CN" w:eastAsia="zh-CN"/>
        </w:rPr>
        <w:t xml:space="preserve">  宣兴</w:t>
      </w:r>
      <w:r>
        <w:rPr>
          <w:rFonts w:ascii="Times New Roman" w:hAnsi="Times New Roman" w:eastAsia="黑体"/>
          <w:kern w:val="0"/>
          <w:lang w:val="zh-CN"/>
        </w:rPr>
        <w:t>1井气田水罐石油烃</w:t>
      </w:r>
      <w:r>
        <w:rPr>
          <w:rFonts w:ascii="Times New Roman" w:hAnsi="Times New Roman" w:eastAsia="黑体"/>
          <w:kern w:val="0"/>
          <w:lang w:val="zh-CN" w:eastAsia="zh-CN"/>
        </w:rPr>
        <w:t>在不同时间沿土壤垂向迁移情况图</w:t>
      </w:r>
    </w:p>
    <w:p>
      <w:pPr>
        <w:widowControl/>
        <w:wordWrap w:val="0"/>
        <w:adjustRightInd w:val="0"/>
        <w:snapToGrid w:val="0"/>
        <w:spacing w:line="240" w:lineRule="auto"/>
        <w:ind w:firstLine="0" w:firstLineChars="0"/>
        <w:jc w:val="center"/>
        <w:rPr>
          <w:rFonts w:ascii="Times New Roman" w:hAnsi="Times New Roman" w:eastAsia="黑体"/>
          <w:kern w:val="0"/>
          <w:lang w:val="zh-CN" w:eastAsia="zh-CN"/>
        </w:rPr>
      </w:pPr>
      <w:r>
        <w:rPr>
          <w:rFonts w:ascii="Times New Roman" w:hAnsi="Times New Roman" w:eastAsia="黑体"/>
          <w:kern w:val="0"/>
        </w:rPr>
        <w:drawing>
          <wp:inline distT="0" distB="0" distL="0" distR="0">
            <wp:extent cx="4499610" cy="3585210"/>
            <wp:effectExtent l="0" t="0" r="0" b="0"/>
            <wp:docPr id="2072551505" name="图片 2072551505" descr="D:\0、2023年\23、四川达州\3、Data&amp;Analysis\1、土壤预测\3、预测统计\1、宣兴\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551505" name="图片 2072551505" descr="D:\0、2023年\23、四川达州\3、Data&amp;Analysis\1、土壤预测\3、预测统计\1、宣兴\1-2.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4500000" cy="3585513"/>
                    </a:xfrm>
                    <a:prstGeom prst="rect">
                      <a:avLst/>
                    </a:prstGeom>
                    <a:noFill/>
                    <a:ln>
                      <a:noFill/>
                    </a:ln>
                  </pic:spPr>
                </pic:pic>
              </a:graphicData>
            </a:graphic>
          </wp:inline>
        </w:drawing>
      </w:r>
    </w:p>
    <w:p>
      <w:pPr>
        <w:widowControl/>
        <w:wordWrap w:val="0"/>
        <w:adjustRightInd w:val="0"/>
        <w:snapToGrid w:val="0"/>
        <w:spacing w:line="240" w:lineRule="auto"/>
        <w:ind w:firstLine="0" w:firstLineChars="0"/>
        <w:jc w:val="center"/>
        <w:rPr>
          <w:rFonts w:ascii="Times New Roman" w:hAnsi="Times New Roman" w:eastAsia="黑体"/>
          <w:kern w:val="0"/>
          <w:lang w:val="zh-CN" w:eastAsia="zh-CN"/>
        </w:rPr>
      </w:pPr>
      <w:bookmarkStart w:id="235" w:name="_Ref70698834"/>
      <w:r>
        <w:rPr>
          <w:rFonts w:ascii="Times New Roman" w:hAnsi="Times New Roman" w:eastAsia="黑体"/>
          <w:kern w:val="0"/>
          <w:lang w:val="zh-CN" w:eastAsia="zh-CN"/>
        </w:rPr>
        <w:t xml:space="preserve">图 </w:t>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STYLEREF 1 \s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6</w:t>
      </w:r>
      <w:r>
        <w:rPr>
          <w:rFonts w:ascii="Times New Roman" w:hAnsi="Times New Roman" w:eastAsia="黑体"/>
          <w:kern w:val="0"/>
          <w:lang w:val="zh-CN" w:eastAsia="zh-CN"/>
        </w:rPr>
        <w:fldChar w:fldCharType="end"/>
      </w:r>
      <w:r>
        <w:rPr>
          <w:rFonts w:ascii="Times New Roman" w:hAnsi="Times New Roman" w:eastAsia="黑体"/>
          <w:kern w:val="0"/>
          <w:lang w:val="zh-CN" w:eastAsia="zh-CN"/>
        </w:rPr>
        <w:noBreakHyphen/>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SEQ 图 \* ARABIC \s 1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16</w:t>
      </w:r>
      <w:r>
        <w:rPr>
          <w:rFonts w:ascii="Times New Roman" w:hAnsi="Times New Roman" w:eastAsia="黑体"/>
          <w:kern w:val="0"/>
          <w:lang w:val="zh-CN" w:eastAsia="zh-CN"/>
        </w:rPr>
        <w:fldChar w:fldCharType="end"/>
      </w:r>
      <w:bookmarkEnd w:id="235"/>
      <w:r>
        <w:rPr>
          <w:rFonts w:ascii="Times New Roman" w:hAnsi="Times New Roman" w:eastAsia="黑体"/>
          <w:kern w:val="0"/>
          <w:lang w:val="zh-CN" w:eastAsia="zh-CN"/>
        </w:rPr>
        <w:t xml:space="preserve">  宣兴</w:t>
      </w:r>
      <w:r>
        <w:rPr>
          <w:rFonts w:ascii="Times New Roman" w:hAnsi="Times New Roman" w:eastAsia="黑体"/>
          <w:kern w:val="0"/>
          <w:lang w:val="zh-CN"/>
        </w:rPr>
        <w:t>1井气田水罐</w:t>
      </w:r>
      <w:r>
        <w:rPr>
          <w:rFonts w:ascii="Times New Roman" w:hAnsi="Times New Roman" w:eastAsia="黑体"/>
          <w:kern w:val="0"/>
          <w:lang w:val="zh-CN" w:eastAsia="zh-CN"/>
        </w:rPr>
        <w:t>泄漏土壤</w:t>
      </w:r>
      <w:r>
        <w:rPr>
          <w:rFonts w:ascii="Times New Roman" w:hAnsi="Times New Roman" w:eastAsia="黑体"/>
          <w:kern w:val="0"/>
          <w:lang w:val="zh-CN"/>
        </w:rPr>
        <w:t>观测点石油烃</w:t>
      </w:r>
      <w:r>
        <w:rPr>
          <w:rFonts w:ascii="Times New Roman" w:hAnsi="Times New Roman" w:eastAsia="黑体"/>
          <w:kern w:val="0"/>
          <w:lang w:val="zh-CN" w:eastAsia="zh-CN"/>
        </w:rPr>
        <w:t>浓度-时间曲线</w:t>
      </w:r>
    </w:p>
    <w:p>
      <w:pPr>
        <w:ind w:firstLine="480"/>
        <w:rPr>
          <w:rFonts w:ascii="Times New Roman" w:hAnsi="Times New Roman"/>
          <w:lang w:val="zh-CN"/>
        </w:rPr>
      </w:pPr>
    </w:p>
    <w:p>
      <w:pPr>
        <w:adjustRightInd w:val="0"/>
        <w:snapToGrid w:val="0"/>
        <w:ind w:firstLine="480"/>
        <w:rPr>
          <w:rFonts w:ascii="Times New Roman" w:hAnsi="Times New Roman"/>
        </w:rPr>
      </w:pPr>
      <w:r>
        <w:rPr>
          <w:rFonts w:ascii="Times New Roman" w:hAnsi="Times New Roman"/>
        </w:rPr>
        <w:t>2）宣探1井气田水罐破损渗漏预测结果</w:t>
      </w:r>
    </w:p>
    <w:p>
      <w:pPr>
        <w:adjustRightInd w:val="0"/>
        <w:snapToGrid w:val="0"/>
        <w:ind w:firstLine="480"/>
        <w:rPr>
          <w:rFonts w:ascii="Times New Roman" w:hAnsi="Times New Roman"/>
        </w:rPr>
      </w:pPr>
      <w:r>
        <w:rPr>
          <w:rFonts w:ascii="Times New Roman" w:hAnsi="Times New Roman"/>
        </w:rPr>
        <w:t>本项目宣探1井气田水罐破损渗漏，石油烃预测结果见</w:t>
      </w:r>
      <w:r>
        <w:rPr>
          <w:rFonts w:ascii="Times New Roman" w:hAnsi="Times New Roman"/>
        </w:rPr>
        <w:fldChar w:fldCharType="begin"/>
      </w:r>
      <w:r>
        <w:rPr>
          <w:rFonts w:ascii="Times New Roman" w:hAnsi="Times New Roman"/>
        </w:rPr>
        <w:instrText xml:space="preserve"> REF _Ref69127977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31</w:t>
      </w:r>
      <w:r>
        <w:rPr>
          <w:rFonts w:ascii="Times New Roman" w:hAnsi="Times New Roman"/>
        </w:rPr>
        <w:fldChar w:fldCharType="end"/>
      </w:r>
      <w:r>
        <w:rPr>
          <w:rFonts w:ascii="Times New Roman" w:hAnsi="Times New Roman"/>
        </w:rPr>
        <w:t>。</w:t>
      </w:r>
    </w:p>
    <w:p>
      <w:pPr>
        <w:adjustRightInd w:val="0"/>
        <w:snapToGrid w:val="0"/>
        <w:ind w:firstLine="480"/>
        <w:rPr>
          <w:rFonts w:ascii="Times New Roman" w:hAnsi="Times New Roman"/>
        </w:rPr>
      </w:pPr>
      <w:r>
        <w:rPr>
          <w:rFonts w:ascii="Times New Roman" w:hAnsi="Times New Roman"/>
        </w:rPr>
        <w:t>石油烃持续入渗土壤并向下运移，不同时间在土壤中迁移的模拟结果见</w:t>
      </w:r>
      <w:r>
        <w:rPr>
          <w:rFonts w:ascii="Times New Roman" w:hAnsi="Times New Roman"/>
        </w:rPr>
        <w:fldChar w:fldCharType="begin"/>
      </w:r>
      <w:r>
        <w:rPr>
          <w:rFonts w:ascii="Times New Roman" w:hAnsi="Times New Roman"/>
        </w:rPr>
        <w:instrText xml:space="preserve"> REF _Ref119574649 \h  \* MERGEFORMAT </w:instrText>
      </w:r>
      <w:r>
        <w:rPr>
          <w:rFonts w:ascii="Times New Roman" w:hAnsi="Times New Roman"/>
        </w:rPr>
        <w:fldChar w:fldCharType="separate"/>
      </w:r>
      <w:r>
        <w:rPr>
          <w:rFonts w:ascii="Times New Roman" w:hAnsi="Times New Roman"/>
        </w:rPr>
        <w:t>图 6</w:t>
      </w:r>
      <w:r>
        <w:rPr>
          <w:rFonts w:ascii="Times New Roman" w:hAnsi="Times New Roman"/>
        </w:rPr>
        <w:noBreakHyphen/>
      </w:r>
      <w:r>
        <w:rPr>
          <w:rFonts w:ascii="Times New Roman" w:hAnsi="Times New Roman"/>
        </w:rPr>
        <w:t>15</w:t>
      </w:r>
      <w:r>
        <w:rPr>
          <w:rFonts w:ascii="Times New Roman" w:hAnsi="Times New Roman"/>
        </w:rPr>
        <w:fldChar w:fldCharType="end"/>
      </w:r>
      <w:r>
        <w:rPr>
          <w:rFonts w:ascii="Times New Roman" w:hAnsi="Times New Roman"/>
        </w:rPr>
        <w:t>。土壤底部石油烃浓度随时间变化的模拟结果见</w:t>
      </w:r>
      <w:r>
        <w:rPr>
          <w:rFonts w:ascii="Times New Roman" w:hAnsi="Times New Roman"/>
        </w:rPr>
        <w:fldChar w:fldCharType="begin"/>
      </w:r>
      <w:r>
        <w:rPr>
          <w:rFonts w:ascii="Times New Roman" w:hAnsi="Times New Roman"/>
        </w:rPr>
        <w:instrText xml:space="preserve"> REF _Ref70698834 \h  \* MERGEFORMAT </w:instrText>
      </w:r>
      <w:r>
        <w:rPr>
          <w:rFonts w:ascii="Times New Roman" w:hAnsi="Times New Roman"/>
        </w:rPr>
        <w:fldChar w:fldCharType="separate"/>
      </w:r>
      <w:r>
        <w:rPr>
          <w:rFonts w:ascii="Times New Roman" w:hAnsi="Times New Roman"/>
        </w:rPr>
        <w:t>图 6</w:t>
      </w:r>
      <w:r>
        <w:rPr>
          <w:rFonts w:ascii="Times New Roman" w:hAnsi="Times New Roman"/>
        </w:rPr>
        <w:noBreakHyphen/>
      </w:r>
      <w:r>
        <w:rPr>
          <w:rFonts w:ascii="Times New Roman" w:hAnsi="Times New Roman"/>
        </w:rPr>
        <w:t>16</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根据</w:t>
      </w:r>
      <w:r>
        <w:rPr>
          <w:rFonts w:ascii="Times New Roman" w:hAnsi="Times New Roman"/>
        </w:rPr>
        <w:fldChar w:fldCharType="begin"/>
      </w:r>
      <w:r>
        <w:rPr>
          <w:rFonts w:ascii="Times New Roman" w:hAnsi="Times New Roman"/>
        </w:rPr>
        <w:instrText xml:space="preserve"> REF _Ref119590194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31</w:t>
      </w:r>
      <w:r>
        <w:rPr>
          <w:rFonts w:ascii="Times New Roman" w:hAnsi="Times New Roman"/>
        </w:rPr>
        <w:fldChar w:fldCharType="end"/>
      </w:r>
      <w:r>
        <w:rPr>
          <w:rFonts w:ascii="Times New Roman" w:hAnsi="Times New Roman"/>
        </w:rPr>
        <w:t>可知，石油烃在土壤中随时间不断向下迁移，365天时，石油烃出现深度在-225cm（-2.25m）；730天时，石油烃出现深度在-333cm（-3.33m）；1095天时，土壤水分中石油烃浓度在0-0.0269mg/L之间；1825天时，土壤水分中石油烃浓度在0-0.0206mg/L之间；3650天时，土壤水分中石油烃浓度在0-0.0005mg/L之间；5475天时，土壤水分中石油烃已全部入渗到岩石层。</w:t>
      </w:r>
    </w:p>
    <w:p>
      <w:pPr>
        <w:adjustRightInd w:val="0"/>
        <w:snapToGrid w:val="0"/>
        <w:ind w:firstLine="480"/>
        <w:jc w:val="both"/>
        <w:rPr>
          <w:rFonts w:ascii="Times New Roman" w:hAnsi="Times New Roman"/>
        </w:rPr>
      </w:pPr>
      <w:r>
        <w:rPr>
          <w:rFonts w:ascii="Times New Roman" w:hAnsi="Times New Roman"/>
        </w:rPr>
        <w:t>由</w:t>
      </w:r>
      <w:r>
        <w:rPr>
          <w:rFonts w:ascii="Times New Roman" w:hAnsi="Times New Roman"/>
        </w:rPr>
        <w:fldChar w:fldCharType="begin"/>
      </w:r>
      <w:r>
        <w:rPr>
          <w:rFonts w:ascii="Times New Roman" w:hAnsi="Times New Roman"/>
        </w:rPr>
        <w:instrText xml:space="preserve"> REF _Ref119573813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32</w:t>
      </w:r>
      <w:r>
        <w:rPr>
          <w:rFonts w:ascii="Times New Roman" w:hAnsi="Times New Roman"/>
        </w:rPr>
        <w:fldChar w:fldCharType="end"/>
      </w:r>
      <w:r>
        <w:rPr>
          <w:rFonts w:ascii="Times New Roman" w:hAnsi="Times New Roman"/>
        </w:rPr>
        <w:t>和</w:t>
      </w:r>
      <w:r>
        <w:rPr>
          <w:rFonts w:ascii="Times New Roman" w:hAnsi="Times New Roman"/>
        </w:rPr>
        <w:fldChar w:fldCharType="begin"/>
      </w:r>
      <w:r>
        <w:rPr>
          <w:rFonts w:ascii="Times New Roman" w:hAnsi="Times New Roman"/>
        </w:rPr>
        <w:instrText xml:space="preserve"> REF _Ref70698834 \h  \* MERGEFORMAT </w:instrText>
      </w:r>
      <w:r>
        <w:rPr>
          <w:rFonts w:ascii="Times New Roman" w:hAnsi="Times New Roman"/>
        </w:rPr>
        <w:fldChar w:fldCharType="separate"/>
      </w:r>
      <w:r>
        <w:rPr>
          <w:rFonts w:ascii="Times New Roman" w:hAnsi="Times New Roman"/>
        </w:rPr>
        <w:t>图 6</w:t>
      </w:r>
      <w:r>
        <w:rPr>
          <w:rFonts w:ascii="Times New Roman" w:hAnsi="Times New Roman"/>
        </w:rPr>
        <w:noBreakHyphen/>
      </w:r>
      <w:r>
        <w:rPr>
          <w:rFonts w:ascii="Times New Roman" w:hAnsi="Times New Roman"/>
        </w:rPr>
        <w:t>16</w:t>
      </w:r>
      <w:r>
        <w:rPr>
          <w:rFonts w:ascii="Times New Roman" w:hAnsi="Times New Roman"/>
        </w:rPr>
        <w:fldChar w:fldCharType="end"/>
      </w:r>
      <w:r>
        <w:rPr>
          <w:rFonts w:ascii="Times New Roman" w:hAnsi="Times New Roman"/>
        </w:rPr>
        <w:t>土壤预测结果可知，石油烃在土壤中随时间不断向下迁移。</w:t>
      </w:r>
    </w:p>
    <w:p>
      <w:pPr>
        <w:adjustRightInd w:val="0"/>
        <w:snapToGrid w:val="0"/>
        <w:ind w:firstLine="480" w:firstLineChars="0"/>
        <w:jc w:val="both"/>
        <w:rPr>
          <w:rFonts w:ascii="Times New Roman" w:hAnsi="Times New Roman"/>
        </w:rPr>
      </w:pPr>
      <w:r>
        <w:rPr>
          <w:rFonts w:ascii="Times New Roman" w:hAnsi="Times New Roman"/>
        </w:rPr>
        <w:t>-4.5m观测点处，在事故发生的1020天出现石油烃；2065天时石油烃浓度最大，为0.0196mg/L（折算成土壤中含量为0.0033mg/kg）；5475天时石油烃浓度为0（折算成土壤中含量为0），此时石油烃全部渗入到岩石层。</w:t>
      </w:r>
    </w:p>
    <w:p>
      <w:pPr>
        <w:adjustRightInd w:val="0"/>
        <w:snapToGrid w:val="0"/>
        <w:spacing w:line="240" w:lineRule="auto"/>
        <w:ind w:firstLine="0" w:firstLineChars="0"/>
        <w:jc w:val="center"/>
        <w:outlineLvl w:val="4"/>
        <w:rPr>
          <w:rFonts w:ascii="Times New Roman" w:hAnsi="Times New Roman"/>
          <w:b/>
          <w:szCs w:val="21"/>
        </w:rPr>
      </w:pPr>
      <w:r>
        <w:rPr>
          <w:rFonts w:ascii="Times New Roman" w:hAnsi="Times New Roman"/>
          <w:b/>
          <w:szCs w:val="21"/>
        </w:rPr>
        <w:t xml:space="preserve">表 </w:t>
      </w:r>
      <w:r>
        <w:rPr>
          <w:rFonts w:ascii="Times New Roman" w:hAnsi="Times New Roman"/>
          <w:b/>
          <w:szCs w:val="21"/>
        </w:rPr>
        <w:fldChar w:fldCharType="begin"/>
      </w:r>
      <w:r>
        <w:rPr>
          <w:rFonts w:ascii="Times New Roman" w:hAnsi="Times New Roman"/>
          <w:b/>
          <w:szCs w:val="21"/>
        </w:rPr>
        <w:instrText xml:space="preserve"> STYLEREF 1 \s </w:instrText>
      </w:r>
      <w:r>
        <w:rPr>
          <w:rFonts w:ascii="Times New Roman" w:hAnsi="Times New Roman"/>
          <w:b/>
          <w:szCs w:val="21"/>
        </w:rPr>
        <w:fldChar w:fldCharType="separate"/>
      </w:r>
      <w:r>
        <w:rPr>
          <w:rFonts w:ascii="Times New Roman" w:hAnsi="Times New Roman"/>
          <w:b/>
          <w:szCs w:val="21"/>
        </w:rPr>
        <w:t>6</w:t>
      </w:r>
      <w:r>
        <w:rPr>
          <w:rFonts w:ascii="Times New Roman" w:hAnsi="Times New Roman"/>
          <w:b/>
          <w:szCs w:val="21"/>
        </w:rPr>
        <w:fldChar w:fldCharType="end"/>
      </w:r>
      <w:r>
        <w:rPr>
          <w:rFonts w:ascii="Times New Roman" w:hAnsi="Times New Roman"/>
          <w:b/>
          <w:szCs w:val="21"/>
        </w:rPr>
        <w:noBreakHyphen/>
      </w:r>
      <w:r>
        <w:rPr>
          <w:rFonts w:ascii="Times New Roman" w:hAnsi="Times New Roman"/>
          <w:b/>
          <w:szCs w:val="21"/>
        </w:rPr>
        <w:fldChar w:fldCharType="begin"/>
      </w:r>
      <w:r>
        <w:rPr>
          <w:rFonts w:ascii="Times New Roman" w:hAnsi="Times New Roman"/>
          <w:b/>
          <w:szCs w:val="21"/>
        </w:rPr>
        <w:instrText xml:space="preserve"> SEQ 表 \* ARABIC \s 1 </w:instrText>
      </w:r>
      <w:r>
        <w:rPr>
          <w:rFonts w:ascii="Times New Roman" w:hAnsi="Times New Roman"/>
          <w:b/>
          <w:szCs w:val="21"/>
        </w:rPr>
        <w:fldChar w:fldCharType="separate"/>
      </w:r>
      <w:r>
        <w:rPr>
          <w:rFonts w:ascii="Times New Roman" w:hAnsi="Times New Roman"/>
          <w:b/>
          <w:szCs w:val="21"/>
        </w:rPr>
        <w:t>33</w:t>
      </w:r>
      <w:r>
        <w:rPr>
          <w:rFonts w:ascii="Times New Roman" w:hAnsi="Times New Roman"/>
          <w:b/>
          <w:szCs w:val="21"/>
        </w:rPr>
        <w:fldChar w:fldCharType="end"/>
      </w:r>
      <w:r>
        <w:rPr>
          <w:rFonts w:ascii="Times New Roman" w:hAnsi="Times New Roman"/>
          <w:b/>
          <w:szCs w:val="21"/>
        </w:rPr>
        <w:t xml:space="preserve">  宣探1井气田水罐泄漏石油烃不同时间在土壤中迁移情况统计表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5"/>
        <w:gridCol w:w="1012"/>
        <w:gridCol w:w="1166"/>
        <w:gridCol w:w="1012"/>
        <w:gridCol w:w="1166"/>
        <w:gridCol w:w="1014"/>
        <w:gridCol w:w="12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6" w:hRule="atLeast"/>
        </w:trPr>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mc:AlternateContent>
                <mc:Choice Requires="wps">
                  <w:drawing>
                    <wp:anchor distT="0" distB="0" distL="114300" distR="114300" simplePos="0" relativeHeight="251664384" behindDoc="0" locked="0" layoutInCell="1" allowOverlap="1">
                      <wp:simplePos x="0" y="0"/>
                      <wp:positionH relativeFrom="column">
                        <wp:posOffset>229235</wp:posOffset>
                      </wp:positionH>
                      <wp:positionV relativeFrom="paragraph">
                        <wp:posOffset>10160</wp:posOffset>
                      </wp:positionV>
                      <wp:extent cx="851535" cy="774700"/>
                      <wp:effectExtent l="0" t="0" r="24765" b="25400"/>
                      <wp:wrapNone/>
                      <wp:docPr id="1789224747" name="直接连接符 1789224747"/>
                      <wp:cNvGraphicFramePr/>
                      <a:graphic xmlns:a="http://schemas.openxmlformats.org/drawingml/2006/main">
                        <a:graphicData uri="http://schemas.microsoft.com/office/word/2010/wordprocessingShape">
                          <wps:wsp>
                            <wps:cNvCnPr/>
                            <wps:spPr>
                              <a:xfrm>
                                <a:off x="0" y="0"/>
                                <a:ext cx="851535" cy="774700"/>
                              </a:xfrm>
                              <a:prstGeom prst="line">
                                <a:avLst/>
                              </a:prstGeom>
                              <a:noFill/>
                              <a:ln w="9525" cap="flat" cmpd="sng" algn="ctr">
                                <a:solidFill>
                                  <a:sysClr val="windowText" lastClr="000000"/>
                                </a:solidFill>
                                <a:prstDash val="solid"/>
                              </a:ln>
                              <a:effectLst/>
                            </wps:spPr>
                            <wps:bodyPr/>
                          </wps:wsp>
                        </a:graphicData>
                      </a:graphic>
                    </wp:anchor>
                  </w:drawing>
                </mc:Choice>
                <mc:Fallback>
                  <w:pict>
                    <v:line id="_x0000_s1026" o:spid="_x0000_s1026" o:spt="20" style="position:absolute;left:0pt;margin-left:18.05pt;margin-top:0.8pt;height:61pt;width:67.05pt;z-index:251664384;mso-width-relative:page;mso-height-relative:page;" filled="f" stroked="t" coordsize="21600,21600" o:gfxdata="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nUkAjWAAAACAEAAA8AAAAAAAAAAQAgAAAAIgAAAGRycy9kb3ducmV2LnhtbFBL&#10;AQIUABQAAAAIAIdO4kCCHDU0+AEAANIDAAAOAAAAAAAAAAEAIAAAACUBAABkcnMvZTJvRG9jLnht&#10;bFBLBQYAAAAABgAGAFkBAACPBQAAAAA=&#10;">
                      <v:fill on="f" focussize="0,0"/>
                      <v:stroke color="#000000" joinstyle="round"/>
                      <v:imagedata o:title=""/>
                      <o:lock v:ext="edit" aspectratio="f"/>
                    </v:line>
                  </w:pict>
                </mc:Fallback>
              </mc:AlternateContent>
            </w:r>
            <w:r>
              <w:rPr>
                <w:rFonts w:ascii="Times New Roman" w:hAnsi="Times New Roman"/>
                <w:sz w:val="21"/>
                <w:szCs w:val="21"/>
                <w:lang w:val="zh-CN"/>
              </w:rPr>
              <w:t xml:space="preserve">      </w:t>
            </w:r>
            <w:r>
              <w:rPr>
                <w:rFonts w:ascii="Times New Roman" w:hAnsi="Times New Roman"/>
                <w:sz w:val="21"/>
                <w:szCs w:val="21"/>
                <w:lang w:val="zh-CN" w:eastAsia="zh-CN"/>
              </w:rPr>
              <w:t>时间（d）</w:t>
            </w:r>
          </w:p>
          <w:p>
            <w:pPr>
              <w:adjustRightInd w:val="0"/>
              <w:snapToGrid w:val="0"/>
              <w:spacing w:line="160" w:lineRule="atLeast"/>
              <w:ind w:firstLine="0" w:firstLineChars="0"/>
              <w:jc w:val="center"/>
              <w:rPr>
                <w:rFonts w:ascii="Times New Roman" w:hAnsi="Times New Roman"/>
                <w:sz w:val="21"/>
                <w:szCs w:val="21"/>
                <w:lang w:val="zh-CN"/>
              </w:rPr>
            </w:pPr>
          </w:p>
          <w:p>
            <w:pPr>
              <w:adjustRightInd w:val="0"/>
              <w:snapToGrid w:val="0"/>
              <w:spacing w:line="160" w:lineRule="atLeast"/>
              <w:ind w:firstLine="0" w:firstLineChars="0"/>
              <w:rPr>
                <w:rFonts w:ascii="Times New Roman" w:hAnsi="Times New Roman"/>
                <w:sz w:val="21"/>
                <w:szCs w:val="21"/>
                <w:lang w:val="zh-CN"/>
              </w:rPr>
            </w:pPr>
            <w:r>
              <w:rPr>
                <w:rFonts w:ascii="Times New Roman" w:hAnsi="Times New Roman"/>
                <w:sz w:val="21"/>
                <w:szCs w:val="21"/>
                <w:lang w:val="zh-CN" w:eastAsia="zh-CN"/>
              </w:rPr>
              <w:t>浓度(mg/L)</w:t>
            </w:r>
          </w:p>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rPr>
              <mc:AlternateContent>
                <mc:Choice Requires="wps">
                  <w:drawing>
                    <wp:anchor distT="0" distB="0" distL="114300" distR="114300" simplePos="0" relativeHeight="251663360" behindDoc="0" locked="0" layoutInCell="1" allowOverlap="1">
                      <wp:simplePos x="0" y="0"/>
                      <wp:positionH relativeFrom="column">
                        <wp:posOffset>-55245</wp:posOffset>
                      </wp:positionH>
                      <wp:positionV relativeFrom="paragraph">
                        <wp:posOffset>3175</wp:posOffset>
                      </wp:positionV>
                      <wp:extent cx="1135380" cy="283210"/>
                      <wp:effectExtent l="0" t="0" r="26670" b="21590"/>
                      <wp:wrapNone/>
                      <wp:docPr id="581550208" name="直接连接符 581550208"/>
                      <wp:cNvGraphicFramePr/>
                      <a:graphic xmlns:a="http://schemas.openxmlformats.org/drawingml/2006/main">
                        <a:graphicData uri="http://schemas.microsoft.com/office/word/2010/wordprocessingShape">
                          <wps:wsp>
                            <wps:cNvCnPr/>
                            <wps:spPr>
                              <a:xfrm>
                                <a:off x="0" y="0"/>
                                <a:ext cx="1135380" cy="28321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id="_x0000_s1026" o:spid="_x0000_s1026" o:spt="20" style="position:absolute;left:0pt;margin-left:-4.35pt;margin-top:0.25pt;height:22.3pt;width:89.4pt;z-index:251663360;mso-width-relative:page;mso-height-relative:page;" filled="f" stroked="t" coordsize="21600,21600" o:gfxdata="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fCNLn1AAAAAYBAAAPAAAAAAAAAAEAIAAA&#10;ACIAAABkcnMvZG93bnJldi54bWxQSwECFAAUAAAACACHTuJA3SqnFxACAAAJBAAADgAAAAAAAAAB&#10;ACAAAAAjAQAAZHJzL2Uyb0RvYy54bWxQSwUGAAAAAAYABgBZAQAApQUAAAAA&#10;">
                      <v:fill on="f" focussize="0,0"/>
                      <v:stroke color="#000000" joinstyle="round"/>
                      <v:imagedata o:title=""/>
                      <o:lock v:ext="edit" aspectratio="f"/>
                    </v:line>
                  </w:pict>
                </mc:Fallback>
              </mc:AlternateContent>
            </w:r>
          </w:p>
          <w:p>
            <w:pPr>
              <w:adjustRightInd w:val="0"/>
              <w:snapToGrid w:val="0"/>
              <w:spacing w:line="160" w:lineRule="atLeast"/>
              <w:ind w:firstLine="0" w:firstLineChars="0"/>
              <w:jc w:val="center"/>
              <w:rPr>
                <w:rFonts w:ascii="Times New Roman" w:hAnsi="Times New Roman"/>
                <w:sz w:val="21"/>
                <w:szCs w:val="21"/>
                <w:lang w:val="zh-CN"/>
              </w:rPr>
            </w:pPr>
            <w:r>
              <w:rPr>
                <w:rFonts w:ascii="Times New Roman" w:hAnsi="Times New Roman"/>
                <w:sz w:val="21"/>
                <w:szCs w:val="21"/>
                <w:lang w:val="zh-CN" w:eastAsia="zh-CN"/>
              </w:rPr>
              <w:t>深度（cm）</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365</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730</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1095</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1825</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3650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5475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-4.5</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0.0006</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-9</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0.0015</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0.0001</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-27</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0.0088</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0.0006</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0.0001</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-54</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0.0314</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0.0030</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0.0003</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-81</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0.0499</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0.0092</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0.0012</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-108</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0.0423</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0.0194</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0.0034</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0.0001</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-135</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0.0204</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0.0298</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0.0077</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0.0002</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-162</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0.0059</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0.0339</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0.0140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0.0006</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-189</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0.0292</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0.0210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0.0014</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-216</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0.0001</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0.0192</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0.0261</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0.0028</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-225</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0.0001</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0.0157</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0.0269</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0.0035</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-252</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0.0073</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0.0261</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0.0062</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-279</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0.0026</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0.0212</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0.0098</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-306</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0.0007</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0.0144</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0.0139</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-333</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0.0002</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0.0082</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0.0177</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-360</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0.0040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0.0201</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0.0001</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-387</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0.0016</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0.0206</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0.0002</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-414</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0.0006</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0.0190</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0.0003</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-441</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0.0002</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0.0165</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0.0005</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-450</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59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0.0002</w:t>
            </w:r>
          </w:p>
        </w:tc>
        <w:tc>
          <w:tcPr>
            <w:tcW w:w="684"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0.0162</w:t>
            </w:r>
          </w:p>
        </w:tc>
        <w:tc>
          <w:tcPr>
            <w:tcW w:w="595"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0.0005</w:t>
            </w:r>
          </w:p>
        </w:tc>
        <w:tc>
          <w:tcPr>
            <w:tcW w:w="737" w:type="pct"/>
            <w:shd w:val="clear" w:color="auto" w:fill="auto"/>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0.0000002</w:t>
            </w:r>
          </w:p>
        </w:tc>
      </w:tr>
    </w:tbl>
    <w:p>
      <w:pPr>
        <w:topLinePunct/>
        <w:spacing w:line="480" w:lineRule="exact"/>
        <w:ind w:firstLine="560"/>
        <w:jc w:val="both"/>
        <w:rPr>
          <w:rFonts w:ascii="Times New Roman" w:hAnsi="Times New Roman" w:eastAsia="仿宋"/>
          <w:sz w:val="28"/>
        </w:rPr>
      </w:pPr>
    </w:p>
    <w:p>
      <w:pPr>
        <w:widowControl/>
        <w:wordWrap w:val="0"/>
        <w:adjustRightInd w:val="0"/>
        <w:snapToGrid w:val="0"/>
        <w:spacing w:line="240" w:lineRule="auto"/>
        <w:ind w:firstLine="0" w:firstLineChars="0"/>
        <w:jc w:val="center"/>
        <w:rPr>
          <w:rFonts w:ascii="Times New Roman" w:hAnsi="Times New Roman" w:eastAsia="黑体"/>
          <w:kern w:val="0"/>
          <w:lang w:val="zh-CN"/>
        </w:rPr>
      </w:pPr>
      <w:r>
        <w:rPr>
          <w:rFonts w:ascii="Times New Roman" w:hAnsi="Times New Roman" w:eastAsia="黑体"/>
          <w:kern w:val="0"/>
          <w:lang w:val="zh-CN" w:eastAsia="zh-CN"/>
        </w:rPr>
        <w:t xml:space="preserve">表 </w:t>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STYLEREF 1 \s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6</w:t>
      </w:r>
      <w:r>
        <w:rPr>
          <w:rFonts w:ascii="Times New Roman" w:hAnsi="Times New Roman" w:eastAsia="黑体"/>
          <w:kern w:val="0"/>
          <w:lang w:val="zh-CN" w:eastAsia="zh-CN"/>
        </w:rPr>
        <w:fldChar w:fldCharType="end"/>
      </w:r>
      <w:r>
        <w:rPr>
          <w:rFonts w:ascii="Times New Roman" w:hAnsi="Times New Roman" w:eastAsia="黑体"/>
          <w:kern w:val="0"/>
          <w:lang w:val="zh-CN" w:eastAsia="zh-CN"/>
        </w:rPr>
        <w:noBreakHyphen/>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SEQ 表 \* ARABIC \s 1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34</w:t>
      </w:r>
      <w:r>
        <w:rPr>
          <w:rFonts w:ascii="Times New Roman" w:hAnsi="Times New Roman" w:eastAsia="黑体"/>
          <w:kern w:val="0"/>
          <w:lang w:val="zh-CN" w:eastAsia="zh-CN"/>
        </w:rPr>
        <w:fldChar w:fldCharType="end"/>
      </w:r>
      <w:r>
        <w:rPr>
          <w:rFonts w:ascii="Times New Roman" w:hAnsi="Times New Roman" w:eastAsia="黑体"/>
          <w:kern w:val="0"/>
          <w:lang w:val="zh-CN" w:eastAsia="zh-CN"/>
        </w:rPr>
        <w:t xml:space="preserve">   土壤观测点（-</w:t>
      </w:r>
      <w:r>
        <w:rPr>
          <w:rFonts w:ascii="Times New Roman" w:hAnsi="Times New Roman" w:eastAsia="黑体"/>
          <w:kern w:val="0"/>
          <w:lang w:val="zh-CN"/>
        </w:rPr>
        <w:t>4.5</w:t>
      </w:r>
      <w:r>
        <w:rPr>
          <w:rFonts w:ascii="Times New Roman" w:hAnsi="Times New Roman" w:eastAsia="黑体"/>
          <w:kern w:val="0"/>
          <w:lang w:val="zh-CN" w:eastAsia="zh-CN"/>
        </w:rPr>
        <w:t>m）</w:t>
      </w:r>
      <w:r>
        <w:rPr>
          <w:rFonts w:ascii="Times New Roman" w:hAnsi="Times New Roman" w:eastAsia="黑体"/>
          <w:kern w:val="0"/>
          <w:lang w:val="zh-CN"/>
        </w:rPr>
        <w:t>石油烃</w:t>
      </w:r>
      <w:r>
        <w:rPr>
          <w:rFonts w:ascii="Times New Roman" w:hAnsi="Times New Roman" w:eastAsia="黑体"/>
          <w:kern w:val="0"/>
          <w:lang w:val="zh-CN" w:eastAsia="zh-CN"/>
        </w:rPr>
        <w:t>浓度-时间模拟结果统计表</w:t>
      </w:r>
    </w:p>
    <w:tbl>
      <w:tblPr>
        <w:tblStyle w:val="28"/>
        <w:tblW w:w="8669"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52"/>
        <w:gridCol w:w="3119"/>
        <w:gridCol w:w="2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vAlign w:val="center"/>
          </w:tcPr>
          <w:p>
            <w:pPr>
              <w:widowControl/>
              <w:spacing w:line="240" w:lineRule="auto"/>
              <w:ind w:firstLine="422" w:firstLineChars="0"/>
              <w:jc w:val="center"/>
              <w:rPr>
                <w:rFonts w:ascii="Times New Roman" w:hAnsi="Times New Roman"/>
                <w:b/>
                <w:bCs/>
                <w:kern w:val="0"/>
                <w:sz w:val="21"/>
                <w:szCs w:val="21"/>
              </w:rPr>
            </w:pPr>
            <w:r>
              <w:rPr>
                <w:rFonts w:ascii="Times New Roman" w:hAnsi="Times New Roman"/>
                <w:b/>
                <w:bCs/>
                <w:kern w:val="0"/>
                <w:sz w:val="21"/>
                <w:szCs w:val="21"/>
              </w:rPr>
              <w:t>时间</w:t>
            </w:r>
          </w:p>
        </w:tc>
        <w:tc>
          <w:tcPr>
            <w:tcW w:w="3119" w:type="dxa"/>
            <w:shd w:val="clear" w:color="auto" w:fill="auto"/>
            <w:vAlign w:val="center"/>
          </w:tcPr>
          <w:p>
            <w:pPr>
              <w:widowControl/>
              <w:spacing w:line="240" w:lineRule="auto"/>
              <w:ind w:firstLine="0" w:firstLineChars="0"/>
              <w:jc w:val="center"/>
              <w:rPr>
                <w:rFonts w:ascii="Times New Roman" w:hAnsi="Times New Roman"/>
                <w:b/>
                <w:bCs/>
                <w:kern w:val="0"/>
                <w:sz w:val="21"/>
                <w:szCs w:val="21"/>
              </w:rPr>
            </w:pPr>
            <w:r>
              <w:rPr>
                <w:rFonts w:ascii="Times New Roman" w:hAnsi="Times New Roman"/>
                <w:b/>
                <w:bCs/>
                <w:kern w:val="0"/>
                <w:sz w:val="21"/>
                <w:szCs w:val="21"/>
              </w:rPr>
              <w:t>石油烃浓度（土壤水份中，mg/L）</w:t>
            </w:r>
          </w:p>
        </w:tc>
        <w:tc>
          <w:tcPr>
            <w:tcW w:w="2998" w:type="dxa"/>
            <w:shd w:val="clear" w:color="auto" w:fill="auto"/>
            <w:vAlign w:val="center"/>
          </w:tcPr>
          <w:p>
            <w:pPr>
              <w:widowControl/>
              <w:spacing w:line="240" w:lineRule="auto"/>
              <w:ind w:firstLine="0" w:firstLineChars="0"/>
              <w:jc w:val="center"/>
              <w:rPr>
                <w:rFonts w:ascii="Times New Roman" w:hAnsi="Times New Roman"/>
                <w:b/>
                <w:bCs/>
                <w:kern w:val="0"/>
                <w:sz w:val="21"/>
                <w:szCs w:val="21"/>
              </w:rPr>
            </w:pPr>
            <w:r>
              <w:rPr>
                <w:rFonts w:ascii="Times New Roman" w:hAnsi="Times New Roman"/>
                <w:b/>
                <w:bCs/>
                <w:kern w:val="0"/>
                <w:sz w:val="21"/>
                <w:szCs w:val="21"/>
              </w:rPr>
              <w:t>石油烃含量（土壤中，mg/kg）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vAlign w:val="center"/>
          </w:tcPr>
          <w:p>
            <w:pPr>
              <w:widowControl/>
              <w:spacing w:line="240" w:lineRule="auto"/>
              <w:ind w:firstLine="0" w:firstLineChars="0"/>
              <w:jc w:val="center"/>
              <w:rPr>
                <w:rFonts w:ascii="Times New Roman" w:hAnsi="Times New Roman"/>
                <w:b/>
                <w:bCs/>
                <w:kern w:val="0"/>
                <w:sz w:val="21"/>
                <w:szCs w:val="21"/>
              </w:rPr>
            </w:pPr>
            <w:r>
              <w:rPr>
                <w:rFonts w:ascii="Times New Roman" w:hAnsi="Times New Roman"/>
                <w:b/>
                <w:bCs/>
                <w:kern w:val="0"/>
                <w:sz w:val="21"/>
                <w:szCs w:val="21"/>
              </w:rPr>
              <w:t>（从泄漏开始后第n天）</w:t>
            </w:r>
          </w:p>
        </w:tc>
        <w:tc>
          <w:tcPr>
            <w:tcW w:w="6117" w:type="dxa"/>
            <w:gridSpan w:val="2"/>
            <w:shd w:val="clear" w:color="auto" w:fill="auto"/>
            <w:noWrap/>
            <w:vAlign w:val="center"/>
          </w:tcPr>
          <w:p>
            <w:pPr>
              <w:widowControl/>
              <w:spacing w:line="240" w:lineRule="auto"/>
              <w:ind w:firstLine="0" w:firstLineChars="0"/>
              <w:jc w:val="center"/>
              <w:rPr>
                <w:rFonts w:ascii="Times New Roman" w:hAnsi="Times New Roman"/>
                <w:b/>
                <w:bCs/>
                <w:kern w:val="0"/>
                <w:sz w:val="21"/>
                <w:szCs w:val="21"/>
              </w:rPr>
            </w:pPr>
            <w:r>
              <w:rPr>
                <w:rFonts w:ascii="Times New Roman" w:hAnsi="Times New Roman"/>
                <w:b/>
                <w:bCs/>
                <w:kern w:val="0"/>
                <w:sz w:val="21"/>
                <w:szCs w:val="21"/>
              </w:rPr>
              <w:t>观测点（-4.5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365</w:t>
            </w:r>
          </w:p>
        </w:tc>
        <w:tc>
          <w:tcPr>
            <w:tcW w:w="3119"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w:t>
            </w:r>
          </w:p>
        </w:tc>
        <w:tc>
          <w:tcPr>
            <w:tcW w:w="2998"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730</w:t>
            </w:r>
          </w:p>
        </w:tc>
        <w:tc>
          <w:tcPr>
            <w:tcW w:w="3119"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w:t>
            </w:r>
          </w:p>
        </w:tc>
        <w:tc>
          <w:tcPr>
            <w:tcW w:w="2998"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1020</w:t>
            </w:r>
          </w:p>
        </w:tc>
        <w:tc>
          <w:tcPr>
            <w:tcW w:w="3119"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0.0001</w:t>
            </w:r>
          </w:p>
        </w:tc>
        <w:tc>
          <w:tcPr>
            <w:tcW w:w="2998"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1095</w:t>
            </w:r>
          </w:p>
        </w:tc>
        <w:tc>
          <w:tcPr>
            <w:tcW w:w="3119"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0.0002</w:t>
            </w:r>
          </w:p>
        </w:tc>
        <w:tc>
          <w:tcPr>
            <w:tcW w:w="2998"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1825</w:t>
            </w:r>
          </w:p>
        </w:tc>
        <w:tc>
          <w:tcPr>
            <w:tcW w:w="3119"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0.0162</w:t>
            </w:r>
          </w:p>
        </w:tc>
        <w:tc>
          <w:tcPr>
            <w:tcW w:w="2998"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0.0027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2065</w:t>
            </w:r>
          </w:p>
        </w:tc>
        <w:tc>
          <w:tcPr>
            <w:tcW w:w="3119"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0.0196</w:t>
            </w:r>
          </w:p>
        </w:tc>
        <w:tc>
          <w:tcPr>
            <w:tcW w:w="2998"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0.0033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3650</w:t>
            </w:r>
          </w:p>
        </w:tc>
        <w:tc>
          <w:tcPr>
            <w:tcW w:w="3119"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0.0005</w:t>
            </w:r>
          </w:p>
        </w:tc>
        <w:tc>
          <w:tcPr>
            <w:tcW w:w="2998"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1"/>
                <w:szCs w:val="21"/>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52"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5475</w:t>
            </w:r>
          </w:p>
        </w:tc>
        <w:tc>
          <w:tcPr>
            <w:tcW w:w="3119"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c>
          <w:tcPr>
            <w:tcW w:w="2998" w:type="dxa"/>
            <w:shd w:val="clear" w:color="auto" w:fill="auto"/>
            <w:noWrap/>
            <w:vAlign w:val="center"/>
          </w:tcPr>
          <w:p>
            <w:pPr>
              <w:adjustRightInd w:val="0"/>
              <w:snapToGrid w:val="0"/>
              <w:spacing w:line="160" w:lineRule="atLeast"/>
              <w:ind w:firstLine="0" w:firstLineChars="0"/>
              <w:jc w:val="center"/>
              <w:rPr>
                <w:rFonts w:ascii="Times New Roman" w:hAnsi="Times New Roman"/>
                <w:sz w:val="21"/>
                <w:szCs w:val="21"/>
                <w:lang w:val="zh-CN" w:eastAsia="zh-CN"/>
              </w:rPr>
            </w:pPr>
            <w:r>
              <w:rPr>
                <w:rFonts w:ascii="Times New Roman" w:hAnsi="Times New Roman"/>
                <w:sz w:val="22"/>
                <w:szCs w:val="22"/>
              </w:rPr>
              <w:t>0</w:t>
            </w:r>
          </w:p>
        </w:tc>
      </w:tr>
    </w:tbl>
    <w:p>
      <w:pPr>
        <w:widowControl/>
        <w:wordWrap w:val="0"/>
        <w:adjustRightInd w:val="0"/>
        <w:snapToGrid w:val="0"/>
        <w:spacing w:line="240" w:lineRule="auto"/>
        <w:ind w:firstLine="0" w:firstLineChars="0"/>
        <w:jc w:val="center"/>
        <w:rPr>
          <w:rFonts w:ascii="Times New Roman" w:hAnsi="Times New Roman" w:eastAsia="黑体"/>
          <w:kern w:val="0"/>
          <w:lang w:val="zh-CN"/>
        </w:rPr>
      </w:pPr>
    </w:p>
    <w:p>
      <w:pPr>
        <w:widowControl/>
        <w:wordWrap w:val="0"/>
        <w:adjustRightInd w:val="0"/>
        <w:snapToGrid w:val="0"/>
        <w:spacing w:line="240" w:lineRule="auto"/>
        <w:ind w:firstLine="0" w:firstLineChars="0"/>
        <w:jc w:val="center"/>
        <w:rPr>
          <w:rFonts w:ascii="Times New Roman" w:hAnsi="Times New Roman" w:eastAsia="黑体"/>
          <w:kern w:val="0"/>
          <w:lang w:val="zh-CN"/>
        </w:rPr>
      </w:pPr>
    </w:p>
    <w:p>
      <w:pPr>
        <w:widowControl/>
        <w:wordWrap w:val="0"/>
        <w:adjustRightInd w:val="0"/>
        <w:snapToGrid w:val="0"/>
        <w:spacing w:line="240" w:lineRule="auto"/>
        <w:ind w:firstLine="0" w:firstLineChars="0"/>
        <w:jc w:val="center"/>
        <w:rPr>
          <w:rFonts w:ascii="Times New Roman" w:hAnsi="Times New Roman" w:eastAsia="黑体"/>
          <w:kern w:val="0"/>
          <w:lang w:val="zh-CN"/>
        </w:rPr>
      </w:pPr>
      <w:r>
        <w:rPr>
          <w:rFonts w:ascii="Times New Roman" w:hAnsi="Times New Roman" w:eastAsia="黑体"/>
          <w:kern w:val="0"/>
        </w:rPr>
        <w:drawing>
          <wp:inline distT="0" distB="0" distL="0" distR="0">
            <wp:extent cx="4678680" cy="3862705"/>
            <wp:effectExtent l="0" t="0" r="7620" b="4445"/>
            <wp:docPr id="581550211" name="图片 581550211" descr="D:\0、2023年\23、四川达州\3、Data&amp;Analysis\1、土壤预测\3、预测统计\2、宣探\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550211" name="图片 581550211" descr="D:\0、2023年\23、四川达州\3、Data&amp;Analysis\1、土壤预测\3、预测统计\2、宣探\2-1.jpg"/>
                    <pic:cNvPicPr>
                      <a:picLocks noChangeAspect="1" noChangeArrowheads="1"/>
                    </pic:cNvPicPr>
                  </pic:nvPicPr>
                  <pic:blipFill>
                    <a:blip r:embed="rId138">
                      <a:extLst>
                        <a:ext uri="{28A0092B-C50C-407E-A947-70E740481C1C}">
                          <a14:useLocalDpi xmlns:a14="http://schemas.microsoft.com/office/drawing/2010/main" val="0"/>
                        </a:ext>
                      </a:extLst>
                    </a:blip>
                    <a:srcRect l="835"/>
                    <a:stretch>
                      <a:fillRect/>
                    </a:stretch>
                  </pic:blipFill>
                  <pic:spPr>
                    <a:xfrm>
                      <a:off x="0" y="0"/>
                      <a:ext cx="4686536" cy="3869311"/>
                    </a:xfrm>
                    <a:prstGeom prst="rect">
                      <a:avLst/>
                    </a:prstGeom>
                    <a:noFill/>
                    <a:ln>
                      <a:noFill/>
                    </a:ln>
                  </pic:spPr>
                </pic:pic>
              </a:graphicData>
            </a:graphic>
          </wp:inline>
        </w:drawing>
      </w:r>
    </w:p>
    <w:p>
      <w:pPr>
        <w:widowControl/>
        <w:wordWrap w:val="0"/>
        <w:adjustRightInd w:val="0"/>
        <w:snapToGrid w:val="0"/>
        <w:spacing w:line="240" w:lineRule="auto"/>
        <w:ind w:firstLine="0" w:firstLineChars="0"/>
        <w:jc w:val="center"/>
        <w:rPr>
          <w:rFonts w:ascii="Times New Roman" w:hAnsi="Times New Roman" w:eastAsia="黑体"/>
          <w:kern w:val="0"/>
        </w:rPr>
      </w:pPr>
      <w:r>
        <w:rPr>
          <w:rFonts w:ascii="Times New Roman" w:hAnsi="Times New Roman" w:eastAsia="黑体"/>
          <w:kern w:val="0"/>
          <w:lang w:val="zh-CN" w:eastAsia="zh-CN"/>
        </w:rPr>
        <w:t xml:space="preserve">图 </w:t>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STYLEREF 1 \s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6</w:t>
      </w:r>
      <w:r>
        <w:rPr>
          <w:rFonts w:ascii="Times New Roman" w:hAnsi="Times New Roman" w:eastAsia="黑体"/>
          <w:kern w:val="0"/>
          <w:lang w:val="zh-CN" w:eastAsia="zh-CN"/>
        </w:rPr>
        <w:fldChar w:fldCharType="end"/>
      </w:r>
      <w:r>
        <w:rPr>
          <w:rFonts w:ascii="Times New Roman" w:hAnsi="Times New Roman" w:eastAsia="黑体"/>
          <w:kern w:val="0"/>
          <w:lang w:val="zh-CN" w:eastAsia="zh-CN"/>
        </w:rPr>
        <w:noBreakHyphen/>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SEQ 图 \* ARABIC \s 1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17</w:t>
      </w:r>
      <w:r>
        <w:rPr>
          <w:rFonts w:ascii="Times New Roman" w:hAnsi="Times New Roman" w:eastAsia="黑体"/>
          <w:kern w:val="0"/>
          <w:lang w:val="zh-CN" w:eastAsia="zh-CN"/>
        </w:rPr>
        <w:fldChar w:fldCharType="end"/>
      </w:r>
      <w:r>
        <w:rPr>
          <w:rFonts w:ascii="Times New Roman" w:hAnsi="Times New Roman" w:eastAsia="黑体"/>
          <w:kern w:val="0"/>
          <w:lang w:val="zh-CN" w:eastAsia="zh-CN"/>
        </w:rPr>
        <w:t xml:space="preserve">   宣</w:t>
      </w:r>
      <w:r>
        <w:rPr>
          <w:rFonts w:ascii="Times New Roman" w:hAnsi="Times New Roman" w:eastAsia="黑体"/>
          <w:kern w:val="0"/>
          <w:lang w:val="zh-CN"/>
        </w:rPr>
        <w:t>探1井气田水罐石油烃</w:t>
      </w:r>
      <w:r>
        <w:rPr>
          <w:rFonts w:ascii="Times New Roman" w:hAnsi="Times New Roman" w:eastAsia="黑体"/>
          <w:kern w:val="0"/>
          <w:lang w:val="zh-CN" w:eastAsia="zh-CN"/>
        </w:rPr>
        <w:t>在不同时间沿土壤垂向迁移情况图</w:t>
      </w:r>
    </w:p>
    <w:p>
      <w:pPr>
        <w:widowControl/>
        <w:wordWrap w:val="0"/>
        <w:adjustRightInd w:val="0"/>
        <w:snapToGrid w:val="0"/>
        <w:spacing w:line="240" w:lineRule="auto"/>
        <w:ind w:firstLine="0" w:firstLineChars="0"/>
        <w:jc w:val="center"/>
        <w:rPr>
          <w:rFonts w:ascii="Times New Roman" w:hAnsi="Times New Roman" w:eastAsia="黑体"/>
          <w:kern w:val="0"/>
          <w:lang w:val="zh-CN" w:eastAsia="zh-CN"/>
        </w:rPr>
      </w:pPr>
      <w:r>
        <w:rPr>
          <w:rFonts w:ascii="Times New Roman" w:hAnsi="Times New Roman" w:eastAsia="黑体"/>
          <w:kern w:val="0"/>
        </w:rPr>
        <w:drawing>
          <wp:inline distT="0" distB="0" distL="0" distR="0">
            <wp:extent cx="4718685" cy="3726180"/>
            <wp:effectExtent l="0" t="0" r="5715" b="7620"/>
            <wp:docPr id="581550212" name="图片 581550212" descr="D:\0、2023年\23、四川达州\3、Data&amp;Analysis\1、土壤预测\3、预测统计\2、宣探\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550212" name="图片 581550212" descr="D:\0、2023年\23、四川达州\3、Data&amp;Analysis\1、土壤预测\3、预测统计\2、宣探\2-2.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4719198" cy="3726180"/>
                    </a:xfrm>
                    <a:prstGeom prst="rect">
                      <a:avLst/>
                    </a:prstGeom>
                    <a:noFill/>
                    <a:ln>
                      <a:noFill/>
                    </a:ln>
                  </pic:spPr>
                </pic:pic>
              </a:graphicData>
            </a:graphic>
          </wp:inline>
        </w:drawing>
      </w:r>
    </w:p>
    <w:p>
      <w:pPr>
        <w:widowControl/>
        <w:wordWrap w:val="0"/>
        <w:adjustRightInd w:val="0"/>
        <w:snapToGrid w:val="0"/>
        <w:spacing w:line="240" w:lineRule="auto"/>
        <w:ind w:firstLine="0" w:firstLineChars="0"/>
        <w:jc w:val="center"/>
        <w:rPr>
          <w:rFonts w:ascii="Times New Roman" w:hAnsi="Times New Roman" w:eastAsia="黑体"/>
          <w:kern w:val="0"/>
          <w:lang w:val="zh-CN" w:eastAsia="zh-CN"/>
        </w:rPr>
      </w:pPr>
      <w:r>
        <w:rPr>
          <w:rFonts w:ascii="Times New Roman" w:hAnsi="Times New Roman" w:eastAsia="黑体"/>
          <w:kern w:val="0"/>
          <w:lang w:val="zh-CN" w:eastAsia="zh-CN"/>
        </w:rPr>
        <w:t xml:space="preserve">图 </w:t>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STYLEREF 1 \s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6</w:t>
      </w:r>
      <w:r>
        <w:rPr>
          <w:rFonts w:ascii="Times New Roman" w:hAnsi="Times New Roman" w:eastAsia="黑体"/>
          <w:kern w:val="0"/>
          <w:lang w:val="zh-CN" w:eastAsia="zh-CN"/>
        </w:rPr>
        <w:fldChar w:fldCharType="end"/>
      </w:r>
      <w:r>
        <w:rPr>
          <w:rFonts w:ascii="Times New Roman" w:hAnsi="Times New Roman" w:eastAsia="黑体"/>
          <w:kern w:val="0"/>
          <w:lang w:val="zh-CN" w:eastAsia="zh-CN"/>
        </w:rPr>
        <w:noBreakHyphen/>
      </w:r>
      <w:r>
        <w:rPr>
          <w:rFonts w:ascii="Times New Roman" w:hAnsi="Times New Roman" w:eastAsia="黑体"/>
          <w:kern w:val="0"/>
          <w:lang w:val="zh-CN" w:eastAsia="zh-CN"/>
        </w:rPr>
        <w:fldChar w:fldCharType="begin"/>
      </w:r>
      <w:r>
        <w:rPr>
          <w:rFonts w:ascii="Times New Roman" w:hAnsi="Times New Roman" w:eastAsia="黑体"/>
          <w:kern w:val="0"/>
          <w:lang w:val="zh-CN" w:eastAsia="zh-CN"/>
        </w:rPr>
        <w:instrText xml:space="preserve"> SEQ 图 \* ARABIC \s 1 </w:instrText>
      </w:r>
      <w:r>
        <w:rPr>
          <w:rFonts w:ascii="Times New Roman" w:hAnsi="Times New Roman" w:eastAsia="黑体"/>
          <w:kern w:val="0"/>
          <w:lang w:val="zh-CN" w:eastAsia="zh-CN"/>
        </w:rPr>
        <w:fldChar w:fldCharType="separate"/>
      </w:r>
      <w:r>
        <w:rPr>
          <w:rFonts w:ascii="Times New Roman" w:hAnsi="Times New Roman" w:eastAsia="黑体"/>
          <w:kern w:val="0"/>
          <w:lang w:val="zh-CN" w:eastAsia="zh-CN"/>
        </w:rPr>
        <w:t>18</w:t>
      </w:r>
      <w:r>
        <w:rPr>
          <w:rFonts w:ascii="Times New Roman" w:hAnsi="Times New Roman" w:eastAsia="黑体"/>
          <w:kern w:val="0"/>
          <w:lang w:val="zh-CN" w:eastAsia="zh-CN"/>
        </w:rPr>
        <w:fldChar w:fldCharType="end"/>
      </w:r>
      <w:r>
        <w:rPr>
          <w:rFonts w:ascii="Times New Roman" w:hAnsi="Times New Roman" w:eastAsia="黑体"/>
          <w:kern w:val="0"/>
          <w:lang w:val="zh-CN" w:eastAsia="zh-CN"/>
        </w:rPr>
        <w:t xml:space="preserve">   宣</w:t>
      </w:r>
      <w:r>
        <w:rPr>
          <w:rFonts w:ascii="Times New Roman" w:hAnsi="Times New Roman" w:eastAsia="黑体"/>
          <w:kern w:val="0"/>
          <w:lang w:val="zh-CN"/>
        </w:rPr>
        <w:t>探1井气田水罐</w:t>
      </w:r>
      <w:r>
        <w:rPr>
          <w:rFonts w:ascii="Times New Roman" w:hAnsi="Times New Roman" w:eastAsia="黑体"/>
          <w:kern w:val="0"/>
          <w:lang w:val="zh-CN" w:eastAsia="zh-CN"/>
        </w:rPr>
        <w:t>泄漏土壤</w:t>
      </w:r>
      <w:r>
        <w:rPr>
          <w:rFonts w:ascii="Times New Roman" w:hAnsi="Times New Roman" w:eastAsia="黑体"/>
          <w:kern w:val="0"/>
          <w:lang w:val="zh-CN"/>
        </w:rPr>
        <w:t>观测点石油烃</w:t>
      </w:r>
      <w:r>
        <w:rPr>
          <w:rFonts w:ascii="Times New Roman" w:hAnsi="Times New Roman" w:eastAsia="黑体"/>
          <w:kern w:val="0"/>
          <w:lang w:val="zh-CN" w:eastAsia="zh-CN"/>
        </w:rPr>
        <w:t>浓度-时间曲线</w:t>
      </w:r>
    </w:p>
    <w:p>
      <w:pPr>
        <w:ind w:firstLine="480"/>
        <w:rPr>
          <w:rFonts w:ascii="Times New Roman" w:hAnsi="Times New Roman"/>
          <w:lang w:val="zh-CN"/>
        </w:rPr>
      </w:pPr>
    </w:p>
    <w:p>
      <w:pPr>
        <w:pStyle w:val="5"/>
        <w:rPr>
          <w:rFonts w:ascii="Times New Roman" w:hAnsi="Times New Roman"/>
        </w:rPr>
      </w:pPr>
      <w:r>
        <w:rPr>
          <w:rFonts w:ascii="Times New Roman" w:hAnsi="Times New Roman"/>
        </w:rPr>
        <w:t>事故状况对土壤环境影响分析</w:t>
      </w:r>
    </w:p>
    <w:p>
      <w:pPr>
        <w:ind w:firstLine="480"/>
        <w:rPr>
          <w:rFonts w:ascii="Times New Roman" w:hAnsi="Times New Roman"/>
        </w:rPr>
      </w:pPr>
      <w:r>
        <w:rPr>
          <w:rFonts w:ascii="Times New Roman" w:hAnsi="Times New Roman"/>
        </w:rPr>
        <w:t>项目运营期间，若发生风险事故，油品泄漏，若发生火灾爆炸事故，会产生大量的被污染的消防水，如果泄漏的油品或被污染的消防水等有毒有害液体物料未被及时收集的情况下，泄漏物料一旦进入土壤可能对周围土壤造成污染，破坏土壤的结构，增加土壤中石油类污染物，对土壤环境造成局部斑块状的影响。</w:t>
      </w:r>
    </w:p>
    <w:p>
      <w:pPr>
        <w:ind w:firstLine="480"/>
        <w:rPr>
          <w:rFonts w:ascii="Times New Roman" w:hAnsi="Times New Roman"/>
        </w:rPr>
      </w:pPr>
      <w:r>
        <w:rPr>
          <w:rFonts w:ascii="Times New Roman" w:hAnsi="Times New Roman"/>
        </w:rPr>
        <w:t>但考虑到风险事故后，能够及时对泄漏的油品和消防污水进行收集和处置，也能够及时有效的对泄漏油品进行处置，减少油品在地面停留的时间，切断油品渗入土壤从而降低通过垂直入渗影响土壤的风险。另外对受污染的表层土需及时清理，进行相应的处置。</w:t>
      </w:r>
    </w:p>
    <w:p>
      <w:pPr>
        <w:pStyle w:val="3"/>
        <w:rPr>
          <w:rFonts w:ascii="Times New Roman" w:hAnsi="Times New Roman" w:cs="Times New Roman"/>
        </w:rPr>
      </w:pPr>
      <w:bookmarkStart w:id="236" w:name="_Toc162339428"/>
      <w:r>
        <w:rPr>
          <w:rFonts w:ascii="Times New Roman" w:hAnsi="Times New Roman" w:cs="Times New Roman"/>
        </w:rPr>
        <w:t>生态环境</w:t>
      </w:r>
      <w:bookmarkEnd w:id="236"/>
    </w:p>
    <w:p>
      <w:pPr>
        <w:pStyle w:val="4"/>
        <w:rPr>
          <w:rFonts w:ascii="Times New Roman" w:hAnsi="Times New Roman" w:cs="Times New Roman"/>
        </w:rPr>
      </w:pPr>
      <w:r>
        <w:rPr>
          <w:rFonts w:ascii="Times New Roman" w:hAnsi="Times New Roman" w:cs="Times New Roman"/>
        </w:rPr>
        <w:t>施工期</w:t>
      </w:r>
    </w:p>
    <w:p>
      <w:pPr>
        <w:pStyle w:val="5"/>
        <w:rPr>
          <w:rFonts w:ascii="Times New Roman" w:hAnsi="Times New Roman"/>
        </w:rPr>
      </w:pPr>
      <w:r>
        <w:rPr>
          <w:rFonts w:ascii="Times New Roman" w:hAnsi="Times New Roman"/>
        </w:rPr>
        <w:t>土地利用类型的影响分析</w:t>
      </w:r>
    </w:p>
    <w:p>
      <w:pPr>
        <w:ind w:firstLine="480"/>
        <w:rPr>
          <w:rFonts w:ascii="Times New Roman" w:hAnsi="Times New Roman"/>
        </w:rPr>
      </w:pPr>
      <w:r>
        <w:rPr>
          <w:rFonts w:ascii="Times New Roman" w:hAnsi="Times New Roman"/>
        </w:rPr>
        <w:t>本项目井站、清管站、阀室等新增永久占地面积为2.69hm</w:t>
      </w:r>
      <w:r>
        <w:rPr>
          <w:rFonts w:ascii="Times New Roman" w:hAnsi="Times New Roman"/>
          <w:vertAlign w:val="superscript"/>
        </w:rPr>
        <w:t>2</w:t>
      </w:r>
      <w:r>
        <w:rPr>
          <w:rFonts w:ascii="Times New Roman" w:hAnsi="Times New Roman"/>
        </w:rPr>
        <w:t>，占地类型为林地和耕地。施工作业带、堆管场、施工便道、人行巡检便道等临时占地面积约为32.81hm</w:t>
      </w:r>
      <w:r>
        <w:rPr>
          <w:rFonts w:ascii="Times New Roman" w:hAnsi="Times New Roman"/>
          <w:vertAlign w:val="superscript"/>
        </w:rPr>
        <w:t>2</w:t>
      </w:r>
      <w:r>
        <w:rPr>
          <w:rFonts w:ascii="Times New Roman" w:hAnsi="Times New Roman"/>
        </w:rPr>
        <w:t>，主要占地类型为林地、耕地、草地。项目建设内容改变土地利用现状类别统计见</w:t>
      </w:r>
      <w:r>
        <w:rPr>
          <w:rFonts w:ascii="Times New Roman" w:hAnsi="Times New Roman"/>
        </w:rPr>
        <w:fldChar w:fldCharType="begin"/>
      </w:r>
      <w:r>
        <w:rPr>
          <w:rFonts w:ascii="Times New Roman" w:hAnsi="Times New Roman"/>
        </w:rPr>
        <w:instrText xml:space="preserve"> REF _Ref155275280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35</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237" w:name="_Ref155275280"/>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35</w:t>
      </w:r>
      <w:r>
        <w:rPr>
          <w:rFonts w:ascii="Times New Roman" w:hAnsi="Times New Roman" w:cs="Times New Roman"/>
        </w:rPr>
        <w:fldChar w:fldCharType="end"/>
      </w:r>
      <w:bookmarkEnd w:id="237"/>
      <w:r>
        <w:rPr>
          <w:rFonts w:ascii="Times New Roman" w:hAnsi="Times New Roman" w:cs="Times New Roman"/>
        </w:rPr>
        <w:t>项目建设内容改变土地利用现状类别统计表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571"/>
        <w:gridCol w:w="1562"/>
        <w:gridCol w:w="851"/>
        <w:gridCol w:w="1983"/>
        <w:gridCol w:w="14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638" w:type="pct"/>
            <w:vAlign w:val="center"/>
          </w:tcPr>
          <w:p>
            <w:pPr>
              <w:pStyle w:val="39"/>
              <w:rPr>
                <w:rFonts w:ascii="Times New Roman" w:hAnsi="Times New Roman"/>
              </w:rPr>
            </w:pPr>
            <w:r>
              <w:rPr>
                <w:rFonts w:ascii="Times New Roman" w:hAnsi="Times New Roman"/>
              </w:rPr>
              <w:t>工程占地</w:t>
            </w:r>
          </w:p>
        </w:tc>
        <w:tc>
          <w:tcPr>
            <w:tcW w:w="922" w:type="pct"/>
            <w:vAlign w:val="center"/>
          </w:tcPr>
          <w:p>
            <w:pPr>
              <w:pStyle w:val="39"/>
              <w:rPr>
                <w:rFonts w:ascii="Times New Roman" w:hAnsi="Times New Roman"/>
              </w:rPr>
            </w:pPr>
            <w:r>
              <w:rPr>
                <w:rFonts w:ascii="Times New Roman" w:hAnsi="Times New Roman"/>
              </w:rPr>
              <w:t>建设内容</w:t>
            </w:r>
          </w:p>
        </w:tc>
        <w:tc>
          <w:tcPr>
            <w:tcW w:w="916" w:type="pct"/>
            <w:shd w:val="clear" w:color="auto" w:fill="auto"/>
            <w:vAlign w:val="center"/>
          </w:tcPr>
          <w:p>
            <w:pPr>
              <w:pStyle w:val="39"/>
              <w:rPr>
                <w:rFonts w:ascii="Times New Roman" w:hAnsi="Times New Roman"/>
              </w:rPr>
            </w:pPr>
            <w:r>
              <w:rPr>
                <w:rFonts w:ascii="Times New Roman" w:hAnsi="Times New Roman"/>
              </w:rPr>
              <w:t>占地面积/长度</w:t>
            </w:r>
          </w:p>
        </w:tc>
        <w:tc>
          <w:tcPr>
            <w:tcW w:w="499" w:type="pct"/>
            <w:vAlign w:val="center"/>
          </w:tcPr>
          <w:p>
            <w:pPr>
              <w:pStyle w:val="39"/>
              <w:rPr>
                <w:rFonts w:ascii="Times New Roman" w:hAnsi="Times New Roman"/>
              </w:rPr>
            </w:pPr>
            <w:r>
              <w:rPr>
                <w:rFonts w:ascii="Times New Roman" w:hAnsi="Times New Roman"/>
              </w:rPr>
              <w:t>单位</w:t>
            </w:r>
          </w:p>
        </w:tc>
        <w:tc>
          <w:tcPr>
            <w:tcW w:w="1163" w:type="pct"/>
            <w:shd w:val="clear" w:color="auto" w:fill="auto"/>
            <w:vAlign w:val="center"/>
          </w:tcPr>
          <w:p>
            <w:pPr>
              <w:pStyle w:val="39"/>
              <w:rPr>
                <w:rFonts w:ascii="Times New Roman" w:hAnsi="Times New Roman"/>
              </w:rPr>
            </w:pPr>
            <w:r>
              <w:rPr>
                <w:rFonts w:ascii="Times New Roman" w:hAnsi="Times New Roman"/>
              </w:rPr>
              <w:t>土地利用现状类别</w:t>
            </w:r>
          </w:p>
        </w:tc>
        <w:tc>
          <w:tcPr>
            <w:tcW w:w="861" w:type="pct"/>
            <w:vAlign w:val="center"/>
          </w:tcPr>
          <w:p>
            <w:pPr>
              <w:pStyle w:val="39"/>
              <w:rPr>
                <w:rFonts w:ascii="Times New Roman" w:hAnsi="Times New Roman"/>
              </w:rPr>
            </w:pPr>
            <w:r>
              <w:rPr>
                <w:rFonts w:ascii="Times New Roman" w:hAnsi="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638" w:type="pct"/>
            <w:vMerge w:val="restart"/>
            <w:vAlign w:val="center"/>
          </w:tcPr>
          <w:p>
            <w:pPr>
              <w:pStyle w:val="39"/>
              <w:rPr>
                <w:rFonts w:ascii="Times New Roman" w:hAnsi="Times New Roman"/>
              </w:rPr>
            </w:pPr>
            <w:r>
              <w:rPr>
                <w:rFonts w:ascii="Times New Roman" w:hAnsi="Times New Roman"/>
              </w:rPr>
              <w:t>新增永久占地</w:t>
            </w:r>
          </w:p>
        </w:tc>
        <w:tc>
          <w:tcPr>
            <w:tcW w:w="922" w:type="pct"/>
            <w:vAlign w:val="center"/>
          </w:tcPr>
          <w:p>
            <w:pPr>
              <w:pStyle w:val="39"/>
              <w:rPr>
                <w:rFonts w:ascii="Times New Roman" w:hAnsi="Times New Roman"/>
              </w:rPr>
            </w:pPr>
            <w:r>
              <w:rPr>
                <w:rFonts w:ascii="Times New Roman" w:hAnsi="Times New Roman"/>
              </w:rPr>
              <w:t>宣探1井站</w:t>
            </w:r>
          </w:p>
        </w:tc>
        <w:tc>
          <w:tcPr>
            <w:tcW w:w="916" w:type="pct"/>
            <w:shd w:val="clear" w:color="auto" w:fill="auto"/>
            <w:vAlign w:val="center"/>
          </w:tcPr>
          <w:p>
            <w:pPr>
              <w:pStyle w:val="39"/>
              <w:rPr>
                <w:rFonts w:ascii="Times New Roman" w:hAnsi="Times New Roman"/>
              </w:rPr>
            </w:pPr>
            <w:r>
              <w:rPr>
                <w:rFonts w:ascii="Times New Roman" w:hAnsi="Times New Roman"/>
              </w:rPr>
              <w:t>7080</w:t>
            </w:r>
          </w:p>
        </w:tc>
        <w:tc>
          <w:tcPr>
            <w:tcW w:w="499" w:type="pct"/>
            <w:vAlign w:val="center"/>
          </w:tcPr>
          <w:p>
            <w:pPr>
              <w:pStyle w:val="39"/>
              <w:rPr>
                <w:rFonts w:ascii="Times New Roman" w:hAnsi="Times New Roman"/>
              </w:rPr>
            </w:pPr>
            <w:r>
              <w:rPr>
                <w:rFonts w:ascii="Times New Roman" w:hAnsi="Times New Roman"/>
              </w:rPr>
              <w:t>m</w:t>
            </w:r>
            <w:r>
              <w:rPr>
                <w:rFonts w:ascii="Times New Roman" w:hAnsi="Times New Roman"/>
                <w:vertAlign w:val="superscript"/>
              </w:rPr>
              <w:t>2</w:t>
            </w:r>
          </w:p>
        </w:tc>
        <w:tc>
          <w:tcPr>
            <w:tcW w:w="1163" w:type="pct"/>
            <w:shd w:val="clear" w:color="auto" w:fill="auto"/>
            <w:vAlign w:val="center"/>
          </w:tcPr>
          <w:p>
            <w:pPr>
              <w:pStyle w:val="39"/>
              <w:rPr>
                <w:rFonts w:ascii="Times New Roman" w:hAnsi="Times New Roman"/>
              </w:rPr>
            </w:pPr>
            <w:r>
              <w:rPr>
                <w:rFonts w:ascii="Times New Roman" w:hAnsi="Times New Roman"/>
              </w:rPr>
              <w:t>耕地</w:t>
            </w:r>
          </w:p>
        </w:tc>
        <w:tc>
          <w:tcPr>
            <w:tcW w:w="861" w:type="pct"/>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638" w:type="pct"/>
            <w:vMerge w:val="continue"/>
            <w:vAlign w:val="center"/>
          </w:tcPr>
          <w:p>
            <w:pPr>
              <w:pStyle w:val="39"/>
              <w:rPr>
                <w:rFonts w:ascii="Times New Roman" w:hAnsi="Times New Roman"/>
              </w:rPr>
            </w:pPr>
          </w:p>
        </w:tc>
        <w:tc>
          <w:tcPr>
            <w:tcW w:w="922" w:type="pct"/>
            <w:vAlign w:val="center"/>
          </w:tcPr>
          <w:p>
            <w:pPr>
              <w:pStyle w:val="39"/>
              <w:rPr>
                <w:rFonts w:ascii="Times New Roman" w:hAnsi="Times New Roman"/>
              </w:rPr>
            </w:pPr>
            <w:r>
              <w:rPr>
                <w:rFonts w:ascii="Times New Roman" w:hAnsi="Times New Roman"/>
              </w:rPr>
              <w:t>宣兴1井站</w:t>
            </w:r>
          </w:p>
        </w:tc>
        <w:tc>
          <w:tcPr>
            <w:tcW w:w="916" w:type="pct"/>
            <w:shd w:val="clear" w:color="auto" w:fill="auto"/>
            <w:vAlign w:val="center"/>
          </w:tcPr>
          <w:p>
            <w:pPr>
              <w:pStyle w:val="39"/>
              <w:rPr>
                <w:rFonts w:ascii="Times New Roman" w:hAnsi="Times New Roman"/>
              </w:rPr>
            </w:pPr>
            <w:r>
              <w:rPr>
                <w:rFonts w:ascii="Times New Roman" w:hAnsi="Times New Roman"/>
              </w:rPr>
              <w:t>11453</w:t>
            </w:r>
          </w:p>
        </w:tc>
        <w:tc>
          <w:tcPr>
            <w:tcW w:w="499" w:type="pct"/>
            <w:vAlign w:val="center"/>
          </w:tcPr>
          <w:p>
            <w:pPr>
              <w:pStyle w:val="39"/>
              <w:rPr>
                <w:rFonts w:ascii="Times New Roman" w:hAnsi="Times New Roman"/>
              </w:rPr>
            </w:pPr>
            <w:r>
              <w:rPr>
                <w:rFonts w:ascii="Times New Roman" w:hAnsi="Times New Roman"/>
              </w:rPr>
              <w:t>m</w:t>
            </w:r>
            <w:r>
              <w:rPr>
                <w:rFonts w:ascii="Times New Roman" w:hAnsi="Times New Roman"/>
                <w:vertAlign w:val="superscript"/>
              </w:rPr>
              <w:t>2</w:t>
            </w:r>
          </w:p>
        </w:tc>
        <w:tc>
          <w:tcPr>
            <w:tcW w:w="1163" w:type="pct"/>
            <w:shd w:val="clear" w:color="auto" w:fill="auto"/>
            <w:vAlign w:val="center"/>
          </w:tcPr>
          <w:p>
            <w:pPr>
              <w:pStyle w:val="39"/>
              <w:rPr>
                <w:rFonts w:ascii="Times New Roman" w:hAnsi="Times New Roman"/>
              </w:rPr>
            </w:pPr>
            <w:r>
              <w:rPr>
                <w:rFonts w:ascii="Times New Roman" w:hAnsi="Times New Roman"/>
              </w:rPr>
              <w:t>耕地、林地</w:t>
            </w:r>
          </w:p>
        </w:tc>
        <w:tc>
          <w:tcPr>
            <w:tcW w:w="861" w:type="pct"/>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638" w:type="pct"/>
            <w:vMerge w:val="continue"/>
            <w:vAlign w:val="center"/>
          </w:tcPr>
          <w:p>
            <w:pPr>
              <w:pStyle w:val="39"/>
              <w:rPr>
                <w:rFonts w:ascii="Times New Roman" w:hAnsi="Times New Roman"/>
              </w:rPr>
            </w:pPr>
          </w:p>
        </w:tc>
        <w:tc>
          <w:tcPr>
            <w:tcW w:w="922" w:type="pct"/>
            <w:vAlign w:val="center"/>
          </w:tcPr>
          <w:p>
            <w:pPr>
              <w:pStyle w:val="39"/>
              <w:rPr>
                <w:rFonts w:ascii="Times New Roman" w:hAnsi="Times New Roman"/>
              </w:rPr>
            </w:pPr>
            <w:r>
              <w:rPr>
                <w:rFonts w:ascii="Times New Roman" w:hAnsi="Times New Roman"/>
              </w:rPr>
              <w:t>宣探清管站</w:t>
            </w:r>
          </w:p>
        </w:tc>
        <w:tc>
          <w:tcPr>
            <w:tcW w:w="916" w:type="pct"/>
            <w:shd w:val="clear" w:color="auto" w:fill="auto"/>
            <w:vAlign w:val="center"/>
          </w:tcPr>
          <w:p>
            <w:pPr>
              <w:pStyle w:val="39"/>
              <w:rPr>
                <w:rFonts w:ascii="Times New Roman" w:hAnsi="Times New Roman"/>
              </w:rPr>
            </w:pPr>
            <w:r>
              <w:rPr>
                <w:rFonts w:ascii="Times New Roman" w:hAnsi="Times New Roman"/>
              </w:rPr>
              <w:t>7073</w:t>
            </w:r>
          </w:p>
        </w:tc>
        <w:tc>
          <w:tcPr>
            <w:tcW w:w="499" w:type="pct"/>
            <w:vAlign w:val="center"/>
          </w:tcPr>
          <w:p>
            <w:pPr>
              <w:pStyle w:val="39"/>
              <w:rPr>
                <w:rFonts w:ascii="Times New Roman" w:hAnsi="Times New Roman"/>
              </w:rPr>
            </w:pPr>
            <w:r>
              <w:rPr>
                <w:rFonts w:ascii="Times New Roman" w:hAnsi="Times New Roman"/>
              </w:rPr>
              <w:t>m</w:t>
            </w:r>
            <w:r>
              <w:rPr>
                <w:rFonts w:ascii="Times New Roman" w:hAnsi="Times New Roman"/>
                <w:vertAlign w:val="superscript"/>
              </w:rPr>
              <w:t>2</w:t>
            </w:r>
          </w:p>
        </w:tc>
        <w:tc>
          <w:tcPr>
            <w:tcW w:w="1163" w:type="pct"/>
            <w:shd w:val="clear" w:color="auto" w:fill="auto"/>
            <w:vAlign w:val="center"/>
          </w:tcPr>
          <w:p>
            <w:pPr>
              <w:pStyle w:val="39"/>
              <w:rPr>
                <w:rFonts w:ascii="Times New Roman" w:hAnsi="Times New Roman"/>
              </w:rPr>
            </w:pPr>
            <w:r>
              <w:rPr>
                <w:rFonts w:ascii="Times New Roman" w:hAnsi="Times New Roman"/>
              </w:rPr>
              <w:t>耕地、林地</w:t>
            </w:r>
          </w:p>
        </w:tc>
        <w:tc>
          <w:tcPr>
            <w:tcW w:w="861" w:type="pct"/>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638" w:type="pct"/>
            <w:vMerge w:val="continue"/>
            <w:vAlign w:val="center"/>
          </w:tcPr>
          <w:p>
            <w:pPr>
              <w:pStyle w:val="39"/>
              <w:rPr>
                <w:rFonts w:ascii="Times New Roman" w:hAnsi="Times New Roman"/>
              </w:rPr>
            </w:pPr>
          </w:p>
        </w:tc>
        <w:tc>
          <w:tcPr>
            <w:tcW w:w="922" w:type="pct"/>
            <w:vAlign w:val="center"/>
          </w:tcPr>
          <w:p>
            <w:pPr>
              <w:pStyle w:val="39"/>
              <w:rPr>
                <w:rFonts w:ascii="Times New Roman" w:hAnsi="Times New Roman"/>
              </w:rPr>
            </w:pPr>
            <w:r>
              <w:rPr>
                <w:rFonts w:ascii="Times New Roman" w:hAnsi="Times New Roman"/>
              </w:rPr>
              <w:t>宣探阀室</w:t>
            </w:r>
          </w:p>
        </w:tc>
        <w:tc>
          <w:tcPr>
            <w:tcW w:w="916" w:type="pct"/>
            <w:shd w:val="clear" w:color="auto" w:fill="auto"/>
            <w:vAlign w:val="center"/>
          </w:tcPr>
          <w:p>
            <w:pPr>
              <w:pStyle w:val="39"/>
              <w:rPr>
                <w:rFonts w:ascii="Times New Roman" w:hAnsi="Times New Roman"/>
              </w:rPr>
            </w:pPr>
            <w:r>
              <w:rPr>
                <w:rFonts w:ascii="Times New Roman" w:hAnsi="Times New Roman"/>
              </w:rPr>
              <w:t>1333</w:t>
            </w:r>
          </w:p>
        </w:tc>
        <w:tc>
          <w:tcPr>
            <w:tcW w:w="499" w:type="pct"/>
            <w:vAlign w:val="center"/>
          </w:tcPr>
          <w:p>
            <w:pPr>
              <w:pStyle w:val="39"/>
              <w:rPr>
                <w:rFonts w:ascii="Times New Roman" w:hAnsi="Times New Roman"/>
              </w:rPr>
            </w:pPr>
            <w:r>
              <w:rPr>
                <w:rFonts w:ascii="Times New Roman" w:hAnsi="Times New Roman"/>
              </w:rPr>
              <w:t>m</w:t>
            </w:r>
            <w:r>
              <w:rPr>
                <w:rFonts w:ascii="Times New Roman" w:hAnsi="Times New Roman"/>
                <w:vertAlign w:val="superscript"/>
              </w:rPr>
              <w:t>2</w:t>
            </w:r>
          </w:p>
        </w:tc>
        <w:tc>
          <w:tcPr>
            <w:tcW w:w="1163" w:type="pct"/>
            <w:shd w:val="clear" w:color="auto" w:fill="auto"/>
            <w:vAlign w:val="center"/>
          </w:tcPr>
          <w:p>
            <w:pPr>
              <w:pStyle w:val="39"/>
              <w:rPr>
                <w:rFonts w:ascii="Times New Roman" w:hAnsi="Times New Roman"/>
              </w:rPr>
            </w:pPr>
            <w:r>
              <w:rPr>
                <w:rFonts w:ascii="Times New Roman" w:hAnsi="Times New Roman"/>
              </w:rPr>
              <w:t>林地</w:t>
            </w:r>
          </w:p>
        </w:tc>
        <w:tc>
          <w:tcPr>
            <w:tcW w:w="861" w:type="pct"/>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638" w:type="pct"/>
            <w:vMerge w:val="continue"/>
            <w:vAlign w:val="center"/>
          </w:tcPr>
          <w:p>
            <w:pPr>
              <w:pStyle w:val="39"/>
              <w:rPr>
                <w:rFonts w:ascii="Times New Roman" w:hAnsi="Times New Roman"/>
              </w:rPr>
            </w:pPr>
          </w:p>
        </w:tc>
        <w:tc>
          <w:tcPr>
            <w:tcW w:w="922" w:type="pct"/>
            <w:vAlign w:val="center"/>
          </w:tcPr>
          <w:p>
            <w:pPr>
              <w:pStyle w:val="39"/>
              <w:rPr>
                <w:rFonts w:ascii="Times New Roman" w:hAnsi="Times New Roman"/>
              </w:rPr>
            </w:pPr>
            <w:r>
              <w:rPr>
                <w:rFonts w:ascii="Times New Roman" w:hAnsi="Times New Roman"/>
              </w:rPr>
              <w:t>合计</w:t>
            </w:r>
          </w:p>
        </w:tc>
        <w:tc>
          <w:tcPr>
            <w:tcW w:w="916" w:type="pct"/>
            <w:shd w:val="clear" w:color="auto" w:fill="auto"/>
            <w:vAlign w:val="center"/>
          </w:tcPr>
          <w:p>
            <w:pPr>
              <w:pStyle w:val="39"/>
              <w:rPr>
                <w:rFonts w:ascii="Times New Roman" w:hAnsi="Times New Roman"/>
              </w:rPr>
            </w:pPr>
            <w:r>
              <w:rPr>
                <w:rFonts w:ascii="Times New Roman" w:hAnsi="Times New Roman"/>
              </w:rPr>
              <w:t>27340</w:t>
            </w:r>
          </w:p>
        </w:tc>
        <w:tc>
          <w:tcPr>
            <w:tcW w:w="499" w:type="pct"/>
            <w:vAlign w:val="center"/>
          </w:tcPr>
          <w:p>
            <w:pPr>
              <w:pStyle w:val="39"/>
              <w:rPr>
                <w:rFonts w:ascii="Times New Roman" w:hAnsi="Times New Roman"/>
              </w:rPr>
            </w:pPr>
            <w:r>
              <w:rPr>
                <w:rFonts w:ascii="Times New Roman" w:hAnsi="Times New Roman"/>
              </w:rPr>
              <w:t>m</w:t>
            </w:r>
            <w:r>
              <w:rPr>
                <w:rFonts w:ascii="Times New Roman" w:hAnsi="Times New Roman"/>
                <w:vertAlign w:val="superscript"/>
              </w:rPr>
              <w:t>2</w:t>
            </w:r>
          </w:p>
        </w:tc>
        <w:tc>
          <w:tcPr>
            <w:tcW w:w="1163" w:type="pct"/>
            <w:shd w:val="clear" w:color="auto" w:fill="auto"/>
            <w:vAlign w:val="center"/>
          </w:tcPr>
          <w:p>
            <w:pPr>
              <w:pStyle w:val="39"/>
              <w:rPr>
                <w:rFonts w:ascii="Times New Roman" w:hAnsi="Times New Roman"/>
              </w:rPr>
            </w:pPr>
            <w:r>
              <w:rPr>
                <w:rFonts w:ascii="Times New Roman" w:hAnsi="Times New Roman"/>
              </w:rPr>
              <w:t>耕地、林地</w:t>
            </w:r>
          </w:p>
        </w:tc>
        <w:tc>
          <w:tcPr>
            <w:tcW w:w="861" w:type="pct"/>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38" w:type="pct"/>
            <w:vMerge w:val="restart"/>
            <w:vAlign w:val="center"/>
          </w:tcPr>
          <w:p>
            <w:pPr>
              <w:pStyle w:val="39"/>
              <w:rPr>
                <w:rFonts w:ascii="Times New Roman" w:hAnsi="Times New Roman"/>
              </w:rPr>
            </w:pPr>
            <w:r>
              <w:rPr>
                <w:rFonts w:ascii="Times New Roman" w:hAnsi="Times New Roman"/>
              </w:rPr>
              <w:t>新增临时占地</w:t>
            </w:r>
          </w:p>
        </w:tc>
        <w:tc>
          <w:tcPr>
            <w:tcW w:w="922" w:type="pct"/>
            <w:vAlign w:val="center"/>
          </w:tcPr>
          <w:p>
            <w:pPr>
              <w:pStyle w:val="39"/>
              <w:rPr>
                <w:rFonts w:ascii="Times New Roman" w:hAnsi="Times New Roman"/>
              </w:rPr>
            </w:pPr>
            <w:r>
              <w:rPr>
                <w:rFonts w:ascii="Times New Roman" w:hAnsi="Times New Roman"/>
              </w:rPr>
              <w:t>施工作业带</w:t>
            </w:r>
          </w:p>
        </w:tc>
        <w:tc>
          <w:tcPr>
            <w:tcW w:w="916" w:type="pct"/>
            <w:shd w:val="clear" w:color="auto" w:fill="auto"/>
            <w:vAlign w:val="center"/>
          </w:tcPr>
          <w:p>
            <w:pPr>
              <w:pStyle w:val="39"/>
              <w:rPr>
                <w:rFonts w:ascii="Times New Roman" w:hAnsi="Times New Roman"/>
              </w:rPr>
            </w:pPr>
            <w:r>
              <w:rPr>
                <w:rFonts w:ascii="Times New Roman" w:hAnsi="Times New Roman"/>
              </w:rPr>
              <w:t>262120</w:t>
            </w:r>
          </w:p>
        </w:tc>
        <w:tc>
          <w:tcPr>
            <w:tcW w:w="499" w:type="pct"/>
            <w:vAlign w:val="center"/>
          </w:tcPr>
          <w:p>
            <w:pPr>
              <w:pStyle w:val="39"/>
              <w:rPr>
                <w:rFonts w:ascii="Times New Roman" w:hAnsi="Times New Roman"/>
              </w:rPr>
            </w:pPr>
            <w:r>
              <w:rPr>
                <w:rFonts w:ascii="Times New Roman" w:hAnsi="Times New Roman"/>
              </w:rPr>
              <w:t>m</w:t>
            </w:r>
            <w:r>
              <w:rPr>
                <w:rFonts w:ascii="Times New Roman" w:hAnsi="Times New Roman"/>
                <w:vertAlign w:val="superscript"/>
              </w:rPr>
              <w:t>2</w:t>
            </w:r>
          </w:p>
        </w:tc>
        <w:tc>
          <w:tcPr>
            <w:tcW w:w="1163" w:type="pct"/>
            <w:shd w:val="clear" w:color="auto" w:fill="auto"/>
            <w:vAlign w:val="center"/>
          </w:tcPr>
          <w:p>
            <w:pPr>
              <w:pStyle w:val="39"/>
              <w:rPr>
                <w:rFonts w:ascii="Times New Roman" w:hAnsi="Times New Roman"/>
              </w:rPr>
            </w:pPr>
            <w:r>
              <w:rPr>
                <w:rFonts w:ascii="Times New Roman" w:hAnsi="Times New Roman"/>
              </w:rPr>
              <w:t>林地、耕地、草地、其他</w:t>
            </w:r>
          </w:p>
        </w:tc>
        <w:tc>
          <w:tcPr>
            <w:tcW w:w="861" w:type="pct"/>
            <w:vAlign w:val="center"/>
          </w:tcPr>
          <w:p>
            <w:pPr>
              <w:pStyle w:val="39"/>
              <w:rPr>
                <w:rFonts w:ascii="Times New Roman" w:hAnsi="Times New Roman"/>
              </w:rPr>
            </w:pPr>
            <w:r>
              <w:rPr>
                <w:rFonts w:ascii="Times New Roman" w:hAnsi="Times New Roman"/>
              </w:rPr>
              <w:t>施工作业带宽度见</w:t>
            </w:r>
            <w:r>
              <w:rPr>
                <w:rFonts w:ascii="Times New Roman" w:hAnsi="Times New Roman"/>
              </w:rPr>
              <w:fldChar w:fldCharType="begin"/>
            </w:r>
            <w:r>
              <w:rPr>
                <w:rFonts w:ascii="Times New Roman" w:hAnsi="Times New Roman"/>
              </w:rPr>
              <w:instrText xml:space="preserve"> REF _Ref153545605 \h  \* MERGEFORMAT </w:instrText>
            </w:r>
            <w:r>
              <w:rPr>
                <w:rFonts w:ascii="Times New Roman" w:hAnsi="Times New Roman"/>
              </w:rPr>
              <w:fldChar w:fldCharType="separate"/>
            </w:r>
            <w:r>
              <w:rPr>
                <w:rFonts w:ascii="Times New Roman" w:hAnsi="Times New Roman"/>
              </w:rPr>
              <w:t>表 2</w:t>
            </w:r>
            <w:r>
              <w:rPr>
                <w:rFonts w:ascii="Times New Roman" w:hAnsi="Times New Roman"/>
              </w:rPr>
              <w:noBreakHyphen/>
            </w:r>
            <w:r>
              <w:rPr>
                <w:rFonts w:ascii="Times New Roman" w:hAnsi="Times New Roman"/>
              </w:rPr>
              <w:t>9</w:t>
            </w:r>
            <w:r>
              <w:rPr>
                <w:rFonts w:ascii="Times New Roman" w:hAnsi="Times New Roman"/>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38" w:type="pct"/>
            <w:vMerge w:val="continue"/>
            <w:vAlign w:val="center"/>
          </w:tcPr>
          <w:p>
            <w:pPr>
              <w:pStyle w:val="39"/>
              <w:rPr>
                <w:rFonts w:ascii="Times New Roman" w:hAnsi="Times New Roman"/>
              </w:rPr>
            </w:pPr>
          </w:p>
        </w:tc>
        <w:tc>
          <w:tcPr>
            <w:tcW w:w="922" w:type="pct"/>
            <w:vAlign w:val="center"/>
          </w:tcPr>
          <w:p>
            <w:pPr>
              <w:pStyle w:val="39"/>
              <w:rPr>
                <w:rFonts w:ascii="Times New Roman" w:hAnsi="Times New Roman"/>
              </w:rPr>
            </w:pPr>
            <w:r>
              <w:rPr>
                <w:rFonts w:ascii="Times New Roman" w:hAnsi="Times New Roman"/>
              </w:rPr>
              <w:t>堆管场</w:t>
            </w:r>
          </w:p>
        </w:tc>
        <w:tc>
          <w:tcPr>
            <w:tcW w:w="916" w:type="pct"/>
            <w:shd w:val="clear" w:color="auto" w:fill="auto"/>
            <w:vAlign w:val="center"/>
          </w:tcPr>
          <w:p>
            <w:pPr>
              <w:pStyle w:val="39"/>
              <w:rPr>
                <w:rFonts w:ascii="Times New Roman" w:hAnsi="Times New Roman"/>
              </w:rPr>
            </w:pPr>
            <w:r>
              <w:rPr>
                <w:rFonts w:ascii="Times New Roman" w:hAnsi="Times New Roman"/>
              </w:rPr>
              <w:t>8000</w:t>
            </w:r>
          </w:p>
        </w:tc>
        <w:tc>
          <w:tcPr>
            <w:tcW w:w="499" w:type="pct"/>
            <w:vAlign w:val="center"/>
          </w:tcPr>
          <w:p>
            <w:pPr>
              <w:pStyle w:val="39"/>
              <w:rPr>
                <w:rFonts w:ascii="Times New Roman" w:hAnsi="Times New Roman"/>
              </w:rPr>
            </w:pPr>
            <w:r>
              <w:rPr>
                <w:rFonts w:ascii="Times New Roman" w:hAnsi="Times New Roman"/>
              </w:rPr>
              <w:t>m</w:t>
            </w:r>
            <w:r>
              <w:rPr>
                <w:rFonts w:ascii="Times New Roman" w:hAnsi="Times New Roman"/>
                <w:vertAlign w:val="superscript"/>
              </w:rPr>
              <w:t>2</w:t>
            </w:r>
          </w:p>
        </w:tc>
        <w:tc>
          <w:tcPr>
            <w:tcW w:w="1163" w:type="pct"/>
            <w:shd w:val="clear" w:color="auto" w:fill="auto"/>
            <w:vAlign w:val="center"/>
          </w:tcPr>
          <w:p>
            <w:pPr>
              <w:pStyle w:val="39"/>
              <w:rPr>
                <w:rFonts w:ascii="Times New Roman" w:hAnsi="Times New Roman"/>
              </w:rPr>
            </w:pPr>
            <w:r>
              <w:rPr>
                <w:rFonts w:ascii="Times New Roman" w:hAnsi="Times New Roman"/>
              </w:rPr>
              <w:t>草地、其他</w:t>
            </w:r>
          </w:p>
        </w:tc>
        <w:tc>
          <w:tcPr>
            <w:tcW w:w="861" w:type="pct"/>
            <w:vAlign w:val="center"/>
          </w:tcPr>
          <w:p>
            <w:pPr>
              <w:pStyle w:val="39"/>
              <w:rPr>
                <w:rFonts w:ascii="Times New Roman" w:hAnsi="Times New Roman"/>
              </w:rPr>
            </w:pPr>
            <w:r>
              <w:rPr>
                <w:rFonts w:ascii="Times New Roman" w:hAnsi="Times New Roman"/>
              </w:rPr>
              <w:t>20个，每个400m</w:t>
            </w:r>
            <w:r>
              <w:rPr>
                <w:rFonts w:ascii="Times New Roman" w:hAnsi="Times New Roman"/>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638" w:type="pct"/>
            <w:vMerge w:val="continue"/>
            <w:vAlign w:val="center"/>
          </w:tcPr>
          <w:p>
            <w:pPr>
              <w:pStyle w:val="39"/>
              <w:rPr>
                <w:rFonts w:ascii="Times New Roman" w:hAnsi="Times New Roman"/>
              </w:rPr>
            </w:pPr>
          </w:p>
        </w:tc>
        <w:tc>
          <w:tcPr>
            <w:tcW w:w="922" w:type="pct"/>
            <w:vAlign w:val="center"/>
          </w:tcPr>
          <w:p>
            <w:pPr>
              <w:pStyle w:val="39"/>
              <w:rPr>
                <w:rFonts w:ascii="Times New Roman" w:hAnsi="Times New Roman"/>
              </w:rPr>
            </w:pPr>
            <w:r>
              <w:rPr>
                <w:rFonts w:ascii="Times New Roman" w:hAnsi="Times New Roman"/>
              </w:rPr>
              <w:t>施工便道</w:t>
            </w:r>
          </w:p>
        </w:tc>
        <w:tc>
          <w:tcPr>
            <w:tcW w:w="916" w:type="pct"/>
            <w:shd w:val="clear" w:color="auto" w:fill="auto"/>
            <w:vAlign w:val="center"/>
          </w:tcPr>
          <w:p>
            <w:pPr>
              <w:pStyle w:val="39"/>
              <w:rPr>
                <w:rFonts w:ascii="Times New Roman" w:hAnsi="Times New Roman"/>
              </w:rPr>
            </w:pPr>
            <w:r>
              <w:rPr>
                <w:rFonts w:ascii="Times New Roman" w:hAnsi="Times New Roman"/>
              </w:rPr>
              <w:t>48000</w:t>
            </w:r>
          </w:p>
        </w:tc>
        <w:tc>
          <w:tcPr>
            <w:tcW w:w="499" w:type="pct"/>
            <w:vAlign w:val="center"/>
          </w:tcPr>
          <w:p>
            <w:pPr>
              <w:pStyle w:val="39"/>
              <w:rPr>
                <w:rFonts w:ascii="Times New Roman" w:hAnsi="Times New Roman"/>
              </w:rPr>
            </w:pPr>
            <w:r>
              <w:rPr>
                <w:rFonts w:ascii="Times New Roman" w:hAnsi="Times New Roman"/>
              </w:rPr>
              <w:t>m</w:t>
            </w:r>
            <w:r>
              <w:rPr>
                <w:rFonts w:ascii="Times New Roman" w:hAnsi="Times New Roman"/>
                <w:vertAlign w:val="superscript"/>
              </w:rPr>
              <w:t>2</w:t>
            </w:r>
          </w:p>
        </w:tc>
        <w:tc>
          <w:tcPr>
            <w:tcW w:w="1163" w:type="pct"/>
            <w:shd w:val="clear" w:color="auto" w:fill="auto"/>
            <w:vAlign w:val="center"/>
          </w:tcPr>
          <w:p>
            <w:pPr>
              <w:pStyle w:val="39"/>
              <w:rPr>
                <w:rFonts w:ascii="Times New Roman" w:hAnsi="Times New Roman"/>
              </w:rPr>
            </w:pPr>
            <w:r>
              <w:rPr>
                <w:rFonts w:ascii="Times New Roman" w:hAnsi="Times New Roman"/>
              </w:rPr>
              <w:t>耕地、草地、其他</w:t>
            </w:r>
          </w:p>
        </w:tc>
        <w:tc>
          <w:tcPr>
            <w:tcW w:w="861" w:type="pct"/>
            <w:vAlign w:val="center"/>
          </w:tcPr>
          <w:p>
            <w:pPr>
              <w:pStyle w:val="39"/>
              <w:rPr>
                <w:rFonts w:ascii="Times New Roman" w:hAnsi="Times New Roman"/>
              </w:rPr>
            </w:pPr>
            <w:r>
              <w:rPr>
                <w:rFonts w:ascii="Times New Roman" w:hAnsi="Times New Roman"/>
              </w:rPr>
              <w:t>耕地、草地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638" w:type="pct"/>
            <w:vMerge w:val="continue"/>
            <w:vAlign w:val="center"/>
          </w:tcPr>
          <w:p>
            <w:pPr>
              <w:pStyle w:val="39"/>
              <w:rPr>
                <w:rFonts w:ascii="Times New Roman" w:hAnsi="Times New Roman"/>
              </w:rPr>
            </w:pPr>
          </w:p>
        </w:tc>
        <w:tc>
          <w:tcPr>
            <w:tcW w:w="922" w:type="pct"/>
            <w:vAlign w:val="center"/>
          </w:tcPr>
          <w:p>
            <w:pPr>
              <w:pStyle w:val="39"/>
              <w:rPr>
                <w:rFonts w:ascii="Times New Roman" w:hAnsi="Times New Roman"/>
              </w:rPr>
            </w:pPr>
            <w:r>
              <w:rPr>
                <w:rFonts w:ascii="Times New Roman" w:hAnsi="Times New Roman"/>
              </w:rPr>
              <w:t>人行巡检便道</w:t>
            </w:r>
          </w:p>
        </w:tc>
        <w:tc>
          <w:tcPr>
            <w:tcW w:w="916" w:type="pct"/>
            <w:shd w:val="clear" w:color="auto" w:fill="auto"/>
            <w:vAlign w:val="center"/>
          </w:tcPr>
          <w:p>
            <w:pPr>
              <w:pStyle w:val="39"/>
              <w:rPr>
                <w:rFonts w:ascii="Times New Roman" w:hAnsi="Times New Roman"/>
              </w:rPr>
            </w:pPr>
            <w:r>
              <w:rPr>
                <w:rFonts w:ascii="Times New Roman" w:hAnsi="Times New Roman"/>
              </w:rPr>
              <w:t>10000</w:t>
            </w:r>
          </w:p>
        </w:tc>
        <w:tc>
          <w:tcPr>
            <w:tcW w:w="499" w:type="pct"/>
            <w:vAlign w:val="center"/>
          </w:tcPr>
          <w:p>
            <w:pPr>
              <w:pStyle w:val="39"/>
              <w:rPr>
                <w:rFonts w:ascii="Times New Roman" w:hAnsi="Times New Roman"/>
              </w:rPr>
            </w:pPr>
            <w:r>
              <w:rPr>
                <w:rFonts w:ascii="Times New Roman" w:hAnsi="Times New Roman"/>
              </w:rPr>
              <w:t>m</w:t>
            </w:r>
            <w:r>
              <w:rPr>
                <w:rFonts w:ascii="Times New Roman" w:hAnsi="Times New Roman"/>
                <w:vertAlign w:val="superscript"/>
              </w:rPr>
              <w:t>2</w:t>
            </w:r>
          </w:p>
        </w:tc>
        <w:tc>
          <w:tcPr>
            <w:tcW w:w="1163" w:type="pct"/>
            <w:shd w:val="clear" w:color="auto" w:fill="auto"/>
            <w:vAlign w:val="center"/>
          </w:tcPr>
          <w:p>
            <w:pPr>
              <w:pStyle w:val="39"/>
              <w:rPr>
                <w:rFonts w:ascii="Times New Roman" w:hAnsi="Times New Roman"/>
              </w:rPr>
            </w:pPr>
            <w:r>
              <w:rPr>
                <w:rFonts w:ascii="Times New Roman" w:hAnsi="Times New Roman"/>
              </w:rPr>
              <w:t>耕地、草地、其他</w:t>
            </w:r>
          </w:p>
        </w:tc>
        <w:tc>
          <w:tcPr>
            <w:tcW w:w="861" w:type="pct"/>
            <w:vAlign w:val="center"/>
          </w:tcPr>
          <w:p>
            <w:pPr>
              <w:pStyle w:val="39"/>
              <w:rPr>
                <w:rFonts w:ascii="Times New Roman" w:hAnsi="Times New Roman"/>
              </w:rPr>
            </w:pPr>
            <w:r>
              <w:rPr>
                <w:rFonts w:ascii="Times New Roman" w:hAnsi="Times New Roman"/>
              </w:rPr>
              <w:t>长12.5km，宽0.8m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638" w:type="pct"/>
            <w:vMerge w:val="continue"/>
            <w:vAlign w:val="center"/>
          </w:tcPr>
          <w:p>
            <w:pPr>
              <w:pStyle w:val="39"/>
              <w:rPr>
                <w:rFonts w:ascii="Times New Roman" w:hAnsi="Times New Roman"/>
              </w:rPr>
            </w:pPr>
          </w:p>
        </w:tc>
        <w:tc>
          <w:tcPr>
            <w:tcW w:w="922" w:type="pct"/>
            <w:vAlign w:val="center"/>
          </w:tcPr>
          <w:p>
            <w:pPr>
              <w:pStyle w:val="39"/>
              <w:rPr>
                <w:rFonts w:ascii="Times New Roman" w:hAnsi="Times New Roman"/>
              </w:rPr>
            </w:pPr>
            <w:r>
              <w:rPr>
                <w:rFonts w:ascii="Times New Roman" w:hAnsi="Times New Roman"/>
              </w:rPr>
              <w:t>合计</w:t>
            </w:r>
          </w:p>
        </w:tc>
        <w:tc>
          <w:tcPr>
            <w:tcW w:w="916" w:type="pct"/>
            <w:shd w:val="clear" w:color="auto" w:fill="auto"/>
            <w:vAlign w:val="center"/>
          </w:tcPr>
          <w:p>
            <w:pPr>
              <w:pStyle w:val="39"/>
              <w:rPr>
                <w:rFonts w:ascii="Times New Roman" w:hAnsi="Times New Roman"/>
              </w:rPr>
            </w:pPr>
            <w:r>
              <w:rPr>
                <w:rFonts w:ascii="Times New Roman" w:hAnsi="Times New Roman"/>
              </w:rPr>
              <w:t>328120</w:t>
            </w:r>
          </w:p>
        </w:tc>
        <w:tc>
          <w:tcPr>
            <w:tcW w:w="499" w:type="pct"/>
            <w:vAlign w:val="center"/>
          </w:tcPr>
          <w:p>
            <w:pPr>
              <w:pStyle w:val="39"/>
              <w:rPr>
                <w:rFonts w:ascii="Times New Roman" w:hAnsi="Times New Roman"/>
              </w:rPr>
            </w:pPr>
            <w:r>
              <w:rPr>
                <w:rFonts w:ascii="Times New Roman" w:hAnsi="Times New Roman"/>
              </w:rPr>
              <w:t>m</w:t>
            </w:r>
            <w:r>
              <w:rPr>
                <w:rFonts w:ascii="Times New Roman" w:hAnsi="Times New Roman"/>
                <w:vertAlign w:val="superscript"/>
              </w:rPr>
              <w:t>2</w:t>
            </w:r>
          </w:p>
        </w:tc>
        <w:tc>
          <w:tcPr>
            <w:tcW w:w="1163" w:type="pct"/>
            <w:shd w:val="clear" w:color="auto" w:fill="auto"/>
            <w:vAlign w:val="center"/>
          </w:tcPr>
          <w:p>
            <w:pPr>
              <w:pStyle w:val="39"/>
              <w:rPr>
                <w:rFonts w:ascii="Times New Roman" w:hAnsi="Times New Roman"/>
              </w:rPr>
            </w:pPr>
            <w:r>
              <w:rPr>
                <w:rFonts w:ascii="Times New Roman" w:hAnsi="Times New Roman"/>
              </w:rPr>
              <w:t>林地、耕地、草地、其他</w:t>
            </w:r>
          </w:p>
        </w:tc>
        <w:tc>
          <w:tcPr>
            <w:tcW w:w="861" w:type="pct"/>
            <w:vAlign w:val="center"/>
          </w:tcPr>
          <w:p>
            <w:pPr>
              <w:pStyle w:val="39"/>
              <w:rPr>
                <w:rFonts w:ascii="Times New Roman" w:hAnsi="Times New Roman"/>
              </w:rPr>
            </w:pPr>
            <w:r>
              <w:rPr>
                <w:rFonts w:ascii="Times New Roman" w:hAnsi="Times New Roman"/>
              </w:rPr>
              <w:t>/</w:t>
            </w:r>
          </w:p>
        </w:tc>
      </w:tr>
    </w:tbl>
    <w:p>
      <w:pPr>
        <w:pStyle w:val="5"/>
        <w:rPr>
          <w:rFonts w:ascii="Times New Roman" w:hAnsi="Times New Roman"/>
        </w:rPr>
      </w:pPr>
      <w:r>
        <w:rPr>
          <w:rFonts w:ascii="Times New Roman" w:hAnsi="Times New Roman"/>
        </w:rPr>
        <w:t>植物破坏影响分析</w:t>
      </w:r>
    </w:p>
    <w:p>
      <w:pPr>
        <w:ind w:firstLine="480"/>
        <w:rPr>
          <w:rFonts w:ascii="Times New Roman" w:hAnsi="Times New Roman"/>
          <w:szCs w:val="22"/>
        </w:rPr>
      </w:pPr>
      <w:r>
        <w:rPr>
          <w:rFonts w:ascii="Times New Roman" w:hAnsi="Times New Roman"/>
          <w:szCs w:val="22"/>
        </w:rPr>
        <w:t>根据现场调查，改变土地利用类型范围内植被类型主要为马尾松和玉米、甘薯油菜等农作物，新增永久占地占评价范围的0.3%；施工作业带、堆管场、施工便道、人行巡检便道等临时占地占评价范围的3.6%，主要植被类型为马尾松、柏木、桤木、芒萁、芒草、野青茅、水稻、玉米、油菜、蚕豆等。如果施工期施工人员对占地外的植被进行踩踏或碾压，有可能对占地范围外的植被产生影响。因此，施工期严格控制施工边界，禁止施工人员和施工机械出施工边界，以减少施工活动对植被的破坏。</w:t>
      </w:r>
    </w:p>
    <w:p>
      <w:pPr>
        <w:pStyle w:val="5"/>
        <w:rPr>
          <w:rFonts w:ascii="Times New Roman" w:hAnsi="Times New Roman"/>
        </w:rPr>
      </w:pPr>
      <w:r>
        <w:rPr>
          <w:rFonts w:ascii="Times New Roman" w:hAnsi="Times New Roman"/>
        </w:rPr>
        <w:t>对林地的影响分析</w:t>
      </w:r>
    </w:p>
    <w:p>
      <w:pPr>
        <w:ind w:firstLine="480"/>
        <w:rPr>
          <w:rFonts w:ascii="Times New Roman" w:hAnsi="Times New Roman"/>
          <w:szCs w:val="22"/>
        </w:rPr>
      </w:pPr>
      <w:r>
        <w:rPr>
          <w:rFonts w:ascii="Times New Roman" w:hAnsi="Times New Roman"/>
          <w:szCs w:val="22"/>
        </w:rPr>
        <w:t>本项目建设占用公益林47355.46m</w:t>
      </w:r>
      <w:r>
        <w:rPr>
          <w:rFonts w:ascii="Times New Roman" w:hAnsi="Times New Roman"/>
          <w:szCs w:val="22"/>
          <w:vertAlign w:val="superscript"/>
        </w:rPr>
        <w:t>2</w:t>
      </w:r>
      <w:r>
        <w:rPr>
          <w:rFonts w:ascii="Times New Roman" w:hAnsi="Times New Roman"/>
          <w:szCs w:val="22"/>
        </w:rPr>
        <w:t>，占用商品林73776.61m</w:t>
      </w:r>
      <w:r>
        <w:rPr>
          <w:rFonts w:ascii="Times New Roman" w:hAnsi="Times New Roman"/>
          <w:szCs w:val="22"/>
          <w:vertAlign w:val="superscript"/>
        </w:rPr>
        <w:t>2</w:t>
      </w:r>
      <w:r>
        <w:rPr>
          <w:rFonts w:ascii="Times New Roman" w:hAnsi="Times New Roman"/>
          <w:szCs w:val="22"/>
        </w:rPr>
        <w:t>，其中临时占用公益林地47265.46m</w:t>
      </w:r>
      <w:r>
        <w:rPr>
          <w:rFonts w:ascii="Times New Roman" w:hAnsi="Times New Roman"/>
          <w:szCs w:val="22"/>
          <w:vertAlign w:val="superscript"/>
        </w:rPr>
        <w:t>2</w:t>
      </w:r>
      <w:r>
        <w:rPr>
          <w:rFonts w:ascii="Times New Roman" w:hAnsi="Times New Roman"/>
          <w:szCs w:val="22"/>
        </w:rPr>
        <w:t>，商品林地65913.76m</w:t>
      </w:r>
      <w:r>
        <w:rPr>
          <w:rFonts w:ascii="Times New Roman" w:hAnsi="Times New Roman"/>
          <w:szCs w:val="22"/>
          <w:vertAlign w:val="superscript"/>
        </w:rPr>
        <w:t>2</w:t>
      </w:r>
      <w:r>
        <w:rPr>
          <w:rFonts w:ascii="Times New Roman" w:hAnsi="Times New Roman"/>
          <w:szCs w:val="22"/>
        </w:rPr>
        <w:t>。宣探清管站放空区永久占地占用90m</w:t>
      </w:r>
      <w:r>
        <w:rPr>
          <w:rFonts w:ascii="Times New Roman" w:hAnsi="Times New Roman"/>
          <w:szCs w:val="22"/>
          <w:vertAlign w:val="superscript"/>
        </w:rPr>
        <w:t>2</w:t>
      </w:r>
      <w:r>
        <w:rPr>
          <w:rFonts w:ascii="Times New Roman" w:hAnsi="Times New Roman"/>
          <w:szCs w:val="22"/>
        </w:rPr>
        <w:t>公益林，其他工程共占用商品林地7862.85m</w:t>
      </w:r>
      <w:r>
        <w:rPr>
          <w:rFonts w:ascii="Times New Roman" w:hAnsi="Times New Roman"/>
          <w:szCs w:val="22"/>
          <w:vertAlign w:val="superscript"/>
        </w:rPr>
        <w:t>2</w:t>
      </w:r>
      <w:r>
        <w:rPr>
          <w:rFonts w:ascii="Times New Roman" w:hAnsi="Times New Roman"/>
          <w:szCs w:val="22"/>
        </w:rPr>
        <w:t>。本项目林地占用情况统计见</w:t>
      </w:r>
      <w:r>
        <w:rPr>
          <w:rFonts w:ascii="Times New Roman" w:hAnsi="Times New Roman"/>
          <w:szCs w:val="22"/>
        </w:rPr>
        <w:fldChar w:fldCharType="begin"/>
      </w:r>
      <w:r>
        <w:rPr>
          <w:rFonts w:ascii="Times New Roman" w:hAnsi="Times New Roman"/>
          <w:szCs w:val="22"/>
        </w:rPr>
        <w:instrText xml:space="preserve"> REF _Ref155275344 \h  \* MERGEFORMAT </w:instrText>
      </w:r>
      <w:r>
        <w:rPr>
          <w:rFonts w:ascii="Times New Roman" w:hAnsi="Times New Roman"/>
          <w:szCs w:val="22"/>
        </w:rPr>
        <w:fldChar w:fldCharType="separate"/>
      </w:r>
      <w:r>
        <w:rPr>
          <w:rFonts w:ascii="Times New Roman" w:hAnsi="Times New Roman"/>
        </w:rPr>
        <w:t>表 6</w:t>
      </w:r>
      <w:r>
        <w:rPr>
          <w:rFonts w:ascii="Times New Roman" w:hAnsi="Times New Roman"/>
        </w:rPr>
        <w:noBreakHyphen/>
      </w:r>
      <w:r>
        <w:rPr>
          <w:rFonts w:ascii="Times New Roman" w:hAnsi="Times New Roman"/>
        </w:rPr>
        <w:t>36</w:t>
      </w:r>
      <w:r>
        <w:rPr>
          <w:rFonts w:ascii="Times New Roman" w:hAnsi="Times New Roman"/>
          <w:szCs w:val="22"/>
        </w:rPr>
        <w:fldChar w:fldCharType="end"/>
      </w:r>
      <w:r>
        <w:rPr>
          <w:rFonts w:ascii="Times New Roman" w:hAnsi="Times New Roman"/>
          <w:szCs w:val="22"/>
        </w:rPr>
        <w:t>。</w:t>
      </w:r>
    </w:p>
    <w:p>
      <w:pPr>
        <w:pStyle w:val="37"/>
        <w:rPr>
          <w:rFonts w:ascii="Times New Roman" w:hAnsi="Times New Roman" w:cs="Times New Roman"/>
        </w:rPr>
      </w:pPr>
      <w:bookmarkStart w:id="238" w:name="_Ref155275344"/>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36</w:t>
      </w:r>
      <w:r>
        <w:rPr>
          <w:rFonts w:ascii="Times New Roman" w:hAnsi="Times New Roman" w:cs="Times New Roman"/>
        </w:rPr>
        <w:fldChar w:fldCharType="end"/>
      </w:r>
      <w:bookmarkEnd w:id="238"/>
      <w:r>
        <w:rPr>
          <w:rFonts w:ascii="Times New Roman" w:hAnsi="Times New Roman" w:cs="Times New Roman"/>
        </w:rPr>
        <w:t>本项目林地占用情况统计表</w:t>
      </w:r>
    </w:p>
    <w:tbl>
      <w:tblPr>
        <w:tblStyle w:val="28"/>
        <w:tblW w:w="8478" w:type="dxa"/>
        <w:jc w:val="center"/>
        <w:tblLayout w:type="autofit"/>
        <w:tblCellMar>
          <w:top w:w="0" w:type="dxa"/>
          <w:left w:w="108" w:type="dxa"/>
          <w:bottom w:w="0" w:type="dxa"/>
          <w:right w:w="108" w:type="dxa"/>
        </w:tblCellMar>
      </w:tblPr>
      <w:tblGrid>
        <w:gridCol w:w="2383"/>
        <w:gridCol w:w="1417"/>
        <w:gridCol w:w="1341"/>
        <w:gridCol w:w="2120"/>
        <w:gridCol w:w="1217"/>
      </w:tblGrid>
      <w:tr>
        <w:tblPrEx>
          <w:tblCellMar>
            <w:top w:w="0" w:type="dxa"/>
            <w:left w:w="108" w:type="dxa"/>
            <w:bottom w:w="0" w:type="dxa"/>
            <w:right w:w="108" w:type="dxa"/>
          </w:tblCellMar>
        </w:tblPrEx>
        <w:trPr>
          <w:trHeight w:val="288" w:hRule="atLeast"/>
          <w:jc w:val="center"/>
        </w:trPr>
        <w:tc>
          <w:tcPr>
            <w:tcW w:w="238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工程类型</w:t>
            </w:r>
          </w:p>
        </w:tc>
        <w:tc>
          <w:tcPr>
            <w:tcW w:w="1417" w:type="dxa"/>
            <w:tcBorders>
              <w:top w:val="single" w:color="auto" w:sz="4" w:space="0"/>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公益林（m</w:t>
            </w:r>
            <w:r>
              <w:rPr>
                <w:rFonts w:ascii="Times New Roman" w:hAnsi="Times New Roman"/>
                <w:vertAlign w:val="superscript"/>
              </w:rPr>
              <w:t>2</w:t>
            </w:r>
            <w:r>
              <w:rPr>
                <w:rFonts w:ascii="Times New Roman" w:hAnsi="Times New Roman"/>
              </w:rPr>
              <w:t>）</w:t>
            </w:r>
          </w:p>
        </w:tc>
        <w:tc>
          <w:tcPr>
            <w:tcW w:w="1341" w:type="dxa"/>
            <w:tcBorders>
              <w:top w:val="single" w:color="auto" w:sz="4" w:space="0"/>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商品林（m</w:t>
            </w:r>
            <w:r>
              <w:rPr>
                <w:rFonts w:ascii="Times New Roman" w:hAnsi="Times New Roman"/>
                <w:vertAlign w:val="superscript"/>
              </w:rPr>
              <w:t>2</w:t>
            </w:r>
            <w:r>
              <w:rPr>
                <w:rFonts w:ascii="Times New Roman" w:hAnsi="Times New Roman"/>
              </w:rPr>
              <w:t>）</w:t>
            </w:r>
          </w:p>
        </w:tc>
        <w:tc>
          <w:tcPr>
            <w:tcW w:w="2120" w:type="dxa"/>
            <w:tcBorders>
              <w:top w:val="single" w:color="auto" w:sz="4" w:space="0"/>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植被类型</w:t>
            </w:r>
          </w:p>
        </w:tc>
        <w:tc>
          <w:tcPr>
            <w:tcW w:w="1217" w:type="dxa"/>
            <w:tcBorders>
              <w:top w:val="single" w:color="auto" w:sz="4" w:space="0"/>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占用类型</w:t>
            </w:r>
          </w:p>
        </w:tc>
      </w:tr>
      <w:tr>
        <w:tblPrEx>
          <w:tblCellMar>
            <w:top w:w="0" w:type="dxa"/>
            <w:left w:w="108" w:type="dxa"/>
            <w:bottom w:w="0" w:type="dxa"/>
            <w:right w:w="108" w:type="dxa"/>
          </w:tblCellMar>
        </w:tblPrEx>
        <w:trPr>
          <w:trHeight w:val="288" w:hRule="atLeast"/>
          <w:jc w:val="center"/>
        </w:trPr>
        <w:tc>
          <w:tcPr>
            <w:tcW w:w="238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宣探联络线</w:t>
            </w:r>
          </w:p>
        </w:tc>
        <w:tc>
          <w:tcPr>
            <w:tcW w:w="1417" w:type="dxa"/>
            <w:tcBorders>
              <w:top w:val="nil"/>
              <w:left w:val="nil"/>
              <w:bottom w:val="single" w:color="auto" w:sz="4" w:space="0"/>
              <w:right w:val="single" w:color="auto" w:sz="4" w:space="0"/>
            </w:tcBorders>
            <w:shd w:val="clear" w:color="auto" w:fill="auto"/>
            <w:noWrap/>
            <w:vAlign w:val="bottom"/>
          </w:tcPr>
          <w:p>
            <w:pPr>
              <w:pStyle w:val="39"/>
              <w:rPr>
                <w:rFonts w:ascii="Times New Roman" w:hAnsi="Times New Roman"/>
              </w:rPr>
            </w:pPr>
            <w:r>
              <w:rPr>
                <w:rFonts w:ascii="Times New Roman" w:hAnsi="Times New Roman"/>
                <w:sz w:val="22"/>
                <w:szCs w:val="22"/>
              </w:rPr>
              <w:t>/</w:t>
            </w:r>
          </w:p>
        </w:tc>
        <w:tc>
          <w:tcPr>
            <w:tcW w:w="1341" w:type="dxa"/>
            <w:tcBorders>
              <w:top w:val="nil"/>
              <w:left w:val="nil"/>
              <w:bottom w:val="single" w:color="auto" w:sz="4" w:space="0"/>
              <w:right w:val="single" w:color="auto" w:sz="4" w:space="0"/>
            </w:tcBorders>
            <w:shd w:val="clear" w:color="auto" w:fill="auto"/>
            <w:noWrap/>
            <w:vAlign w:val="bottom"/>
          </w:tcPr>
          <w:p>
            <w:pPr>
              <w:pStyle w:val="39"/>
              <w:rPr>
                <w:rFonts w:ascii="Times New Roman" w:hAnsi="Times New Roman"/>
              </w:rPr>
            </w:pPr>
            <w:r>
              <w:rPr>
                <w:rFonts w:ascii="Times New Roman" w:hAnsi="Times New Roman"/>
                <w:sz w:val="22"/>
                <w:szCs w:val="22"/>
              </w:rPr>
              <w:t>4043.2</w:t>
            </w:r>
          </w:p>
        </w:tc>
        <w:tc>
          <w:tcPr>
            <w:tcW w:w="212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乔木林地、灌木林地</w:t>
            </w:r>
          </w:p>
        </w:tc>
        <w:tc>
          <w:tcPr>
            <w:tcW w:w="1217" w:type="dxa"/>
            <w:vMerge w:val="restar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临时占用</w:t>
            </w:r>
          </w:p>
        </w:tc>
      </w:tr>
      <w:tr>
        <w:tblPrEx>
          <w:tblCellMar>
            <w:top w:w="0" w:type="dxa"/>
            <w:left w:w="108" w:type="dxa"/>
            <w:bottom w:w="0" w:type="dxa"/>
            <w:right w:w="108" w:type="dxa"/>
          </w:tblCellMar>
        </w:tblPrEx>
        <w:trPr>
          <w:trHeight w:val="288" w:hRule="atLeast"/>
          <w:jc w:val="center"/>
        </w:trPr>
        <w:tc>
          <w:tcPr>
            <w:tcW w:w="238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宣探集气支线</w:t>
            </w:r>
          </w:p>
        </w:tc>
        <w:tc>
          <w:tcPr>
            <w:tcW w:w="1417" w:type="dxa"/>
            <w:tcBorders>
              <w:top w:val="nil"/>
              <w:left w:val="nil"/>
              <w:bottom w:val="single" w:color="auto" w:sz="4" w:space="0"/>
              <w:right w:val="single" w:color="auto" w:sz="4" w:space="0"/>
            </w:tcBorders>
            <w:shd w:val="clear" w:color="auto" w:fill="auto"/>
            <w:noWrap/>
            <w:vAlign w:val="bottom"/>
          </w:tcPr>
          <w:p>
            <w:pPr>
              <w:pStyle w:val="39"/>
              <w:rPr>
                <w:rFonts w:ascii="Times New Roman" w:hAnsi="Times New Roman"/>
              </w:rPr>
            </w:pPr>
            <w:r>
              <w:rPr>
                <w:rFonts w:ascii="Times New Roman" w:hAnsi="Times New Roman"/>
                <w:sz w:val="22"/>
                <w:szCs w:val="22"/>
              </w:rPr>
              <w:t>4679.28</w:t>
            </w:r>
          </w:p>
        </w:tc>
        <w:tc>
          <w:tcPr>
            <w:tcW w:w="1341" w:type="dxa"/>
            <w:tcBorders>
              <w:top w:val="nil"/>
              <w:left w:val="nil"/>
              <w:bottom w:val="single" w:color="auto" w:sz="4" w:space="0"/>
              <w:right w:val="single" w:color="auto" w:sz="4" w:space="0"/>
            </w:tcBorders>
            <w:shd w:val="clear" w:color="auto" w:fill="auto"/>
            <w:noWrap/>
            <w:vAlign w:val="bottom"/>
          </w:tcPr>
          <w:p>
            <w:pPr>
              <w:pStyle w:val="39"/>
              <w:rPr>
                <w:rFonts w:ascii="Times New Roman" w:hAnsi="Times New Roman"/>
              </w:rPr>
            </w:pPr>
            <w:r>
              <w:rPr>
                <w:rFonts w:ascii="Times New Roman" w:hAnsi="Times New Roman"/>
                <w:sz w:val="22"/>
                <w:szCs w:val="22"/>
              </w:rPr>
              <w:t>13847.4</w:t>
            </w:r>
          </w:p>
        </w:tc>
        <w:tc>
          <w:tcPr>
            <w:tcW w:w="212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乔木林地</w:t>
            </w:r>
          </w:p>
        </w:tc>
        <w:tc>
          <w:tcPr>
            <w:tcW w:w="1217" w:type="dxa"/>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r>
      <w:tr>
        <w:tblPrEx>
          <w:tblCellMar>
            <w:top w:w="0" w:type="dxa"/>
            <w:left w:w="108" w:type="dxa"/>
            <w:bottom w:w="0" w:type="dxa"/>
            <w:right w:w="108" w:type="dxa"/>
          </w:tblCellMar>
        </w:tblPrEx>
        <w:trPr>
          <w:trHeight w:val="288" w:hRule="atLeast"/>
          <w:jc w:val="center"/>
        </w:trPr>
        <w:tc>
          <w:tcPr>
            <w:tcW w:w="238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宣探集气干线</w:t>
            </w:r>
          </w:p>
        </w:tc>
        <w:tc>
          <w:tcPr>
            <w:tcW w:w="1417" w:type="dxa"/>
            <w:tcBorders>
              <w:top w:val="nil"/>
              <w:left w:val="nil"/>
              <w:bottom w:val="single" w:color="auto" w:sz="4" w:space="0"/>
              <w:right w:val="single" w:color="auto" w:sz="4" w:space="0"/>
            </w:tcBorders>
            <w:shd w:val="clear" w:color="auto" w:fill="auto"/>
            <w:noWrap/>
            <w:vAlign w:val="bottom"/>
          </w:tcPr>
          <w:p>
            <w:pPr>
              <w:pStyle w:val="39"/>
              <w:rPr>
                <w:rFonts w:ascii="Times New Roman" w:hAnsi="Times New Roman"/>
              </w:rPr>
            </w:pPr>
            <w:r>
              <w:rPr>
                <w:rFonts w:ascii="Times New Roman" w:hAnsi="Times New Roman"/>
                <w:sz w:val="22"/>
                <w:szCs w:val="22"/>
              </w:rPr>
              <w:t>42586.18</w:t>
            </w:r>
          </w:p>
        </w:tc>
        <w:tc>
          <w:tcPr>
            <w:tcW w:w="1341" w:type="dxa"/>
            <w:tcBorders>
              <w:top w:val="nil"/>
              <w:left w:val="nil"/>
              <w:bottom w:val="single" w:color="auto" w:sz="4" w:space="0"/>
              <w:right w:val="single" w:color="auto" w:sz="4" w:space="0"/>
            </w:tcBorders>
            <w:shd w:val="clear" w:color="auto" w:fill="auto"/>
            <w:noWrap/>
            <w:vAlign w:val="bottom"/>
          </w:tcPr>
          <w:p>
            <w:pPr>
              <w:pStyle w:val="39"/>
              <w:rPr>
                <w:rFonts w:ascii="Times New Roman" w:hAnsi="Times New Roman"/>
              </w:rPr>
            </w:pPr>
            <w:r>
              <w:rPr>
                <w:rFonts w:ascii="Times New Roman" w:hAnsi="Times New Roman"/>
                <w:sz w:val="22"/>
                <w:szCs w:val="22"/>
              </w:rPr>
              <w:t>48023.16</w:t>
            </w:r>
          </w:p>
        </w:tc>
        <w:tc>
          <w:tcPr>
            <w:tcW w:w="212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乔木林地、灌木林地</w:t>
            </w:r>
          </w:p>
        </w:tc>
        <w:tc>
          <w:tcPr>
            <w:tcW w:w="1217" w:type="dxa"/>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r>
      <w:tr>
        <w:tblPrEx>
          <w:tblCellMar>
            <w:top w:w="0" w:type="dxa"/>
            <w:left w:w="108" w:type="dxa"/>
            <w:bottom w:w="0" w:type="dxa"/>
            <w:right w:w="108" w:type="dxa"/>
          </w:tblCellMar>
        </w:tblPrEx>
        <w:trPr>
          <w:trHeight w:val="288" w:hRule="atLeast"/>
          <w:jc w:val="center"/>
        </w:trPr>
        <w:tc>
          <w:tcPr>
            <w:tcW w:w="238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小计</w:t>
            </w:r>
          </w:p>
        </w:tc>
        <w:tc>
          <w:tcPr>
            <w:tcW w:w="1417" w:type="dxa"/>
            <w:tcBorders>
              <w:top w:val="nil"/>
              <w:left w:val="nil"/>
              <w:bottom w:val="single" w:color="auto" w:sz="4" w:space="0"/>
              <w:right w:val="single" w:color="auto" w:sz="4" w:space="0"/>
            </w:tcBorders>
            <w:shd w:val="clear" w:color="auto" w:fill="auto"/>
            <w:noWrap/>
            <w:vAlign w:val="bottom"/>
          </w:tcPr>
          <w:p>
            <w:pPr>
              <w:pStyle w:val="39"/>
              <w:rPr>
                <w:rFonts w:ascii="Times New Roman" w:hAnsi="Times New Roman"/>
              </w:rPr>
            </w:pPr>
            <w:r>
              <w:rPr>
                <w:rFonts w:ascii="Times New Roman" w:hAnsi="Times New Roman"/>
                <w:sz w:val="22"/>
                <w:szCs w:val="22"/>
              </w:rPr>
              <w:t>47265.46</w:t>
            </w:r>
          </w:p>
        </w:tc>
        <w:tc>
          <w:tcPr>
            <w:tcW w:w="1341" w:type="dxa"/>
            <w:tcBorders>
              <w:top w:val="nil"/>
              <w:left w:val="nil"/>
              <w:bottom w:val="single" w:color="auto" w:sz="4" w:space="0"/>
              <w:right w:val="single" w:color="auto" w:sz="4" w:space="0"/>
            </w:tcBorders>
            <w:shd w:val="clear" w:color="auto" w:fill="auto"/>
            <w:noWrap/>
            <w:vAlign w:val="bottom"/>
          </w:tcPr>
          <w:p>
            <w:pPr>
              <w:pStyle w:val="39"/>
              <w:rPr>
                <w:rFonts w:ascii="Times New Roman" w:hAnsi="Times New Roman"/>
              </w:rPr>
            </w:pPr>
            <w:r>
              <w:rPr>
                <w:rFonts w:ascii="Times New Roman" w:hAnsi="Times New Roman"/>
                <w:sz w:val="22"/>
                <w:szCs w:val="22"/>
              </w:rPr>
              <w:t>65913.76</w:t>
            </w:r>
          </w:p>
        </w:tc>
        <w:tc>
          <w:tcPr>
            <w:tcW w:w="212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1217" w:type="dxa"/>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r>
      <w:tr>
        <w:tblPrEx>
          <w:tblCellMar>
            <w:top w:w="0" w:type="dxa"/>
            <w:left w:w="108" w:type="dxa"/>
            <w:bottom w:w="0" w:type="dxa"/>
            <w:right w:w="108" w:type="dxa"/>
          </w:tblCellMar>
        </w:tblPrEx>
        <w:trPr>
          <w:trHeight w:val="288" w:hRule="atLeast"/>
          <w:jc w:val="center"/>
        </w:trPr>
        <w:tc>
          <w:tcPr>
            <w:tcW w:w="238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宣探阀室</w:t>
            </w:r>
          </w:p>
        </w:tc>
        <w:tc>
          <w:tcPr>
            <w:tcW w:w="1417"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1341"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600</w:t>
            </w:r>
          </w:p>
        </w:tc>
        <w:tc>
          <w:tcPr>
            <w:tcW w:w="212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乔木林地</w:t>
            </w:r>
          </w:p>
        </w:tc>
        <w:tc>
          <w:tcPr>
            <w:tcW w:w="1217" w:type="dxa"/>
            <w:vMerge w:val="restar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永久占用</w:t>
            </w:r>
          </w:p>
        </w:tc>
      </w:tr>
      <w:tr>
        <w:tblPrEx>
          <w:tblCellMar>
            <w:top w:w="0" w:type="dxa"/>
            <w:left w:w="108" w:type="dxa"/>
            <w:bottom w:w="0" w:type="dxa"/>
            <w:right w:w="108" w:type="dxa"/>
          </w:tblCellMar>
        </w:tblPrEx>
        <w:trPr>
          <w:trHeight w:val="288" w:hRule="atLeast"/>
          <w:jc w:val="center"/>
        </w:trPr>
        <w:tc>
          <w:tcPr>
            <w:tcW w:w="238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宣探阀室放空区</w:t>
            </w:r>
          </w:p>
        </w:tc>
        <w:tc>
          <w:tcPr>
            <w:tcW w:w="1417"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1341"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500</w:t>
            </w:r>
          </w:p>
        </w:tc>
        <w:tc>
          <w:tcPr>
            <w:tcW w:w="212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乔木林地</w:t>
            </w:r>
          </w:p>
        </w:tc>
        <w:tc>
          <w:tcPr>
            <w:tcW w:w="1217" w:type="dxa"/>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r>
      <w:tr>
        <w:tblPrEx>
          <w:tblCellMar>
            <w:top w:w="0" w:type="dxa"/>
            <w:left w:w="108" w:type="dxa"/>
            <w:bottom w:w="0" w:type="dxa"/>
            <w:right w:w="108" w:type="dxa"/>
          </w:tblCellMar>
        </w:tblPrEx>
        <w:trPr>
          <w:trHeight w:val="288" w:hRule="atLeast"/>
          <w:jc w:val="center"/>
        </w:trPr>
        <w:tc>
          <w:tcPr>
            <w:tcW w:w="238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宣探阀室进站道路</w:t>
            </w:r>
          </w:p>
        </w:tc>
        <w:tc>
          <w:tcPr>
            <w:tcW w:w="1417"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1341"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1133.45</w:t>
            </w:r>
          </w:p>
        </w:tc>
        <w:tc>
          <w:tcPr>
            <w:tcW w:w="212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乔木林地</w:t>
            </w:r>
          </w:p>
        </w:tc>
        <w:tc>
          <w:tcPr>
            <w:tcW w:w="1217" w:type="dxa"/>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r>
      <w:tr>
        <w:tblPrEx>
          <w:tblCellMar>
            <w:top w:w="0" w:type="dxa"/>
            <w:left w:w="108" w:type="dxa"/>
            <w:bottom w:w="0" w:type="dxa"/>
            <w:right w:w="108" w:type="dxa"/>
          </w:tblCellMar>
        </w:tblPrEx>
        <w:trPr>
          <w:trHeight w:val="288" w:hRule="atLeast"/>
          <w:jc w:val="center"/>
        </w:trPr>
        <w:tc>
          <w:tcPr>
            <w:tcW w:w="238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宣兴1井站</w:t>
            </w:r>
          </w:p>
        </w:tc>
        <w:tc>
          <w:tcPr>
            <w:tcW w:w="1417"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1341"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747</w:t>
            </w:r>
          </w:p>
        </w:tc>
        <w:tc>
          <w:tcPr>
            <w:tcW w:w="212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乔木林地</w:t>
            </w:r>
          </w:p>
        </w:tc>
        <w:tc>
          <w:tcPr>
            <w:tcW w:w="1217" w:type="dxa"/>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r>
      <w:tr>
        <w:tblPrEx>
          <w:tblCellMar>
            <w:top w:w="0" w:type="dxa"/>
            <w:left w:w="108" w:type="dxa"/>
            <w:bottom w:w="0" w:type="dxa"/>
            <w:right w:w="108" w:type="dxa"/>
          </w:tblCellMar>
        </w:tblPrEx>
        <w:trPr>
          <w:trHeight w:val="288" w:hRule="atLeast"/>
          <w:jc w:val="center"/>
        </w:trPr>
        <w:tc>
          <w:tcPr>
            <w:tcW w:w="238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宣兴1井站放空区</w:t>
            </w:r>
          </w:p>
        </w:tc>
        <w:tc>
          <w:tcPr>
            <w:tcW w:w="1417"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1341"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400</w:t>
            </w:r>
          </w:p>
        </w:tc>
        <w:tc>
          <w:tcPr>
            <w:tcW w:w="212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乔木林地</w:t>
            </w:r>
          </w:p>
        </w:tc>
        <w:tc>
          <w:tcPr>
            <w:tcW w:w="1217" w:type="dxa"/>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r>
      <w:tr>
        <w:tblPrEx>
          <w:tblCellMar>
            <w:top w:w="0" w:type="dxa"/>
            <w:left w:w="108" w:type="dxa"/>
            <w:bottom w:w="0" w:type="dxa"/>
            <w:right w:w="108" w:type="dxa"/>
          </w:tblCellMar>
        </w:tblPrEx>
        <w:trPr>
          <w:trHeight w:val="576" w:hRule="atLeast"/>
          <w:jc w:val="center"/>
        </w:trPr>
        <w:tc>
          <w:tcPr>
            <w:tcW w:w="238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宣兴1井站进站道路</w:t>
            </w:r>
          </w:p>
        </w:tc>
        <w:tc>
          <w:tcPr>
            <w:tcW w:w="1417"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1341"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1386.4</w:t>
            </w:r>
          </w:p>
        </w:tc>
        <w:tc>
          <w:tcPr>
            <w:tcW w:w="2120"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其中灌木林地925.4 m</w:t>
            </w:r>
            <w:r>
              <w:rPr>
                <w:rFonts w:ascii="Times New Roman" w:hAnsi="Times New Roman"/>
                <w:vertAlign w:val="superscript"/>
              </w:rPr>
              <w:t>2</w:t>
            </w:r>
            <w:r>
              <w:rPr>
                <w:rFonts w:ascii="Times New Roman" w:hAnsi="Times New Roman"/>
              </w:rPr>
              <w:t>，乔木林地461m</w:t>
            </w:r>
            <w:r>
              <w:rPr>
                <w:rFonts w:ascii="Times New Roman" w:hAnsi="Times New Roman"/>
                <w:vertAlign w:val="superscript"/>
              </w:rPr>
              <w:t>2</w:t>
            </w:r>
          </w:p>
        </w:tc>
        <w:tc>
          <w:tcPr>
            <w:tcW w:w="1217" w:type="dxa"/>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r>
      <w:tr>
        <w:tblPrEx>
          <w:tblCellMar>
            <w:top w:w="0" w:type="dxa"/>
            <w:left w:w="108" w:type="dxa"/>
            <w:bottom w:w="0" w:type="dxa"/>
            <w:right w:w="108" w:type="dxa"/>
          </w:tblCellMar>
        </w:tblPrEx>
        <w:trPr>
          <w:trHeight w:val="288" w:hRule="atLeast"/>
          <w:jc w:val="center"/>
        </w:trPr>
        <w:tc>
          <w:tcPr>
            <w:tcW w:w="238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宣探1井站放空区</w:t>
            </w:r>
          </w:p>
        </w:tc>
        <w:tc>
          <w:tcPr>
            <w:tcW w:w="1417"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1341"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255</w:t>
            </w:r>
          </w:p>
        </w:tc>
        <w:tc>
          <w:tcPr>
            <w:tcW w:w="212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乔木林地</w:t>
            </w:r>
          </w:p>
        </w:tc>
        <w:tc>
          <w:tcPr>
            <w:tcW w:w="1217" w:type="dxa"/>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r>
      <w:tr>
        <w:tblPrEx>
          <w:tblCellMar>
            <w:top w:w="0" w:type="dxa"/>
            <w:left w:w="108" w:type="dxa"/>
            <w:bottom w:w="0" w:type="dxa"/>
            <w:right w:w="108" w:type="dxa"/>
          </w:tblCellMar>
        </w:tblPrEx>
        <w:trPr>
          <w:trHeight w:val="288" w:hRule="atLeast"/>
          <w:jc w:val="center"/>
        </w:trPr>
        <w:tc>
          <w:tcPr>
            <w:tcW w:w="238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宣探清管站</w:t>
            </w:r>
          </w:p>
        </w:tc>
        <w:tc>
          <w:tcPr>
            <w:tcW w:w="1417"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1341"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2841</w:t>
            </w:r>
          </w:p>
        </w:tc>
        <w:tc>
          <w:tcPr>
            <w:tcW w:w="212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乔木林地</w:t>
            </w:r>
          </w:p>
        </w:tc>
        <w:tc>
          <w:tcPr>
            <w:tcW w:w="1217" w:type="dxa"/>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r>
      <w:tr>
        <w:tblPrEx>
          <w:tblCellMar>
            <w:top w:w="0" w:type="dxa"/>
            <w:left w:w="108" w:type="dxa"/>
            <w:bottom w:w="0" w:type="dxa"/>
            <w:right w:w="108" w:type="dxa"/>
          </w:tblCellMar>
        </w:tblPrEx>
        <w:trPr>
          <w:trHeight w:val="288" w:hRule="atLeast"/>
          <w:jc w:val="center"/>
        </w:trPr>
        <w:tc>
          <w:tcPr>
            <w:tcW w:w="238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宣探清管站放空区</w:t>
            </w:r>
          </w:p>
        </w:tc>
        <w:tc>
          <w:tcPr>
            <w:tcW w:w="1417"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90</w:t>
            </w:r>
          </w:p>
        </w:tc>
        <w:tc>
          <w:tcPr>
            <w:tcW w:w="1341"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212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乔木林地</w:t>
            </w:r>
          </w:p>
        </w:tc>
        <w:tc>
          <w:tcPr>
            <w:tcW w:w="1217" w:type="dxa"/>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r>
      <w:tr>
        <w:tblPrEx>
          <w:tblCellMar>
            <w:top w:w="0" w:type="dxa"/>
            <w:left w:w="108" w:type="dxa"/>
            <w:bottom w:w="0" w:type="dxa"/>
            <w:right w:w="108" w:type="dxa"/>
          </w:tblCellMar>
        </w:tblPrEx>
        <w:trPr>
          <w:trHeight w:val="288" w:hRule="atLeast"/>
          <w:jc w:val="center"/>
        </w:trPr>
        <w:tc>
          <w:tcPr>
            <w:tcW w:w="238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小计</w:t>
            </w:r>
          </w:p>
        </w:tc>
        <w:tc>
          <w:tcPr>
            <w:tcW w:w="1417"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90</w:t>
            </w:r>
          </w:p>
        </w:tc>
        <w:tc>
          <w:tcPr>
            <w:tcW w:w="1341"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7862.85</w:t>
            </w:r>
          </w:p>
        </w:tc>
        <w:tc>
          <w:tcPr>
            <w:tcW w:w="212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1217" w:type="dxa"/>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r>
      <w:tr>
        <w:tblPrEx>
          <w:tblCellMar>
            <w:top w:w="0" w:type="dxa"/>
            <w:left w:w="108" w:type="dxa"/>
            <w:bottom w:w="0" w:type="dxa"/>
            <w:right w:w="108" w:type="dxa"/>
          </w:tblCellMar>
        </w:tblPrEx>
        <w:trPr>
          <w:trHeight w:val="288" w:hRule="atLeast"/>
          <w:jc w:val="center"/>
        </w:trPr>
        <w:tc>
          <w:tcPr>
            <w:tcW w:w="2383" w:type="dxa"/>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合计</w:t>
            </w:r>
          </w:p>
        </w:tc>
        <w:tc>
          <w:tcPr>
            <w:tcW w:w="1417" w:type="dxa"/>
            <w:tcBorders>
              <w:top w:val="nil"/>
              <w:left w:val="nil"/>
              <w:bottom w:val="single" w:color="auto" w:sz="4" w:space="0"/>
              <w:right w:val="single" w:color="auto" w:sz="4" w:space="0"/>
            </w:tcBorders>
            <w:shd w:val="clear" w:color="auto" w:fill="auto"/>
            <w:noWrap/>
            <w:vAlign w:val="bottom"/>
          </w:tcPr>
          <w:p>
            <w:pPr>
              <w:pStyle w:val="39"/>
              <w:rPr>
                <w:rFonts w:ascii="Times New Roman" w:hAnsi="Times New Roman"/>
              </w:rPr>
            </w:pPr>
            <w:r>
              <w:rPr>
                <w:rFonts w:ascii="Times New Roman" w:hAnsi="Times New Roman"/>
                <w:sz w:val="22"/>
                <w:szCs w:val="22"/>
              </w:rPr>
              <w:t>47355.46</w:t>
            </w:r>
          </w:p>
        </w:tc>
        <w:tc>
          <w:tcPr>
            <w:tcW w:w="1341" w:type="dxa"/>
            <w:tcBorders>
              <w:top w:val="nil"/>
              <w:left w:val="nil"/>
              <w:bottom w:val="single" w:color="auto" w:sz="4" w:space="0"/>
              <w:right w:val="single" w:color="auto" w:sz="4" w:space="0"/>
            </w:tcBorders>
            <w:shd w:val="clear" w:color="auto" w:fill="auto"/>
            <w:noWrap/>
            <w:vAlign w:val="bottom"/>
          </w:tcPr>
          <w:p>
            <w:pPr>
              <w:pStyle w:val="39"/>
              <w:rPr>
                <w:rFonts w:ascii="Times New Roman" w:hAnsi="Times New Roman"/>
              </w:rPr>
            </w:pPr>
            <w:r>
              <w:rPr>
                <w:rFonts w:ascii="Times New Roman" w:hAnsi="Times New Roman"/>
                <w:sz w:val="22"/>
                <w:szCs w:val="22"/>
              </w:rPr>
              <w:t>73776.61</w:t>
            </w:r>
          </w:p>
        </w:tc>
        <w:tc>
          <w:tcPr>
            <w:tcW w:w="2120" w:type="dxa"/>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w:t>
            </w:r>
          </w:p>
        </w:tc>
        <w:tc>
          <w:tcPr>
            <w:tcW w:w="1217" w:type="dxa"/>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r>
    </w:tbl>
    <w:p>
      <w:pPr>
        <w:pStyle w:val="5"/>
        <w:rPr>
          <w:rFonts w:ascii="Times New Roman" w:hAnsi="Times New Roman"/>
        </w:rPr>
      </w:pPr>
      <w:r>
        <w:rPr>
          <w:rFonts w:ascii="Times New Roman" w:hAnsi="Times New Roman"/>
        </w:rPr>
        <w:t>生物量损失分析</w:t>
      </w:r>
    </w:p>
    <w:p>
      <w:pPr>
        <w:ind w:firstLine="480"/>
        <w:rPr>
          <w:rFonts w:ascii="Times New Roman" w:hAnsi="Times New Roman"/>
        </w:rPr>
      </w:pPr>
      <w:r>
        <w:rPr>
          <w:rFonts w:ascii="Times New Roman" w:hAnsi="Times New Roman"/>
        </w:rPr>
        <w:t>本项目所在区域属于山区，地貌形态起伏不平，评价区内地表植被覆盖率较高，植被类型以乔木林地、灌木林地为主。占地范围内植被主要为马尾松、柏木、桤木乔木，乌泡子、高粱泡，格药柃、斑竹等灌木，芒萁、芒草、野青茅等草本植物，水稻、玉米、油菜、蚕豆等农作物。</w:t>
      </w:r>
    </w:p>
    <w:p>
      <w:pPr>
        <w:ind w:firstLine="480"/>
        <w:rPr>
          <w:rFonts w:ascii="Times New Roman" w:hAnsi="Times New Roman"/>
        </w:rPr>
      </w:pPr>
      <w:r>
        <w:rPr>
          <w:rFonts w:ascii="Times New Roman" w:hAnsi="Times New Roman"/>
        </w:rPr>
        <w:t>本项目改变土地利用现状破坏的植被面积约为23.82hm</w:t>
      </w:r>
      <w:r>
        <w:rPr>
          <w:rFonts w:ascii="Times New Roman" w:hAnsi="Times New Roman"/>
          <w:vertAlign w:val="superscript"/>
        </w:rPr>
        <w:t>2</w:t>
      </w:r>
      <w:r>
        <w:rPr>
          <w:rFonts w:ascii="Times New Roman" w:hAnsi="Times New Roman"/>
        </w:rPr>
        <w:t>，主要为马尾松、柏木、桤木等乔木植物。</w:t>
      </w:r>
    </w:p>
    <w:p>
      <w:pPr>
        <w:ind w:firstLine="480"/>
        <w:rPr>
          <w:rFonts w:ascii="Times New Roman" w:hAnsi="Times New Roman"/>
        </w:rPr>
      </w:pPr>
      <w:r>
        <w:rPr>
          <w:rFonts w:ascii="Times New Roman" w:hAnsi="Times New Roman"/>
        </w:rPr>
        <w:t>植被生物量是指一定地段面积内植物群落在某一时期生存着的活的有机物质之重量（干重），以t/hm</w:t>
      </w:r>
      <w:r>
        <w:rPr>
          <w:rFonts w:ascii="Times New Roman" w:hAnsi="Times New Roman"/>
          <w:vertAlign w:val="superscript"/>
        </w:rPr>
        <w:t>2</w:t>
      </w:r>
      <w:r>
        <w:rPr>
          <w:rFonts w:ascii="Times New Roman" w:hAnsi="Times New Roman"/>
        </w:rPr>
        <w:t>表示。</w:t>
      </w:r>
    </w:p>
    <w:p>
      <w:pPr>
        <w:ind w:firstLine="3360" w:firstLineChars="1400"/>
        <w:rPr>
          <w:rFonts w:ascii="Times New Roman" w:hAnsi="Times New Roman"/>
        </w:rPr>
      </w:pPr>
      <m:oMathPara>
        <m:oMath>
          <m:sSub>
            <m:sSubPr>
              <m:ctrlPr>
                <w:rPr>
                  <w:rFonts w:ascii="Cambria Math" w:hAnsi="Cambria Math"/>
                  <w:i/>
                </w:rPr>
              </m:ctrlPr>
            </m:sSubPr>
            <m:e>
              <m:r>
                <m:rPr/>
                <w:rPr>
                  <w:rFonts w:ascii="Cambria Math" w:hAnsi="Cambria Math"/>
                </w:rPr>
                <m:t>C</m:t>
              </m:r>
              <m:ctrlPr>
                <w:rPr>
                  <w:rFonts w:ascii="Cambria Math" w:hAnsi="Cambria Math"/>
                  <w:i/>
                </w:rPr>
              </m:ctrlPr>
            </m:e>
            <m:sub>
              <m:r>
                <m:rPr/>
                <w:rPr>
                  <w:rFonts w:ascii="Cambria Math" w:hAnsi="Cambria Math"/>
                </w:rPr>
                <m:t>损</m:t>
              </m:r>
              <m:ctrlPr>
                <w:rPr>
                  <w:rFonts w:ascii="Cambria Math" w:hAnsi="Cambria Math"/>
                  <w:i/>
                </w:rPr>
              </m:ctrlPr>
            </m:sub>
          </m:sSub>
          <m:r>
            <m:rPr/>
            <w:rPr>
              <w:rFonts w:ascii="Cambria Math" w:hAnsi="Cambria Math"/>
            </w:rPr>
            <m:t>＝</m:t>
          </m:r>
          <m:nary>
            <m:naryPr>
              <m:chr m:val="∑"/>
              <m:subHide m:val="1"/>
              <m:supHide m:val="1"/>
              <m:ctrlPr>
                <w:rPr>
                  <w:rFonts w:ascii="Cambria Math" w:hAnsi="Cambria Math"/>
                  <w:i/>
                </w:rPr>
              </m:ctrlPr>
            </m:naryPr>
            <m:sub>
              <m:ctrlPr>
                <w:rPr>
                  <w:rFonts w:ascii="Cambria Math" w:hAnsi="Cambria Math"/>
                  <w:i/>
                </w:rPr>
              </m:ctrlPr>
            </m:sub>
            <m:sup>
              <m:ctrlPr>
                <w:rPr>
                  <w:rFonts w:ascii="Cambria Math" w:hAnsi="Cambria Math"/>
                  <w:i/>
                </w:rPr>
              </m:ctrlPr>
            </m:sup>
            <m:e>
              <m:sSub>
                <m:sSubPr>
                  <m:ctrlPr>
                    <w:rPr>
                      <w:rFonts w:ascii="Cambria Math" w:hAnsi="Cambria Math"/>
                      <w:i/>
                    </w:rPr>
                  </m:ctrlPr>
                </m:sSubPr>
                <m:e>
                  <m:r>
                    <m:rPr/>
                    <w:rPr>
                      <w:rFonts w:ascii="Cambria Math" w:hAnsi="Cambria Math"/>
                    </w:rPr>
                    <m:t>Q</m:t>
                  </m:r>
                  <m:ctrlPr>
                    <w:rPr>
                      <w:rFonts w:ascii="Cambria Math" w:hAnsi="Cambria Math"/>
                      <w:i/>
                    </w:rPr>
                  </m:ctrlPr>
                </m:e>
                <m:sub>
                  <m:r>
                    <m:rPr/>
                    <w:rPr>
                      <w:rFonts w:ascii="Cambria Math" w:hAnsi="Cambria Math"/>
                    </w:rPr>
                    <m:t>i</m:t>
                  </m:r>
                  <m:ctrlPr>
                    <w:rPr>
                      <w:rFonts w:ascii="Cambria Math" w:hAnsi="Cambria Math"/>
                      <w:i/>
                    </w:rPr>
                  </m:ctrlPr>
                </m:sub>
              </m:sSub>
              <m:r>
                <m:rPr/>
                <w:rPr>
                  <w:rFonts w:ascii="Cambria Math" w:hAnsi="Cambria Math" w:eastAsia="MS Gothic"/>
                </w:rPr>
                <m:t>⋅</m:t>
              </m:r>
              <m:sSub>
                <m:sSubPr>
                  <m:ctrlPr>
                    <w:rPr>
                      <w:rFonts w:ascii="Cambria Math" w:hAnsi="Cambria Math"/>
                      <w:i/>
                    </w:rPr>
                  </m:ctrlPr>
                </m:sSubPr>
                <m:e>
                  <m:r>
                    <m:rPr/>
                    <w:rPr>
                      <w:rFonts w:ascii="Cambria Math" w:hAnsi="Cambria Math"/>
                    </w:rPr>
                    <m:t>S</m:t>
                  </m:r>
                  <m:ctrlPr>
                    <w:rPr>
                      <w:rFonts w:ascii="Cambria Math" w:hAnsi="Cambria Math"/>
                      <w:i/>
                    </w:rPr>
                  </m:ctrlPr>
                </m:e>
                <m:sub>
                  <m:r>
                    <m:rPr/>
                    <w:rPr>
                      <w:rFonts w:ascii="Cambria Math" w:hAnsi="Cambria Math"/>
                    </w:rPr>
                    <m:t>i</m:t>
                  </m:r>
                  <m:ctrlPr>
                    <w:rPr>
                      <w:rFonts w:ascii="Cambria Math" w:hAnsi="Cambria Math"/>
                      <w:i/>
                    </w:rPr>
                  </m:ctrlPr>
                </m:sub>
              </m:sSub>
              <m:ctrlPr>
                <w:rPr>
                  <w:rFonts w:ascii="Cambria Math" w:hAnsi="Cambria Math"/>
                  <w:i/>
                </w:rPr>
              </m:ctrlPr>
            </m:e>
          </m:nary>
        </m:oMath>
      </m:oMathPara>
    </w:p>
    <w:p>
      <w:pPr>
        <w:ind w:firstLine="480"/>
        <w:rPr>
          <w:rFonts w:ascii="Times New Roman" w:hAnsi="Times New Roman"/>
        </w:rPr>
      </w:pPr>
      <w:r>
        <w:rPr>
          <w:rFonts w:ascii="Times New Roman" w:hAnsi="Times New Roman"/>
        </w:rPr>
        <w:t>式中：</w:t>
      </w:r>
    </w:p>
    <w:p>
      <w:pPr>
        <w:ind w:firstLine="480"/>
        <w:rPr>
          <w:rFonts w:ascii="Times New Roman" w:hAnsi="Times New Roman"/>
        </w:rPr>
      </w:pPr>
      <w:r>
        <w:rPr>
          <w:rFonts w:ascii="Times New Roman" w:hAnsi="Times New Roman"/>
        </w:rPr>
        <w:t>C</w:t>
      </w:r>
      <w:r>
        <w:rPr>
          <w:rFonts w:ascii="Times New Roman" w:hAnsi="Times New Roman"/>
          <w:vertAlign w:val="subscript"/>
        </w:rPr>
        <w:t>损</w:t>
      </w:r>
      <w:r>
        <w:rPr>
          <w:rFonts w:ascii="Times New Roman" w:hAnsi="Times New Roman"/>
        </w:rPr>
        <w:t>——总生物量损失值，kg；</w:t>
      </w:r>
    </w:p>
    <w:p>
      <w:pPr>
        <w:ind w:firstLine="480"/>
        <w:rPr>
          <w:rFonts w:ascii="Times New Roman" w:hAnsi="Times New Roman"/>
        </w:rPr>
      </w:pPr>
      <w:r>
        <w:rPr>
          <w:rFonts w:ascii="Times New Roman" w:hAnsi="Times New Roman"/>
        </w:rPr>
        <w:t>Q——第i种植被生物生产量，kg/hm</w:t>
      </w:r>
      <w:r>
        <w:rPr>
          <w:rFonts w:ascii="Times New Roman" w:hAnsi="Times New Roman"/>
          <w:vertAlign w:val="superscript"/>
        </w:rPr>
        <w:t>2</w:t>
      </w:r>
      <w:r>
        <w:rPr>
          <w:rFonts w:ascii="Times New Roman" w:hAnsi="Times New Roman"/>
        </w:rPr>
        <w:t>；</w:t>
      </w:r>
    </w:p>
    <w:p>
      <w:pPr>
        <w:ind w:firstLine="480"/>
        <w:rPr>
          <w:rFonts w:ascii="Times New Roman" w:hAnsi="Times New Roman"/>
        </w:rPr>
      </w:pPr>
      <w:r>
        <w:rPr>
          <w:rFonts w:ascii="Times New Roman" w:hAnsi="Times New Roman"/>
        </w:rPr>
        <w:t>S</w:t>
      </w:r>
      <w:r>
        <w:rPr>
          <w:rFonts w:ascii="Times New Roman" w:hAnsi="Times New Roman"/>
          <w:vertAlign w:val="subscript"/>
        </w:rPr>
        <w:t>i</w:t>
      </w:r>
      <w:r>
        <w:rPr>
          <w:rFonts w:ascii="Times New Roman" w:hAnsi="Times New Roman"/>
        </w:rPr>
        <w:t>——占用第i种植被的土地面积，hm</w:t>
      </w:r>
      <w:r>
        <w:rPr>
          <w:rFonts w:ascii="Times New Roman" w:hAnsi="Times New Roman"/>
          <w:vertAlign w:val="superscript"/>
        </w:rPr>
        <w:t>2</w:t>
      </w:r>
      <w:r>
        <w:rPr>
          <w:rFonts w:ascii="Times New Roman" w:hAnsi="Times New Roman"/>
        </w:rPr>
        <w:t>。</w:t>
      </w:r>
    </w:p>
    <w:p>
      <w:pPr>
        <w:ind w:firstLine="480"/>
        <w:rPr>
          <w:rFonts w:ascii="Times New Roman" w:hAnsi="Times New Roman"/>
        </w:rPr>
      </w:pPr>
      <w:r>
        <w:rPr>
          <w:rFonts w:ascii="Times New Roman" w:hAnsi="Times New Roman"/>
        </w:rPr>
        <w:t>根据生态学报《我国森林植被的生物量和净生产量》（1996年），单位乔木林地生物量取40.2t/hm</w:t>
      </w:r>
      <w:r>
        <w:rPr>
          <w:rFonts w:ascii="Times New Roman" w:hAnsi="Times New Roman"/>
          <w:vertAlign w:val="superscript"/>
        </w:rPr>
        <w:t>2</w:t>
      </w:r>
      <w:r>
        <w:rPr>
          <w:rFonts w:ascii="Times New Roman" w:hAnsi="Times New Roman"/>
        </w:rPr>
        <w:t>，灌木林地生物取值为19.76t/hm</w:t>
      </w:r>
      <w:r>
        <w:rPr>
          <w:rFonts w:ascii="Times New Roman" w:hAnsi="Times New Roman"/>
          <w:vertAlign w:val="superscript"/>
        </w:rPr>
        <w:t>2</w:t>
      </w:r>
      <w:r>
        <w:rPr>
          <w:rFonts w:ascii="Times New Roman" w:hAnsi="Times New Roman"/>
        </w:rPr>
        <w:t>；根据《中国草地植被生物量及其空间分布格局》（2004年），草本植被生物量取值6 t/hm</w:t>
      </w:r>
      <w:r>
        <w:rPr>
          <w:rFonts w:ascii="Times New Roman" w:hAnsi="Times New Roman"/>
          <w:vertAlign w:val="superscript"/>
        </w:rPr>
        <w:t>2</w:t>
      </w:r>
      <w:r>
        <w:rPr>
          <w:rFonts w:ascii="Times New Roman" w:hAnsi="Times New Roman"/>
        </w:rPr>
        <w:t>；农田植被生物量基数参考周边已有案例取值为10.5 t/hm</w:t>
      </w:r>
      <w:r>
        <w:rPr>
          <w:rFonts w:ascii="Times New Roman" w:hAnsi="Times New Roman"/>
          <w:vertAlign w:val="superscript"/>
        </w:rPr>
        <w:t>2</w:t>
      </w:r>
      <w:r>
        <w:rPr>
          <w:rFonts w:ascii="Times New Roman" w:hAnsi="Times New Roman"/>
        </w:rPr>
        <w:t>。经统计本项目永久占地生物量每年损失约54t。临时占地生物量损失586.2t。本项目生物量损失统计见</w:t>
      </w:r>
      <w:r>
        <w:rPr>
          <w:rFonts w:ascii="Times New Roman" w:hAnsi="Times New Roman"/>
        </w:rPr>
        <w:fldChar w:fldCharType="begin"/>
      </w:r>
      <w:r>
        <w:rPr>
          <w:rFonts w:ascii="Times New Roman" w:hAnsi="Times New Roman"/>
        </w:rPr>
        <w:instrText xml:space="preserve"> REF _Ref155347483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37</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239" w:name="_Ref15534748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37</w:t>
      </w:r>
      <w:r>
        <w:rPr>
          <w:rFonts w:ascii="Times New Roman" w:hAnsi="Times New Roman" w:cs="Times New Roman"/>
        </w:rPr>
        <w:fldChar w:fldCharType="end"/>
      </w:r>
      <w:bookmarkEnd w:id="239"/>
      <w:r>
        <w:rPr>
          <w:rFonts w:ascii="Times New Roman" w:hAnsi="Times New Roman" w:cs="Times New Roman"/>
        </w:rPr>
        <w:t>本项目生物量损失统计表</w:t>
      </w:r>
    </w:p>
    <w:tbl>
      <w:tblPr>
        <w:tblStyle w:val="28"/>
        <w:tblW w:w="5000" w:type="pct"/>
        <w:tblInd w:w="0" w:type="dxa"/>
        <w:tblLayout w:type="autofit"/>
        <w:tblCellMar>
          <w:top w:w="0" w:type="dxa"/>
          <w:left w:w="108" w:type="dxa"/>
          <w:bottom w:w="0" w:type="dxa"/>
          <w:right w:w="108" w:type="dxa"/>
        </w:tblCellMar>
      </w:tblPr>
      <w:tblGrid>
        <w:gridCol w:w="1243"/>
        <w:gridCol w:w="1560"/>
        <w:gridCol w:w="1832"/>
        <w:gridCol w:w="2471"/>
        <w:gridCol w:w="1416"/>
      </w:tblGrid>
      <w:tr>
        <w:tblPrEx>
          <w:tblCellMar>
            <w:top w:w="0" w:type="dxa"/>
            <w:left w:w="108" w:type="dxa"/>
            <w:bottom w:w="0" w:type="dxa"/>
            <w:right w:w="108" w:type="dxa"/>
          </w:tblCellMar>
        </w:tblPrEx>
        <w:trPr>
          <w:trHeight w:val="288" w:hRule="atLeast"/>
        </w:trPr>
        <w:tc>
          <w:tcPr>
            <w:tcW w:w="729"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占地类型</w:t>
            </w:r>
          </w:p>
        </w:tc>
        <w:tc>
          <w:tcPr>
            <w:tcW w:w="915" w:type="pct"/>
            <w:tcBorders>
              <w:top w:val="single" w:color="auto" w:sz="4" w:space="0"/>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植被类型</w:t>
            </w:r>
          </w:p>
        </w:tc>
        <w:tc>
          <w:tcPr>
            <w:tcW w:w="1075" w:type="pct"/>
            <w:tcBorders>
              <w:top w:val="single" w:color="auto" w:sz="4" w:space="0"/>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占用面积(hm</w:t>
            </w:r>
            <w:r>
              <w:rPr>
                <w:rFonts w:ascii="Times New Roman" w:hAnsi="Times New Roman"/>
                <w:vertAlign w:val="superscript"/>
              </w:rPr>
              <w:t>2</w:t>
            </w:r>
            <w:r>
              <w:rPr>
                <w:rFonts w:ascii="Times New Roman" w:hAnsi="Times New Roman"/>
              </w:rPr>
              <w:t>)</w:t>
            </w:r>
          </w:p>
        </w:tc>
        <w:tc>
          <w:tcPr>
            <w:tcW w:w="1450" w:type="pct"/>
            <w:tcBorders>
              <w:top w:val="single" w:color="auto" w:sz="4" w:space="0"/>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单位面积生物量(t/hm</w:t>
            </w:r>
            <w:r>
              <w:rPr>
                <w:rFonts w:ascii="Times New Roman" w:hAnsi="Times New Roman"/>
                <w:vertAlign w:val="superscript"/>
              </w:rPr>
              <w:t>2</w:t>
            </w:r>
            <w:r>
              <w:rPr>
                <w:rFonts w:ascii="Times New Roman" w:hAnsi="Times New Roman"/>
              </w:rPr>
              <w:t>)</w:t>
            </w:r>
          </w:p>
        </w:tc>
        <w:tc>
          <w:tcPr>
            <w:tcW w:w="831" w:type="pct"/>
            <w:tcBorders>
              <w:top w:val="single" w:color="auto" w:sz="4" w:space="0"/>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损失量（t）</w:t>
            </w:r>
          </w:p>
        </w:tc>
      </w:tr>
      <w:tr>
        <w:tblPrEx>
          <w:tblCellMar>
            <w:top w:w="0" w:type="dxa"/>
            <w:left w:w="108" w:type="dxa"/>
            <w:bottom w:w="0" w:type="dxa"/>
            <w:right w:w="108" w:type="dxa"/>
          </w:tblCellMar>
        </w:tblPrEx>
        <w:trPr>
          <w:trHeight w:val="288" w:hRule="atLeast"/>
        </w:trPr>
        <w:tc>
          <w:tcPr>
            <w:tcW w:w="729" w:type="pct"/>
            <w:vMerge w:val="restar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永久占地</w:t>
            </w:r>
          </w:p>
        </w:tc>
        <w:tc>
          <w:tcPr>
            <w:tcW w:w="91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乔木林地</w:t>
            </w:r>
          </w:p>
        </w:tc>
        <w:tc>
          <w:tcPr>
            <w:tcW w:w="107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0.69</w:t>
            </w:r>
          </w:p>
        </w:tc>
        <w:tc>
          <w:tcPr>
            <w:tcW w:w="1450"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40.2</w:t>
            </w:r>
          </w:p>
        </w:tc>
        <w:tc>
          <w:tcPr>
            <w:tcW w:w="8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27.89</w:t>
            </w:r>
          </w:p>
        </w:tc>
      </w:tr>
      <w:tr>
        <w:tblPrEx>
          <w:tblCellMar>
            <w:top w:w="0" w:type="dxa"/>
            <w:left w:w="108" w:type="dxa"/>
            <w:bottom w:w="0" w:type="dxa"/>
            <w:right w:w="108" w:type="dxa"/>
          </w:tblCellMar>
        </w:tblPrEx>
        <w:trPr>
          <w:trHeight w:val="288" w:hRule="atLeast"/>
        </w:trPr>
        <w:tc>
          <w:tcPr>
            <w:tcW w:w="729" w:type="pct"/>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c>
          <w:tcPr>
            <w:tcW w:w="91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灌木林地</w:t>
            </w:r>
          </w:p>
        </w:tc>
        <w:tc>
          <w:tcPr>
            <w:tcW w:w="107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0.09</w:t>
            </w:r>
          </w:p>
        </w:tc>
        <w:tc>
          <w:tcPr>
            <w:tcW w:w="1450"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19.76</w:t>
            </w:r>
          </w:p>
        </w:tc>
        <w:tc>
          <w:tcPr>
            <w:tcW w:w="8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1.83</w:t>
            </w:r>
          </w:p>
        </w:tc>
      </w:tr>
      <w:tr>
        <w:tblPrEx>
          <w:tblCellMar>
            <w:top w:w="0" w:type="dxa"/>
            <w:left w:w="108" w:type="dxa"/>
            <w:bottom w:w="0" w:type="dxa"/>
            <w:right w:w="108" w:type="dxa"/>
          </w:tblCellMar>
        </w:tblPrEx>
        <w:trPr>
          <w:trHeight w:val="288" w:hRule="atLeast"/>
        </w:trPr>
        <w:tc>
          <w:tcPr>
            <w:tcW w:w="729" w:type="pct"/>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c>
          <w:tcPr>
            <w:tcW w:w="91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草本</w:t>
            </w:r>
          </w:p>
        </w:tc>
        <w:tc>
          <w:tcPr>
            <w:tcW w:w="107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0.35</w:t>
            </w:r>
          </w:p>
        </w:tc>
        <w:tc>
          <w:tcPr>
            <w:tcW w:w="1450"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6</w:t>
            </w:r>
          </w:p>
        </w:tc>
        <w:tc>
          <w:tcPr>
            <w:tcW w:w="8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2.08</w:t>
            </w:r>
          </w:p>
        </w:tc>
      </w:tr>
      <w:tr>
        <w:tblPrEx>
          <w:tblCellMar>
            <w:top w:w="0" w:type="dxa"/>
            <w:left w:w="108" w:type="dxa"/>
            <w:bottom w:w="0" w:type="dxa"/>
            <w:right w:w="108" w:type="dxa"/>
          </w:tblCellMar>
        </w:tblPrEx>
        <w:trPr>
          <w:trHeight w:val="288" w:hRule="atLeast"/>
        </w:trPr>
        <w:tc>
          <w:tcPr>
            <w:tcW w:w="729" w:type="pct"/>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c>
          <w:tcPr>
            <w:tcW w:w="91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农用地</w:t>
            </w:r>
          </w:p>
        </w:tc>
        <w:tc>
          <w:tcPr>
            <w:tcW w:w="107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2.11</w:t>
            </w:r>
          </w:p>
        </w:tc>
        <w:tc>
          <w:tcPr>
            <w:tcW w:w="1450"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10.5</w:t>
            </w:r>
          </w:p>
        </w:tc>
        <w:tc>
          <w:tcPr>
            <w:tcW w:w="8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22.20</w:t>
            </w:r>
          </w:p>
        </w:tc>
      </w:tr>
      <w:tr>
        <w:tblPrEx>
          <w:tblCellMar>
            <w:top w:w="0" w:type="dxa"/>
            <w:left w:w="108" w:type="dxa"/>
            <w:bottom w:w="0" w:type="dxa"/>
            <w:right w:w="108" w:type="dxa"/>
          </w:tblCellMar>
        </w:tblPrEx>
        <w:trPr>
          <w:trHeight w:val="288" w:hRule="atLeast"/>
        </w:trPr>
        <w:tc>
          <w:tcPr>
            <w:tcW w:w="4169" w:type="pct"/>
            <w:gridSpan w:val="4"/>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小计</w:t>
            </w:r>
          </w:p>
        </w:tc>
        <w:tc>
          <w:tcPr>
            <w:tcW w:w="8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54.00</w:t>
            </w:r>
          </w:p>
        </w:tc>
      </w:tr>
      <w:tr>
        <w:tblPrEx>
          <w:tblCellMar>
            <w:top w:w="0" w:type="dxa"/>
            <w:left w:w="108" w:type="dxa"/>
            <w:bottom w:w="0" w:type="dxa"/>
            <w:right w:w="108" w:type="dxa"/>
          </w:tblCellMar>
        </w:tblPrEx>
        <w:trPr>
          <w:trHeight w:val="288" w:hRule="atLeast"/>
        </w:trPr>
        <w:tc>
          <w:tcPr>
            <w:tcW w:w="729" w:type="pct"/>
            <w:vMerge w:val="restart"/>
            <w:tcBorders>
              <w:top w:val="nil"/>
              <w:left w:val="single" w:color="auto" w:sz="4" w:space="0"/>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临时占地</w:t>
            </w:r>
          </w:p>
        </w:tc>
        <w:tc>
          <w:tcPr>
            <w:tcW w:w="91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乔木林地</w:t>
            </w:r>
          </w:p>
        </w:tc>
        <w:tc>
          <w:tcPr>
            <w:tcW w:w="107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10.33</w:t>
            </w:r>
          </w:p>
        </w:tc>
        <w:tc>
          <w:tcPr>
            <w:tcW w:w="1450"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40.2</w:t>
            </w:r>
          </w:p>
        </w:tc>
        <w:tc>
          <w:tcPr>
            <w:tcW w:w="8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445.82</w:t>
            </w:r>
          </w:p>
        </w:tc>
      </w:tr>
      <w:tr>
        <w:tblPrEx>
          <w:tblCellMar>
            <w:top w:w="0" w:type="dxa"/>
            <w:left w:w="108" w:type="dxa"/>
            <w:bottom w:w="0" w:type="dxa"/>
            <w:right w:w="108" w:type="dxa"/>
          </w:tblCellMar>
        </w:tblPrEx>
        <w:trPr>
          <w:trHeight w:val="288" w:hRule="atLeast"/>
        </w:trPr>
        <w:tc>
          <w:tcPr>
            <w:tcW w:w="729" w:type="pct"/>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c>
          <w:tcPr>
            <w:tcW w:w="91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灌丛</w:t>
            </w:r>
          </w:p>
        </w:tc>
        <w:tc>
          <w:tcPr>
            <w:tcW w:w="107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0.08</w:t>
            </w:r>
          </w:p>
        </w:tc>
        <w:tc>
          <w:tcPr>
            <w:tcW w:w="1450"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19.76</w:t>
            </w:r>
          </w:p>
        </w:tc>
        <w:tc>
          <w:tcPr>
            <w:tcW w:w="8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4.47</w:t>
            </w:r>
          </w:p>
        </w:tc>
      </w:tr>
      <w:tr>
        <w:tblPrEx>
          <w:tblCellMar>
            <w:top w:w="0" w:type="dxa"/>
            <w:left w:w="108" w:type="dxa"/>
            <w:bottom w:w="0" w:type="dxa"/>
            <w:right w:w="108" w:type="dxa"/>
          </w:tblCellMar>
        </w:tblPrEx>
        <w:trPr>
          <w:trHeight w:val="288" w:hRule="atLeast"/>
        </w:trPr>
        <w:tc>
          <w:tcPr>
            <w:tcW w:w="729" w:type="pct"/>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c>
          <w:tcPr>
            <w:tcW w:w="91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草本</w:t>
            </w:r>
          </w:p>
        </w:tc>
        <w:tc>
          <w:tcPr>
            <w:tcW w:w="107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5.16</w:t>
            </w:r>
          </w:p>
        </w:tc>
        <w:tc>
          <w:tcPr>
            <w:tcW w:w="1450"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6</w:t>
            </w:r>
          </w:p>
        </w:tc>
        <w:tc>
          <w:tcPr>
            <w:tcW w:w="8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33.27</w:t>
            </w:r>
          </w:p>
        </w:tc>
      </w:tr>
      <w:tr>
        <w:tblPrEx>
          <w:tblCellMar>
            <w:top w:w="0" w:type="dxa"/>
            <w:left w:w="108" w:type="dxa"/>
            <w:bottom w:w="0" w:type="dxa"/>
            <w:right w:w="108" w:type="dxa"/>
          </w:tblCellMar>
        </w:tblPrEx>
        <w:trPr>
          <w:trHeight w:val="288" w:hRule="atLeast"/>
        </w:trPr>
        <w:tc>
          <w:tcPr>
            <w:tcW w:w="729" w:type="pct"/>
            <w:vMerge w:val="continue"/>
            <w:tcBorders>
              <w:top w:val="nil"/>
              <w:left w:val="single" w:color="auto" w:sz="4" w:space="0"/>
              <w:bottom w:val="single" w:color="auto" w:sz="4" w:space="0"/>
              <w:right w:val="single" w:color="auto" w:sz="4" w:space="0"/>
            </w:tcBorders>
            <w:vAlign w:val="center"/>
          </w:tcPr>
          <w:p>
            <w:pPr>
              <w:pStyle w:val="39"/>
              <w:rPr>
                <w:rFonts w:ascii="Times New Roman" w:hAnsi="Times New Roman"/>
              </w:rPr>
            </w:pPr>
          </w:p>
        </w:tc>
        <w:tc>
          <w:tcPr>
            <w:tcW w:w="91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农用地</w:t>
            </w:r>
          </w:p>
        </w:tc>
        <w:tc>
          <w:tcPr>
            <w:tcW w:w="1075"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7.92</w:t>
            </w:r>
          </w:p>
        </w:tc>
        <w:tc>
          <w:tcPr>
            <w:tcW w:w="1450"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10.5</w:t>
            </w:r>
          </w:p>
        </w:tc>
        <w:tc>
          <w:tcPr>
            <w:tcW w:w="8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sz w:val="22"/>
                <w:szCs w:val="22"/>
              </w:rPr>
              <w:t>84.64</w:t>
            </w:r>
          </w:p>
        </w:tc>
      </w:tr>
      <w:tr>
        <w:tblPrEx>
          <w:tblCellMar>
            <w:top w:w="0" w:type="dxa"/>
            <w:left w:w="108" w:type="dxa"/>
            <w:bottom w:w="0" w:type="dxa"/>
            <w:right w:w="108" w:type="dxa"/>
          </w:tblCellMar>
        </w:tblPrEx>
        <w:trPr>
          <w:trHeight w:val="288" w:hRule="atLeast"/>
        </w:trPr>
        <w:tc>
          <w:tcPr>
            <w:tcW w:w="4169" w:type="pct"/>
            <w:gridSpan w:val="4"/>
            <w:tcBorders>
              <w:top w:val="nil"/>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小计</w:t>
            </w:r>
          </w:p>
        </w:tc>
        <w:tc>
          <w:tcPr>
            <w:tcW w:w="8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568.2</w:t>
            </w:r>
          </w:p>
        </w:tc>
      </w:tr>
      <w:tr>
        <w:tblPrEx>
          <w:tblCellMar>
            <w:top w:w="0" w:type="dxa"/>
            <w:left w:w="108" w:type="dxa"/>
            <w:bottom w:w="0" w:type="dxa"/>
            <w:right w:w="108" w:type="dxa"/>
          </w:tblCellMar>
        </w:tblPrEx>
        <w:trPr>
          <w:trHeight w:val="288" w:hRule="atLeast"/>
        </w:trPr>
        <w:tc>
          <w:tcPr>
            <w:tcW w:w="4169" w:type="pct"/>
            <w:gridSpan w:val="4"/>
            <w:tcBorders>
              <w:top w:val="single" w:color="auto" w:sz="4" w:space="0"/>
              <w:left w:val="single" w:color="auto" w:sz="4" w:space="0"/>
              <w:bottom w:val="single" w:color="auto" w:sz="4" w:space="0"/>
              <w:right w:val="single" w:color="000000" w:sz="4" w:space="0"/>
            </w:tcBorders>
            <w:shd w:val="clear" w:color="auto" w:fill="auto"/>
            <w:noWrap/>
            <w:vAlign w:val="center"/>
          </w:tcPr>
          <w:p>
            <w:pPr>
              <w:pStyle w:val="39"/>
              <w:rPr>
                <w:rFonts w:ascii="Times New Roman" w:hAnsi="Times New Roman"/>
              </w:rPr>
            </w:pPr>
            <w:r>
              <w:rPr>
                <w:rFonts w:ascii="Times New Roman" w:hAnsi="Times New Roman"/>
              </w:rPr>
              <w:t>合计</w:t>
            </w:r>
          </w:p>
        </w:tc>
        <w:tc>
          <w:tcPr>
            <w:tcW w:w="831" w:type="pct"/>
            <w:tcBorders>
              <w:top w:val="nil"/>
              <w:left w:val="nil"/>
              <w:bottom w:val="single" w:color="auto" w:sz="4" w:space="0"/>
              <w:right w:val="single" w:color="auto" w:sz="4" w:space="0"/>
            </w:tcBorders>
            <w:shd w:val="clear" w:color="auto" w:fill="auto"/>
            <w:noWrap/>
            <w:vAlign w:val="center"/>
          </w:tcPr>
          <w:p>
            <w:pPr>
              <w:pStyle w:val="39"/>
              <w:rPr>
                <w:rFonts w:ascii="Times New Roman" w:hAnsi="Times New Roman"/>
              </w:rPr>
            </w:pPr>
            <w:r>
              <w:rPr>
                <w:rFonts w:ascii="Times New Roman" w:hAnsi="Times New Roman"/>
              </w:rPr>
              <w:t>622.2</w:t>
            </w:r>
          </w:p>
        </w:tc>
      </w:tr>
    </w:tbl>
    <w:p>
      <w:pPr>
        <w:pStyle w:val="5"/>
        <w:rPr>
          <w:rFonts w:ascii="Times New Roman" w:hAnsi="Times New Roman"/>
        </w:rPr>
      </w:pPr>
      <w:r>
        <w:rPr>
          <w:rFonts w:ascii="Times New Roman" w:hAnsi="Times New Roman"/>
        </w:rPr>
        <w:t>对古树名木的影响分析</w:t>
      </w:r>
    </w:p>
    <w:p>
      <w:pPr>
        <w:ind w:firstLine="480"/>
        <w:rPr>
          <w:rFonts w:ascii="Times New Roman" w:hAnsi="Times New Roman"/>
        </w:rPr>
      </w:pPr>
      <w:r>
        <w:rPr>
          <w:rFonts w:ascii="Times New Roman" w:hAnsi="Times New Roman"/>
        </w:rPr>
        <w:t>本项目管道距离五道口村古树133m管线与古树之间有约20m 宽沟阻隔距离铁尖村古树 125m，古树位置高程高于管线位置 8m左右。本项目施工带宽12-16m，施工边界距离古树的距离分别约为125m和117m，管沟开挖深度约1.7m，地下水埋深 0.4-0.8m，区域风化裂隙水单位涌水量 0.007~0.014L/s·m，施工过程地下水疏干影响半径&lt;10m，且有沟壑阳隔或古树地势较高，同时古树为柏树乔木，根系直径可达10-18m。综上，本项目管道施工不会对评价范围内的两棵古树造成直接影响。</w:t>
      </w:r>
    </w:p>
    <w:p>
      <w:pPr>
        <w:pStyle w:val="5"/>
        <w:rPr>
          <w:rFonts w:ascii="Times New Roman" w:hAnsi="Times New Roman"/>
        </w:rPr>
      </w:pPr>
      <w:r>
        <w:rPr>
          <w:rFonts w:ascii="Times New Roman" w:hAnsi="Times New Roman"/>
        </w:rPr>
        <w:t>对野生动物影响分析</w:t>
      </w:r>
    </w:p>
    <w:p>
      <w:pPr>
        <w:ind w:firstLine="480"/>
        <w:rPr>
          <w:rFonts w:ascii="Times New Roman" w:hAnsi="Times New Roman"/>
        </w:rPr>
      </w:pPr>
      <w:r>
        <w:rPr>
          <w:rFonts w:ascii="Times New Roman" w:hAnsi="Times New Roman"/>
        </w:rPr>
        <w:t>施工过程中，井场、清管站、阀室、放空区、进站道路建设等各种机械设备的噪声将使原来栖息在占地范围内及周边的各种野生动物（以爬行类、啮齿类和常见鸟类为主）受到惊吓而迁移至别处安身。但本项目占地范围有限，相对于当地野生动物的栖息地来说，比例极小，随着施工的结束，影响也随之消失，因此对于野生动物的栖息地来说不会产生大的影响。</w:t>
      </w:r>
    </w:p>
    <w:p>
      <w:pPr>
        <w:ind w:firstLine="480"/>
        <w:rPr>
          <w:rFonts w:ascii="Times New Roman" w:hAnsi="Times New Roman"/>
        </w:rPr>
      </w:pPr>
      <w:r>
        <w:rPr>
          <w:rFonts w:ascii="Times New Roman" w:hAnsi="Times New Roman"/>
        </w:rPr>
        <w:t>项目施工噪声及运输车辆噪声，通过选用选用低噪设备、限度行驶等措施控制噪声对周围声环境的影响。项目地表施工时间较短，因此，项目产生的噪声不会对野生动物产生明显的不良影响。</w:t>
      </w:r>
    </w:p>
    <w:p>
      <w:pPr>
        <w:pStyle w:val="5"/>
        <w:rPr>
          <w:rFonts w:ascii="Times New Roman" w:hAnsi="Times New Roman"/>
        </w:rPr>
      </w:pPr>
      <w:r>
        <w:rPr>
          <w:rFonts w:ascii="Times New Roman" w:hAnsi="Times New Roman"/>
        </w:rPr>
        <w:t>对水生生态的影响分析</w:t>
      </w:r>
    </w:p>
    <w:p>
      <w:pPr>
        <w:ind w:firstLine="480"/>
        <w:rPr>
          <w:rFonts w:ascii="Times New Roman" w:hAnsi="Times New Roman"/>
        </w:rPr>
      </w:pPr>
      <w:r>
        <w:rPr>
          <w:rFonts w:ascii="Times New Roman" w:hAnsi="Times New Roman"/>
        </w:rPr>
        <w:t>本项目集输管道穿越清溪河采用开挖的方式穿越，在枯水期进行施工，根据历年观测，枯水期水面宽约6～7m，水深小于1m。施工采用半围堰方式施工，施工现场图见</w:t>
      </w:r>
      <w:r>
        <w:rPr>
          <w:rFonts w:ascii="Times New Roman" w:hAnsi="Times New Roman"/>
        </w:rPr>
        <w:fldChar w:fldCharType="begin"/>
      </w:r>
      <w:r>
        <w:rPr>
          <w:rFonts w:ascii="Times New Roman" w:hAnsi="Times New Roman"/>
        </w:rPr>
        <w:instrText xml:space="preserve"> REF _Ref161128167 \h  \* MERGEFORMAT </w:instrText>
      </w:r>
      <w:r>
        <w:rPr>
          <w:rFonts w:ascii="Times New Roman" w:hAnsi="Times New Roman"/>
        </w:rPr>
        <w:fldChar w:fldCharType="separate"/>
      </w:r>
      <w:r>
        <w:rPr>
          <w:rFonts w:ascii="Times New Roman" w:hAnsi="Times New Roman"/>
        </w:rPr>
        <w:t>图 6</w:t>
      </w:r>
      <w:r>
        <w:rPr>
          <w:rFonts w:ascii="Times New Roman" w:hAnsi="Times New Roman"/>
        </w:rPr>
        <w:noBreakHyphen/>
      </w:r>
      <w:r>
        <w:rPr>
          <w:rFonts w:ascii="Times New Roman" w:hAnsi="Times New Roman"/>
        </w:rPr>
        <w:t>19</w:t>
      </w:r>
      <w:r>
        <w:rPr>
          <w:rFonts w:ascii="Times New Roman" w:hAnsi="Times New Roman"/>
        </w:rPr>
        <w:fldChar w:fldCharType="end"/>
      </w:r>
      <w:r>
        <w:rPr>
          <w:rFonts w:ascii="Times New Roman" w:hAnsi="Times New Roman"/>
        </w:rPr>
        <w:t>。施工时长约15天。</w:t>
      </w:r>
    </w:p>
    <w:p>
      <w:pPr>
        <w:ind w:firstLine="0" w:firstLineChars="0"/>
        <w:jc w:val="center"/>
        <w:rPr>
          <w:rFonts w:ascii="Times New Roman" w:hAnsi="Times New Roman"/>
        </w:rPr>
      </w:pPr>
      <w:r>
        <w:rPr>
          <w:rFonts w:ascii="Times New Roman" w:hAnsi="Times New Roman"/>
        </w:rPr>
        <w:drawing>
          <wp:inline distT="0" distB="0" distL="0" distR="0">
            <wp:extent cx="3668395" cy="2604770"/>
            <wp:effectExtent l="0" t="0" r="0" b="0"/>
            <wp:docPr id="286257280" name="图片 286257280" descr="说明: 说明: 说明: 说明: QQ截图2012101615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257280" name="图片 286257280" descr="说明: 说明: 说明: 说明: QQ截图2012101615480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3668395" cy="2604770"/>
                    </a:xfrm>
                    <a:prstGeom prst="rect">
                      <a:avLst/>
                    </a:prstGeom>
                    <a:noFill/>
                    <a:ln>
                      <a:noFill/>
                    </a:ln>
                  </pic:spPr>
                </pic:pic>
              </a:graphicData>
            </a:graphic>
          </wp:inline>
        </w:drawing>
      </w:r>
    </w:p>
    <w:p>
      <w:pPr>
        <w:pStyle w:val="37"/>
        <w:rPr>
          <w:rFonts w:ascii="Times New Roman" w:hAnsi="Times New Roman" w:cs="Times New Roman"/>
        </w:rPr>
      </w:pPr>
      <w:bookmarkStart w:id="240" w:name="_Ref161128167"/>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19</w:t>
      </w:r>
      <w:r>
        <w:rPr>
          <w:rFonts w:ascii="Times New Roman" w:hAnsi="Times New Roman" w:cs="Times New Roman"/>
        </w:rPr>
        <w:fldChar w:fldCharType="end"/>
      </w:r>
      <w:bookmarkEnd w:id="240"/>
      <w:r>
        <w:rPr>
          <w:rFonts w:ascii="Times New Roman" w:hAnsi="Times New Roman" w:cs="Times New Roman"/>
        </w:rPr>
        <w:t xml:space="preserve">  半围堰施工开挖管沟法施工现场图</w:t>
      </w:r>
    </w:p>
    <w:p>
      <w:pPr>
        <w:ind w:firstLine="480"/>
        <w:rPr>
          <w:rFonts w:ascii="Times New Roman" w:hAnsi="Times New Roman"/>
        </w:rPr>
      </w:pPr>
      <w:r>
        <w:rPr>
          <w:rFonts w:ascii="Times New Roman" w:hAnsi="Times New Roman"/>
        </w:rPr>
        <w:t>根据调查，项目河段无国家保护的珍稀鱼类和洄游性鱼类，且该河段鱼类的品种在评价范围其他流域均有分布，就生物的多样性而言，项目的运行不会导致其生物多样性的变化，对渔业资源的影响较小。在施工期管道开挖施工过程中，围堰内水域水环境和底质环境被破坏，但仅限于围堰内，对围堰外的水质和水生生态环境影响较小，因此不会对水生生物群落造成影响。另外开挖穿越施工期短，施工期间通过加强环境管理，选择枯水季节施工，因此不会对穿越段及下游水质造成较大影响。</w:t>
      </w:r>
    </w:p>
    <w:p>
      <w:pPr>
        <w:ind w:firstLine="480"/>
        <w:rPr>
          <w:rFonts w:ascii="Times New Roman" w:hAnsi="Times New Roman"/>
        </w:rPr>
      </w:pPr>
      <w:r>
        <w:rPr>
          <w:rFonts w:ascii="Times New Roman" w:hAnsi="Times New Roman"/>
        </w:rPr>
        <w:t>施工期结束后，由施工产生的扰动、以及产生的固废气和噪音也会相应消失，河段内的水生生物均会得到一定的恢复。工程完工后，原有的水生生态环境不会发生明显变化，加之后期人为对其进行修复，流域里的鱼种类、数量也不会产生明显变化。</w:t>
      </w:r>
    </w:p>
    <w:p>
      <w:pPr>
        <w:pStyle w:val="5"/>
        <w:rPr>
          <w:rFonts w:ascii="Times New Roman" w:hAnsi="Times New Roman"/>
        </w:rPr>
      </w:pPr>
      <w:r>
        <w:rPr>
          <w:rFonts w:ascii="Times New Roman" w:hAnsi="Times New Roman"/>
        </w:rPr>
        <w:t>对农业的影响分析</w:t>
      </w:r>
    </w:p>
    <w:p>
      <w:pPr>
        <w:ind w:firstLine="480"/>
        <w:rPr>
          <w:rFonts w:ascii="Times New Roman" w:hAnsi="Times New Roman"/>
        </w:rPr>
      </w:pPr>
      <w:r>
        <w:rPr>
          <w:rFonts w:ascii="Times New Roman" w:hAnsi="Times New Roman"/>
        </w:rPr>
        <w:t>根据《中华人民共和国土地管理法》“各省、自治区、直辖市划定的基本农田应当占本行政区域内耕地的80%以上”算，临时占用农用地8.06hm</w:t>
      </w:r>
      <w:r>
        <w:rPr>
          <w:rFonts w:ascii="Times New Roman" w:hAnsi="Times New Roman"/>
          <w:vertAlign w:val="superscript"/>
        </w:rPr>
        <w:t>2</w:t>
      </w:r>
      <w:r>
        <w:rPr>
          <w:rFonts w:ascii="Times New Roman" w:hAnsi="Times New Roman"/>
        </w:rPr>
        <w:t>，其中占用永久基本农田6.45hm</w:t>
      </w:r>
      <w:r>
        <w:rPr>
          <w:rFonts w:ascii="Times New Roman" w:hAnsi="Times New Roman"/>
          <w:vertAlign w:val="superscript"/>
        </w:rPr>
        <w:t>2</w:t>
      </w:r>
      <w:r>
        <w:rPr>
          <w:rFonts w:ascii="Times New Roman" w:hAnsi="Times New Roman"/>
        </w:rPr>
        <w:t>。</w:t>
      </w:r>
    </w:p>
    <w:p>
      <w:pPr>
        <w:ind w:firstLine="480"/>
        <w:jc w:val="both"/>
        <w:rPr>
          <w:rFonts w:ascii="Times New Roman" w:hAnsi="Times New Roman"/>
        </w:rPr>
      </w:pPr>
      <w:r>
        <w:rPr>
          <w:rFonts w:ascii="Times New Roman" w:hAnsi="Times New Roman"/>
        </w:rPr>
        <w:t>本项目对基本农田的影响为管道施工临时占地对农业生产的影响，主要表现为耽误一季农作物生产，二季农作物减产，这种影响是暂时的。</w:t>
      </w:r>
    </w:p>
    <w:p>
      <w:pPr>
        <w:pStyle w:val="5"/>
        <w:rPr>
          <w:rFonts w:ascii="Times New Roman" w:hAnsi="Times New Roman"/>
        </w:rPr>
      </w:pPr>
      <w:r>
        <w:rPr>
          <w:rFonts w:ascii="Times New Roman" w:hAnsi="Times New Roman"/>
        </w:rPr>
        <w:t>水土流失影响分析</w:t>
      </w:r>
    </w:p>
    <w:p>
      <w:pPr>
        <w:ind w:firstLine="480"/>
        <w:rPr>
          <w:rFonts w:ascii="Times New Roman" w:hAnsi="Times New Roman"/>
        </w:rPr>
      </w:pPr>
      <w:r>
        <w:rPr>
          <w:rFonts w:ascii="Times New Roman" w:hAnsi="Times New Roman"/>
        </w:rPr>
        <w:t>项目所在区域属于川东典型的山地丘陵地形，沟壑众多，以水力侵蚀为主，兼有重力侵蚀等。侵蚀表现形式为面蚀和沟蚀，土壤侵蚀强度为微度水力侵蚀、中度水力侵蚀、强度水力侵蚀、极强度水力侵蚀。</w:t>
      </w:r>
    </w:p>
    <w:p>
      <w:pPr>
        <w:ind w:firstLine="480"/>
        <w:rPr>
          <w:rFonts w:ascii="Times New Roman" w:hAnsi="Times New Roman"/>
        </w:rPr>
      </w:pPr>
      <w:r>
        <w:rPr>
          <w:rFonts w:ascii="Times New Roman" w:hAnsi="Times New Roman"/>
        </w:rPr>
        <w:t>本项目虽然破坏的地表植被有限，但是井场、清管站、阀室、放空区、进站道路等建设在原有工程的基础上，扩大和增强了土壤侵蚀的范围和强度，降低其水土保持功能，可能引起水土流失。但工程永久占地约为2.69hm</w:t>
      </w:r>
      <w:r>
        <w:rPr>
          <w:rFonts w:ascii="Times New Roman" w:hAnsi="Times New Roman"/>
          <w:vertAlign w:val="superscript"/>
        </w:rPr>
        <w:t>2</w:t>
      </w:r>
      <w:r>
        <w:rPr>
          <w:rFonts w:ascii="Times New Roman" w:hAnsi="Times New Roman"/>
        </w:rPr>
        <w:t>，占总占地面积的7.59%，均为硬化场地，所以影响较小。临时占地面积约为32.81hm</w:t>
      </w:r>
      <w:r>
        <w:rPr>
          <w:rFonts w:ascii="Times New Roman" w:hAnsi="Times New Roman"/>
          <w:vertAlign w:val="superscript"/>
        </w:rPr>
        <w:t>2</w:t>
      </w:r>
      <w:r>
        <w:rPr>
          <w:rFonts w:ascii="Times New Roman" w:hAnsi="Times New Roman"/>
        </w:rPr>
        <w:t>，占总占地面积的92.41%，施工期将加重水土流失，施工过程中采取相应措施，尽量较小水土流失，施工结束后，尽快恢复植被，水田流失将得到有效控制。</w:t>
      </w:r>
    </w:p>
    <w:p>
      <w:pPr>
        <w:ind w:firstLine="480"/>
        <w:rPr>
          <w:rFonts w:ascii="Times New Roman" w:hAnsi="Times New Roman"/>
        </w:rPr>
      </w:pPr>
      <w:r>
        <w:rPr>
          <w:rFonts w:ascii="Times New Roman" w:hAnsi="Times New Roman"/>
        </w:rPr>
        <w:t>建设单位严格按照《水土保持方案》要求，落实水土保持工程措施，确保本项目造成的水土流失得到有效的控制和减缓。</w:t>
      </w:r>
    </w:p>
    <w:p>
      <w:pPr>
        <w:pStyle w:val="5"/>
        <w:rPr>
          <w:rFonts w:ascii="Times New Roman" w:hAnsi="Times New Roman"/>
        </w:rPr>
      </w:pPr>
      <w:r>
        <w:rPr>
          <w:rFonts w:ascii="Times New Roman" w:hAnsi="Times New Roman"/>
        </w:rPr>
        <w:t>对景观的影响分析</w:t>
      </w:r>
    </w:p>
    <w:p>
      <w:pPr>
        <w:ind w:firstLine="480"/>
        <w:rPr>
          <w:rFonts w:ascii="Times New Roman" w:hAnsi="Times New Roman"/>
        </w:rPr>
      </w:pPr>
      <w:r>
        <w:rPr>
          <w:rFonts w:ascii="Times New Roman" w:hAnsi="Times New Roman"/>
        </w:rPr>
        <w:t>本项目施工会对周围的景观产生影响，主要表现在输气管道建设和井站、清管站、阀室等建设。</w:t>
      </w:r>
    </w:p>
    <w:p>
      <w:pPr>
        <w:ind w:firstLine="480"/>
        <w:rPr>
          <w:rFonts w:ascii="Times New Roman" w:hAnsi="Times New Roman"/>
        </w:rPr>
      </w:pPr>
      <w:r>
        <w:rPr>
          <w:rFonts w:ascii="Times New Roman" w:hAnsi="Times New Roman"/>
        </w:rPr>
        <w:t>本项目施工，临时占地面积约为32.81hm</w:t>
      </w:r>
      <w:r>
        <w:rPr>
          <w:rFonts w:ascii="Times New Roman" w:hAnsi="Times New Roman"/>
          <w:vertAlign w:val="superscript"/>
        </w:rPr>
        <w:t>2</w:t>
      </w:r>
      <w:r>
        <w:rPr>
          <w:rFonts w:ascii="Times New Roman" w:hAnsi="Times New Roman"/>
        </w:rPr>
        <w:t>，占评价范围的3.61%，施工期将局部改变土地利用类型，施工期结束后将很快得到恢复，不会长期改变区域景观格局。</w:t>
      </w:r>
    </w:p>
    <w:p>
      <w:pPr>
        <w:pStyle w:val="5"/>
        <w:rPr>
          <w:rFonts w:ascii="Times New Roman" w:hAnsi="Times New Roman"/>
        </w:rPr>
      </w:pPr>
      <w:r>
        <w:rPr>
          <w:rFonts w:ascii="Times New Roman" w:hAnsi="Times New Roman"/>
        </w:rPr>
        <w:t>对百里峡风景名胜区的影响分析</w:t>
      </w:r>
    </w:p>
    <w:p>
      <w:pPr>
        <w:ind w:firstLine="480"/>
        <w:rPr>
          <w:rFonts w:ascii="Times New Roman" w:hAnsi="Times New Roman"/>
        </w:rPr>
      </w:pPr>
      <w:r>
        <w:rPr>
          <w:rFonts w:ascii="Times New Roman" w:hAnsi="Times New Roman"/>
        </w:rPr>
        <w:t>本项目输气管线距离百里峡风景名胜区江口湖片区三级保护区最近直线距离约为230m，宣探1井距离百里峡风景名胜区江口湖片区二级保护区最近直线约为1350m。施工期间，宣探联络线施工作业带距离百里峡风景名胜区边界为220m，因距离较远，施工扬尘、施工废水对风景名胜区影响较小；施工噪声可能对风景名胜区产生一定的影响。由于本项目距离名胜区较远，且施工区域是局部的，施工期较短，影响持续时间有限，因此对风景名胜区影响较小。</w:t>
      </w:r>
    </w:p>
    <w:p>
      <w:pPr>
        <w:pStyle w:val="4"/>
        <w:rPr>
          <w:rFonts w:ascii="Times New Roman" w:hAnsi="Times New Roman" w:cs="Times New Roman"/>
        </w:rPr>
      </w:pPr>
      <w:r>
        <w:rPr>
          <w:rFonts w:ascii="Times New Roman" w:hAnsi="Times New Roman" w:cs="Times New Roman"/>
        </w:rPr>
        <w:t>运营期</w:t>
      </w:r>
    </w:p>
    <w:p>
      <w:pPr>
        <w:ind w:firstLine="480"/>
        <w:rPr>
          <w:rFonts w:ascii="Times New Roman" w:hAnsi="Times New Roman"/>
        </w:rPr>
      </w:pPr>
      <w:r>
        <w:rPr>
          <w:rFonts w:ascii="Times New Roman" w:hAnsi="Times New Roman"/>
        </w:rPr>
        <w:t>进入运营期，各项施工活动结束，集输管线等临时占地工程植被进行恢复和复耕植物群落生物质量损失逐渐恢复。</w:t>
      </w:r>
    </w:p>
    <w:p>
      <w:pPr>
        <w:ind w:firstLine="480"/>
        <w:rPr>
          <w:rFonts w:ascii="Times New Roman" w:hAnsi="Times New Roman"/>
        </w:rPr>
      </w:pPr>
      <w:r>
        <w:rPr>
          <w:rFonts w:ascii="Times New Roman" w:hAnsi="Times New Roman"/>
        </w:rPr>
        <w:t>而输气管道输气采用密闭输送工艺，仅管线清管或在事故状态下有少量的污染物产生，线路巡检、维护时会有人员再次进入管道沿线，但这种干扰对野生植物资源的影响也较小。运营期的主要影响为对土地利用、景观和生态系统完整性的影响。</w:t>
      </w:r>
    </w:p>
    <w:p>
      <w:pPr>
        <w:pStyle w:val="5"/>
        <w:rPr>
          <w:rFonts w:ascii="Times New Roman" w:hAnsi="Times New Roman"/>
        </w:rPr>
      </w:pPr>
      <w:r>
        <w:rPr>
          <w:rFonts w:ascii="Times New Roman" w:hAnsi="Times New Roman"/>
        </w:rPr>
        <w:t>土地利用影响分析</w:t>
      </w:r>
    </w:p>
    <w:p>
      <w:pPr>
        <w:ind w:firstLine="480"/>
        <w:rPr>
          <w:rFonts w:ascii="Times New Roman" w:hAnsi="Times New Roman"/>
        </w:rPr>
      </w:pPr>
      <w:r>
        <w:rPr>
          <w:rFonts w:ascii="Times New Roman" w:hAnsi="Times New Roman"/>
        </w:rPr>
        <w:t>运营期，本项目井站、清管站、阀室等永久占地面积约为2.73hm</w:t>
      </w:r>
      <w:r>
        <w:rPr>
          <w:rFonts w:ascii="Times New Roman" w:hAnsi="Times New Roman"/>
          <w:vertAlign w:val="superscript"/>
        </w:rPr>
        <w:t>2</w:t>
      </w:r>
      <w:r>
        <w:rPr>
          <w:rFonts w:ascii="Times New Roman" w:hAnsi="Times New Roman"/>
        </w:rPr>
        <w:t>，将会改变土地利用类型，对周边生态环境造成一定影响。</w:t>
      </w:r>
    </w:p>
    <w:p>
      <w:pPr>
        <w:ind w:firstLine="480"/>
        <w:rPr>
          <w:rFonts w:ascii="Times New Roman" w:hAnsi="Times New Roman"/>
        </w:rPr>
      </w:pPr>
      <w:r>
        <w:rPr>
          <w:rFonts w:ascii="Times New Roman" w:hAnsi="Times New Roman"/>
        </w:rPr>
        <w:t>地面设施占地改变了土地利用类型，将原有的乔木林地、灌木林地、耕地变更为建设用地。退役后，将对以上地面设施进行拆除、覆土、绿化等生态恢复措施，可逐步恢复为原土地利用类型。</w:t>
      </w:r>
    </w:p>
    <w:p>
      <w:pPr>
        <w:pStyle w:val="5"/>
        <w:rPr>
          <w:rFonts w:ascii="Times New Roman" w:hAnsi="Times New Roman"/>
        </w:rPr>
      </w:pPr>
      <w:r>
        <w:rPr>
          <w:rFonts w:ascii="Times New Roman" w:hAnsi="Times New Roman"/>
        </w:rPr>
        <w:t>对景观的影响分析</w:t>
      </w:r>
    </w:p>
    <w:p>
      <w:pPr>
        <w:ind w:firstLine="480"/>
        <w:rPr>
          <w:rFonts w:ascii="Times New Roman" w:hAnsi="Times New Roman"/>
        </w:rPr>
      </w:pPr>
      <w:r>
        <w:rPr>
          <w:rFonts w:ascii="Times New Roman" w:hAnsi="Times New Roman"/>
        </w:rPr>
        <w:t>本项目建设会对周围的景观产生影响，主要表现在井站、清管站、阀室等永久占地自身景观和自然环境景观之间形成冲突。</w:t>
      </w:r>
    </w:p>
    <w:p>
      <w:pPr>
        <w:ind w:firstLine="480"/>
        <w:rPr>
          <w:rFonts w:ascii="Times New Roman" w:hAnsi="Times New Roman"/>
        </w:rPr>
      </w:pPr>
      <w:r>
        <w:rPr>
          <w:rFonts w:ascii="Times New Roman" w:hAnsi="Times New Roman"/>
        </w:rPr>
        <w:t>项目实施后，永久占地面积约为2.694hm</w:t>
      </w:r>
      <w:r>
        <w:rPr>
          <w:rFonts w:ascii="Times New Roman" w:hAnsi="Times New Roman"/>
          <w:vertAlign w:val="superscript"/>
        </w:rPr>
        <w:t>2</w:t>
      </w:r>
      <w:r>
        <w:rPr>
          <w:rFonts w:ascii="Times New Roman" w:hAnsi="Times New Roman"/>
        </w:rPr>
        <w:t>，占评价范围的0.3%，井站、清管站、阀室分散分布，虽局部改变土地利用类型，但是没有改变区域景观格局。</w:t>
      </w:r>
    </w:p>
    <w:p>
      <w:pPr>
        <w:ind w:firstLine="480"/>
        <w:rPr>
          <w:rFonts w:ascii="Times New Roman" w:hAnsi="Times New Roman"/>
        </w:rPr>
      </w:pPr>
      <w:r>
        <w:rPr>
          <w:rFonts w:ascii="Times New Roman" w:hAnsi="Times New Roman"/>
        </w:rPr>
        <w:t>因此，从宏观上来看，林地景观、农田景观的减少对整个评价区现有景观格局而言，将有略微改变；从局部区域来看，项目建设对现有的林地、耕地进行占用，使自然景观转变为人工建筑景观，这种转变将会使整个评价区内的景观格局发生微弱变化。</w:t>
      </w:r>
    </w:p>
    <w:p>
      <w:pPr>
        <w:ind w:firstLine="480"/>
        <w:rPr>
          <w:rFonts w:ascii="Times New Roman" w:hAnsi="Times New Roman"/>
        </w:rPr>
      </w:pPr>
      <w:r>
        <w:rPr>
          <w:rFonts w:ascii="Times New Roman" w:hAnsi="Times New Roman"/>
        </w:rPr>
        <w:t>综上，项目运营期对景观生态格局影响较小。</w:t>
      </w:r>
    </w:p>
    <w:p>
      <w:pPr>
        <w:pStyle w:val="5"/>
        <w:rPr>
          <w:rFonts w:ascii="Times New Roman" w:hAnsi="Times New Roman"/>
        </w:rPr>
      </w:pPr>
      <w:r>
        <w:rPr>
          <w:rFonts w:ascii="Times New Roman" w:hAnsi="Times New Roman"/>
        </w:rPr>
        <w:t>生态系统完整性影响分析</w:t>
      </w:r>
    </w:p>
    <w:p>
      <w:pPr>
        <w:ind w:firstLine="480"/>
        <w:rPr>
          <w:rFonts w:ascii="Times New Roman" w:hAnsi="Times New Roman"/>
        </w:rPr>
      </w:pPr>
      <w:r>
        <w:rPr>
          <w:rFonts w:ascii="Times New Roman" w:hAnsi="Times New Roman"/>
        </w:rPr>
        <w:t>工程占地范围内起控制作用的生态系统类型为森林生态系统。井场、清管站、阀室、放空区、进站道路等的建设对局部自然植被产生一定的影响，生产能力有所降低，改变了土地利用类型，加剧水土流失，对生态生产力造成一定的影响。本项目改变土地类型的面积占评价范围面积仅0.3%，因此对生态系统的完整性影响较小。</w:t>
      </w:r>
    </w:p>
    <w:p>
      <w:pPr>
        <w:ind w:firstLine="480"/>
        <w:rPr>
          <w:rFonts w:ascii="Times New Roman" w:hAnsi="Times New Roman"/>
        </w:rPr>
      </w:pPr>
      <w:r>
        <w:rPr>
          <w:rFonts w:ascii="Times New Roman" w:hAnsi="Times New Roman"/>
        </w:rPr>
        <w:t>本次工程实施后，通过对现有的生态破坏进行复垦绿化等措施，调整人工林生态系统、草地生态系统等生态系统的结构，增加植被覆盖度、生物种类和植物量，从而提高了本区域生态系统的阻抗稳定性，恢复稳定性趋强。</w:t>
      </w:r>
    </w:p>
    <w:p>
      <w:pPr>
        <w:pStyle w:val="5"/>
        <w:rPr>
          <w:rFonts w:ascii="Times New Roman" w:hAnsi="Times New Roman"/>
        </w:rPr>
      </w:pPr>
      <w:r>
        <w:rPr>
          <w:rFonts w:ascii="Times New Roman" w:hAnsi="Times New Roman"/>
        </w:rPr>
        <w:t>对百里峡风景名胜区的影响分析</w:t>
      </w:r>
    </w:p>
    <w:p>
      <w:pPr>
        <w:ind w:firstLine="480"/>
        <w:rPr>
          <w:rFonts w:ascii="Times New Roman" w:hAnsi="Times New Roman"/>
        </w:rPr>
      </w:pPr>
      <w:r>
        <w:rPr>
          <w:rFonts w:ascii="Times New Roman" w:hAnsi="Times New Roman"/>
        </w:rPr>
        <w:t>运营期间，经预测，本项目各厂界昼间、夜间噪声达标排放，对周边声环境影响较小。本项目输气管线距离百里峡风景名胜区江口湖片区三级保护区最近直线距离约为230m，运行期间埋入地下，对名胜区无景观干扰影响。本项目宣探1井站海拔约380m，井站内排气筒高8m，距离本项目较近的百里峡风景名胜区海拔约330m，宣探1井距离名胜区江口湖片区二级保护区边界最近直线约为1350m，视觉上无遮挡影响。因此本项目运行对百里峡风景名胜区影响较小。</w:t>
      </w:r>
    </w:p>
    <w:p>
      <w:pPr>
        <w:pStyle w:val="3"/>
        <w:rPr>
          <w:rFonts w:ascii="Times New Roman" w:hAnsi="Times New Roman" w:cs="Times New Roman"/>
        </w:rPr>
      </w:pPr>
      <w:bookmarkStart w:id="241" w:name="_Toc162339429"/>
      <w:r>
        <w:rPr>
          <w:rFonts w:ascii="Times New Roman" w:hAnsi="Times New Roman" w:cs="Times New Roman"/>
        </w:rPr>
        <w:t>固体废物</w:t>
      </w:r>
      <w:bookmarkEnd w:id="241"/>
    </w:p>
    <w:p>
      <w:pPr>
        <w:pStyle w:val="4"/>
        <w:rPr>
          <w:rFonts w:ascii="Times New Roman" w:hAnsi="Times New Roman" w:cs="Times New Roman"/>
        </w:rPr>
      </w:pPr>
      <w:r>
        <w:rPr>
          <w:rFonts w:ascii="Times New Roman" w:hAnsi="Times New Roman" w:cs="Times New Roman"/>
        </w:rPr>
        <w:t>施工期</w:t>
      </w:r>
    </w:p>
    <w:p>
      <w:pPr>
        <w:ind w:firstLine="480"/>
        <w:rPr>
          <w:rFonts w:ascii="Times New Roman" w:hAnsi="Times New Roman"/>
        </w:rPr>
      </w:pPr>
      <w:r>
        <w:rPr>
          <w:rFonts w:ascii="Times New Roman" w:hAnsi="Times New Roman"/>
        </w:rPr>
        <w:t>本项目施工期产生的固体废物主要有施工废料、建筑垃圾和施工人员产生的生活垃圾。</w:t>
      </w:r>
    </w:p>
    <w:p>
      <w:pPr>
        <w:ind w:firstLine="480"/>
        <w:rPr>
          <w:rFonts w:ascii="Times New Roman" w:hAnsi="Times New Roman"/>
        </w:rPr>
      </w:pPr>
      <w:r>
        <w:rPr>
          <w:rFonts w:ascii="Times New Roman" w:hAnsi="Times New Roman"/>
        </w:rPr>
        <w:t>（1）施工废料</w:t>
      </w:r>
    </w:p>
    <w:p>
      <w:pPr>
        <w:ind w:firstLine="480"/>
        <w:rPr>
          <w:rFonts w:ascii="Times New Roman" w:hAnsi="Times New Roman"/>
        </w:rPr>
      </w:pPr>
      <w:r>
        <w:rPr>
          <w:rFonts w:ascii="Times New Roman" w:hAnsi="Times New Roman"/>
        </w:rPr>
        <w:t>施工废料主要包括废包装材料、废焊条、截断管材等，由施工单位回收或外售废品回收站处置，对环境影响很小。</w:t>
      </w:r>
    </w:p>
    <w:p>
      <w:pPr>
        <w:ind w:firstLine="480"/>
        <w:rPr>
          <w:rFonts w:ascii="Times New Roman" w:hAnsi="Times New Roman"/>
        </w:rPr>
      </w:pPr>
      <w:r>
        <w:rPr>
          <w:rFonts w:ascii="Times New Roman" w:hAnsi="Times New Roman"/>
        </w:rPr>
        <w:t>（2）建筑垃圾</w:t>
      </w:r>
    </w:p>
    <w:p>
      <w:pPr>
        <w:ind w:firstLine="480"/>
        <w:rPr>
          <w:rFonts w:ascii="Times New Roman" w:hAnsi="Times New Roman"/>
        </w:rPr>
      </w:pPr>
      <w:r>
        <w:rPr>
          <w:rFonts w:ascii="Times New Roman" w:hAnsi="Times New Roman"/>
        </w:rPr>
        <w:t>因宣探1井站和宣兴1井站目前均为水泥地面，井站施工需对部分硬化地坪进行基础开挖，对其他现有设施进行拆除，开挖及拆除阶段会产生一定量的建筑垃圾，拉运至建渣消纳中心处理。</w:t>
      </w:r>
    </w:p>
    <w:p>
      <w:pPr>
        <w:ind w:firstLine="480"/>
        <w:rPr>
          <w:rFonts w:ascii="Times New Roman" w:hAnsi="Times New Roman"/>
        </w:rPr>
      </w:pPr>
      <w:r>
        <w:rPr>
          <w:rFonts w:ascii="Times New Roman" w:hAnsi="Times New Roman"/>
        </w:rPr>
        <w:t>（3）工程弃土、弃渣</w:t>
      </w:r>
    </w:p>
    <w:p>
      <w:pPr>
        <w:ind w:firstLine="480"/>
        <w:rPr>
          <w:rFonts w:ascii="Times New Roman" w:hAnsi="Times New Roman"/>
        </w:rPr>
      </w:pPr>
      <w:r>
        <w:rPr>
          <w:rFonts w:ascii="Times New Roman" w:hAnsi="Times New Roman"/>
        </w:rPr>
        <w:t>施工过程中土石方主要来自井站、清管站等建设、管沟开挖等。项目在建设过程中土石方量依据施工工艺进行调配，按照不同施工工艺分别进行平衡，尽量做到施工区土石方平衡。不能平衡的拉运至政府指定地点。</w:t>
      </w:r>
    </w:p>
    <w:p>
      <w:pPr>
        <w:ind w:firstLine="480"/>
        <w:rPr>
          <w:rFonts w:ascii="Times New Roman" w:hAnsi="Times New Roman"/>
        </w:rPr>
      </w:pPr>
      <w:r>
        <w:rPr>
          <w:rFonts w:ascii="Times New Roman" w:hAnsi="Times New Roman"/>
        </w:rPr>
        <w:t>（4）生活垃圾</w:t>
      </w:r>
    </w:p>
    <w:p>
      <w:pPr>
        <w:ind w:firstLine="480"/>
        <w:rPr>
          <w:rFonts w:ascii="Times New Roman" w:hAnsi="Times New Roman"/>
        </w:rPr>
      </w:pPr>
      <w:r>
        <w:rPr>
          <w:rFonts w:ascii="Times New Roman" w:hAnsi="Times New Roman"/>
        </w:rPr>
        <w:t>本项目在维抢修队（租住民房）会产生少量的生活垃圾，生活垃圾分类收集后，委托环卫部门处理。</w:t>
      </w:r>
    </w:p>
    <w:p>
      <w:pPr>
        <w:ind w:firstLine="480"/>
        <w:rPr>
          <w:rFonts w:ascii="Times New Roman" w:hAnsi="Times New Roman"/>
        </w:rPr>
      </w:pPr>
      <w:r>
        <w:rPr>
          <w:rFonts w:ascii="Times New Roman" w:hAnsi="Times New Roman"/>
        </w:rPr>
        <w:t>综上，项目施工期产生的固体废物去向明确，充分做到了资源化、减量化、无害化，不会产生二次污染，对环境影响很小。</w:t>
      </w:r>
    </w:p>
    <w:p>
      <w:pPr>
        <w:pStyle w:val="4"/>
        <w:rPr>
          <w:rFonts w:ascii="Times New Roman" w:hAnsi="Times New Roman" w:cs="Times New Roman"/>
        </w:rPr>
      </w:pPr>
      <w:r>
        <w:rPr>
          <w:rFonts w:ascii="Times New Roman" w:hAnsi="Times New Roman" w:cs="Times New Roman"/>
        </w:rPr>
        <w:t>运营期</w:t>
      </w:r>
    </w:p>
    <w:p>
      <w:pPr>
        <w:pStyle w:val="5"/>
        <w:rPr>
          <w:rFonts w:ascii="Times New Roman" w:hAnsi="Times New Roman"/>
        </w:rPr>
      </w:pPr>
      <w:r>
        <w:rPr>
          <w:rFonts w:ascii="Times New Roman" w:hAnsi="Times New Roman"/>
        </w:rPr>
        <w:t>固体废物产生量及处理去向</w:t>
      </w:r>
    </w:p>
    <w:p>
      <w:pPr>
        <w:ind w:firstLine="480"/>
        <w:rPr>
          <w:rFonts w:ascii="Times New Roman" w:hAnsi="Times New Roman"/>
        </w:rPr>
      </w:pPr>
      <w:r>
        <w:rPr>
          <w:rFonts w:ascii="Times New Roman" w:hAnsi="Times New Roman"/>
        </w:rPr>
        <w:t>本项目运营期产生的固体废物主要有清管废渣、化学品空桶和设备检修保养时产生的含油废抹布等以及工作人员产生的生活垃圾，其中化学品空桶和设备检修保养时产生的含油废抹布等为危险废物。</w:t>
      </w:r>
    </w:p>
    <w:p>
      <w:pPr>
        <w:ind w:firstLine="480"/>
        <w:rPr>
          <w:rFonts w:ascii="Times New Roman" w:hAnsi="Times New Roman"/>
        </w:rPr>
      </w:pPr>
      <w:r>
        <w:rPr>
          <w:rFonts w:ascii="Times New Roman" w:hAnsi="Times New Roman"/>
        </w:rPr>
        <w:t>（1）生活垃圾</w:t>
      </w:r>
    </w:p>
    <w:p>
      <w:pPr>
        <w:ind w:firstLine="480"/>
        <w:rPr>
          <w:rFonts w:ascii="Times New Roman" w:hAnsi="Times New Roman"/>
        </w:rPr>
      </w:pPr>
      <w:r>
        <w:rPr>
          <w:rFonts w:ascii="Times New Roman" w:hAnsi="Times New Roman"/>
        </w:rPr>
        <w:t>生活垃圾通过在井站内设置垃圾收集桶，收集后交环卫部门统一处置，对环境影响较小。</w:t>
      </w:r>
    </w:p>
    <w:p>
      <w:pPr>
        <w:ind w:firstLine="480"/>
        <w:rPr>
          <w:rFonts w:ascii="Times New Roman" w:hAnsi="Times New Roman"/>
        </w:rPr>
      </w:pPr>
      <w:r>
        <w:rPr>
          <w:rFonts w:ascii="Times New Roman" w:hAnsi="Times New Roman"/>
        </w:rPr>
        <w:t>（2）清管残渣</w:t>
      </w:r>
    </w:p>
    <w:p>
      <w:pPr>
        <w:ind w:firstLine="480"/>
        <w:rPr>
          <w:rFonts w:ascii="Times New Roman" w:hAnsi="Times New Roman"/>
        </w:rPr>
      </w:pPr>
      <w:r>
        <w:rPr>
          <w:rFonts w:ascii="Times New Roman" w:hAnsi="Times New Roman"/>
        </w:rPr>
        <w:t>天然气管道每年一般进行4次清管，清管废渣是指井站在清管收球作业时产生的轻微腐蚀产物和由于输气压力变化而产生的液滴组成，主要成分有硫化亚铁粉末、井内杂屑、机械杂质等。属于一般固体废物，收集后委托第三方处置。</w:t>
      </w:r>
    </w:p>
    <w:p>
      <w:pPr>
        <w:ind w:firstLine="480"/>
        <w:rPr>
          <w:rFonts w:ascii="Times New Roman" w:hAnsi="Times New Roman"/>
        </w:rPr>
      </w:pPr>
      <w:r>
        <w:rPr>
          <w:rFonts w:ascii="Times New Roman" w:hAnsi="Times New Roman"/>
        </w:rPr>
        <w:t>（3）危险废物</w:t>
      </w:r>
    </w:p>
    <w:p>
      <w:pPr>
        <w:ind w:firstLine="480"/>
        <w:rPr>
          <w:rFonts w:ascii="Times New Roman" w:hAnsi="Times New Roman"/>
        </w:rPr>
      </w:pPr>
      <w:r>
        <w:rPr>
          <w:rFonts w:ascii="Times New Roman" w:hAnsi="Times New Roman"/>
        </w:rPr>
        <w:t>生产过程中产生的固废主要为化学品空桶和含油废抹布等，均为危险废物。其产生情况见</w:t>
      </w:r>
      <w:r>
        <w:rPr>
          <w:rFonts w:ascii="Times New Roman" w:hAnsi="Times New Roman"/>
        </w:rPr>
        <w:fldChar w:fldCharType="begin"/>
      </w:r>
      <w:r>
        <w:rPr>
          <w:rFonts w:ascii="Times New Roman" w:hAnsi="Times New Roman"/>
        </w:rPr>
        <w:instrText xml:space="preserve"> REF _Ref155097868 \h  \* MERGEFORMAT </w:instrText>
      </w:r>
      <w:r>
        <w:rPr>
          <w:rFonts w:ascii="Times New Roman" w:hAnsi="Times New Roman"/>
        </w:rPr>
        <w:fldChar w:fldCharType="separate"/>
      </w:r>
      <w:r>
        <w:rPr>
          <w:rFonts w:ascii="Times New Roman" w:hAnsi="Times New Roman"/>
        </w:rPr>
        <w:t>表 6</w:t>
      </w:r>
      <w:r>
        <w:rPr>
          <w:rFonts w:ascii="Times New Roman" w:hAnsi="Times New Roman"/>
        </w:rPr>
        <w:noBreakHyphen/>
      </w:r>
      <w:r>
        <w:rPr>
          <w:rFonts w:ascii="Times New Roman" w:hAnsi="Times New Roman"/>
        </w:rPr>
        <w:t>38</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本项目井站需要投加缓蚀剂和抑制剂，缓蚀剂为连续加注工艺，抑制剂为开井工况或极端低温天气条件下应急加注，会产生药剂空桶。不在站内暂存，由厂家回收利用。</w:t>
      </w:r>
    </w:p>
    <w:p>
      <w:pPr>
        <w:ind w:firstLine="480"/>
        <w:rPr>
          <w:rFonts w:ascii="Times New Roman" w:hAnsi="Times New Roman"/>
        </w:rPr>
      </w:pPr>
      <w:r>
        <w:rPr>
          <w:rFonts w:ascii="Times New Roman" w:hAnsi="Times New Roman"/>
        </w:rPr>
        <w:t>本项目产生的油类主要为保养空气压缩机等设备更换产生的含油废抹布等，含油废抹布属于危险废物（类别为HW49，代码900-041-49），不在站内储存，产生后由管理单位进行统一收集，最后交由具有危险废物处理资质的单位拉运处理。</w:t>
      </w:r>
    </w:p>
    <w:p>
      <w:pPr>
        <w:ind w:firstLine="480"/>
        <w:rPr>
          <w:rFonts w:ascii="Times New Roman" w:hAnsi="Times New Roman"/>
        </w:rPr>
        <w:sectPr>
          <w:pgSz w:w="11906" w:h="16838"/>
          <w:pgMar w:top="1440" w:right="1800" w:bottom="1440" w:left="1800" w:header="851" w:footer="992" w:gutter="0"/>
          <w:cols w:space="425" w:num="1"/>
          <w:docGrid w:type="lines" w:linePitch="312" w:charSpace="0"/>
        </w:sectPr>
      </w:pPr>
    </w:p>
    <w:p>
      <w:pPr>
        <w:pStyle w:val="37"/>
        <w:rPr>
          <w:rFonts w:ascii="Times New Roman" w:hAnsi="Times New Roman" w:cs="Times New Roman"/>
        </w:rPr>
      </w:pPr>
      <w:bookmarkStart w:id="242" w:name="_Ref155097868"/>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38</w:t>
      </w:r>
      <w:r>
        <w:rPr>
          <w:rFonts w:ascii="Times New Roman" w:hAnsi="Times New Roman" w:cs="Times New Roman"/>
        </w:rPr>
        <w:fldChar w:fldCharType="end"/>
      </w:r>
      <w:bookmarkEnd w:id="242"/>
      <w:r>
        <w:rPr>
          <w:rFonts w:ascii="Times New Roman" w:hAnsi="Times New Roman" w:cs="Times New Roman"/>
        </w:rPr>
        <w:t xml:space="preserve">  本项目运营期危险废物产生情况</w:t>
      </w:r>
    </w:p>
    <w:tbl>
      <w:tblPr>
        <w:tblStyle w:val="28"/>
        <w:tblW w:w="0" w:type="auto"/>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5"/>
        <w:gridCol w:w="1549"/>
        <w:gridCol w:w="1292"/>
        <w:gridCol w:w="1559"/>
        <w:gridCol w:w="2126"/>
        <w:gridCol w:w="1843"/>
        <w:gridCol w:w="1701"/>
        <w:gridCol w:w="21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1015" w:type="dxa"/>
            <w:vAlign w:val="center"/>
          </w:tcPr>
          <w:p>
            <w:pPr>
              <w:pStyle w:val="39"/>
              <w:rPr>
                <w:rFonts w:ascii="Times New Roman" w:hAnsi="Times New Roman"/>
              </w:rPr>
            </w:pPr>
            <w:r>
              <w:rPr>
                <w:rFonts w:ascii="Times New Roman" w:hAnsi="Times New Roman"/>
              </w:rPr>
              <w:t>站场</w:t>
            </w:r>
          </w:p>
        </w:tc>
        <w:tc>
          <w:tcPr>
            <w:tcW w:w="1549" w:type="dxa"/>
            <w:vAlign w:val="center"/>
          </w:tcPr>
          <w:p>
            <w:pPr>
              <w:pStyle w:val="39"/>
              <w:rPr>
                <w:rFonts w:ascii="Times New Roman" w:hAnsi="Times New Roman"/>
              </w:rPr>
            </w:pPr>
            <w:r>
              <w:rPr>
                <w:rFonts w:ascii="Times New Roman" w:hAnsi="Times New Roman"/>
              </w:rPr>
              <w:t>固体废物名称</w:t>
            </w:r>
          </w:p>
        </w:tc>
        <w:tc>
          <w:tcPr>
            <w:tcW w:w="1292" w:type="dxa"/>
            <w:vAlign w:val="center"/>
          </w:tcPr>
          <w:p>
            <w:pPr>
              <w:pStyle w:val="39"/>
              <w:rPr>
                <w:rFonts w:ascii="Times New Roman" w:hAnsi="Times New Roman"/>
              </w:rPr>
            </w:pPr>
            <w:r>
              <w:rPr>
                <w:rFonts w:ascii="Times New Roman" w:hAnsi="Times New Roman"/>
              </w:rPr>
              <w:t>废物类别</w:t>
            </w:r>
          </w:p>
        </w:tc>
        <w:tc>
          <w:tcPr>
            <w:tcW w:w="1559" w:type="dxa"/>
            <w:vAlign w:val="center"/>
          </w:tcPr>
          <w:p>
            <w:pPr>
              <w:pStyle w:val="39"/>
              <w:rPr>
                <w:rFonts w:ascii="Times New Roman" w:hAnsi="Times New Roman"/>
              </w:rPr>
            </w:pPr>
            <w:r>
              <w:rPr>
                <w:rFonts w:ascii="Times New Roman" w:hAnsi="Times New Roman"/>
              </w:rPr>
              <w:t>废物代码</w:t>
            </w:r>
          </w:p>
        </w:tc>
        <w:tc>
          <w:tcPr>
            <w:tcW w:w="2126" w:type="dxa"/>
            <w:vAlign w:val="center"/>
          </w:tcPr>
          <w:p>
            <w:pPr>
              <w:pStyle w:val="39"/>
              <w:rPr>
                <w:rFonts w:ascii="Times New Roman" w:hAnsi="Times New Roman"/>
              </w:rPr>
            </w:pPr>
            <w:r>
              <w:rPr>
                <w:rFonts w:ascii="Times New Roman" w:hAnsi="Times New Roman"/>
              </w:rPr>
              <w:t>产生量</w:t>
            </w:r>
          </w:p>
        </w:tc>
        <w:tc>
          <w:tcPr>
            <w:tcW w:w="1843" w:type="dxa"/>
            <w:vAlign w:val="center"/>
          </w:tcPr>
          <w:p>
            <w:pPr>
              <w:pStyle w:val="39"/>
              <w:rPr>
                <w:rFonts w:ascii="Times New Roman" w:hAnsi="Times New Roman"/>
              </w:rPr>
            </w:pPr>
            <w:r>
              <w:rPr>
                <w:rFonts w:ascii="Times New Roman" w:hAnsi="Times New Roman"/>
              </w:rPr>
              <w:t>主要成分</w:t>
            </w:r>
          </w:p>
        </w:tc>
        <w:tc>
          <w:tcPr>
            <w:tcW w:w="1701" w:type="dxa"/>
            <w:vAlign w:val="center"/>
          </w:tcPr>
          <w:p>
            <w:pPr>
              <w:pStyle w:val="39"/>
              <w:rPr>
                <w:rFonts w:ascii="Times New Roman" w:hAnsi="Times New Roman"/>
              </w:rPr>
            </w:pPr>
            <w:r>
              <w:rPr>
                <w:rFonts w:ascii="Times New Roman" w:hAnsi="Times New Roman"/>
              </w:rPr>
              <w:t>排放规律</w:t>
            </w:r>
          </w:p>
        </w:tc>
        <w:tc>
          <w:tcPr>
            <w:tcW w:w="2126" w:type="dxa"/>
            <w:vAlign w:val="center"/>
          </w:tcPr>
          <w:p>
            <w:pPr>
              <w:pStyle w:val="39"/>
              <w:rPr>
                <w:rFonts w:ascii="Times New Roman" w:hAnsi="Times New Roman"/>
              </w:rPr>
            </w:pPr>
            <w:r>
              <w:rPr>
                <w:rFonts w:ascii="Times New Roman" w:hAnsi="Times New Roman"/>
              </w:rPr>
              <w:t>治理措施及去向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 w:type="dxa"/>
            <w:vMerge w:val="restart"/>
            <w:vAlign w:val="center"/>
          </w:tcPr>
          <w:p>
            <w:pPr>
              <w:pStyle w:val="39"/>
              <w:rPr>
                <w:rFonts w:ascii="Times New Roman" w:hAnsi="Times New Roman"/>
              </w:rPr>
            </w:pPr>
            <w:r>
              <w:rPr>
                <w:rFonts w:ascii="Times New Roman" w:hAnsi="Times New Roman"/>
              </w:rPr>
              <w:t>宣探1井站</w:t>
            </w:r>
          </w:p>
        </w:tc>
        <w:tc>
          <w:tcPr>
            <w:tcW w:w="1549" w:type="dxa"/>
            <w:vAlign w:val="center"/>
          </w:tcPr>
          <w:p>
            <w:pPr>
              <w:pStyle w:val="39"/>
              <w:rPr>
                <w:rFonts w:ascii="Times New Roman" w:hAnsi="Times New Roman"/>
              </w:rPr>
            </w:pPr>
            <w:r>
              <w:rPr>
                <w:rFonts w:ascii="Times New Roman" w:hAnsi="Times New Roman"/>
              </w:rPr>
              <w:t>化学品空桶</w:t>
            </w:r>
          </w:p>
        </w:tc>
        <w:tc>
          <w:tcPr>
            <w:tcW w:w="1292" w:type="dxa"/>
            <w:vAlign w:val="center"/>
          </w:tcPr>
          <w:p>
            <w:pPr>
              <w:pStyle w:val="39"/>
              <w:rPr>
                <w:rFonts w:ascii="Times New Roman" w:hAnsi="Times New Roman"/>
              </w:rPr>
            </w:pPr>
            <w:r>
              <w:rPr>
                <w:rFonts w:ascii="Times New Roman" w:hAnsi="Times New Roman"/>
              </w:rPr>
              <w:t>HW49</w:t>
            </w:r>
          </w:p>
        </w:tc>
        <w:tc>
          <w:tcPr>
            <w:tcW w:w="1559" w:type="dxa"/>
            <w:vAlign w:val="center"/>
          </w:tcPr>
          <w:p>
            <w:pPr>
              <w:pStyle w:val="39"/>
              <w:rPr>
                <w:rFonts w:ascii="Times New Roman" w:hAnsi="Times New Roman"/>
              </w:rPr>
            </w:pPr>
            <w:r>
              <w:rPr>
                <w:rFonts w:ascii="Times New Roman" w:hAnsi="Times New Roman"/>
              </w:rPr>
              <w:t>900-041-49</w:t>
            </w:r>
          </w:p>
        </w:tc>
        <w:tc>
          <w:tcPr>
            <w:tcW w:w="2126" w:type="dxa"/>
            <w:vAlign w:val="center"/>
          </w:tcPr>
          <w:p>
            <w:pPr>
              <w:pStyle w:val="39"/>
              <w:rPr>
                <w:rFonts w:ascii="Times New Roman" w:hAnsi="Times New Roman"/>
              </w:rPr>
            </w:pPr>
            <w:r>
              <w:rPr>
                <w:rFonts w:ascii="Times New Roman" w:hAnsi="Times New Roman"/>
              </w:rPr>
              <w:t>0.48t/a</w:t>
            </w:r>
          </w:p>
        </w:tc>
        <w:tc>
          <w:tcPr>
            <w:tcW w:w="1843" w:type="dxa"/>
            <w:vAlign w:val="center"/>
          </w:tcPr>
          <w:p>
            <w:pPr>
              <w:pStyle w:val="39"/>
              <w:rPr>
                <w:rFonts w:ascii="Times New Roman" w:hAnsi="Times New Roman"/>
              </w:rPr>
            </w:pPr>
            <w:r>
              <w:rPr>
                <w:rFonts w:ascii="Times New Roman" w:hAnsi="Times New Roman"/>
              </w:rPr>
              <w:t>缓蚀剂等</w:t>
            </w:r>
          </w:p>
        </w:tc>
        <w:tc>
          <w:tcPr>
            <w:tcW w:w="1701" w:type="dxa"/>
            <w:vAlign w:val="center"/>
          </w:tcPr>
          <w:p>
            <w:pPr>
              <w:pStyle w:val="39"/>
              <w:rPr>
                <w:rFonts w:ascii="Times New Roman" w:hAnsi="Times New Roman"/>
              </w:rPr>
            </w:pPr>
            <w:r>
              <w:rPr>
                <w:rFonts w:ascii="Times New Roman" w:hAnsi="Times New Roman"/>
              </w:rPr>
              <w:t>间断</w:t>
            </w:r>
          </w:p>
        </w:tc>
        <w:tc>
          <w:tcPr>
            <w:tcW w:w="2126" w:type="dxa"/>
            <w:vAlign w:val="center"/>
          </w:tcPr>
          <w:p>
            <w:pPr>
              <w:pStyle w:val="39"/>
              <w:rPr>
                <w:rFonts w:ascii="Times New Roman" w:hAnsi="Times New Roman"/>
              </w:rPr>
            </w:pPr>
            <w:r>
              <w:rPr>
                <w:rFonts w:ascii="Times New Roman" w:hAnsi="Times New Roman"/>
              </w:rPr>
              <w:t>厂家回收利用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 w:type="dxa"/>
            <w:vMerge w:val="continue"/>
            <w:vAlign w:val="center"/>
          </w:tcPr>
          <w:p>
            <w:pPr>
              <w:pStyle w:val="39"/>
              <w:rPr>
                <w:rFonts w:ascii="Times New Roman" w:hAnsi="Times New Roman"/>
              </w:rPr>
            </w:pPr>
          </w:p>
        </w:tc>
        <w:tc>
          <w:tcPr>
            <w:tcW w:w="1549" w:type="dxa"/>
            <w:vAlign w:val="center"/>
          </w:tcPr>
          <w:p>
            <w:pPr>
              <w:pStyle w:val="39"/>
              <w:rPr>
                <w:rFonts w:ascii="Times New Roman" w:hAnsi="Times New Roman"/>
              </w:rPr>
            </w:pPr>
            <w:r>
              <w:rPr>
                <w:rFonts w:ascii="Times New Roman" w:hAnsi="Times New Roman"/>
              </w:rPr>
              <w:t>废油废抹布等</w:t>
            </w:r>
          </w:p>
        </w:tc>
        <w:tc>
          <w:tcPr>
            <w:tcW w:w="1292" w:type="dxa"/>
            <w:vAlign w:val="center"/>
          </w:tcPr>
          <w:p>
            <w:pPr>
              <w:pStyle w:val="39"/>
              <w:rPr>
                <w:rFonts w:ascii="Times New Roman" w:hAnsi="Times New Roman"/>
              </w:rPr>
            </w:pPr>
            <w:r>
              <w:rPr>
                <w:rFonts w:ascii="Times New Roman" w:hAnsi="Times New Roman"/>
              </w:rPr>
              <w:t>HW49</w:t>
            </w:r>
          </w:p>
        </w:tc>
        <w:tc>
          <w:tcPr>
            <w:tcW w:w="1559" w:type="dxa"/>
            <w:vAlign w:val="center"/>
          </w:tcPr>
          <w:p>
            <w:pPr>
              <w:pStyle w:val="39"/>
              <w:rPr>
                <w:rFonts w:ascii="Times New Roman" w:hAnsi="Times New Roman"/>
              </w:rPr>
            </w:pPr>
            <w:r>
              <w:rPr>
                <w:rFonts w:ascii="Times New Roman" w:hAnsi="Times New Roman"/>
              </w:rPr>
              <w:t>900-041-49</w:t>
            </w:r>
          </w:p>
        </w:tc>
        <w:tc>
          <w:tcPr>
            <w:tcW w:w="2126" w:type="dxa"/>
            <w:vAlign w:val="center"/>
          </w:tcPr>
          <w:p>
            <w:pPr>
              <w:pStyle w:val="39"/>
              <w:rPr>
                <w:rFonts w:ascii="Times New Roman" w:hAnsi="Times New Roman"/>
              </w:rPr>
            </w:pPr>
            <w:r>
              <w:rPr>
                <w:rFonts w:ascii="Times New Roman" w:hAnsi="Times New Roman"/>
              </w:rPr>
              <w:t>0.05t/a</w:t>
            </w:r>
          </w:p>
        </w:tc>
        <w:tc>
          <w:tcPr>
            <w:tcW w:w="1843" w:type="dxa"/>
            <w:vAlign w:val="center"/>
          </w:tcPr>
          <w:p>
            <w:pPr>
              <w:pStyle w:val="39"/>
              <w:rPr>
                <w:rFonts w:ascii="Times New Roman" w:hAnsi="Times New Roman"/>
              </w:rPr>
            </w:pPr>
            <w:r>
              <w:rPr>
                <w:rFonts w:ascii="Times New Roman" w:hAnsi="Times New Roman"/>
              </w:rPr>
              <w:t>油类</w:t>
            </w:r>
          </w:p>
        </w:tc>
        <w:tc>
          <w:tcPr>
            <w:tcW w:w="1701" w:type="dxa"/>
            <w:vAlign w:val="center"/>
          </w:tcPr>
          <w:p>
            <w:pPr>
              <w:pStyle w:val="39"/>
              <w:rPr>
                <w:rFonts w:ascii="Times New Roman" w:hAnsi="Times New Roman"/>
              </w:rPr>
            </w:pPr>
            <w:r>
              <w:rPr>
                <w:rFonts w:ascii="Times New Roman" w:hAnsi="Times New Roman"/>
              </w:rPr>
              <w:t>间断</w:t>
            </w:r>
          </w:p>
        </w:tc>
        <w:tc>
          <w:tcPr>
            <w:tcW w:w="2126" w:type="dxa"/>
            <w:vAlign w:val="center"/>
          </w:tcPr>
          <w:p>
            <w:pPr>
              <w:pStyle w:val="39"/>
              <w:rPr>
                <w:rFonts w:ascii="Times New Roman" w:hAnsi="Times New Roman"/>
              </w:rPr>
            </w:pPr>
            <w:r>
              <w:rPr>
                <w:rFonts w:ascii="Times New Roman" w:hAnsi="Times New Roman"/>
              </w:rPr>
              <w:t>不落地，委托危废单位拉运处置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 w:type="dxa"/>
            <w:vMerge w:val="restart"/>
            <w:vAlign w:val="center"/>
          </w:tcPr>
          <w:p>
            <w:pPr>
              <w:pStyle w:val="39"/>
              <w:rPr>
                <w:rFonts w:ascii="Times New Roman" w:hAnsi="Times New Roman"/>
              </w:rPr>
            </w:pPr>
            <w:r>
              <w:rPr>
                <w:rFonts w:ascii="Times New Roman" w:hAnsi="Times New Roman"/>
              </w:rPr>
              <w:t>宣兴1井站</w:t>
            </w:r>
          </w:p>
        </w:tc>
        <w:tc>
          <w:tcPr>
            <w:tcW w:w="1549" w:type="dxa"/>
            <w:vAlign w:val="center"/>
          </w:tcPr>
          <w:p>
            <w:pPr>
              <w:pStyle w:val="39"/>
              <w:rPr>
                <w:rFonts w:ascii="Times New Roman" w:hAnsi="Times New Roman"/>
              </w:rPr>
            </w:pPr>
            <w:r>
              <w:rPr>
                <w:rFonts w:ascii="Times New Roman" w:hAnsi="Times New Roman"/>
              </w:rPr>
              <w:t>化学品空桶</w:t>
            </w:r>
          </w:p>
        </w:tc>
        <w:tc>
          <w:tcPr>
            <w:tcW w:w="1292" w:type="dxa"/>
            <w:vAlign w:val="center"/>
          </w:tcPr>
          <w:p>
            <w:pPr>
              <w:pStyle w:val="39"/>
              <w:rPr>
                <w:rFonts w:ascii="Times New Roman" w:hAnsi="Times New Roman"/>
              </w:rPr>
            </w:pPr>
            <w:r>
              <w:rPr>
                <w:rFonts w:ascii="Times New Roman" w:hAnsi="Times New Roman"/>
              </w:rPr>
              <w:t>HW49</w:t>
            </w:r>
          </w:p>
        </w:tc>
        <w:tc>
          <w:tcPr>
            <w:tcW w:w="1559" w:type="dxa"/>
            <w:vAlign w:val="center"/>
          </w:tcPr>
          <w:p>
            <w:pPr>
              <w:pStyle w:val="39"/>
              <w:rPr>
                <w:rFonts w:ascii="Times New Roman" w:hAnsi="Times New Roman"/>
              </w:rPr>
            </w:pPr>
            <w:r>
              <w:rPr>
                <w:rFonts w:ascii="Times New Roman" w:hAnsi="Times New Roman"/>
              </w:rPr>
              <w:t>900-041-49</w:t>
            </w:r>
          </w:p>
        </w:tc>
        <w:tc>
          <w:tcPr>
            <w:tcW w:w="2126" w:type="dxa"/>
            <w:vAlign w:val="center"/>
          </w:tcPr>
          <w:p>
            <w:pPr>
              <w:pStyle w:val="39"/>
              <w:rPr>
                <w:rFonts w:ascii="Times New Roman" w:hAnsi="Times New Roman"/>
              </w:rPr>
            </w:pPr>
            <w:r>
              <w:rPr>
                <w:rFonts w:ascii="Times New Roman" w:hAnsi="Times New Roman"/>
              </w:rPr>
              <w:t>0.48t/a</w:t>
            </w:r>
          </w:p>
        </w:tc>
        <w:tc>
          <w:tcPr>
            <w:tcW w:w="1843" w:type="dxa"/>
            <w:vAlign w:val="center"/>
          </w:tcPr>
          <w:p>
            <w:pPr>
              <w:pStyle w:val="39"/>
              <w:rPr>
                <w:rFonts w:ascii="Times New Roman" w:hAnsi="Times New Roman"/>
              </w:rPr>
            </w:pPr>
            <w:r>
              <w:rPr>
                <w:rFonts w:ascii="Times New Roman" w:hAnsi="Times New Roman"/>
              </w:rPr>
              <w:t>缓蚀剂等</w:t>
            </w:r>
          </w:p>
        </w:tc>
        <w:tc>
          <w:tcPr>
            <w:tcW w:w="1701" w:type="dxa"/>
            <w:vAlign w:val="center"/>
          </w:tcPr>
          <w:p>
            <w:pPr>
              <w:pStyle w:val="39"/>
              <w:rPr>
                <w:rFonts w:ascii="Times New Roman" w:hAnsi="Times New Roman"/>
              </w:rPr>
            </w:pPr>
            <w:r>
              <w:rPr>
                <w:rFonts w:ascii="Times New Roman" w:hAnsi="Times New Roman"/>
              </w:rPr>
              <w:t>间断</w:t>
            </w:r>
          </w:p>
        </w:tc>
        <w:tc>
          <w:tcPr>
            <w:tcW w:w="2126" w:type="dxa"/>
            <w:vAlign w:val="center"/>
          </w:tcPr>
          <w:p>
            <w:pPr>
              <w:pStyle w:val="39"/>
              <w:rPr>
                <w:rFonts w:ascii="Times New Roman" w:hAnsi="Times New Roman"/>
              </w:rPr>
            </w:pPr>
            <w:r>
              <w:rPr>
                <w:rFonts w:ascii="Times New Roman" w:hAnsi="Times New Roman"/>
              </w:rPr>
              <w:t>厂家回收利用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 w:type="dxa"/>
            <w:vMerge w:val="continue"/>
            <w:vAlign w:val="center"/>
          </w:tcPr>
          <w:p>
            <w:pPr>
              <w:pStyle w:val="39"/>
              <w:rPr>
                <w:rFonts w:ascii="Times New Roman" w:hAnsi="Times New Roman"/>
              </w:rPr>
            </w:pPr>
          </w:p>
        </w:tc>
        <w:tc>
          <w:tcPr>
            <w:tcW w:w="1549" w:type="dxa"/>
            <w:vAlign w:val="center"/>
          </w:tcPr>
          <w:p>
            <w:pPr>
              <w:pStyle w:val="39"/>
              <w:rPr>
                <w:rFonts w:ascii="Times New Roman" w:hAnsi="Times New Roman"/>
              </w:rPr>
            </w:pPr>
            <w:r>
              <w:rPr>
                <w:rFonts w:ascii="Times New Roman" w:hAnsi="Times New Roman"/>
              </w:rPr>
              <w:t>废油废抹布等</w:t>
            </w:r>
          </w:p>
        </w:tc>
        <w:tc>
          <w:tcPr>
            <w:tcW w:w="1292" w:type="dxa"/>
            <w:vAlign w:val="center"/>
          </w:tcPr>
          <w:p>
            <w:pPr>
              <w:pStyle w:val="39"/>
              <w:rPr>
                <w:rFonts w:ascii="Times New Roman" w:hAnsi="Times New Roman"/>
              </w:rPr>
            </w:pPr>
            <w:r>
              <w:rPr>
                <w:rFonts w:ascii="Times New Roman" w:hAnsi="Times New Roman"/>
              </w:rPr>
              <w:t>HW49</w:t>
            </w:r>
          </w:p>
        </w:tc>
        <w:tc>
          <w:tcPr>
            <w:tcW w:w="1559" w:type="dxa"/>
            <w:vAlign w:val="center"/>
          </w:tcPr>
          <w:p>
            <w:pPr>
              <w:pStyle w:val="39"/>
              <w:rPr>
                <w:rFonts w:ascii="Times New Roman" w:hAnsi="Times New Roman"/>
              </w:rPr>
            </w:pPr>
            <w:r>
              <w:rPr>
                <w:rFonts w:ascii="Times New Roman" w:hAnsi="Times New Roman"/>
              </w:rPr>
              <w:t>900-041-49</w:t>
            </w:r>
          </w:p>
        </w:tc>
        <w:tc>
          <w:tcPr>
            <w:tcW w:w="2126" w:type="dxa"/>
            <w:vAlign w:val="center"/>
          </w:tcPr>
          <w:p>
            <w:pPr>
              <w:pStyle w:val="39"/>
              <w:rPr>
                <w:rFonts w:ascii="Times New Roman" w:hAnsi="Times New Roman"/>
              </w:rPr>
            </w:pPr>
            <w:r>
              <w:rPr>
                <w:rFonts w:ascii="Times New Roman" w:hAnsi="Times New Roman"/>
              </w:rPr>
              <w:t>0.05t/a</w:t>
            </w:r>
          </w:p>
        </w:tc>
        <w:tc>
          <w:tcPr>
            <w:tcW w:w="1843" w:type="dxa"/>
            <w:vAlign w:val="center"/>
          </w:tcPr>
          <w:p>
            <w:pPr>
              <w:pStyle w:val="39"/>
              <w:rPr>
                <w:rFonts w:ascii="Times New Roman" w:hAnsi="Times New Roman"/>
              </w:rPr>
            </w:pPr>
            <w:r>
              <w:rPr>
                <w:rFonts w:ascii="Times New Roman" w:hAnsi="Times New Roman"/>
              </w:rPr>
              <w:t>油类</w:t>
            </w:r>
          </w:p>
        </w:tc>
        <w:tc>
          <w:tcPr>
            <w:tcW w:w="1701" w:type="dxa"/>
            <w:vAlign w:val="center"/>
          </w:tcPr>
          <w:p>
            <w:pPr>
              <w:pStyle w:val="39"/>
              <w:rPr>
                <w:rFonts w:ascii="Times New Roman" w:hAnsi="Times New Roman"/>
              </w:rPr>
            </w:pPr>
            <w:r>
              <w:rPr>
                <w:rFonts w:ascii="Times New Roman" w:hAnsi="Times New Roman"/>
              </w:rPr>
              <w:t>间断</w:t>
            </w:r>
          </w:p>
        </w:tc>
        <w:tc>
          <w:tcPr>
            <w:tcW w:w="2126" w:type="dxa"/>
            <w:vAlign w:val="center"/>
          </w:tcPr>
          <w:p>
            <w:pPr>
              <w:pStyle w:val="39"/>
              <w:rPr>
                <w:rFonts w:ascii="Times New Roman" w:hAnsi="Times New Roman"/>
              </w:rPr>
            </w:pPr>
            <w:r>
              <w:rPr>
                <w:rFonts w:ascii="Times New Roman" w:hAnsi="Times New Roman"/>
              </w:rPr>
              <w:t>不落地，委托危废单位拉运处置</w:t>
            </w:r>
          </w:p>
        </w:tc>
      </w:tr>
    </w:tbl>
    <w:p>
      <w:pPr>
        <w:ind w:firstLine="480"/>
        <w:rPr>
          <w:rFonts w:ascii="Times New Roman" w:hAnsi="Times New Roman"/>
        </w:rPr>
      </w:pPr>
    </w:p>
    <w:p>
      <w:pPr>
        <w:ind w:firstLine="480"/>
        <w:rPr>
          <w:rFonts w:ascii="Times New Roman" w:hAnsi="Times New Roman"/>
        </w:rPr>
      </w:pPr>
    </w:p>
    <w:p>
      <w:pPr>
        <w:widowControl/>
        <w:spacing w:line="240" w:lineRule="auto"/>
        <w:ind w:firstLine="0" w:firstLineChars="0"/>
        <w:rPr>
          <w:rFonts w:ascii="Times New Roman" w:hAnsi="Times New Roman"/>
        </w:rPr>
        <w:sectPr>
          <w:pgSz w:w="16838" w:h="11906" w:orient="landscape"/>
          <w:pgMar w:top="1797" w:right="1440" w:bottom="1797" w:left="1440" w:header="851" w:footer="992" w:gutter="0"/>
          <w:cols w:space="425" w:num="1"/>
          <w:docGrid w:type="linesAndChars" w:linePitch="312" w:charSpace="0"/>
        </w:sectPr>
      </w:pPr>
    </w:p>
    <w:p>
      <w:pPr>
        <w:pStyle w:val="5"/>
        <w:rPr>
          <w:rFonts w:ascii="Times New Roman" w:hAnsi="Times New Roman"/>
        </w:rPr>
      </w:pPr>
      <w:r>
        <w:rPr>
          <w:rFonts w:ascii="Times New Roman" w:hAnsi="Times New Roman"/>
        </w:rPr>
        <w:t>固体废物贮存、运输及处理处置要求</w:t>
      </w:r>
    </w:p>
    <w:p>
      <w:pPr>
        <w:ind w:firstLine="480"/>
        <w:rPr>
          <w:rFonts w:ascii="Times New Roman" w:hAnsi="Times New Roman"/>
        </w:rPr>
      </w:pPr>
      <w:r>
        <w:rPr>
          <w:rFonts w:ascii="Times New Roman" w:hAnsi="Times New Roman"/>
        </w:rPr>
        <w:t>鉴于危险废物的特殊性，本项目应对以下几方面进行强化。</w:t>
      </w:r>
    </w:p>
    <w:p>
      <w:pPr>
        <w:ind w:firstLine="480"/>
        <w:rPr>
          <w:rFonts w:ascii="Times New Roman" w:hAnsi="Times New Roman"/>
        </w:rPr>
      </w:pPr>
      <w:r>
        <w:rPr>
          <w:rFonts w:ascii="Times New Roman" w:hAnsi="Times New Roman"/>
        </w:rPr>
        <w:t>（1）本项目必须建立和完善固体废物处理系统，按照</w:t>
      </w:r>
      <w:r>
        <w:rPr>
          <w:rFonts w:hint="eastAsia" w:ascii="Times New Roman" w:hAnsi="Times New Roman"/>
        </w:rPr>
        <w:t>《中华人民共和国固体废物污染环境防治法》</w:t>
      </w:r>
      <w:r>
        <w:rPr>
          <w:rFonts w:ascii="Times New Roman" w:hAnsi="Times New Roman"/>
        </w:rPr>
        <w:t>的规定，对危险固体废物进行全过程严格管理，必须交由有资质的单位安全处理处置，严禁随意堆放和扩散，必须设置专用堆放场所，并按《危险废物贮存污染控制标准》（GB18597-2023）《危险废物转移管理办法》和《危险废物环境管理指南 陆上石油天然气开采》、等有关规定贮存及管理，有防扬散、防流失、防渗漏等措施，由专业人员操作，单独收集和贮运，对本项目产生的固体废物特别是危险废物进行全过程严格管理和安全处置。</w:t>
      </w:r>
    </w:p>
    <w:p>
      <w:pPr>
        <w:ind w:firstLine="480"/>
        <w:rPr>
          <w:rFonts w:ascii="Times New Roman" w:hAnsi="Times New Roman"/>
        </w:rPr>
      </w:pPr>
      <w:r>
        <w:rPr>
          <w:rFonts w:ascii="Times New Roman" w:hAnsi="Times New Roman"/>
        </w:rPr>
        <w:t>（2）为杜绝危险废物在转运过程中对环境的潜在性污染风险，固体废物外委处理处置将对各装置实行“上门取货制”和危险废物的转运联单制，配备液体、固体危险废物转运车辆。实行从废物产生源头装车，到最终的处理处置设施进行全程监控和管理。废物进场时首先要对废物进行物理和化学性质分析，分类并登记造册，禁止将不相容废物装入同一容器。盛装危险废物的容器上要粘贴符合标准的标签。严格按照《危险废物收集贮存 运输技术规范》（HJ2025）等有关规定执行。</w:t>
      </w:r>
    </w:p>
    <w:p>
      <w:pPr>
        <w:ind w:firstLine="480"/>
        <w:rPr>
          <w:rFonts w:ascii="Times New Roman" w:hAnsi="Times New Roman"/>
        </w:rPr>
      </w:pPr>
      <w:r>
        <w:rPr>
          <w:rFonts w:ascii="Times New Roman" w:hAnsi="Times New Roman"/>
        </w:rPr>
        <w:t>（3）落实环境应急预案制度，参考《危险废物经营单位编制应急预案指南》有关规定制定意外事故的防范措施和环境应急预案，并向所在地生态环境主管部门和其他负有固体废物污染环境防治监督管理职责的部门备案。</w:t>
      </w:r>
    </w:p>
    <w:p>
      <w:pPr>
        <w:ind w:firstLine="480"/>
        <w:rPr>
          <w:rFonts w:ascii="Times New Roman" w:hAnsi="Times New Roman"/>
        </w:rPr>
      </w:pPr>
      <w:r>
        <w:rPr>
          <w:rFonts w:ascii="Times New Roman" w:hAnsi="Times New Roman"/>
        </w:rPr>
        <w:t>（4）建立危险废物台账管理制度，通过建立危险废物的登记和台账，对危险废物的产生、处理、贮存、利用和处置情况进行如实详细记录，加强对危险废物的管理，防止危险废物泄漏、扩散和环境污染。必须按照国家有关规定制定危险废物管理计划，并向所在地县级以上地方人民政府环境保护行政主管部门申报危险废物的种类、生产量、流向、储存、处置等有关资料。</w:t>
      </w:r>
    </w:p>
    <w:p>
      <w:pPr>
        <w:pStyle w:val="5"/>
        <w:rPr>
          <w:rFonts w:ascii="Times New Roman" w:hAnsi="Times New Roman"/>
        </w:rPr>
      </w:pPr>
      <w:r>
        <w:rPr>
          <w:rFonts w:ascii="Times New Roman" w:hAnsi="Times New Roman"/>
        </w:rPr>
        <w:t>小结</w:t>
      </w:r>
    </w:p>
    <w:p>
      <w:pPr>
        <w:ind w:firstLine="480"/>
        <w:rPr>
          <w:rFonts w:ascii="Times New Roman" w:hAnsi="Times New Roman"/>
        </w:rPr>
      </w:pPr>
      <w:r>
        <w:rPr>
          <w:rFonts w:ascii="Times New Roman" w:hAnsi="Times New Roman"/>
        </w:rPr>
        <w:t>本项目产生的固体废物中危险废物，最终全部委托有资质单位处置。生活垃圾分类收集后由当地环卫部门定期处置。清管残渣收集后定期委托第三方处置。</w:t>
      </w:r>
    </w:p>
    <w:p>
      <w:pPr>
        <w:ind w:firstLine="480"/>
        <w:rPr>
          <w:rFonts w:ascii="Times New Roman" w:hAnsi="Times New Roman"/>
        </w:rPr>
      </w:pPr>
      <w:r>
        <w:rPr>
          <w:rFonts w:ascii="Times New Roman" w:hAnsi="Times New Roman"/>
        </w:rPr>
        <w:t>建设单位在认真落实上述固体废物处置措施，保证各种固体废物得到有效处置，营运期产生的各种固体废物对环境的影响可得到有效的控制，从而避免项目产生的固废对地下水环境和土壤环境造成二次污染。</w:t>
      </w:r>
    </w:p>
    <w:p>
      <w:pPr>
        <w:ind w:firstLine="480"/>
        <w:rPr>
          <w:rFonts w:ascii="Times New Roman" w:hAnsi="Times New Roman"/>
        </w:rPr>
      </w:pPr>
      <w:r>
        <w:rPr>
          <w:rFonts w:ascii="Times New Roman" w:hAnsi="Times New Roman"/>
        </w:rPr>
        <w:t>本项目危险废物的运输过程、委托利用或处置均符合要求，对环境的影响较小。</w:t>
      </w:r>
    </w:p>
    <w:p>
      <w:pPr>
        <w:ind w:firstLine="480"/>
        <w:rPr>
          <w:rFonts w:ascii="Times New Roman" w:hAnsi="Times New Roman"/>
        </w:rPr>
      </w:pPr>
    </w:p>
    <w:p>
      <w:pPr>
        <w:widowControl/>
        <w:spacing w:line="240" w:lineRule="auto"/>
        <w:ind w:firstLine="0" w:firstLineChars="0"/>
        <w:rPr>
          <w:rFonts w:ascii="Times New Roman" w:hAnsi="Times New Roman"/>
        </w:rPr>
      </w:pPr>
      <w:r>
        <w:rPr>
          <w:rFonts w:ascii="Times New Roman" w:hAnsi="Times New Roman"/>
        </w:rPr>
        <w:br w:type="page"/>
      </w:r>
    </w:p>
    <w:p>
      <w:pPr>
        <w:pStyle w:val="2"/>
        <w:rPr>
          <w:rFonts w:ascii="Times New Roman" w:hAnsi="Times New Roman" w:cs="Times New Roman"/>
        </w:rPr>
      </w:pPr>
      <w:bookmarkStart w:id="243" w:name="_Toc152167840"/>
      <w:bookmarkStart w:id="244" w:name="_Toc162339430"/>
      <w:r>
        <w:rPr>
          <w:rFonts w:ascii="Times New Roman" w:hAnsi="Times New Roman" w:cs="Times New Roman"/>
        </w:rPr>
        <w:t>环境风险评价</w:t>
      </w:r>
      <w:bookmarkEnd w:id="243"/>
      <w:bookmarkEnd w:id="244"/>
    </w:p>
    <w:p>
      <w:pPr>
        <w:pStyle w:val="3"/>
        <w:rPr>
          <w:rFonts w:ascii="Times New Roman" w:hAnsi="Times New Roman" w:cs="Times New Roman"/>
        </w:rPr>
      </w:pPr>
      <w:bookmarkStart w:id="245" w:name="_Toc162339431"/>
      <w:r>
        <w:rPr>
          <w:rFonts w:ascii="Times New Roman" w:hAnsi="Times New Roman" w:cs="Times New Roman"/>
        </w:rPr>
        <w:t>环境风险调查</w:t>
      </w:r>
      <w:bookmarkEnd w:id="245"/>
    </w:p>
    <w:p>
      <w:pPr>
        <w:pStyle w:val="4"/>
        <w:rPr>
          <w:rFonts w:ascii="Times New Roman" w:hAnsi="Times New Roman" w:cs="Times New Roman"/>
        </w:rPr>
      </w:pPr>
      <w:r>
        <w:rPr>
          <w:rFonts w:ascii="Times New Roman" w:hAnsi="Times New Roman" w:cs="Times New Roman"/>
        </w:rPr>
        <w:t>风险源调查</w:t>
      </w:r>
    </w:p>
    <w:p>
      <w:pPr>
        <w:ind w:firstLine="480"/>
        <w:rPr>
          <w:rFonts w:ascii="Times New Roman" w:hAnsi="Times New Roman"/>
        </w:rPr>
      </w:pPr>
      <w:r>
        <w:rPr>
          <w:rFonts w:ascii="Times New Roman" w:hAnsi="Times New Roman"/>
        </w:rPr>
        <w:t>本项目工程建设主要为井站工程、集输管线工程，涉及的危险物质包括：甲烷、硫化氢、二氧化碳、硫化亚铁、气田水、硫、缓蚀剂、防冻剂、解堵用清洗剂，以及火灾、爆炸事故伴生物一氧化碳和二氧化硫等。</w:t>
      </w:r>
    </w:p>
    <w:p>
      <w:pPr>
        <w:ind w:firstLine="480"/>
        <w:rPr>
          <w:rFonts w:ascii="Times New Roman" w:hAnsi="Times New Roman"/>
        </w:rPr>
      </w:pPr>
      <w:r>
        <w:rPr>
          <w:rFonts w:ascii="Times New Roman" w:hAnsi="Times New Roman"/>
        </w:rPr>
        <w:t>本项目存在物质或能量意外释放，并可能产生环境危害的源主要有：采气井站内的管道及设备；集气管道；气田水外运罐车。</w:t>
      </w:r>
    </w:p>
    <w:p>
      <w:pPr>
        <w:ind w:firstLine="480"/>
        <w:rPr>
          <w:rFonts w:ascii="Times New Roman" w:hAnsi="Times New Roman"/>
        </w:rPr>
      </w:pPr>
      <w:r>
        <w:rPr>
          <w:rFonts w:ascii="Times New Roman" w:hAnsi="Times New Roman"/>
        </w:rPr>
        <w:t>试采过程所涉及的主要物料是含硫天然气，</w:t>
      </w:r>
      <w:r>
        <w:rPr>
          <w:rFonts w:ascii="Times New Roman" w:hAnsi="Times New Roman"/>
          <w:highlight w:val="black"/>
        </w:rPr>
        <w:t>其中H</w:t>
      </w:r>
      <w:r>
        <w:rPr>
          <w:rFonts w:ascii="Times New Roman" w:hAnsi="Times New Roman"/>
          <w:highlight w:val="black"/>
          <w:vertAlign w:val="subscript"/>
        </w:rPr>
        <w:t>2</w:t>
      </w:r>
      <w:r>
        <w:rPr>
          <w:rFonts w:ascii="Times New Roman" w:hAnsi="Times New Roman"/>
          <w:highlight w:val="black"/>
        </w:rPr>
        <w:t>S含量10.69%～14.3%</w:t>
      </w:r>
      <w:r>
        <w:rPr>
          <w:rFonts w:ascii="Times New Roman" w:hAnsi="Times New Roman"/>
        </w:rPr>
        <w:t>，气田的物质危险性主要表现为H</w:t>
      </w:r>
      <w:r>
        <w:rPr>
          <w:rFonts w:ascii="Times New Roman" w:hAnsi="Times New Roman"/>
          <w:vertAlign w:val="subscript"/>
        </w:rPr>
        <w:t>2</w:t>
      </w:r>
      <w:r>
        <w:rPr>
          <w:rFonts w:ascii="Times New Roman" w:hAnsi="Times New Roman"/>
        </w:rPr>
        <w:t>S的毒性、腐蚀性和天然气的易燃易爆性。其他危险有害物质还包括：清管检修排出的FeS、试采过程中沉积的元素硫、井站放空点火燃烧时产生的SO</w:t>
      </w:r>
      <w:r>
        <w:rPr>
          <w:rFonts w:ascii="Times New Roman" w:hAnsi="Times New Roman"/>
          <w:vertAlign w:val="subscript"/>
        </w:rPr>
        <w:t>2</w:t>
      </w:r>
      <w:r>
        <w:rPr>
          <w:rFonts w:ascii="Times New Roman" w:hAnsi="Times New Roman"/>
        </w:rPr>
        <w:t>、宣兴1井站还涉及气田水。根据本项目所涉及的危险物质危险性见</w:t>
      </w:r>
      <w:r>
        <w:rPr>
          <w:rFonts w:ascii="Times New Roman" w:hAnsi="Times New Roman"/>
        </w:rPr>
        <w:fldChar w:fldCharType="begin"/>
      </w:r>
      <w:r>
        <w:rPr>
          <w:rFonts w:ascii="Times New Roman" w:hAnsi="Times New Roman"/>
        </w:rPr>
        <w:instrText xml:space="preserve"> REF _Ref152253145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246" w:name="_Ref152253145"/>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bookmarkEnd w:id="246"/>
      <w:r>
        <w:rPr>
          <w:rFonts w:ascii="Times New Roman" w:hAnsi="Times New Roman" w:cs="Times New Roman"/>
        </w:rPr>
        <w:t xml:space="preserve">  主要物质的危险性及存在位置</w:t>
      </w:r>
    </w:p>
    <w:tbl>
      <w:tblPr>
        <w:tblStyle w:val="28"/>
        <w:tblW w:w="87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134"/>
        <w:gridCol w:w="2127"/>
        <w:gridCol w:w="1134"/>
        <w:gridCol w:w="3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39"/>
              <w:rPr>
                <w:rFonts w:ascii="Times New Roman" w:hAnsi="Times New Roman"/>
              </w:rPr>
            </w:pPr>
            <w:r>
              <w:rPr>
                <w:rFonts w:ascii="Times New Roman" w:hAnsi="Times New Roman"/>
              </w:rPr>
              <w:t>序号</w:t>
            </w:r>
          </w:p>
        </w:tc>
        <w:tc>
          <w:tcPr>
            <w:tcW w:w="1134" w:type="dxa"/>
            <w:vAlign w:val="center"/>
          </w:tcPr>
          <w:p>
            <w:pPr>
              <w:pStyle w:val="39"/>
              <w:rPr>
                <w:rFonts w:ascii="Times New Roman" w:hAnsi="Times New Roman"/>
              </w:rPr>
            </w:pPr>
            <w:r>
              <w:rPr>
                <w:rFonts w:ascii="Times New Roman" w:hAnsi="Times New Roman"/>
              </w:rPr>
              <w:t>物质名称</w:t>
            </w:r>
          </w:p>
        </w:tc>
        <w:tc>
          <w:tcPr>
            <w:tcW w:w="2127" w:type="dxa"/>
            <w:vAlign w:val="center"/>
          </w:tcPr>
          <w:p>
            <w:pPr>
              <w:pStyle w:val="39"/>
              <w:rPr>
                <w:rFonts w:ascii="Times New Roman" w:hAnsi="Times New Roman"/>
              </w:rPr>
            </w:pPr>
            <w:r>
              <w:rPr>
                <w:rFonts w:ascii="Times New Roman" w:hAnsi="Times New Roman"/>
              </w:rPr>
              <w:t>存在部位及产生过程</w:t>
            </w:r>
          </w:p>
        </w:tc>
        <w:tc>
          <w:tcPr>
            <w:tcW w:w="1134" w:type="dxa"/>
            <w:vAlign w:val="center"/>
          </w:tcPr>
          <w:p>
            <w:pPr>
              <w:pStyle w:val="39"/>
              <w:rPr>
                <w:rFonts w:ascii="Times New Roman" w:hAnsi="Times New Roman"/>
              </w:rPr>
            </w:pPr>
            <w:r>
              <w:rPr>
                <w:rFonts w:ascii="Times New Roman" w:hAnsi="Times New Roman"/>
              </w:rPr>
              <w:t>CAS号</w:t>
            </w:r>
          </w:p>
        </w:tc>
        <w:tc>
          <w:tcPr>
            <w:tcW w:w="3685" w:type="dxa"/>
            <w:vAlign w:val="center"/>
          </w:tcPr>
          <w:p>
            <w:pPr>
              <w:pStyle w:val="39"/>
              <w:rPr>
                <w:rFonts w:ascii="Times New Roman" w:hAnsi="Times New Roman"/>
              </w:rPr>
            </w:pPr>
            <w:r>
              <w:rPr>
                <w:rFonts w:ascii="Times New Roman" w:hAnsi="Times New Roman"/>
              </w:rPr>
              <w:t>危险性类别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39"/>
              <w:rPr>
                <w:rFonts w:ascii="Times New Roman" w:hAnsi="Times New Roman"/>
              </w:rPr>
            </w:pPr>
            <w:r>
              <w:rPr>
                <w:rFonts w:ascii="Times New Roman" w:hAnsi="Times New Roman"/>
              </w:rPr>
              <w:t>1</w:t>
            </w:r>
          </w:p>
        </w:tc>
        <w:tc>
          <w:tcPr>
            <w:tcW w:w="1134" w:type="dxa"/>
            <w:vAlign w:val="center"/>
          </w:tcPr>
          <w:p>
            <w:pPr>
              <w:pStyle w:val="39"/>
              <w:rPr>
                <w:rFonts w:ascii="Times New Roman" w:hAnsi="Times New Roman"/>
              </w:rPr>
            </w:pPr>
            <w:r>
              <w:rPr>
                <w:rFonts w:ascii="Times New Roman" w:hAnsi="Times New Roman"/>
              </w:rPr>
              <w:t>甲烷</w:t>
            </w:r>
          </w:p>
        </w:tc>
        <w:tc>
          <w:tcPr>
            <w:tcW w:w="2127" w:type="dxa"/>
            <w:vAlign w:val="center"/>
          </w:tcPr>
          <w:p>
            <w:pPr>
              <w:pStyle w:val="39"/>
              <w:rPr>
                <w:rFonts w:ascii="Times New Roman" w:hAnsi="Times New Roman"/>
              </w:rPr>
            </w:pPr>
            <w:r>
              <w:rPr>
                <w:rFonts w:ascii="Times New Roman" w:hAnsi="Times New Roman"/>
              </w:rPr>
              <w:t>集输设备、管线</w:t>
            </w:r>
          </w:p>
        </w:tc>
        <w:tc>
          <w:tcPr>
            <w:tcW w:w="1134" w:type="dxa"/>
            <w:vAlign w:val="center"/>
          </w:tcPr>
          <w:p>
            <w:pPr>
              <w:pStyle w:val="39"/>
              <w:rPr>
                <w:rFonts w:ascii="Times New Roman" w:hAnsi="Times New Roman"/>
              </w:rPr>
            </w:pPr>
            <w:r>
              <w:rPr>
                <w:rFonts w:ascii="Times New Roman" w:hAnsi="Times New Roman"/>
              </w:rPr>
              <w:t>74-82-8</w:t>
            </w:r>
          </w:p>
        </w:tc>
        <w:tc>
          <w:tcPr>
            <w:tcW w:w="3685" w:type="dxa"/>
            <w:vAlign w:val="center"/>
          </w:tcPr>
          <w:p>
            <w:pPr>
              <w:pStyle w:val="39"/>
              <w:rPr>
                <w:rFonts w:ascii="Times New Roman" w:hAnsi="Times New Roman"/>
              </w:rPr>
            </w:pPr>
            <w:r>
              <w:rPr>
                <w:rFonts w:ascii="Times New Roman" w:hAnsi="Times New Roman"/>
              </w:rPr>
              <w:t>易燃气体，类别1</w:t>
            </w:r>
          </w:p>
          <w:p>
            <w:pPr>
              <w:pStyle w:val="39"/>
              <w:rPr>
                <w:rFonts w:ascii="Times New Roman" w:hAnsi="Times New Roman"/>
              </w:rPr>
            </w:pPr>
            <w:r>
              <w:rPr>
                <w:rFonts w:ascii="Times New Roman" w:hAnsi="Times New Roman"/>
              </w:rPr>
              <w:t>加压气体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39"/>
              <w:rPr>
                <w:rFonts w:ascii="Times New Roman" w:hAnsi="Times New Roman"/>
              </w:rPr>
            </w:pPr>
            <w:r>
              <w:rPr>
                <w:rFonts w:ascii="Times New Roman" w:hAnsi="Times New Roman"/>
              </w:rPr>
              <w:t>2</w:t>
            </w:r>
          </w:p>
        </w:tc>
        <w:tc>
          <w:tcPr>
            <w:tcW w:w="1134" w:type="dxa"/>
            <w:vAlign w:val="center"/>
          </w:tcPr>
          <w:p>
            <w:pPr>
              <w:pStyle w:val="39"/>
              <w:rPr>
                <w:rFonts w:ascii="Times New Roman" w:hAnsi="Times New Roman"/>
              </w:rPr>
            </w:pPr>
            <w:r>
              <w:rPr>
                <w:rFonts w:ascii="Times New Roman" w:hAnsi="Times New Roman"/>
              </w:rPr>
              <w:t>硫化氢</w:t>
            </w:r>
          </w:p>
        </w:tc>
        <w:tc>
          <w:tcPr>
            <w:tcW w:w="2127" w:type="dxa"/>
            <w:vAlign w:val="center"/>
          </w:tcPr>
          <w:p>
            <w:pPr>
              <w:pStyle w:val="39"/>
              <w:rPr>
                <w:rFonts w:ascii="Times New Roman" w:hAnsi="Times New Roman"/>
              </w:rPr>
            </w:pPr>
            <w:r>
              <w:rPr>
                <w:rFonts w:ascii="Times New Roman" w:hAnsi="Times New Roman"/>
              </w:rPr>
              <w:t>集输设备、管线</w:t>
            </w:r>
          </w:p>
        </w:tc>
        <w:tc>
          <w:tcPr>
            <w:tcW w:w="1134" w:type="dxa"/>
            <w:vAlign w:val="center"/>
          </w:tcPr>
          <w:p>
            <w:pPr>
              <w:pStyle w:val="39"/>
              <w:rPr>
                <w:rFonts w:ascii="Times New Roman" w:hAnsi="Times New Roman"/>
              </w:rPr>
            </w:pPr>
            <w:r>
              <w:rPr>
                <w:rFonts w:ascii="Times New Roman" w:hAnsi="Times New Roman"/>
              </w:rPr>
              <w:t>7783-06-4</w:t>
            </w:r>
          </w:p>
        </w:tc>
        <w:tc>
          <w:tcPr>
            <w:tcW w:w="3685" w:type="dxa"/>
            <w:vAlign w:val="center"/>
          </w:tcPr>
          <w:p>
            <w:pPr>
              <w:pStyle w:val="39"/>
              <w:rPr>
                <w:rFonts w:ascii="Times New Roman" w:hAnsi="Times New Roman"/>
              </w:rPr>
            </w:pPr>
            <w:r>
              <w:rPr>
                <w:rFonts w:ascii="Times New Roman" w:hAnsi="Times New Roman"/>
              </w:rPr>
              <w:t>易燃气体，类别1</w:t>
            </w:r>
          </w:p>
          <w:p>
            <w:pPr>
              <w:pStyle w:val="39"/>
              <w:rPr>
                <w:rFonts w:ascii="Times New Roman" w:hAnsi="Times New Roman"/>
              </w:rPr>
            </w:pPr>
            <w:r>
              <w:rPr>
                <w:rFonts w:ascii="Times New Roman" w:hAnsi="Times New Roman"/>
              </w:rPr>
              <w:t>加压气体</w:t>
            </w:r>
          </w:p>
          <w:p>
            <w:pPr>
              <w:pStyle w:val="39"/>
              <w:rPr>
                <w:rFonts w:ascii="Times New Roman" w:hAnsi="Times New Roman"/>
              </w:rPr>
            </w:pPr>
            <w:r>
              <w:rPr>
                <w:rFonts w:ascii="Times New Roman" w:hAnsi="Times New Roman"/>
              </w:rPr>
              <w:t>急性毒性-吸入，类别2*</w:t>
            </w:r>
          </w:p>
          <w:p>
            <w:pPr>
              <w:pStyle w:val="39"/>
              <w:rPr>
                <w:rFonts w:ascii="Times New Roman" w:hAnsi="Times New Roman"/>
              </w:rPr>
            </w:pPr>
            <w:r>
              <w:rPr>
                <w:rFonts w:ascii="Times New Roman" w:hAnsi="Times New Roman"/>
              </w:rPr>
              <w:t>危害水生环境-急性危害，类别1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39"/>
              <w:rPr>
                <w:rFonts w:ascii="Times New Roman" w:hAnsi="Times New Roman"/>
              </w:rPr>
            </w:pPr>
            <w:r>
              <w:rPr>
                <w:rFonts w:ascii="Times New Roman" w:hAnsi="Times New Roman"/>
              </w:rPr>
              <w:t>3</w:t>
            </w:r>
          </w:p>
        </w:tc>
        <w:tc>
          <w:tcPr>
            <w:tcW w:w="1134" w:type="dxa"/>
            <w:vAlign w:val="center"/>
          </w:tcPr>
          <w:p>
            <w:pPr>
              <w:pStyle w:val="39"/>
              <w:rPr>
                <w:rFonts w:ascii="Times New Roman" w:hAnsi="Times New Roman"/>
              </w:rPr>
            </w:pPr>
            <w:r>
              <w:rPr>
                <w:rFonts w:ascii="Times New Roman" w:hAnsi="Times New Roman"/>
              </w:rPr>
              <w:t>二氧化碳</w:t>
            </w:r>
          </w:p>
        </w:tc>
        <w:tc>
          <w:tcPr>
            <w:tcW w:w="2127" w:type="dxa"/>
            <w:vAlign w:val="center"/>
          </w:tcPr>
          <w:p>
            <w:pPr>
              <w:pStyle w:val="39"/>
              <w:rPr>
                <w:rFonts w:ascii="Times New Roman" w:hAnsi="Times New Roman"/>
              </w:rPr>
            </w:pPr>
            <w:r>
              <w:rPr>
                <w:rFonts w:ascii="Times New Roman" w:hAnsi="Times New Roman"/>
              </w:rPr>
              <w:t>集输设备、管线</w:t>
            </w:r>
          </w:p>
        </w:tc>
        <w:tc>
          <w:tcPr>
            <w:tcW w:w="1134" w:type="dxa"/>
            <w:vAlign w:val="center"/>
          </w:tcPr>
          <w:p>
            <w:pPr>
              <w:pStyle w:val="39"/>
              <w:rPr>
                <w:rFonts w:ascii="Times New Roman" w:hAnsi="Times New Roman"/>
              </w:rPr>
            </w:pPr>
            <w:r>
              <w:rPr>
                <w:rFonts w:ascii="Times New Roman" w:hAnsi="Times New Roman"/>
              </w:rPr>
              <w:t>12438-9</w:t>
            </w:r>
          </w:p>
        </w:tc>
        <w:tc>
          <w:tcPr>
            <w:tcW w:w="3685" w:type="dxa"/>
            <w:vAlign w:val="center"/>
          </w:tcPr>
          <w:p>
            <w:pPr>
              <w:pStyle w:val="39"/>
              <w:rPr>
                <w:rFonts w:ascii="Times New Roman" w:hAnsi="Times New Roman"/>
              </w:rPr>
            </w:pPr>
            <w:r>
              <w:rPr>
                <w:rFonts w:ascii="Times New Roman" w:hAnsi="Times New Roman"/>
              </w:rPr>
              <w:t>加压气体</w:t>
            </w:r>
          </w:p>
          <w:p>
            <w:pPr>
              <w:pStyle w:val="39"/>
              <w:rPr>
                <w:rFonts w:ascii="Times New Roman" w:hAnsi="Times New Roman"/>
              </w:rPr>
            </w:pPr>
            <w:r>
              <w:rPr>
                <w:rFonts w:ascii="Times New Roman" w:hAnsi="Times New Roman"/>
              </w:rPr>
              <w:t>特异性靶器官毒性-一次接触，类别3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39"/>
              <w:rPr>
                <w:rFonts w:ascii="Times New Roman" w:hAnsi="Times New Roman"/>
              </w:rPr>
            </w:pPr>
            <w:r>
              <w:rPr>
                <w:rFonts w:ascii="Times New Roman" w:hAnsi="Times New Roman"/>
              </w:rPr>
              <w:t>4</w:t>
            </w:r>
          </w:p>
        </w:tc>
        <w:tc>
          <w:tcPr>
            <w:tcW w:w="1134" w:type="dxa"/>
            <w:vAlign w:val="center"/>
          </w:tcPr>
          <w:p>
            <w:pPr>
              <w:pStyle w:val="39"/>
              <w:rPr>
                <w:rFonts w:ascii="Times New Roman" w:hAnsi="Times New Roman"/>
              </w:rPr>
            </w:pPr>
            <w:r>
              <w:rPr>
                <w:rFonts w:ascii="Times New Roman" w:hAnsi="Times New Roman"/>
              </w:rPr>
              <w:t>硫化亚铁</w:t>
            </w:r>
          </w:p>
        </w:tc>
        <w:tc>
          <w:tcPr>
            <w:tcW w:w="2127" w:type="dxa"/>
            <w:vAlign w:val="center"/>
          </w:tcPr>
          <w:p>
            <w:pPr>
              <w:pStyle w:val="39"/>
              <w:rPr>
                <w:rFonts w:ascii="Times New Roman" w:hAnsi="Times New Roman"/>
              </w:rPr>
            </w:pPr>
            <w:r>
              <w:rPr>
                <w:rFonts w:ascii="Times New Roman" w:hAnsi="Times New Roman"/>
              </w:rPr>
              <w:t>集输设备、管线</w:t>
            </w:r>
          </w:p>
        </w:tc>
        <w:tc>
          <w:tcPr>
            <w:tcW w:w="1134" w:type="dxa"/>
            <w:vAlign w:val="center"/>
          </w:tcPr>
          <w:p>
            <w:pPr>
              <w:pStyle w:val="39"/>
              <w:rPr>
                <w:rFonts w:ascii="Times New Roman" w:hAnsi="Times New Roman"/>
              </w:rPr>
            </w:pPr>
            <w:r>
              <w:rPr>
                <w:rFonts w:ascii="Times New Roman" w:hAnsi="Times New Roman"/>
              </w:rPr>
              <w:t>/</w:t>
            </w:r>
          </w:p>
        </w:tc>
        <w:tc>
          <w:tcPr>
            <w:tcW w:w="3685" w:type="dxa"/>
            <w:vAlign w:val="center"/>
          </w:tcPr>
          <w:p>
            <w:pPr>
              <w:pStyle w:val="39"/>
              <w:rPr>
                <w:rFonts w:ascii="Times New Roman" w:hAnsi="Times New Roman"/>
              </w:rPr>
            </w:pPr>
            <w:r>
              <w:rPr>
                <w:rFonts w:ascii="Times New Roman" w:hAnsi="Times New Roman"/>
              </w:rPr>
              <w:t>易燃固体、自然物品和遇湿易燃物品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39"/>
              <w:rPr>
                <w:rFonts w:ascii="Times New Roman" w:hAnsi="Times New Roman"/>
              </w:rPr>
            </w:pPr>
            <w:r>
              <w:rPr>
                <w:rFonts w:ascii="Times New Roman" w:hAnsi="Times New Roman"/>
              </w:rPr>
              <w:t>5</w:t>
            </w:r>
          </w:p>
        </w:tc>
        <w:tc>
          <w:tcPr>
            <w:tcW w:w="1134" w:type="dxa"/>
            <w:vAlign w:val="center"/>
          </w:tcPr>
          <w:p>
            <w:pPr>
              <w:pStyle w:val="39"/>
              <w:rPr>
                <w:rFonts w:ascii="Times New Roman" w:hAnsi="Times New Roman"/>
              </w:rPr>
            </w:pPr>
            <w:r>
              <w:rPr>
                <w:rFonts w:ascii="Times New Roman" w:hAnsi="Times New Roman"/>
                <w:lang w:val="zh-CN"/>
              </w:rPr>
              <w:t>气田水</w:t>
            </w:r>
          </w:p>
        </w:tc>
        <w:tc>
          <w:tcPr>
            <w:tcW w:w="2127" w:type="dxa"/>
            <w:vAlign w:val="center"/>
          </w:tcPr>
          <w:p>
            <w:pPr>
              <w:pStyle w:val="39"/>
              <w:rPr>
                <w:rFonts w:ascii="Times New Roman" w:hAnsi="Times New Roman"/>
              </w:rPr>
            </w:pPr>
            <w:r>
              <w:rPr>
                <w:rFonts w:ascii="Times New Roman" w:hAnsi="Times New Roman"/>
                <w:lang w:val="zh-CN"/>
              </w:rPr>
              <w:t>储罐</w:t>
            </w:r>
          </w:p>
        </w:tc>
        <w:tc>
          <w:tcPr>
            <w:tcW w:w="1134" w:type="dxa"/>
            <w:vAlign w:val="center"/>
          </w:tcPr>
          <w:p>
            <w:pPr>
              <w:pStyle w:val="39"/>
              <w:rPr>
                <w:rFonts w:ascii="Times New Roman" w:hAnsi="Times New Roman"/>
              </w:rPr>
            </w:pPr>
            <w:r>
              <w:rPr>
                <w:rFonts w:ascii="Times New Roman" w:hAnsi="Times New Roman"/>
                <w:lang w:val="zh-CN"/>
              </w:rPr>
              <w:t>/</w:t>
            </w:r>
          </w:p>
        </w:tc>
        <w:tc>
          <w:tcPr>
            <w:tcW w:w="3685" w:type="dxa"/>
            <w:vAlign w:val="center"/>
          </w:tcPr>
          <w:p>
            <w:pPr>
              <w:pStyle w:val="39"/>
              <w:rPr>
                <w:rFonts w:ascii="Times New Roman" w:hAnsi="Times New Roman"/>
              </w:rPr>
            </w:pPr>
            <w:r>
              <w:rPr>
                <w:rFonts w:ascii="Times New Roman" w:hAnsi="Times New Roman"/>
                <w:lang w:val="zh-CN"/>
              </w:rPr>
              <w:t>溶有氯离子（来自盐类）、氢离子和其他矿物质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39"/>
              <w:rPr>
                <w:rFonts w:ascii="Times New Roman" w:hAnsi="Times New Roman"/>
              </w:rPr>
            </w:pPr>
            <w:r>
              <w:rPr>
                <w:rFonts w:ascii="Times New Roman" w:hAnsi="Times New Roman"/>
              </w:rPr>
              <w:t>6</w:t>
            </w:r>
          </w:p>
        </w:tc>
        <w:tc>
          <w:tcPr>
            <w:tcW w:w="1134" w:type="dxa"/>
            <w:vAlign w:val="center"/>
          </w:tcPr>
          <w:p>
            <w:pPr>
              <w:pStyle w:val="39"/>
              <w:rPr>
                <w:rFonts w:ascii="Times New Roman" w:hAnsi="Times New Roman"/>
              </w:rPr>
            </w:pPr>
            <w:r>
              <w:rPr>
                <w:rFonts w:ascii="Times New Roman" w:hAnsi="Times New Roman"/>
                <w:lang w:val="zh-CN"/>
              </w:rPr>
              <w:t>硫</w:t>
            </w:r>
          </w:p>
        </w:tc>
        <w:tc>
          <w:tcPr>
            <w:tcW w:w="2127" w:type="dxa"/>
            <w:vAlign w:val="center"/>
          </w:tcPr>
          <w:p>
            <w:pPr>
              <w:pStyle w:val="39"/>
              <w:rPr>
                <w:rFonts w:ascii="Times New Roman" w:hAnsi="Times New Roman"/>
              </w:rPr>
            </w:pPr>
            <w:r>
              <w:rPr>
                <w:rFonts w:ascii="Times New Roman" w:hAnsi="Times New Roman"/>
              </w:rPr>
              <w:t>集输设备、管线</w:t>
            </w:r>
          </w:p>
        </w:tc>
        <w:tc>
          <w:tcPr>
            <w:tcW w:w="1134" w:type="dxa"/>
            <w:vAlign w:val="center"/>
          </w:tcPr>
          <w:p>
            <w:pPr>
              <w:pStyle w:val="39"/>
              <w:rPr>
                <w:rFonts w:ascii="Times New Roman" w:hAnsi="Times New Roman"/>
              </w:rPr>
            </w:pPr>
            <w:r>
              <w:rPr>
                <w:rFonts w:ascii="Times New Roman" w:hAnsi="Times New Roman"/>
                <w:lang w:val="zh-CN"/>
              </w:rPr>
              <w:t>/</w:t>
            </w:r>
          </w:p>
        </w:tc>
        <w:tc>
          <w:tcPr>
            <w:tcW w:w="3685" w:type="dxa"/>
            <w:vAlign w:val="center"/>
          </w:tcPr>
          <w:p>
            <w:pPr>
              <w:pStyle w:val="39"/>
              <w:rPr>
                <w:rFonts w:ascii="Times New Roman" w:hAnsi="Times New Roman"/>
              </w:rPr>
            </w:pPr>
            <w:r>
              <w:rPr>
                <w:rFonts w:ascii="Times New Roman" w:hAnsi="Times New Roman"/>
                <w:lang w:val="zh-CN"/>
              </w:rPr>
              <w:t>含硫天然气内的溶解度下降，致使元素硫析出。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704" w:type="dxa"/>
            <w:vAlign w:val="center"/>
          </w:tcPr>
          <w:p>
            <w:pPr>
              <w:pStyle w:val="39"/>
              <w:rPr>
                <w:rFonts w:ascii="Times New Roman" w:hAnsi="Times New Roman"/>
              </w:rPr>
            </w:pPr>
            <w:r>
              <w:rPr>
                <w:rFonts w:ascii="Times New Roman" w:hAnsi="Times New Roman"/>
                <w:lang w:val="zh-CN"/>
              </w:rPr>
              <w:t>7</w:t>
            </w:r>
          </w:p>
        </w:tc>
        <w:tc>
          <w:tcPr>
            <w:tcW w:w="1134" w:type="dxa"/>
            <w:vAlign w:val="center"/>
          </w:tcPr>
          <w:p>
            <w:pPr>
              <w:pStyle w:val="39"/>
              <w:rPr>
                <w:rFonts w:ascii="Times New Roman" w:hAnsi="Times New Roman"/>
              </w:rPr>
            </w:pPr>
            <w:r>
              <w:rPr>
                <w:rFonts w:ascii="Times New Roman" w:hAnsi="Times New Roman"/>
              </w:rPr>
              <w:t>一氧化碳</w:t>
            </w:r>
          </w:p>
        </w:tc>
        <w:tc>
          <w:tcPr>
            <w:tcW w:w="2127" w:type="dxa"/>
            <w:vAlign w:val="center"/>
          </w:tcPr>
          <w:p>
            <w:pPr>
              <w:pStyle w:val="39"/>
              <w:rPr>
                <w:rFonts w:ascii="Times New Roman" w:hAnsi="Times New Roman"/>
              </w:rPr>
            </w:pPr>
            <w:r>
              <w:rPr>
                <w:rFonts w:ascii="Times New Roman" w:hAnsi="Times New Roman"/>
              </w:rPr>
              <w:t>天然气不完全燃烧</w:t>
            </w:r>
          </w:p>
        </w:tc>
        <w:tc>
          <w:tcPr>
            <w:tcW w:w="1134" w:type="dxa"/>
            <w:vAlign w:val="center"/>
          </w:tcPr>
          <w:p>
            <w:pPr>
              <w:pStyle w:val="39"/>
              <w:rPr>
                <w:rFonts w:ascii="Times New Roman" w:hAnsi="Times New Roman"/>
              </w:rPr>
            </w:pPr>
            <w:r>
              <w:rPr>
                <w:rFonts w:ascii="Times New Roman" w:hAnsi="Times New Roman"/>
              </w:rPr>
              <w:t>630-08-0</w:t>
            </w:r>
          </w:p>
        </w:tc>
        <w:tc>
          <w:tcPr>
            <w:tcW w:w="3685" w:type="dxa"/>
            <w:vAlign w:val="center"/>
          </w:tcPr>
          <w:p>
            <w:pPr>
              <w:pStyle w:val="39"/>
              <w:rPr>
                <w:rFonts w:ascii="Times New Roman" w:hAnsi="Times New Roman"/>
              </w:rPr>
            </w:pPr>
            <w:r>
              <w:rPr>
                <w:rFonts w:ascii="Times New Roman" w:hAnsi="Times New Roman"/>
              </w:rPr>
              <w:t>易燃气体，类别1</w:t>
            </w:r>
          </w:p>
          <w:p>
            <w:pPr>
              <w:pStyle w:val="39"/>
              <w:rPr>
                <w:rFonts w:ascii="Times New Roman" w:hAnsi="Times New Roman"/>
              </w:rPr>
            </w:pPr>
            <w:r>
              <w:rPr>
                <w:rFonts w:ascii="Times New Roman" w:hAnsi="Times New Roman"/>
              </w:rPr>
              <w:t>加压气体</w:t>
            </w:r>
          </w:p>
          <w:p>
            <w:pPr>
              <w:pStyle w:val="39"/>
              <w:rPr>
                <w:rFonts w:ascii="Times New Roman" w:hAnsi="Times New Roman"/>
              </w:rPr>
            </w:pPr>
            <w:r>
              <w:rPr>
                <w:rFonts w:ascii="Times New Roman" w:hAnsi="Times New Roman"/>
              </w:rPr>
              <w:t>急性毒性-吸入，类别3*</w:t>
            </w:r>
          </w:p>
          <w:p>
            <w:pPr>
              <w:pStyle w:val="39"/>
              <w:rPr>
                <w:rFonts w:ascii="Times New Roman" w:hAnsi="Times New Roman"/>
              </w:rPr>
            </w:pPr>
            <w:r>
              <w:rPr>
                <w:rFonts w:ascii="Times New Roman" w:hAnsi="Times New Roman"/>
              </w:rPr>
              <w:t>生殖毒性，类别1A</w:t>
            </w:r>
          </w:p>
          <w:p>
            <w:pPr>
              <w:pStyle w:val="39"/>
              <w:rPr>
                <w:rFonts w:ascii="Times New Roman" w:hAnsi="Times New Roman"/>
              </w:rPr>
            </w:pPr>
            <w:r>
              <w:rPr>
                <w:rFonts w:ascii="Times New Roman" w:hAnsi="Times New Roman"/>
              </w:rPr>
              <w:t>特异性靶器官毒性-反复接触，类别1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39"/>
              <w:rPr>
                <w:rFonts w:ascii="Times New Roman" w:hAnsi="Times New Roman"/>
              </w:rPr>
            </w:pPr>
            <w:r>
              <w:rPr>
                <w:rFonts w:ascii="Times New Roman" w:hAnsi="Times New Roman"/>
                <w:lang w:val="zh-CN"/>
              </w:rPr>
              <w:t>8</w:t>
            </w:r>
          </w:p>
        </w:tc>
        <w:tc>
          <w:tcPr>
            <w:tcW w:w="1134" w:type="dxa"/>
            <w:vAlign w:val="center"/>
          </w:tcPr>
          <w:p>
            <w:pPr>
              <w:pStyle w:val="39"/>
              <w:rPr>
                <w:rFonts w:ascii="Times New Roman" w:hAnsi="Times New Roman"/>
              </w:rPr>
            </w:pPr>
            <w:r>
              <w:rPr>
                <w:rFonts w:ascii="Times New Roman" w:hAnsi="Times New Roman"/>
              </w:rPr>
              <w:t>二氧化硫</w:t>
            </w:r>
          </w:p>
        </w:tc>
        <w:tc>
          <w:tcPr>
            <w:tcW w:w="2127" w:type="dxa"/>
            <w:vAlign w:val="center"/>
          </w:tcPr>
          <w:p>
            <w:pPr>
              <w:pStyle w:val="39"/>
              <w:rPr>
                <w:rFonts w:ascii="Times New Roman" w:hAnsi="Times New Roman"/>
              </w:rPr>
            </w:pPr>
            <w:r>
              <w:rPr>
                <w:rFonts w:ascii="Times New Roman" w:hAnsi="Times New Roman"/>
              </w:rPr>
              <w:t>天然气燃烧</w:t>
            </w:r>
          </w:p>
        </w:tc>
        <w:tc>
          <w:tcPr>
            <w:tcW w:w="1134" w:type="dxa"/>
            <w:vAlign w:val="center"/>
          </w:tcPr>
          <w:p>
            <w:pPr>
              <w:pStyle w:val="39"/>
              <w:rPr>
                <w:rFonts w:ascii="Times New Roman" w:hAnsi="Times New Roman"/>
              </w:rPr>
            </w:pPr>
            <w:r>
              <w:rPr>
                <w:rFonts w:ascii="Times New Roman" w:hAnsi="Times New Roman"/>
              </w:rPr>
              <w:t>7446-09-5</w:t>
            </w:r>
          </w:p>
        </w:tc>
        <w:tc>
          <w:tcPr>
            <w:tcW w:w="3685" w:type="dxa"/>
            <w:vAlign w:val="center"/>
          </w:tcPr>
          <w:p>
            <w:pPr>
              <w:pStyle w:val="39"/>
              <w:rPr>
                <w:rFonts w:ascii="Times New Roman" w:hAnsi="Times New Roman"/>
              </w:rPr>
            </w:pPr>
            <w:r>
              <w:rPr>
                <w:rFonts w:ascii="Times New Roman" w:hAnsi="Times New Roman"/>
              </w:rPr>
              <w:t>加压气体</w:t>
            </w:r>
          </w:p>
          <w:p>
            <w:pPr>
              <w:pStyle w:val="39"/>
              <w:rPr>
                <w:rFonts w:ascii="Times New Roman" w:hAnsi="Times New Roman"/>
              </w:rPr>
            </w:pPr>
            <w:r>
              <w:rPr>
                <w:rFonts w:ascii="Times New Roman" w:hAnsi="Times New Roman"/>
              </w:rPr>
              <w:t>急性毒性-吸入，类别3</w:t>
            </w:r>
          </w:p>
          <w:p>
            <w:pPr>
              <w:pStyle w:val="39"/>
              <w:rPr>
                <w:rFonts w:ascii="Times New Roman" w:hAnsi="Times New Roman"/>
              </w:rPr>
            </w:pPr>
            <w:r>
              <w:rPr>
                <w:rFonts w:ascii="Times New Roman" w:hAnsi="Times New Roman"/>
              </w:rPr>
              <w:t>皮肤腐蚀/刺激，类别1B</w:t>
            </w:r>
          </w:p>
          <w:p>
            <w:pPr>
              <w:pStyle w:val="39"/>
              <w:rPr>
                <w:rFonts w:ascii="Times New Roman" w:hAnsi="Times New Roman"/>
              </w:rPr>
            </w:pPr>
            <w:r>
              <w:rPr>
                <w:rFonts w:ascii="Times New Roman" w:hAnsi="Times New Roman"/>
              </w:rPr>
              <w:t>严重眼损伤/眼刺激，类别1</w:t>
            </w:r>
          </w:p>
        </w:tc>
      </w:tr>
    </w:tbl>
    <w:p>
      <w:pPr>
        <w:ind w:firstLine="480"/>
        <w:rPr>
          <w:rFonts w:ascii="Times New Roman" w:hAnsi="Times New Roman"/>
        </w:rPr>
      </w:pPr>
    </w:p>
    <w:p>
      <w:pPr>
        <w:pStyle w:val="4"/>
        <w:rPr>
          <w:rFonts w:ascii="Times New Roman" w:hAnsi="Times New Roman" w:cs="Times New Roman"/>
        </w:rPr>
      </w:pPr>
      <w:r>
        <w:rPr>
          <w:rFonts w:ascii="Times New Roman" w:hAnsi="Times New Roman" w:cs="Times New Roman"/>
        </w:rPr>
        <w:t>环境敏感目标调查</w:t>
      </w:r>
    </w:p>
    <w:p>
      <w:pPr>
        <w:ind w:firstLine="480"/>
        <w:rPr>
          <w:rFonts w:ascii="Times New Roman" w:hAnsi="Times New Roman"/>
        </w:rPr>
      </w:pPr>
      <w:r>
        <w:rPr>
          <w:rFonts w:ascii="Times New Roman" w:hAnsi="Times New Roman"/>
        </w:rPr>
        <w:t>井站、管道周边大气环境敏感目标主要是风险评价范围内分布的所有人居，包括集中、分散的人居。地表水环境敏感目标主要是管线穿越清溪河下游的清溪镇乱石滩河吴家湾集中式饮用水水源保护区。地下水环境敏感目标主要是周边分散式水源井。</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 xml:space="preserve">   本项目环境敏感特征表</w:t>
      </w:r>
    </w:p>
    <w:tbl>
      <w:tblPr>
        <w:tblStyle w:val="29"/>
        <w:tblW w:w="94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776"/>
        <w:gridCol w:w="1618"/>
        <w:gridCol w:w="856"/>
        <w:gridCol w:w="800"/>
        <w:gridCol w:w="1218"/>
        <w:gridCol w:w="1218"/>
        <w:gridCol w:w="14"/>
        <w:gridCol w:w="2148"/>
        <w:gridCol w:w="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tcPr>
          <w:p>
            <w:pPr>
              <w:pStyle w:val="39"/>
              <w:adjustRightInd w:val="0"/>
              <w:snapToGrid w:val="0"/>
              <w:rPr>
                <w:rFonts w:ascii="Times New Roman" w:hAnsi="Times New Roman"/>
              </w:rPr>
            </w:pPr>
            <w:r>
              <w:rPr>
                <w:rFonts w:ascii="Times New Roman" w:hAnsi="Times New Roman"/>
              </w:rPr>
              <w:t>类别</w:t>
            </w:r>
          </w:p>
        </w:tc>
        <w:tc>
          <w:tcPr>
            <w:tcW w:w="8662" w:type="dxa"/>
            <w:gridSpan w:val="9"/>
          </w:tcPr>
          <w:p>
            <w:pPr>
              <w:pStyle w:val="39"/>
              <w:adjustRightInd w:val="0"/>
              <w:snapToGrid w:val="0"/>
              <w:rPr>
                <w:rFonts w:ascii="Times New Roman" w:hAnsi="Times New Roman"/>
              </w:rPr>
            </w:pPr>
            <w:r>
              <w:rPr>
                <w:rFonts w:ascii="Times New Roman" w:hAnsi="Times New Roman"/>
              </w:rPr>
              <w:t>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restart"/>
            <w:vAlign w:val="center"/>
          </w:tcPr>
          <w:p>
            <w:pPr>
              <w:pStyle w:val="39"/>
              <w:adjustRightInd w:val="0"/>
              <w:snapToGrid w:val="0"/>
              <w:rPr>
                <w:rFonts w:ascii="Times New Roman" w:hAnsi="Times New Roman"/>
              </w:rPr>
            </w:pPr>
            <w:r>
              <w:rPr>
                <w:rFonts w:ascii="Times New Roman" w:hAnsi="Times New Roman"/>
              </w:rPr>
              <w:t>环</w:t>
            </w:r>
          </w:p>
          <w:p>
            <w:pPr>
              <w:pStyle w:val="39"/>
              <w:adjustRightInd w:val="0"/>
              <w:snapToGrid w:val="0"/>
              <w:rPr>
                <w:rFonts w:ascii="Times New Roman" w:hAnsi="Times New Roman"/>
              </w:rPr>
            </w:pPr>
            <w:r>
              <w:rPr>
                <w:rFonts w:ascii="Times New Roman" w:hAnsi="Times New Roman"/>
              </w:rPr>
              <w:t>境</w:t>
            </w:r>
          </w:p>
          <w:p>
            <w:pPr>
              <w:pStyle w:val="39"/>
              <w:adjustRightInd w:val="0"/>
              <w:snapToGrid w:val="0"/>
              <w:rPr>
                <w:rFonts w:ascii="Times New Roman" w:hAnsi="Times New Roman"/>
              </w:rPr>
            </w:pPr>
            <w:r>
              <w:rPr>
                <w:rFonts w:ascii="Times New Roman" w:hAnsi="Times New Roman"/>
              </w:rPr>
              <w:t>空</w:t>
            </w:r>
          </w:p>
          <w:p>
            <w:pPr>
              <w:pStyle w:val="39"/>
              <w:adjustRightInd w:val="0"/>
              <w:snapToGrid w:val="0"/>
              <w:rPr>
                <w:rFonts w:ascii="Times New Roman" w:hAnsi="Times New Roman"/>
              </w:rPr>
            </w:pPr>
            <w:r>
              <w:rPr>
                <w:rFonts w:ascii="Times New Roman" w:hAnsi="Times New Roman"/>
              </w:rPr>
              <w:t>气</w:t>
            </w:r>
          </w:p>
        </w:tc>
        <w:tc>
          <w:tcPr>
            <w:tcW w:w="8662" w:type="dxa"/>
            <w:gridSpan w:val="9"/>
          </w:tcPr>
          <w:p>
            <w:pPr>
              <w:pStyle w:val="39"/>
              <w:adjustRightInd w:val="0"/>
              <w:snapToGrid w:val="0"/>
              <w:rPr>
                <w:rFonts w:ascii="Times New Roman" w:hAnsi="Times New Roman"/>
              </w:rPr>
            </w:pPr>
            <w:r>
              <w:rPr>
                <w:rFonts w:ascii="Times New Roman" w:hAnsi="Times New Roman"/>
              </w:rPr>
              <w:t>宣探1井站周边5km范围内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序号</w:t>
            </w:r>
          </w:p>
        </w:tc>
        <w:tc>
          <w:tcPr>
            <w:tcW w:w="1618" w:type="dxa"/>
            <w:vAlign w:val="center"/>
          </w:tcPr>
          <w:p>
            <w:pPr>
              <w:pStyle w:val="39"/>
              <w:adjustRightInd w:val="0"/>
              <w:snapToGrid w:val="0"/>
              <w:rPr>
                <w:rFonts w:ascii="Times New Roman" w:hAnsi="Times New Roman"/>
              </w:rPr>
            </w:pPr>
            <w:r>
              <w:rPr>
                <w:rFonts w:ascii="Times New Roman" w:hAnsi="Times New Roman"/>
              </w:rPr>
              <w:t>敏感目标名称</w:t>
            </w:r>
          </w:p>
        </w:tc>
        <w:tc>
          <w:tcPr>
            <w:tcW w:w="1656" w:type="dxa"/>
            <w:gridSpan w:val="2"/>
            <w:vAlign w:val="center"/>
          </w:tcPr>
          <w:p>
            <w:pPr>
              <w:pStyle w:val="39"/>
              <w:adjustRightInd w:val="0"/>
              <w:snapToGrid w:val="0"/>
              <w:rPr>
                <w:rFonts w:ascii="Times New Roman" w:hAnsi="Times New Roman"/>
              </w:rPr>
            </w:pPr>
            <w:r>
              <w:rPr>
                <w:rFonts w:ascii="Times New Roman" w:hAnsi="Times New Roman"/>
              </w:rPr>
              <w:t>相对方位</w:t>
            </w:r>
          </w:p>
        </w:tc>
        <w:tc>
          <w:tcPr>
            <w:tcW w:w="1218" w:type="dxa"/>
            <w:vAlign w:val="center"/>
          </w:tcPr>
          <w:p>
            <w:pPr>
              <w:pStyle w:val="39"/>
              <w:adjustRightInd w:val="0"/>
              <w:snapToGrid w:val="0"/>
              <w:rPr>
                <w:rFonts w:ascii="Times New Roman" w:hAnsi="Times New Roman"/>
              </w:rPr>
            </w:pPr>
            <w:r>
              <w:rPr>
                <w:rFonts w:ascii="Times New Roman" w:hAnsi="Times New Roman"/>
              </w:rPr>
              <w:t>距离/m</w:t>
            </w:r>
          </w:p>
        </w:tc>
        <w:tc>
          <w:tcPr>
            <w:tcW w:w="1218" w:type="dxa"/>
            <w:vAlign w:val="center"/>
          </w:tcPr>
          <w:p>
            <w:pPr>
              <w:pStyle w:val="39"/>
              <w:adjustRightInd w:val="0"/>
              <w:snapToGrid w:val="0"/>
              <w:rPr>
                <w:rFonts w:ascii="Times New Roman" w:hAnsi="Times New Roman"/>
              </w:rPr>
            </w:pPr>
            <w:r>
              <w:rPr>
                <w:rFonts w:ascii="Times New Roman" w:hAnsi="Times New Roman"/>
              </w:rPr>
              <w:t>属性</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人口数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w:t>
            </w:r>
          </w:p>
        </w:tc>
        <w:tc>
          <w:tcPr>
            <w:tcW w:w="1618" w:type="dxa"/>
            <w:vAlign w:val="center"/>
          </w:tcPr>
          <w:p>
            <w:pPr>
              <w:pStyle w:val="39"/>
              <w:adjustRightInd w:val="0"/>
              <w:snapToGrid w:val="0"/>
              <w:rPr>
                <w:rFonts w:ascii="Times New Roman" w:hAnsi="Times New Roman"/>
              </w:rPr>
            </w:pPr>
            <w:r>
              <w:rPr>
                <w:rFonts w:ascii="Times New Roman" w:hAnsi="Times New Roman"/>
              </w:rPr>
              <w:t>古楼村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N\NW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2815</w:t>
            </w:r>
          </w:p>
        </w:tc>
        <w:tc>
          <w:tcPr>
            <w:tcW w:w="1218" w:type="dxa"/>
            <w:vAlign w:val="center"/>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1836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2</w:t>
            </w:r>
          </w:p>
        </w:tc>
        <w:tc>
          <w:tcPr>
            <w:tcW w:w="1618" w:type="dxa"/>
            <w:vAlign w:val="center"/>
          </w:tcPr>
          <w:p>
            <w:pPr>
              <w:pStyle w:val="39"/>
              <w:adjustRightInd w:val="0"/>
              <w:snapToGrid w:val="0"/>
              <w:rPr>
                <w:rFonts w:ascii="Times New Roman" w:hAnsi="Times New Roman"/>
              </w:rPr>
            </w:pPr>
            <w:r>
              <w:rPr>
                <w:rFonts w:ascii="Times New Roman" w:hAnsi="Times New Roman"/>
              </w:rPr>
              <w:t>宏文村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W\NW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393</w:t>
            </w:r>
          </w:p>
        </w:tc>
        <w:tc>
          <w:tcPr>
            <w:tcW w:w="1218" w:type="dxa"/>
            <w:vAlign w:val="center"/>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3659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3</w:t>
            </w:r>
          </w:p>
        </w:tc>
        <w:tc>
          <w:tcPr>
            <w:tcW w:w="1618" w:type="dxa"/>
            <w:vAlign w:val="center"/>
          </w:tcPr>
          <w:p>
            <w:pPr>
              <w:pStyle w:val="39"/>
              <w:adjustRightInd w:val="0"/>
              <w:snapToGrid w:val="0"/>
              <w:rPr>
                <w:rFonts w:ascii="Times New Roman" w:hAnsi="Times New Roman"/>
              </w:rPr>
            </w:pPr>
            <w:r>
              <w:rPr>
                <w:rFonts w:ascii="Times New Roman" w:hAnsi="Times New Roman"/>
              </w:rPr>
              <w:t>五道口村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N\NE</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517</w:t>
            </w:r>
          </w:p>
        </w:tc>
        <w:tc>
          <w:tcPr>
            <w:tcW w:w="1218" w:type="dxa"/>
            <w:vAlign w:val="center"/>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2352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4</w:t>
            </w:r>
          </w:p>
        </w:tc>
        <w:tc>
          <w:tcPr>
            <w:tcW w:w="1618" w:type="dxa"/>
            <w:vAlign w:val="center"/>
          </w:tcPr>
          <w:p>
            <w:pPr>
              <w:pStyle w:val="39"/>
              <w:adjustRightInd w:val="0"/>
              <w:snapToGrid w:val="0"/>
              <w:rPr>
                <w:rFonts w:ascii="Times New Roman" w:hAnsi="Times New Roman"/>
              </w:rPr>
            </w:pPr>
            <w:r>
              <w:rPr>
                <w:rFonts w:ascii="Times New Roman" w:hAnsi="Times New Roman"/>
              </w:rPr>
              <w:t>马伏村</w:t>
            </w:r>
          </w:p>
        </w:tc>
        <w:tc>
          <w:tcPr>
            <w:tcW w:w="1656" w:type="dxa"/>
            <w:gridSpan w:val="2"/>
            <w:vAlign w:val="center"/>
          </w:tcPr>
          <w:p>
            <w:pPr>
              <w:pStyle w:val="39"/>
              <w:adjustRightInd w:val="0"/>
              <w:snapToGrid w:val="0"/>
              <w:rPr>
                <w:rFonts w:ascii="Times New Roman" w:hAnsi="Times New Roman"/>
              </w:rPr>
            </w:pPr>
            <w:r>
              <w:rPr>
                <w:rFonts w:ascii="Times New Roman" w:hAnsi="Times New Roman"/>
              </w:rPr>
              <w:t>所在地</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205</w:t>
            </w:r>
          </w:p>
        </w:tc>
        <w:tc>
          <w:tcPr>
            <w:tcW w:w="1218" w:type="dxa"/>
            <w:vAlign w:val="center"/>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5025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5</w:t>
            </w:r>
          </w:p>
        </w:tc>
        <w:tc>
          <w:tcPr>
            <w:tcW w:w="1618" w:type="dxa"/>
            <w:vAlign w:val="center"/>
          </w:tcPr>
          <w:p>
            <w:pPr>
              <w:pStyle w:val="39"/>
              <w:adjustRightInd w:val="0"/>
              <w:snapToGrid w:val="0"/>
              <w:rPr>
                <w:rFonts w:ascii="Times New Roman" w:hAnsi="Times New Roman"/>
              </w:rPr>
            </w:pPr>
            <w:r>
              <w:rPr>
                <w:rFonts w:ascii="Times New Roman" w:hAnsi="Times New Roman"/>
              </w:rPr>
              <w:t>王家坝村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SW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1180</w:t>
            </w:r>
          </w:p>
        </w:tc>
        <w:tc>
          <w:tcPr>
            <w:tcW w:w="1218" w:type="dxa"/>
            <w:vAlign w:val="center"/>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4948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6</w:t>
            </w:r>
          </w:p>
        </w:tc>
        <w:tc>
          <w:tcPr>
            <w:tcW w:w="1618" w:type="dxa"/>
            <w:vAlign w:val="center"/>
          </w:tcPr>
          <w:p>
            <w:pPr>
              <w:pStyle w:val="39"/>
              <w:adjustRightInd w:val="0"/>
              <w:snapToGrid w:val="0"/>
              <w:rPr>
                <w:rFonts w:ascii="Times New Roman" w:hAnsi="Times New Roman"/>
              </w:rPr>
            </w:pPr>
            <w:r>
              <w:rPr>
                <w:rFonts w:ascii="Times New Roman" w:hAnsi="Times New Roman"/>
              </w:rPr>
              <w:t>清溪镇桂花小学</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S</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838</w:t>
            </w:r>
          </w:p>
        </w:tc>
        <w:tc>
          <w:tcPr>
            <w:tcW w:w="1218" w:type="dxa"/>
            <w:vAlign w:val="center"/>
          </w:tcPr>
          <w:p>
            <w:pPr>
              <w:pStyle w:val="39"/>
              <w:adjustRightInd w:val="0"/>
              <w:snapToGrid w:val="0"/>
              <w:rPr>
                <w:rFonts w:ascii="Times New Roman" w:hAnsi="Times New Roman"/>
              </w:rPr>
            </w:pPr>
            <w:r>
              <w:rPr>
                <w:rFonts w:ascii="Times New Roman" w:hAnsi="Times New Roman"/>
                <w:lang w:val="zh-CN" w:eastAsia="en-US"/>
              </w:rPr>
              <w:t>学校</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教师1人，学生4人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7</w:t>
            </w:r>
          </w:p>
        </w:tc>
        <w:tc>
          <w:tcPr>
            <w:tcW w:w="1618" w:type="dxa"/>
            <w:vAlign w:val="center"/>
          </w:tcPr>
          <w:p>
            <w:pPr>
              <w:pStyle w:val="39"/>
              <w:adjustRightInd w:val="0"/>
              <w:snapToGrid w:val="0"/>
              <w:rPr>
                <w:rFonts w:ascii="Times New Roman" w:hAnsi="Times New Roman"/>
              </w:rPr>
            </w:pPr>
            <w:r>
              <w:rPr>
                <w:rFonts w:ascii="Times New Roman" w:hAnsi="Times New Roman"/>
              </w:rPr>
              <w:t>清溪镇马伏村卫生院</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SE</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409</w:t>
            </w:r>
          </w:p>
        </w:tc>
        <w:tc>
          <w:tcPr>
            <w:tcW w:w="1218" w:type="dxa"/>
            <w:vAlign w:val="center"/>
          </w:tcPr>
          <w:p>
            <w:pPr>
              <w:pStyle w:val="39"/>
              <w:adjustRightInd w:val="0"/>
              <w:snapToGrid w:val="0"/>
              <w:rPr>
                <w:rFonts w:ascii="Times New Roman" w:hAnsi="Times New Roman"/>
              </w:rPr>
            </w:pPr>
            <w:r>
              <w:rPr>
                <w:rFonts w:ascii="Times New Roman" w:hAnsi="Times New Roman"/>
                <w:lang w:val="zh-CN" w:eastAsia="en-US"/>
              </w:rPr>
              <w:t>医院</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2</w:t>
            </w:r>
            <w:r>
              <w:rPr>
                <w:rFonts w:ascii="Times New Roman" w:hAnsi="Times New Roman"/>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8</w:t>
            </w:r>
          </w:p>
        </w:tc>
        <w:tc>
          <w:tcPr>
            <w:tcW w:w="1618" w:type="dxa"/>
            <w:vAlign w:val="center"/>
          </w:tcPr>
          <w:p>
            <w:pPr>
              <w:pStyle w:val="39"/>
              <w:adjustRightInd w:val="0"/>
              <w:snapToGrid w:val="0"/>
              <w:rPr>
                <w:rFonts w:ascii="Times New Roman" w:hAnsi="Times New Roman"/>
              </w:rPr>
            </w:pPr>
            <w:r>
              <w:rPr>
                <w:rFonts w:ascii="Times New Roman" w:hAnsi="Times New Roman"/>
              </w:rPr>
              <w:t>垭豁村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N\NE</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3697</w:t>
            </w:r>
          </w:p>
        </w:tc>
        <w:tc>
          <w:tcPr>
            <w:tcW w:w="1218" w:type="dxa"/>
            <w:vAlign w:val="center"/>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1255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9</w:t>
            </w:r>
          </w:p>
        </w:tc>
        <w:tc>
          <w:tcPr>
            <w:tcW w:w="1618" w:type="dxa"/>
            <w:vAlign w:val="center"/>
          </w:tcPr>
          <w:p>
            <w:pPr>
              <w:pStyle w:val="39"/>
              <w:adjustRightInd w:val="0"/>
              <w:snapToGrid w:val="0"/>
              <w:rPr>
                <w:rFonts w:ascii="Times New Roman" w:hAnsi="Times New Roman"/>
              </w:rPr>
            </w:pPr>
            <w:r>
              <w:rPr>
                <w:rFonts w:ascii="Times New Roman" w:hAnsi="Times New Roman"/>
              </w:rPr>
              <w:t>清溪镇驻地</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4810</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2678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10</w:t>
            </w:r>
          </w:p>
        </w:tc>
        <w:tc>
          <w:tcPr>
            <w:tcW w:w="1618" w:type="dxa"/>
            <w:vAlign w:val="center"/>
          </w:tcPr>
          <w:p>
            <w:pPr>
              <w:pStyle w:val="39"/>
              <w:adjustRightInd w:val="0"/>
              <w:snapToGrid w:val="0"/>
              <w:rPr>
                <w:rFonts w:ascii="Times New Roman" w:hAnsi="Times New Roman"/>
              </w:rPr>
            </w:pPr>
            <w:r>
              <w:rPr>
                <w:rFonts w:ascii="Times New Roman" w:hAnsi="Times New Roman"/>
              </w:rPr>
              <w:t>长青村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NW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4056</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1391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11</w:t>
            </w:r>
          </w:p>
        </w:tc>
        <w:tc>
          <w:tcPr>
            <w:tcW w:w="1618" w:type="dxa"/>
            <w:vAlign w:val="center"/>
          </w:tcPr>
          <w:p>
            <w:pPr>
              <w:pStyle w:val="39"/>
              <w:adjustRightInd w:val="0"/>
              <w:snapToGrid w:val="0"/>
              <w:rPr>
                <w:rFonts w:ascii="Times New Roman" w:hAnsi="Times New Roman"/>
              </w:rPr>
            </w:pPr>
            <w:r>
              <w:rPr>
                <w:rFonts w:ascii="Times New Roman" w:hAnsi="Times New Roman"/>
              </w:rPr>
              <w:t>龙伏村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SW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3507</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2504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12</w:t>
            </w:r>
          </w:p>
        </w:tc>
        <w:tc>
          <w:tcPr>
            <w:tcW w:w="1618" w:type="dxa"/>
            <w:vAlign w:val="center"/>
          </w:tcPr>
          <w:p>
            <w:pPr>
              <w:pStyle w:val="39"/>
              <w:adjustRightInd w:val="0"/>
              <w:snapToGrid w:val="0"/>
              <w:rPr>
                <w:rFonts w:ascii="Times New Roman" w:hAnsi="Times New Roman"/>
              </w:rPr>
            </w:pPr>
            <w:r>
              <w:rPr>
                <w:rFonts w:ascii="Times New Roman" w:hAnsi="Times New Roman"/>
              </w:rPr>
              <w:t>锣寨村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SW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4932</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13</w:t>
            </w:r>
          </w:p>
        </w:tc>
        <w:tc>
          <w:tcPr>
            <w:tcW w:w="1618" w:type="dxa"/>
            <w:vAlign w:val="center"/>
          </w:tcPr>
          <w:p>
            <w:pPr>
              <w:pStyle w:val="39"/>
              <w:adjustRightInd w:val="0"/>
              <w:snapToGrid w:val="0"/>
              <w:rPr>
                <w:rFonts w:ascii="Times New Roman" w:hAnsi="Times New Roman"/>
              </w:rPr>
            </w:pPr>
            <w:r>
              <w:rPr>
                <w:rFonts w:ascii="Times New Roman" w:hAnsi="Times New Roman"/>
              </w:rPr>
              <w:t>中山村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NE</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3152</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714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14</w:t>
            </w:r>
          </w:p>
        </w:tc>
        <w:tc>
          <w:tcPr>
            <w:tcW w:w="1618" w:type="dxa"/>
            <w:vAlign w:val="center"/>
          </w:tcPr>
          <w:p>
            <w:pPr>
              <w:pStyle w:val="39"/>
              <w:adjustRightInd w:val="0"/>
              <w:snapToGrid w:val="0"/>
              <w:rPr>
                <w:rFonts w:ascii="Times New Roman" w:hAnsi="Times New Roman"/>
              </w:rPr>
            </w:pPr>
            <w:r>
              <w:rPr>
                <w:rFonts w:ascii="Times New Roman" w:hAnsi="Times New Roman"/>
              </w:rPr>
              <w:t>金竹寨村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E\SE</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3925</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1184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15</w:t>
            </w:r>
          </w:p>
        </w:tc>
        <w:tc>
          <w:tcPr>
            <w:tcW w:w="1618" w:type="dxa"/>
            <w:vAlign w:val="center"/>
          </w:tcPr>
          <w:p>
            <w:pPr>
              <w:pStyle w:val="39"/>
              <w:adjustRightInd w:val="0"/>
              <w:snapToGrid w:val="0"/>
              <w:rPr>
                <w:rFonts w:ascii="Times New Roman" w:hAnsi="Times New Roman"/>
              </w:rPr>
            </w:pPr>
            <w:r>
              <w:rPr>
                <w:rFonts w:ascii="Times New Roman" w:hAnsi="Times New Roman"/>
              </w:rPr>
              <w:t>铜鼓村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SE</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4323</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872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16</w:t>
            </w:r>
          </w:p>
        </w:tc>
        <w:tc>
          <w:tcPr>
            <w:tcW w:w="1618" w:type="dxa"/>
            <w:vAlign w:val="center"/>
          </w:tcPr>
          <w:p>
            <w:pPr>
              <w:pStyle w:val="39"/>
              <w:adjustRightInd w:val="0"/>
              <w:snapToGrid w:val="0"/>
              <w:rPr>
                <w:rFonts w:ascii="Times New Roman" w:hAnsi="Times New Roman"/>
              </w:rPr>
            </w:pPr>
            <w:r>
              <w:rPr>
                <w:rFonts w:ascii="Times New Roman" w:hAnsi="Times New Roman"/>
              </w:rPr>
              <w:t>五梁村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S</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3754</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1126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17</w:t>
            </w:r>
          </w:p>
        </w:tc>
        <w:tc>
          <w:tcPr>
            <w:tcW w:w="1618" w:type="dxa"/>
            <w:vAlign w:val="center"/>
          </w:tcPr>
          <w:p>
            <w:pPr>
              <w:pStyle w:val="39"/>
              <w:adjustRightInd w:val="0"/>
              <w:snapToGrid w:val="0"/>
              <w:rPr>
                <w:rFonts w:ascii="Times New Roman" w:hAnsi="Times New Roman"/>
              </w:rPr>
            </w:pPr>
            <w:r>
              <w:rPr>
                <w:rFonts w:ascii="Times New Roman" w:hAnsi="Times New Roman"/>
              </w:rPr>
              <w:t>长扁村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SW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4907</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18</w:t>
            </w:r>
          </w:p>
        </w:tc>
        <w:tc>
          <w:tcPr>
            <w:tcW w:w="1618" w:type="dxa"/>
            <w:vAlign w:val="center"/>
          </w:tcPr>
          <w:p>
            <w:pPr>
              <w:pStyle w:val="39"/>
              <w:adjustRightInd w:val="0"/>
              <w:snapToGrid w:val="0"/>
              <w:rPr>
                <w:rFonts w:ascii="Times New Roman" w:hAnsi="Times New Roman"/>
              </w:rPr>
            </w:pPr>
            <w:r>
              <w:rPr>
                <w:rFonts w:ascii="Times New Roman" w:hAnsi="Times New Roman"/>
              </w:rPr>
              <w:t>宣汉县清溪宏文学校</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SW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4212</w:t>
            </w:r>
          </w:p>
        </w:tc>
        <w:tc>
          <w:tcPr>
            <w:tcW w:w="1218" w:type="dxa"/>
            <w:vAlign w:val="center"/>
          </w:tcPr>
          <w:p>
            <w:pPr>
              <w:pStyle w:val="39"/>
              <w:adjustRightInd w:val="0"/>
              <w:snapToGrid w:val="0"/>
              <w:rPr>
                <w:rFonts w:ascii="Times New Roman" w:hAnsi="Times New Roman"/>
              </w:rPr>
            </w:pPr>
            <w:r>
              <w:rPr>
                <w:rFonts w:ascii="Times New Roman" w:hAnsi="Times New Roman"/>
                <w:lang w:val="zh-CN" w:eastAsia="en-US"/>
              </w:rPr>
              <w:t>学校</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教师100人，学生1700人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19</w:t>
            </w:r>
          </w:p>
        </w:tc>
        <w:tc>
          <w:tcPr>
            <w:tcW w:w="1618" w:type="dxa"/>
            <w:vAlign w:val="center"/>
          </w:tcPr>
          <w:p>
            <w:pPr>
              <w:pStyle w:val="39"/>
              <w:adjustRightInd w:val="0"/>
              <w:snapToGrid w:val="0"/>
              <w:rPr>
                <w:rFonts w:ascii="Times New Roman" w:hAnsi="Times New Roman"/>
              </w:rPr>
            </w:pPr>
            <w:r>
              <w:rPr>
                <w:rFonts w:ascii="Times New Roman" w:hAnsi="Times New Roman"/>
              </w:rPr>
              <w:t>清溪镇中心小学</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4819</w:t>
            </w:r>
          </w:p>
        </w:tc>
        <w:tc>
          <w:tcPr>
            <w:tcW w:w="1218" w:type="dxa"/>
            <w:vAlign w:val="center"/>
          </w:tcPr>
          <w:p>
            <w:pPr>
              <w:pStyle w:val="39"/>
              <w:adjustRightInd w:val="0"/>
              <w:snapToGrid w:val="0"/>
              <w:rPr>
                <w:rFonts w:ascii="Times New Roman" w:hAnsi="Times New Roman"/>
              </w:rPr>
            </w:pPr>
            <w:r>
              <w:rPr>
                <w:rFonts w:ascii="Times New Roman" w:hAnsi="Times New Roman"/>
                <w:lang w:val="zh-CN" w:eastAsia="en-US"/>
              </w:rPr>
              <w:t>学校</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教师130人，学生2368人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20</w:t>
            </w:r>
          </w:p>
        </w:tc>
        <w:tc>
          <w:tcPr>
            <w:tcW w:w="1618" w:type="dxa"/>
            <w:vAlign w:val="center"/>
          </w:tcPr>
          <w:p>
            <w:pPr>
              <w:pStyle w:val="39"/>
              <w:adjustRightInd w:val="0"/>
              <w:snapToGrid w:val="0"/>
              <w:rPr>
                <w:rFonts w:ascii="Times New Roman" w:hAnsi="Times New Roman"/>
              </w:rPr>
            </w:pPr>
            <w:r>
              <w:rPr>
                <w:rFonts w:ascii="Times New Roman" w:hAnsi="Times New Roman"/>
              </w:rPr>
              <w:t>老君乡古楼村小学</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NNW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4706</w:t>
            </w:r>
          </w:p>
        </w:tc>
        <w:tc>
          <w:tcPr>
            <w:tcW w:w="1218" w:type="dxa"/>
            <w:vAlign w:val="center"/>
          </w:tcPr>
          <w:p>
            <w:pPr>
              <w:pStyle w:val="39"/>
              <w:adjustRightInd w:val="0"/>
              <w:snapToGrid w:val="0"/>
              <w:rPr>
                <w:rFonts w:ascii="Times New Roman" w:hAnsi="Times New Roman"/>
              </w:rPr>
            </w:pPr>
            <w:r>
              <w:rPr>
                <w:rFonts w:ascii="Times New Roman" w:hAnsi="Times New Roman"/>
                <w:lang w:val="zh-CN" w:eastAsia="en-US"/>
              </w:rPr>
              <w:t>学校</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教师</w:t>
            </w:r>
            <w:r>
              <w:rPr>
                <w:rFonts w:ascii="Times New Roman" w:hAnsi="Times New Roman" w:eastAsia="等线"/>
              </w:rPr>
              <w:t>5</w:t>
            </w:r>
            <w:r>
              <w:rPr>
                <w:rFonts w:ascii="Times New Roman" w:hAnsi="Times New Roman"/>
              </w:rPr>
              <w:t>人，学生30人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21</w:t>
            </w:r>
          </w:p>
        </w:tc>
        <w:tc>
          <w:tcPr>
            <w:tcW w:w="1618" w:type="dxa"/>
            <w:vAlign w:val="center"/>
          </w:tcPr>
          <w:p>
            <w:pPr>
              <w:pStyle w:val="39"/>
              <w:adjustRightInd w:val="0"/>
              <w:snapToGrid w:val="0"/>
              <w:rPr>
                <w:rFonts w:ascii="Times New Roman" w:hAnsi="Times New Roman"/>
              </w:rPr>
            </w:pPr>
            <w:r>
              <w:rPr>
                <w:rFonts w:ascii="Times New Roman" w:hAnsi="Times New Roman"/>
              </w:rPr>
              <w:t>黄石乡金竹寨村小学</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ESE</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4305</w:t>
            </w:r>
          </w:p>
        </w:tc>
        <w:tc>
          <w:tcPr>
            <w:tcW w:w="1218" w:type="dxa"/>
            <w:vAlign w:val="center"/>
          </w:tcPr>
          <w:p>
            <w:pPr>
              <w:pStyle w:val="39"/>
              <w:adjustRightInd w:val="0"/>
              <w:snapToGrid w:val="0"/>
              <w:rPr>
                <w:rFonts w:ascii="Times New Roman" w:hAnsi="Times New Roman"/>
              </w:rPr>
            </w:pPr>
            <w:r>
              <w:rPr>
                <w:rFonts w:ascii="Times New Roman" w:hAnsi="Times New Roman"/>
                <w:lang w:val="zh-CN" w:eastAsia="en-US"/>
              </w:rPr>
              <w:t>学校</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20</w:t>
            </w:r>
            <w:r>
              <w:rPr>
                <w:rFonts w:ascii="Times New Roman" w:hAnsi="Times New Roman"/>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6500" w:type="dxa"/>
            <w:gridSpan w:val="7"/>
            <w:vAlign w:val="center"/>
          </w:tcPr>
          <w:p>
            <w:pPr>
              <w:pStyle w:val="39"/>
              <w:adjustRightInd w:val="0"/>
              <w:snapToGrid w:val="0"/>
              <w:rPr>
                <w:rFonts w:ascii="Times New Roman" w:hAnsi="Times New Roman"/>
              </w:rPr>
            </w:pPr>
            <w:r>
              <w:rPr>
                <w:rFonts w:ascii="Times New Roman" w:hAnsi="Times New Roman"/>
              </w:rPr>
              <w:t>周边500m范围内人口数小计</w:t>
            </w:r>
          </w:p>
        </w:tc>
        <w:tc>
          <w:tcPr>
            <w:tcW w:w="2162" w:type="dxa"/>
            <w:gridSpan w:val="2"/>
          </w:tcPr>
          <w:p>
            <w:pPr>
              <w:pStyle w:val="39"/>
              <w:adjustRightInd w:val="0"/>
              <w:snapToGrid w:val="0"/>
              <w:rPr>
                <w:rFonts w:ascii="Times New Roman" w:hAnsi="Times New Roman"/>
              </w:rPr>
            </w:pPr>
            <w:r>
              <w:rPr>
                <w:rFonts w:ascii="Times New Roman" w:hAnsi="Times New Roman"/>
              </w:rPr>
              <w:t>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6500" w:type="dxa"/>
            <w:gridSpan w:val="7"/>
            <w:vAlign w:val="center"/>
          </w:tcPr>
          <w:p>
            <w:pPr>
              <w:pStyle w:val="39"/>
              <w:tabs>
                <w:tab w:val="left" w:pos="1485"/>
              </w:tabs>
              <w:adjustRightInd w:val="0"/>
              <w:snapToGrid w:val="0"/>
              <w:rPr>
                <w:rFonts w:ascii="Times New Roman" w:hAnsi="Times New Roman"/>
              </w:rPr>
            </w:pPr>
            <w:r>
              <w:rPr>
                <w:rFonts w:ascii="Times New Roman" w:hAnsi="Times New Roman"/>
              </w:rPr>
              <w:t>周边5km范围内人口数小计</w:t>
            </w:r>
          </w:p>
        </w:tc>
        <w:tc>
          <w:tcPr>
            <w:tcW w:w="2162" w:type="dxa"/>
            <w:gridSpan w:val="2"/>
          </w:tcPr>
          <w:p>
            <w:pPr>
              <w:pStyle w:val="39"/>
              <w:adjustRightInd w:val="0"/>
              <w:snapToGrid w:val="0"/>
              <w:rPr>
                <w:rFonts w:ascii="Times New Roman" w:hAnsi="Times New Roman"/>
              </w:rPr>
            </w:pPr>
            <w:r>
              <w:rPr>
                <w:rFonts w:ascii="Times New Roman" w:hAnsi="Times New Roman"/>
              </w:rPr>
              <w:t>34060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8662" w:type="dxa"/>
            <w:gridSpan w:val="9"/>
          </w:tcPr>
          <w:p>
            <w:pPr>
              <w:pStyle w:val="39"/>
              <w:adjustRightInd w:val="0"/>
              <w:snapToGrid w:val="0"/>
              <w:rPr>
                <w:rFonts w:ascii="Times New Roman" w:hAnsi="Times New Roman"/>
              </w:rPr>
            </w:pPr>
            <w:r>
              <w:rPr>
                <w:rFonts w:ascii="Times New Roman" w:hAnsi="Times New Roman"/>
              </w:rPr>
              <w:t>宣兴1井站周边5km范围内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tcPr>
          <w:p>
            <w:pPr>
              <w:pStyle w:val="39"/>
              <w:adjustRightInd w:val="0"/>
              <w:snapToGrid w:val="0"/>
              <w:rPr>
                <w:rFonts w:ascii="Times New Roman" w:hAnsi="Times New Roman"/>
              </w:rPr>
            </w:pPr>
            <w:r>
              <w:rPr>
                <w:rFonts w:ascii="Times New Roman" w:hAnsi="Times New Roman"/>
              </w:rPr>
              <w:t>序号</w:t>
            </w:r>
          </w:p>
        </w:tc>
        <w:tc>
          <w:tcPr>
            <w:tcW w:w="1618" w:type="dxa"/>
          </w:tcPr>
          <w:p>
            <w:pPr>
              <w:pStyle w:val="39"/>
              <w:adjustRightInd w:val="0"/>
              <w:snapToGrid w:val="0"/>
              <w:rPr>
                <w:rFonts w:ascii="Times New Roman" w:hAnsi="Times New Roman"/>
              </w:rPr>
            </w:pPr>
            <w:r>
              <w:rPr>
                <w:rFonts w:ascii="Times New Roman" w:hAnsi="Times New Roman"/>
              </w:rPr>
              <w:t>敏感目标名称</w:t>
            </w:r>
          </w:p>
        </w:tc>
        <w:tc>
          <w:tcPr>
            <w:tcW w:w="1656" w:type="dxa"/>
            <w:gridSpan w:val="2"/>
          </w:tcPr>
          <w:p>
            <w:pPr>
              <w:pStyle w:val="39"/>
              <w:adjustRightInd w:val="0"/>
              <w:snapToGrid w:val="0"/>
              <w:rPr>
                <w:rFonts w:ascii="Times New Roman" w:hAnsi="Times New Roman"/>
              </w:rPr>
            </w:pPr>
            <w:r>
              <w:rPr>
                <w:rFonts w:ascii="Times New Roman" w:hAnsi="Times New Roman"/>
              </w:rPr>
              <w:t>相对方位</w:t>
            </w:r>
          </w:p>
        </w:tc>
        <w:tc>
          <w:tcPr>
            <w:tcW w:w="1218" w:type="dxa"/>
          </w:tcPr>
          <w:p>
            <w:pPr>
              <w:pStyle w:val="39"/>
              <w:adjustRightInd w:val="0"/>
              <w:snapToGrid w:val="0"/>
              <w:rPr>
                <w:rFonts w:ascii="Times New Roman" w:hAnsi="Times New Roman"/>
              </w:rPr>
            </w:pPr>
            <w:r>
              <w:rPr>
                <w:rFonts w:ascii="Times New Roman" w:hAnsi="Times New Roman"/>
              </w:rPr>
              <w:t>距离/m</w:t>
            </w:r>
          </w:p>
        </w:tc>
        <w:tc>
          <w:tcPr>
            <w:tcW w:w="1218" w:type="dxa"/>
          </w:tcPr>
          <w:p>
            <w:pPr>
              <w:pStyle w:val="39"/>
              <w:adjustRightInd w:val="0"/>
              <w:snapToGrid w:val="0"/>
              <w:rPr>
                <w:rFonts w:ascii="Times New Roman" w:hAnsi="Times New Roman"/>
              </w:rPr>
            </w:pPr>
            <w:r>
              <w:rPr>
                <w:rFonts w:ascii="Times New Roman" w:hAnsi="Times New Roman"/>
              </w:rPr>
              <w:t>属性</w:t>
            </w:r>
          </w:p>
        </w:tc>
        <w:tc>
          <w:tcPr>
            <w:tcW w:w="2162" w:type="dxa"/>
            <w:gridSpan w:val="2"/>
          </w:tcPr>
          <w:p>
            <w:pPr>
              <w:pStyle w:val="39"/>
              <w:adjustRightInd w:val="0"/>
              <w:snapToGrid w:val="0"/>
              <w:rPr>
                <w:rFonts w:ascii="Times New Roman" w:hAnsi="Times New Roman"/>
              </w:rPr>
            </w:pPr>
            <w:r>
              <w:rPr>
                <w:rFonts w:ascii="Times New Roman" w:hAnsi="Times New Roman"/>
              </w:rPr>
              <w:t>人口数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w:t>
            </w:r>
          </w:p>
        </w:tc>
        <w:tc>
          <w:tcPr>
            <w:tcW w:w="1618" w:type="dxa"/>
            <w:vAlign w:val="center"/>
          </w:tcPr>
          <w:p>
            <w:pPr>
              <w:pStyle w:val="39"/>
              <w:adjustRightInd w:val="0"/>
              <w:snapToGrid w:val="0"/>
              <w:rPr>
                <w:rFonts w:ascii="Times New Roman" w:hAnsi="Times New Roman"/>
              </w:rPr>
            </w:pPr>
            <w:r>
              <w:rPr>
                <w:rFonts w:ascii="Times New Roman" w:hAnsi="Times New Roman"/>
              </w:rPr>
              <w:t>垭豁村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N\NE</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1757</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2431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2</w:t>
            </w:r>
          </w:p>
        </w:tc>
        <w:tc>
          <w:tcPr>
            <w:tcW w:w="1618" w:type="dxa"/>
            <w:vAlign w:val="center"/>
          </w:tcPr>
          <w:p>
            <w:pPr>
              <w:pStyle w:val="39"/>
              <w:adjustRightInd w:val="0"/>
              <w:snapToGrid w:val="0"/>
              <w:rPr>
                <w:rFonts w:ascii="Times New Roman" w:hAnsi="Times New Roman"/>
              </w:rPr>
            </w:pPr>
            <w:r>
              <w:rPr>
                <w:rFonts w:ascii="Times New Roman" w:hAnsi="Times New Roman"/>
              </w:rPr>
              <w:t>古楼村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N\NW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1250</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3738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3</w:t>
            </w:r>
          </w:p>
        </w:tc>
        <w:tc>
          <w:tcPr>
            <w:tcW w:w="1618" w:type="dxa"/>
            <w:vAlign w:val="center"/>
          </w:tcPr>
          <w:p>
            <w:pPr>
              <w:pStyle w:val="39"/>
              <w:adjustRightInd w:val="0"/>
              <w:snapToGrid w:val="0"/>
              <w:rPr>
                <w:rFonts w:ascii="Times New Roman" w:hAnsi="Times New Roman"/>
              </w:rPr>
            </w:pPr>
            <w:r>
              <w:rPr>
                <w:rFonts w:ascii="Times New Roman" w:hAnsi="Times New Roman"/>
              </w:rPr>
              <w:t>五道口村</w:t>
            </w:r>
          </w:p>
        </w:tc>
        <w:tc>
          <w:tcPr>
            <w:tcW w:w="1656" w:type="dxa"/>
            <w:gridSpan w:val="2"/>
            <w:vAlign w:val="center"/>
          </w:tcPr>
          <w:p>
            <w:pPr>
              <w:pStyle w:val="39"/>
              <w:adjustRightInd w:val="0"/>
              <w:snapToGrid w:val="0"/>
              <w:rPr>
                <w:rFonts w:ascii="Times New Roman" w:hAnsi="Times New Roman"/>
              </w:rPr>
            </w:pPr>
            <w:r>
              <w:rPr>
                <w:rFonts w:ascii="Times New Roman" w:hAnsi="Times New Roman"/>
              </w:rPr>
              <w:t>所在地</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260</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2352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4</w:t>
            </w:r>
          </w:p>
        </w:tc>
        <w:tc>
          <w:tcPr>
            <w:tcW w:w="1618" w:type="dxa"/>
            <w:vAlign w:val="center"/>
          </w:tcPr>
          <w:p>
            <w:pPr>
              <w:pStyle w:val="39"/>
              <w:adjustRightInd w:val="0"/>
              <w:snapToGrid w:val="0"/>
              <w:rPr>
                <w:rFonts w:ascii="Times New Roman" w:hAnsi="Times New Roman"/>
              </w:rPr>
            </w:pPr>
            <w:r>
              <w:rPr>
                <w:rFonts w:ascii="Times New Roman" w:hAnsi="Times New Roman"/>
              </w:rPr>
              <w:t>宏文村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SW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1990</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2719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5</w:t>
            </w:r>
          </w:p>
        </w:tc>
        <w:tc>
          <w:tcPr>
            <w:tcW w:w="1618" w:type="dxa"/>
            <w:vAlign w:val="center"/>
          </w:tcPr>
          <w:p>
            <w:pPr>
              <w:pStyle w:val="39"/>
              <w:adjustRightInd w:val="0"/>
              <w:snapToGrid w:val="0"/>
              <w:rPr>
                <w:rFonts w:ascii="Times New Roman" w:hAnsi="Times New Roman"/>
              </w:rPr>
            </w:pPr>
            <w:r>
              <w:rPr>
                <w:rFonts w:ascii="Times New Roman" w:hAnsi="Times New Roman"/>
              </w:rPr>
              <w:t>马伏村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SW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1910</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5025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6</w:t>
            </w:r>
          </w:p>
        </w:tc>
        <w:tc>
          <w:tcPr>
            <w:tcW w:w="1618" w:type="dxa"/>
            <w:vAlign w:val="center"/>
          </w:tcPr>
          <w:p>
            <w:pPr>
              <w:pStyle w:val="39"/>
              <w:adjustRightInd w:val="0"/>
              <w:snapToGrid w:val="0"/>
              <w:rPr>
                <w:rFonts w:ascii="Times New Roman" w:hAnsi="Times New Roman"/>
              </w:rPr>
            </w:pPr>
            <w:r>
              <w:rPr>
                <w:rFonts w:ascii="Times New Roman" w:hAnsi="Times New Roman"/>
              </w:rPr>
              <w:t>中山村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E</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1550</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932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7</w:t>
            </w:r>
          </w:p>
        </w:tc>
        <w:tc>
          <w:tcPr>
            <w:tcW w:w="1618" w:type="dxa"/>
            <w:vAlign w:val="center"/>
          </w:tcPr>
          <w:p>
            <w:pPr>
              <w:pStyle w:val="39"/>
              <w:adjustRightInd w:val="0"/>
              <w:snapToGrid w:val="0"/>
              <w:rPr>
                <w:rFonts w:ascii="Times New Roman" w:hAnsi="Times New Roman"/>
              </w:rPr>
            </w:pPr>
            <w:r>
              <w:rPr>
                <w:rFonts w:ascii="Times New Roman" w:hAnsi="Times New Roman"/>
              </w:rPr>
              <w:t>清溪镇桂花小学</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S</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2996</w:t>
            </w:r>
          </w:p>
        </w:tc>
        <w:tc>
          <w:tcPr>
            <w:tcW w:w="1218" w:type="dxa"/>
            <w:vAlign w:val="center"/>
          </w:tcPr>
          <w:p>
            <w:pPr>
              <w:pStyle w:val="39"/>
              <w:adjustRightInd w:val="0"/>
              <w:snapToGrid w:val="0"/>
              <w:rPr>
                <w:rFonts w:ascii="Times New Roman" w:hAnsi="Times New Roman"/>
              </w:rPr>
            </w:pPr>
            <w:r>
              <w:rPr>
                <w:rFonts w:ascii="Times New Roman" w:hAnsi="Times New Roman"/>
              </w:rPr>
              <w:t>学校</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教师1人，学生4人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8</w:t>
            </w:r>
          </w:p>
        </w:tc>
        <w:tc>
          <w:tcPr>
            <w:tcW w:w="1618" w:type="dxa"/>
            <w:vAlign w:val="center"/>
          </w:tcPr>
          <w:p>
            <w:pPr>
              <w:pStyle w:val="39"/>
              <w:adjustRightInd w:val="0"/>
              <w:snapToGrid w:val="0"/>
              <w:rPr>
                <w:rFonts w:ascii="Times New Roman" w:hAnsi="Times New Roman"/>
              </w:rPr>
            </w:pPr>
            <w:r>
              <w:rPr>
                <w:rFonts w:ascii="Times New Roman" w:hAnsi="Times New Roman"/>
              </w:rPr>
              <w:t>清溪镇马伏村卫生院</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S</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2484</w:t>
            </w:r>
          </w:p>
        </w:tc>
        <w:tc>
          <w:tcPr>
            <w:tcW w:w="1218" w:type="dxa"/>
            <w:vAlign w:val="center"/>
          </w:tcPr>
          <w:p>
            <w:pPr>
              <w:pStyle w:val="39"/>
              <w:adjustRightInd w:val="0"/>
              <w:snapToGrid w:val="0"/>
              <w:rPr>
                <w:rFonts w:ascii="Times New Roman" w:hAnsi="Times New Roman"/>
              </w:rPr>
            </w:pPr>
            <w:r>
              <w:rPr>
                <w:rFonts w:ascii="Times New Roman" w:hAnsi="Times New Roman"/>
              </w:rPr>
              <w:t>医院</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2</w:t>
            </w:r>
            <w:r>
              <w:rPr>
                <w:rFonts w:ascii="Times New Roman" w:hAnsi="Times New Roman"/>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9</w:t>
            </w:r>
          </w:p>
        </w:tc>
        <w:tc>
          <w:tcPr>
            <w:tcW w:w="1618" w:type="dxa"/>
            <w:vAlign w:val="center"/>
          </w:tcPr>
          <w:p>
            <w:pPr>
              <w:pStyle w:val="39"/>
              <w:adjustRightInd w:val="0"/>
              <w:snapToGrid w:val="0"/>
              <w:rPr>
                <w:rFonts w:ascii="Times New Roman" w:hAnsi="Times New Roman"/>
              </w:rPr>
            </w:pPr>
            <w:r>
              <w:rPr>
                <w:rFonts w:ascii="Times New Roman" w:hAnsi="Times New Roman"/>
              </w:rPr>
              <w:t>老君乡古楼村小学</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NW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2658</w:t>
            </w:r>
          </w:p>
        </w:tc>
        <w:tc>
          <w:tcPr>
            <w:tcW w:w="1218" w:type="dxa"/>
            <w:vAlign w:val="center"/>
          </w:tcPr>
          <w:p>
            <w:pPr>
              <w:pStyle w:val="39"/>
              <w:adjustRightInd w:val="0"/>
              <w:snapToGrid w:val="0"/>
              <w:rPr>
                <w:rFonts w:ascii="Times New Roman" w:hAnsi="Times New Roman"/>
              </w:rPr>
            </w:pPr>
            <w:r>
              <w:rPr>
                <w:rFonts w:ascii="Times New Roman" w:hAnsi="Times New Roman"/>
              </w:rPr>
              <w:t>学校</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教师</w:t>
            </w:r>
            <w:r>
              <w:rPr>
                <w:rFonts w:ascii="Times New Roman" w:hAnsi="Times New Roman" w:eastAsia="等线"/>
              </w:rPr>
              <w:t>5</w:t>
            </w:r>
            <w:r>
              <w:rPr>
                <w:rFonts w:ascii="Times New Roman" w:hAnsi="Times New Roman"/>
              </w:rPr>
              <w:t>人，学生30人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10</w:t>
            </w:r>
          </w:p>
        </w:tc>
        <w:tc>
          <w:tcPr>
            <w:tcW w:w="1618" w:type="dxa"/>
            <w:vAlign w:val="center"/>
          </w:tcPr>
          <w:p>
            <w:pPr>
              <w:pStyle w:val="39"/>
              <w:adjustRightInd w:val="0"/>
              <w:snapToGrid w:val="0"/>
              <w:rPr>
                <w:rFonts w:ascii="Times New Roman" w:hAnsi="Times New Roman"/>
              </w:rPr>
            </w:pPr>
            <w:r>
              <w:rPr>
                <w:rFonts w:ascii="Times New Roman" w:hAnsi="Times New Roman"/>
              </w:rPr>
              <w:t>彩云社区</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N</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3526</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721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11</w:t>
            </w:r>
          </w:p>
        </w:tc>
        <w:tc>
          <w:tcPr>
            <w:tcW w:w="1618" w:type="dxa"/>
            <w:vAlign w:val="center"/>
          </w:tcPr>
          <w:p>
            <w:pPr>
              <w:pStyle w:val="39"/>
              <w:adjustRightInd w:val="0"/>
              <w:snapToGrid w:val="0"/>
              <w:rPr>
                <w:rFonts w:ascii="Times New Roman" w:hAnsi="Times New Roman"/>
              </w:rPr>
            </w:pPr>
            <w:r>
              <w:rPr>
                <w:rFonts w:ascii="Times New Roman" w:hAnsi="Times New Roman"/>
              </w:rPr>
              <w:t>排马村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NE</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4992</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473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12</w:t>
            </w:r>
          </w:p>
        </w:tc>
        <w:tc>
          <w:tcPr>
            <w:tcW w:w="1618" w:type="dxa"/>
            <w:vAlign w:val="center"/>
          </w:tcPr>
          <w:p>
            <w:pPr>
              <w:pStyle w:val="39"/>
              <w:adjustRightInd w:val="0"/>
              <w:snapToGrid w:val="0"/>
              <w:rPr>
                <w:rFonts w:ascii="Times New Roman" w:hAnsi="Times New Roman"/>
              </w:rPr>
            </w:pPr>
            <w:r>
              <w:rPr>
                <w:rFonts w:ascii="Times New Roman" w:hAnsi="Times New Roman"/>
              </w:rPr>
              <w:t>长青村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W\NW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4307</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1659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13</w:t>
            </w:r>
          </w:p>
        </w:tc>
        <w:tc>
          <w:tcPr>
            <w:tcW w:w="1618" w:type="dxa"/>
            <w:vAlign w:val="center"/>
          </w:tcPr>
          <w:p>
            <w:pPr>
              <w:pStyle w:val="39"/>
              <w:adjustRightInd w:val="0"/>
              <w:snapToGrid w:val="0"/>
              <w:rPr>
                <w:rFonts w:ascii="Times New Roman" w:hAnsi="Times New Roman"/>
              </w:rPr>
            </w:pPr>
            <w:r>
              <w:rPr>
                <w:rFonts w:ascii="Times New Roman" w:hAnsi="Times New Roman"/>
              </w:rPr>
              <w:t>王家坝村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SW</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3090</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3675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14</w:t>
            </w:r>
          </w:p>
        </w:tc>
        <w:tc>
          <w:tcPr>
            <w:tcW w:w="1618" w:type="dxa"/>
            <w:vAlign w:val="center"/>
          </w:tcPr>
          <w:p>
            <w:pPr>
              <w:pStyle w:val="39"/>
              <w:adjustRightInd w:val="0"/>
              <w:snapToGrid w:val="0"/>
              <w:rPr>
                <w:rFonts w:ascii="Times New Roman" w:hAnsi="Times New Roman"/>
              </w:rPr>
            </w:pPr>
            <w:r>
              <w:rPr>
                <w:rFonts w:ascii="Times New Roman" w:hAnsi="Times New Roman"/>
              </w:rPr>
              <w:t>桃花坪村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E\NE</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4857</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251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15</w:t>
            </w:r>
          </w:p>
        </w:tc>
        <w:tc>
          <w:tcPr>
            <w:tcW w:w="1618" w:type="dxa"/>
            <w:vAlign w:val="center"/>
          </w:tcPr>
          <w:p>
            <w:pPr>
              <w:pStyle w:val="39"/>
              <w:adjustRightInd w:val="0"/>
              <w:snapToGrid w:val="0"/>
              <w:rPr>
                <w:rFonts w:ascii="Times New Roman" w:hAnsi="Times New Roman"/>
              </w:rPr>
            </w:pPr>
            <w:r>
              <w:rPr>
                <w:rFonts w:ascii="Times New Roman" w:hAnsi="Times New Roman"/>
              </w:rPr>
              <w:t>金竹寨村</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SE</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4070</w:t>
            </w:r>
          </w:p>
        </w:tc>
        <w:tc>
          <w:tcPr>
            <w:tcW w:w="1218" w:type="dxa"/>
          </w:tcPr>
          <w:p>
            <w:pPr>
              <w:pStyle w:val="39"/>
              <w:adjustRightInd w:val="0"/>
              <w:snapToGrid w:val="0"/>
              <w:rPr>
                <w:rFonts w:ascii="Times New Roman" w:hAnsi="Times New Roman"/>
              </w:rPr>
            </w:pPr>
            <w:r>
              <w:rPr>
                <w:rFonts w:ascii="Times New Roman" w:hAnsi="Times New Roman"/>
                <w:lang w:val="zh-CN"/>
              </w:rPr>
              <w:t>居民区</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831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16</w:t>
            </w:r>
          </w:p>
        </w:tc>
        <w:tc>
          <w:tcPr>
            <w:tcW w:w="1618" w:type="dxa"/>
            <w:vAlign w:val="center"/>
          </w:tcPr>
          <w:p>
            <w:pPr>
              <w:pStyle w:val="39"/>
              <w:adjustRightInd w:val="0"/>
              <w:snapToGrid w:val="0"/>
              <w:rPr>
                <w:rFonts w:ascii="Times New Roman" w:hAnsi="Times New Roman"/>
              </w:rPr>
            </w:pPr>
            <w:r>
              <w:rPr>
                <w:rFonts w:ascii="Times New Roman" w:hAnsi="Times New Roman"/>
              </w:rPr>
              <w:t>老君乡垭豁村小学</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NE</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3588</w:t>
            </w:r>
          </w:p>
        </w:tc>
        <w:tc>
          <w:tcPr>
            <w:tcW w:w="1218" w:type="dxa"/>
            <w:vAlign w:val="center"/>
          </w:tcPr>
          <w:p>
            <w:pPr>
              <w:pStyle w:val="39"/>
              <w:adjustRightInd w:val="0"/>
              <w:snapToGrid w:val="0"/>
              <w:rPr>
                <w:rFonts w:ascii="Times New Roman" w:hAnsi="Times New Roman"/>
              </w:rPr>
            </w:pPr>
            <w:r>
              <w:rPr>
                <w:rFonts w:ascii="Times New Roman" w:hAnsi="Times New Roman"/>
              </w:rPr>
              <w:t>学校</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教师1人，学生5人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17</w:t>
            </w:r>
          </w:p>
        </w:tc>
        <w:tc>
          <w:tcPr>
            <w:tcW w:w="1618" w:type="dxa"/>
            <w:vAlign w:val="center"/>
          </w:tcPr>
          <w:p>
            <w:pPr>
              <w:pStyle w:val="39"/>
              <w:adjustRightInd w:val="0"/>
              <w:snapToGrid w:val="0"/>
              <w:rPr>
                <w:rFonts w:ascii="Times New Roman" w:hAnsi="Times New Roman"/>
              </w:rPr>
            </w:pPr>
            <w:r>
              <w:rPr>
                <w:rFonts w:ascii="Times New Roman" w:hAnsi="Times New Roman"/>
              </w:rPr>
              <w:t>黄石乡金竹寨村小学</w:t>
            </w:r>
          </w:p>
        </w:tc>
        <w:tc>
          <w:tcPr>
            <w:tcW w:w="1656" w:type="dxa"/>
            <w:gridSpan w:val="2"/>
            <w:vAlign w:val="center"/>
          </w:tcPr>
          <w:p>
            <w:pPr>
              <w:pStyle w:val="39"/>
              <w:adjustRightInd w:val="0"/>
              <w:snapToGrid w:val="0"/>
              <w:rPr>
                <w:rFonts w:ascii="Times New Roman" w:hAnsi="Times New Roman"/>
              </w:rPr>
            </w:pPr>
            <w:r>
              <w:rPr>
                <w:rFonts w:ascii="Times New Roman" w:hAnsi="Times New Roman" w:eastAsia="等线"/>
              </w:rPr>
              <w:t>SE</w:t>
            </w:r>
          </w:p>
        </w:tc>
        <w:tc>
          <w:tcPr>
            <w:tcW w:w="1218" w:type="dxa"/>
            <w:vAlign w:val="center"/>
          </w:tcPr>
          <w:p>
            <w:pPr>
              <w:pStyle w:val="39"/>
              <w:adjustRightInd w:val="0"/>
              <w:snapToGrid w:val="0"/>
              <w:rPr>
                <w:rFonts w:ascii="Times New Roman" w:hAnsi="Times New Roman"/>
              </w:rPr>
            </w:pPr>
            <w:r>
              <w:rPr>
                <w:rFonts w:ascii="Times New Roman" w:hAnsi="Times New Roman" w:eastAsia="等线"/>
              </w:rPr>
              <w:t>4787</w:t>
            </w:r>
          </w:p>
        </w:tc>
        <w:tc>
          <w:tcPr>
            <w:tcW w:w="1218" w:type="dxa"/>
            <w:vAlign w:val="center"/>
          </w:tcPr>
          <w:p>
            <w:pPr>
              <w:pStyle w:val="39"/>
              <w:adjustRightInd w:val="0"/>
              <w:snapToGrid w:val="0"/>
              <w:rPr>
                <w:rFonts w:ascii="Times New Roman" w:hAnsi="Times New Roman"/>
              </w:rPr>
            </w:pPr>
            <w:r>
              <w:rPr>
                <w:rFonts w:ascii="Times New Roman" w:hAnsi="Times New Roman"/>
              </w:rPr>
              <w:t>学校</w:t>
            </w:r>
          </w:p>
        </w:tc>
        <w:tc>
          <w:tcPr>
            <w:tcW w:w="2162" w:type="dxa"/>
            <w:gridSpan w:val="2"/>
            <w:vAlign w:val="center"/>
          </w:tcPr>
          <w:p>
            <w:pPr>
              <w:pStyle w:val="39"/>
              <w:adjustRightInd w:val="0"/>
              <w:snapToGrid w:val="0"/>
              <w:rPr>
                <w:rFonts w:ascii="Times New Roman" w:hAnsi="Times New Roman"/>
              </w:rPr>
            </w:pPr>
            <w:r>
              <w:rPr>
                <w:rFonts w:ascii="Times New Roman" w:hAnsi="Times New Roman" w:eastAsia="等线"/>
              </w:rPr>
              <w:t>20</w:t>
            </w:r>
            <w:r>
              <w:rPr>
                <w:rFonts w:ascii="Times New Roman" w:hAnsi="Times New Roman"/>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6500" w:type="dxa"/>
            <w:gridSpan w:val="7"/>
            <w:vAlign w:val="center"/>
          </w:tcPr>
          <w:p>
            <w:pPr>
              <w:pStyle w:val="39"/>
              <w:adjustRightInd w:val="0"/>
              <w:snapToGrid w:val="0"/>
              <w:rPr>
                <w:rFonts w:ascii="Times New Roman" w:hAnsi="Times New Roman"/>
              </w:rPr>
            </w:pPr>
            <w:r>
              <w:rPr>
                <w:rFonts w:ascii="Times New Roman" w:hAnsi="Times New Roman"/>
              </w:rPr>
              <w:t>周边500m范围内人口数小计</w:t>
            </w:r>
          </w:p>
        </w:tc>
        <w:tc>
          <w:tcPr>
            <w:tcW w:w="2162" w:type="dxa"/>
            <w:gridSpan w:val="2"/>
          </w:tcPr>
          <w:p>
            <w:pPr>
              <w:pStyle w:val="39"/>
              <w:adjustRightInd w:val="0"/>
              <w:snapToGrid w:val="0"/>
              <w:rPr>
                <w:rFonts w:ascii="Times New Roman" w:hAnsi="Times New Roman"/>
              </w:rPr>
            </w:pPr>
            <w:r>
              <w:rPr>
                <w:rFonts w:ascii="Times New Roman" w:hAnsi="Times New Roman"/>
              </w:rPr>
              <w:t>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6500" w:type="dxa"/>
            <w:gridSpan w:val="7"/>
            <w:vAlign w:val="center"/>
          </w:tcPr>
          <w:p>
            <w:pPr>
              <w:pStyle w:val="39"/>
              <w:tabs>
                <w:tab w:val="left" w:pos="1485"/>
              </w:tabs>
              <w:adjustRightInd w:val="0"/>
              <w:snapToGrid w:val="0"/>
              <w:rPr>
                <w:rFonts w:ascii="Times New Roman" w:hAnsi="Times New Roman"/>
              </w:rPr>
            </w:pPr>
            <w:r>
              <w:rPr>
                <w:rFonts w:ascii="Times New Roman" w:hAnsi="Times New Roman"/>
              </w:rPr>
              <w:t>周边5km范围内人口数小计</w:t>
            </w:r>
          </w:p>
        </w:tc>
        <w:tc>
          <w:tcPr>
            <w:tcW w:w="2162" w:type="dxa"/>
            <w:gridSpan w:val="2"/>
          </w:tcPr>
          <w:p>
            <w:pPr>
              <w:pStyle w:val="39"/>
              <w:adjustRightInd w:val="0"/>
              <w:snapToGrid w:val="0"/>
              <w:rPr>
                <w:rFonts w:ascii="Times New Roman" w:hAnsi="Times New Roman"/>
              </w:rPr>
            </w:pPr>
            <w:r>
              <w:rPr>
                <w:rFonts w:ascii="Times New Roman" w:hAnsi="Times New Roman"/>
              </w:rPr>
              <w:t>24875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8662" w:type="dxa"/>
            <w:gridSpan w:val="9"/>
            <w:vAlign w:val="center"/>
          </w:tcPr>
          <w:p>
            <w:pPr>
              <w:pStyle w:val="39"/>
              <w:adjustRightInd w:val="0"/>
              <w:snapToGrid w:val="0"/>
              <w:jc w:val="left"/>
              <w:rPr>
                <w:rFonts w:ascii="Times New Roman" w:hAnsi="Times New Roman"/>
              </w:rPr>
            </w:pPr>
            <w:r>
              <w:rPr>
                <w:rFonts w:ascii="Times New Roman" w:hAnsi="Times New Roman"/>
              </w:rPr>
              <w:t>集气干线（宣兴1井站-宣探阀室）管段两侧200米范围内共21人，每公里范围＜100人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8662" w:type="dxa"/>
            <w:gridSpan w:val="9"/>
            <w:vAlign w:val="center"/>
          </w:tcPr>
          <w:p>
            <w:pPr>
              <w:pStyle w:val="39"/>
              <w:adjustRightInd w:val="0"/>
              <w:snapToGrid w:val="0"/>
              <w:jc w:val="left"/>
              <w:rPr>
                <w:rFonts w:ascii="Times New Roman" w:hAnsi="Times New Roman"/>
              </w:rPr>
            </w:pPr>
            <w:r>
              <w:rPr>
                <w:rFonts w:ascii="Times New Roman" w:hAnsi="Times New Roman"/>
              </w:rPr>
              <w:t>集气干线（宣探阀室-宣探清管站站）管段两侧200米范围内共427人，每公里范围内＞100人，＜200人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8662" w:type="dxa"/>
            <w:gridSpan w:val="9"/>
            <w:vAlign w:val="center"/>
          </w:tcPr>
          <w:p>
            <w:pPr>
              <w:pStyle w:val="39"/>
              <w:adjustRightInd w:val="0"/>
              <w:snapToGrid w:val="0"/>
              <w:jc w:val="left"/>
              <w:rPr>
                <w:rFonts w:ascii="Times New Roman" w:hAnsi="Times New Roman"/>
              </w:rPr>
            </w:pPr>
            <w:r>
              <w:rPr>
                <w:rFonts w:ascii="Times New Roman" w:hAnsi="Times New Roman"/>
              </w:rPr>
              <w:t>联络线线（宣探清管站-304集气站）管段两侧200米范围内共45人，每公里范围内＜100人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8662" w:type="dxa"/>
            <w:gridSpan w:val="9"/>
            <w:vAlign w:val="center"/>
          </w:tcPr>
          <w:p>
            <w:pPr>
              <w:pStyle w:val="39"/>
              <w:adjustRightInd w:val="0"/>
              <w:snapToGrid w:val="0"/>
              <w:jc w:val="left"/>
              <w:rPr>
                <w:rFonts w:ascii="Times New Roman" w:hAnsi="Times New Roman"/>
              </w:rPr>
            </w:pPr>
            <w:r>
              <w:rPr>
                <w:rFonts w:ascii="Times New Roman" w:hAnsi="Times New Roman"/>
              </w:rPr>
              <w:t>集气支线（宣探1井站-宣兴1井站）管段两侧200米范围内共86人，每公里范围内＜100人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3250" w:type="dxa"/>
            <w:gridSpan w:val="3"/>
            <w:vMerge w:val="restart"/>
            <w:vAlign w:val="center"/>
          </w:tcPr>
          <w:p>
            <w:pPr>
              <w:pStyle w:val="39"/>
              <w:adjustRightInd w:val="0"/>
              <w:snapToGrid w:val="0"/>
              <w:rPr>
                <w:rFonts w:ascii="Times New Roman" w:hAnsi="Times New Roman"/>
                <w:bCs/>
              </w:rPr>
            </w:pPr>
            <w:r>
              <w:rPr>
                <w:rFonts w:ascii="Times New Roman" w:hAnsi="Times New Roman"/>
                <w:bCs/>
              </w:rPr>
              <w:t>大气环境敏感程度E值</w:t>
            </w:r>
          </w:p>
        </w:tc>
        <w:tc>
          <w:tcPr>
            <w:tcW w:w="3250" w:type="dxa"/>
            <w:gridSpan w:val="4"/>
            <w:vAlign w:val="center"/>
          </w:tcPr>
          <w:p>
            <w:pPr>
              <w:pStyle w:val="39"/>
              <w:adjustRightInd w:val="0"/>
              <w:snapToGrid w:val="0"/>
              <w:rPr>
                <w:rFonts w:ascii="Times New Roman" w:hAnsi="Times New Roman"/>
                <w:b/>
              </w:rPr>
            </w:pPr>
            <w:r>
              <w:rPr>
                <w:rFonts w:ascii="Times New Roman" w:hAnsi="Times New Roman"/>
              </w:rPr>
              <w:t>宣探1井站</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3250" w:type="dxa"/>
            <w:gridSpan w:val="3"/>
            <w:vMerge w:val="continue"/>
            <w:vAlign w:val="center"/>
          </w:tcPr>
          <w:p>
            <w:pPr>
              <w:pStyle w:val="39"/>
              <w:adjustRightInd w:val="0"/>
              <w:snapToGrid w:val="0"/>
              <w:rPr>
                <w:rFonts w:ascii="Times New Roman" w:hAnsi="Times New Roman"/>
                <w:b/>
              </w:rPr>
            </w:pPr>
          </w:p>
        </w:tc>
        <w:tc>
          <w:tcPr>
            <w:tcW w:w="3250" w:type="dxa"/>
            <w:gridSpan w:val="4"/>
            <w:vAlign w:val="center"/>
          </w:tcPr>
          <w:p>
            <w:pPr>
              <w:pStyle w:val="39"/>
              <w:adjustRightInd w:val="0"/>
              <w:snapToGrid w:val="0"/>
              <w:rPr>
                <w:rFonts w:ascii="Times New Roman" w:hAnsi="Times New Roman"/>
                <w:b/>
              </w:rPr>
            </w:pPr>
            <w:r>
              <w:rPr>
                <w:rFonts w:ascii="Times New Roman" w:hAnsi="Times New Roman"/>
              </w:rPr>
              <w:t>宣兴1井站</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3250" w:type="dxa"/>
            <w:gridSpan w:val="3"/>
            <w:vMerge w:val="continue"/>
            <w:vAlign w:val="center"/>
          </w:tcPr>
          <w:p>
            <w:pPr>
              <w:pStyle w:val="39"/>
              <w:adjustRightInd w:val="0"/>
              <w:snapToGrid w:val="0"/>
              <w:rPr>
                <w:rFonts w:ascii="Times New Roman" w:hAnsi="Times New Roman"/>
                <w:b/>
              </w:rPr>
            </w:pPr>
          </w:p>
        </w:tc>
        <w:tc>
          <w:tcPr>
            <w:tcW w:w="3250" w:type="dxa"/>
            <w:gridSpan w:val="4"/>
            <w:vAlign w:val="center"/>
          </w:tcPr>
          <w:p>
            <w:pPr>
              <w:pStyle w:val="39"/>
              <w:adjustRightInd w:val="0"/>
              <w:snapToGrid w:val="0"/>
              <w:rPr>
                <w:rFonts w:ascii="Times New Roman" w:hAnsi="Times New Roman"/>
                <w:b/>
              </w:rPr>
            </w:pPr>
            <w:r>
              <w:rPr>
                <w:rFonts w:ascii="Times New Roman" w:hAnsi="Times New Roman"/>
              </w:rPr>
              <w:t>宣兴1井-宣探阀室</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3250" w:type="dxa"/>
            <w:gridSpan w:val="3"/>
            <w:vMerge w:val="continue"/>
            <w:vAlign w:val="center"/>
          </w:tcPr>
          <w:p>
            <w:pPr>
              <w:pStyle w:val="39"/>
              <w:adjustRightInd w:val="0"/>
              <w:snapToGrid w:val="0"/>
              <w:rPr>
                <w:rFonts w:ascii="Times New Roman" w:hAnsi="Times New Roman"/>
                <w:b/>
              </w:rPr>
            </w:pPr>
          </w:p>
        </w:tc>
        <w:tc>
          <w:tcPr>
            <w:tcW w:w="3250" w:type="dxa"/>
            <w:gridSpan w:val="4"/>
            <w:vAlign w:val="center"/>
          </w:tcPr>
          <w:p>
            <w:pPr>
              <w:pStyle w:val="39"/>
              <w:adjustRightInd w:val="0"/>
              <w:snapToGrid w:val="0"/>
              <w:rPr>
                <w:rFonts w:ascii="Times New Roman" w:hAnsi="Times New Roman"/>
                <w:b/>
              </w:rPr>
            </w:pPr>
            <w:r>
              <w:rPr>
                <w:rFonts w:ascii="Times New Roman" w:hAnsi="Times New Roman"/>
              </w:rPr>
              <w:t>宣探阀室-宣探清管站</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3250" w:type="dxa"/>
            <w:gridSpan w:val="3"/>
            <w:vMerge w:val="continue"/>
            <w:vAlign w:val="center"/>
          </w:tcPr>
          <w:p>
            <w:pPr>
              <w:pStyle w:val="39"/>
              <w:adjustRightInd w:val="0"/>
              <w:snapToGrid w:val="0"/>
              <w:rPr>
                <w:rFonts w:ascii="Times New Roman" w:hAnsi="Times New Roman"/>
                <w:b/>
              </w:rPr>
            </w:pPr>
          </w:p>
        </w:tc>
        <w:tc>
          <w:tcPr>
            <w:tcW w:w="3250" w:type="dxa"/>
            <w:gridSpan w:val="4"/>
            <w:vAlign w:val="center"/>
          </w:tcPr>
          <w:p>
            <w:pPr>
              <w:pStyle w:val="39"/>
              <w:adjustRightInd w:val="0"/>
              <w:snapToGrid w:val="0"/>
              <w:rPr>
                <w:rFonts w:ascii="Times New Roman" w:hAnsi="Times New Roman"/>
                <w:b/>
              </w:rPr>
            </w:pPr>
            <w:r>
              <w:rPr>
                <w:rFonts w:ascii="Times New Roman" w:hAnsi="Times New Roman"/>
              </w:rPr>
              <w:t>宣探清管站-304集气站</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3250" w:type="dxa"/>
            <w:gridSpan w:val="3"/>
            <w:vMerge w:val="continue"/>
            <w:vAlign w:val="center"/>
          </w:tcPr>
          <w:p>
            <w:pPr>
              <w:pStyle w:val="39"/>
              <w:adjustRightInd w:val="0"/>
              <w:snapToGrid w:val="0"/>
              <w:rPr>
                <w:rFonts w:ascii="Times New Roman" w:hAnsi="Times New Roman"/>
                <w:b/>
              </w:rPr>
            </w:pPr>
          </w:p>
        </w:tc>
        <w:tc>
          <w:tcPr>
            <w:tcW w:w="3250" w:type="dxa"/>
            <w:gridSpan w:val="4"/>
            <w:vAlign w:val="center"/>
          </w:tcPr>
          <w:p>
            <w:pPr>
              <w:pStyle w:val="39"/>
              <w:adjustRightInd w:val="0"/>
              <w:snapToGrid w:val="0"/>
              <w:rPr>
                <w:rFonts w:ascii="Times New Roman" w:hAnsi="Times New Roman"/>
                <w:b/>
              </w:rPr>
            </w:pPr>
            <w:r>
              <w:rPr>
                <w:rFonts w:ascii="Times New Roman" w:hAnsi="Times New Roman"/>
              </w:rPr>
              <w:t>宣探1井-宣兴1井</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restart"/>
            <w:vAlign w:val="center"/>
          </w:tcPr>
          <w:p>
            <w:pPr>
              <w:pStyle w:val="39"/>
              <w:adjustRightInd w:val="0"/>
              <w:snapToGrid w:val="0"/>
              <w:rPr>
                <w:rFonts w:ascii="Times New Roman" w:hAnsi="Times New Roman"/>
              </w:rPr>
            </w:pPr>
            <w:r>
              <w:rPr>
                <w:rFonts w:ascii="Times New Roman" w:hAnsi="Times New Roman"/>
              </w:rPr>
              <w:t>地</w:t>
            </w:r>
          </w:p>
          <w:p>
            <w:pPr>
              <w:pStyle w:val="39"/>
              <w:adjustRightInd w:val="0"/>
              <w:snapToGrid w:val="0"/>
              <w:rPr>
                <w:rFonts w:ascii="Times New Roman" w:hAnsi="Times New Roman"/>
              </w:rPr>
            </w:pPr>
            <w:r>
              <w:rPr>
                <w:rFonts w:ascii="Times New Roman" w:hAnsi="Times New Roman"/>
              </w:rPr>
              <w:t>表</w:t>
            </w:r>
          </w:p>
          <w:p>
            <w:pPr>
              <w:pStyle w:val="39"/>
              <w:adjustRightInd w:val="0"/>
              <w:snapToGrid w:val="0"/>
              <w:rPr>
                <w:rFonts w:ascii="Times New Roman" w:hAnsi="Times New Roman"/>
              </w:rPr>
            </w:pPr>
            <w:r>
              <w:rPr>
                <w:rFonts w:ascii="Times New Roman" w:hAnsi="Times New Roman"/>
              </w:rPr>
              <w:t>水</w:t>
            </w:r>
          </w:p>
        </w:tc>
        <w:tc>
          <w:tcPr>
            <w:tcW w:w="8662" w:type="dxa"/>
            <w:gridSpan w:val="9"/>
          </w:tcPr>
          <w:p>
            <w:pPr>
              <w:pStyle w:val="39"/>
              <w:adjustRightInd w:val="0"/>
              <w:snapToGrid w:val="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vAlign w:val="center"/>
          </w:tcPr>
          <w:p>
            <w:pPr>
              <w:pStyle w:val="39"/>
              <w:adjustRightInd w:val="0"/>
              <w:snapToGrid w:val="0"/>
              <w:rPr>
                <w:rFonts w:ascii="Times New Roman" w:hAnsi="Times New Roman"/>
              </w:rPr>
            </w:pPr>
          </w:p>
        </w:tc>
        <w:tc>
          <w:tcPr>
            <w:tcW w:w="776" w:type="dxa"/>
          </w:tcPr>
          <w:p>
            <w:pPr>
              <w:pStyle w:val="39"/>
              <w:adjustRightInd w:val="0"/>
              <w:snapToGrid w:val="0"/>
              <w:rPr>
                <w:rFonts w:ascii="Times New Roman" w:hAnsi="Times New Roman"/>
              </w:rPr>
            </w:pPr>
            <w:r>
              <w:rPr>
                <w:rFonts w:ascii="Times New Roman" w:hAnsi="Times New Roman"/>
              </w:rPr>
              <w:t>序号</w:t>
            </w:r>
          </w:p>
        </w:tc>
        <w:tc>
          <w:tcPr>
            <w:tcW w:w="1618" w:type="dxa"/>
          </w:tcPr>
          <w:p>
            <w:pPr>
              <w:pStyle w:val="39"/>
              <w:adjustRightInd w:val="0"/>
              <w:snapToGrid w:val="0"/>
              <w:rPr>
                <w:rFonts w:ascii="Times New Roman" w:hAnsi="Times New Roman"/>
              </w:rPr>
            </w:pPr>
            <w:r>
              <w:rPr>
                <w:rFonts w:ascii="Times New Roman" w:hAnsi="Times New Roman"/>
              </w:rPr>
              <w:t>受纳水体名称</w:t>
            </w:r>
          </w:p>
        </w:tc>
        <w:tc>
          <w:tcPr>
            <w:tcW w:w="2874" w:type="dxa"/>
            <w:gridSpan w:val="3"/>
          </w:tcPr>
          <w:p>
            <w:pPr>
              <w:pStyle w:val="39"/>
              <w:adjustRightInd w:val="0"/>
              <w:snapToGrid w:val="0"/>
              <w:rPr>
                <w:rFonts w:ascii="Times New Roman" w:hAnsi="Times New Roman"/>
              </w:rPr>
            </w:pPr>
            <w:r>
              <w:rPr>
                <w:rFonts w:ascii="Times New Roman" w:hAnsi="Times New Roman"/>
              </w:rPr>
              <w:t>排放点水域环境功能</w:t>
            </w:r>
          </w:p>
        </w:tc>
        <w:tc>
          <w:tcPr>
            <w:tcW w:w="3380" w:type="dxa"/>
            <w:gridSpan w:val="3"/>
          </w:tcPr>
          <w:p>
            <w:pPr>
              <w:pStyle w:val="39"/>
              <w:adjustRightInd w:val="0"/>
              <w:snapToGrid w:val="0"/>
              <w:rPr>
                <w:rFonts w:ascii="Times New Roman" w:hAnsi="Times New Roman"/>
              </w:rPr>
            </w:pPr>
            <w:r>
              <w:rPr>
                <w:rFonts w:ascii="Times New Roman" w:hAnsi="Times New Roman"/>
              </w:rPr>
              <w:t>24h内流经范围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vAlign w:val="center"/>
          </w:tcPr>
          <w:p>
            <w:pPr>
              <w:pStyle w:val="39"/>
              <w:adjustRightInd w:val="0"/>
              <w:snapToGrid w:val="0"/>
              <w:rPr>
                <w:rFonts w:ascii="Times New Roman" w:hAnsi="Times New Roman"/>
              </w:rPr>
            </w:pPr>
          </w:p>
        </w:tc>
        <w:tc>
          <w:tcPr>
            <w:tcW w:w="776" w:type="dxa"/>
          </w:tcPr>
          <w:p>
            <w:pPr>
              <w:pStyle w:val="39"/>
              <w:adjustRightInd w:val="0"/>
              <w:snapToGrid w:val="0"/>
              <w:rPr>
                <w:rFonts w:ascii="Times New Roman" w:hAnsi="Times New Roman"/>
              </w:rPr>
            </w:pPr>
            <w:r>
              <w:rPr>
                <w:rFonts w:ascii="Times New Roman" w:hAnsi="Times New Roman"/>
              </w:rPr>
              <w:t>1</w:t>
            </w:r>
          </w:p>
        </w:tc>
        <w:tc>
          <w:tcPr>
            <w:tcW w:w="1618" w:type="dxa"/>
          </w:tcPr>
          <w:p>
            <w:pPr>
              <w:pStyle w:val="39"/>
              <w:adjustRightInd w:val="0"/>
              <w:snapToGrid w:val="0"/>
              <w:rPr>
                <w:rFonts w:ascii="Times New Roman" w:hAnsi="Times New Roman"/>
              </w:rPr>
            </w:pPr>
            <w:r>
              <w:rPr>
                <w:rFonts w:ascii="Times New Roman" w:hAnsi="Times New Roman"/>
              </w:rPr>
              <w:t>清溪河</w:t>
            </w:r>
          </w:p>
        </w:tc>
        <w:tc>
          <w:tcPr>
            <w:tcW w:w="2874" w:type="dxa"/>
            <w:gridSpan w:val="3"/>
          </w:tcPr>
          <w:p>
            <w:pPr>
              <w:pStyle w:val="39"/>
              <w:adjustRightInd w:val="0"/>
              <w:snapToGrid w:val="0"/>
              <w:rPr>
                <w:rFonts w:ascii="Times New Roman" w:hAnsi="Times New Roman"/>
              </w:rPr>
            </w:pPr>
            <w:r>
              <w:rPr>
                <w:rFonts w:ascii="Times New Roman" w:hAnsi="Times New Roman"/>
              </w:rPr>
              <w:t>Ⅲ</w:t>
            </w:r>
          </w:p>
        </w:tc>
        <w:tc>
          <w:tcPr>
            <w:tcW w:w="3380" w:type="dxa"/>
            <w:gridSpan w:val="3"/>
          </w:tcPr>
          <w:p>
            <w:pPr>
              <w:pStyle w:val="39"/>
              <w:adjustRightInd w:val="0"/>
              <w:snapToGrid w:val="0"/>
              <w:rPr>
                <w:rFonts w:ascii="Times New Roman" w:hAnsi="Times New Roman"/>
              </w:rPr>
            </w:pPr>
            <w:r>
              <w:rPr>
                <w:rFonts w:ascii="Times New Roman" w:hAnsi="Times New Roman"/>
              </w:rPr>
              <w:t>不跨省界和国界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vAlign w:val="center"/>
          </w:tcPr>
          <w:p>
            <w:pPr>
              <w:pStyle w:val="39"/>
              <w:adjustRightInd w:val="0"/>
              <w:snapToGrid w:val="0"/>
              <w:rPr>
                <w:rFonts w:ascii="Times New Roman" w:hAnsi="Times New Roman"/>
              </w:rPr>
            </w:pPr>
          </w:p>
        </w:tc>
        <w:tc>
          <w:tcPr>
            <w:tcW w:w="8662" w:type="dxa"/>
            <w:gridSpan w:val="9"/>
          </w:tcPr>
          <w:p>
            <w:pPr>
              <w:pStyle w:val="39"/>
              <w:adjustRightInd w:val="0"/>
              <w:snapToGrid w:val="0"/>
              <w:rPr>
                <w:rFonts w:ascii="Times New Roman" w:hAnsi="Times New Roman"/>
              </w:rPr>
            </w:pPr>
            <w:r>
              <w:rPr>
                <w:rFonts w:ascii="Times New Roman" w:hAnsi="Times New Roman"/>
              </w:rPr>
              <w:t>内陆水体排放点下游10km（近岸海域一个潮周期最大水平距离两倍）范围内敏感目标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vAlign w:val="center"/>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序号</w:t>
            </w:r>
          </w:p>
        </w:tc>
        <w:tc>
          <w:tcPr>
            <w:tcW w:w="1618" w:type="dxa"/>
            <w:vAlign w:val="center"/>
          </w:tcPr>
          <w:p>
            <w:pPr>
              <w:pStyle w:val="39"/>
              <w:adjustRightInd w:val="0"/>
              <w:snapToGrid w:val="0"/>
              <w:rPr>
                <w:rFonts w:ascii="Times New Roman" w:hAnsi="Times New Roman"/>
              </w:rPr>
            </w:pPr>
            <w:r>
              <w:rPr>
                <w:rFonts w:ascii="Times New Roman" w:hAnsi="Times New Roman"/>
              </w:rPr>
              <w:t>环境敏感目标名称</w:t>
            </w:r>
          </w:p>
        </w:tc>
        <w:tc>
          <w:tcPr>
            <w:tcW w:w="2874" w:type="dxa"/>
            <w:gridSpan w:val="3"/>
            <w:vAlign w:val="center"/>
          </w:tcPr>
          <w:p>
            <w:pPr>
              <w:pStyle w:val="39"/>
              <w:adjustRightInd w:val="0"/>
              <w:snapToGrid w:val="0"/>
              <w:rPr>
                <w:rFonts w:ascii="Times New Roman" w:hAnsi="Times New Roman"/>
              </w:rPr>
            </w:pPr>
            <w:r>
              <w:rPr>
                <w:rFonts w:ascii="Times New Roman" w:hAnsi="Times New Roman"/>
              </w:rPr>
              <w:t>环境敏感特征</w:t>
            </w:r>
          </w:p>
        </w:tc>
        <w:tc>
          <w:tcPr>
            <w:tcW w:w="1218" w:type="dxa"/>
            <w:vAlign w:val="center"/>
          </w:tcPr>
          <w:p>
            <w:pPr>
              <w:pStyle w:val="39"/>
              <w:adjustRightInd w:val="0"/>
              <w:snapToGrid w:val="0"/>
              <w:rPr>
                <w:rFonts w:ascii="Times New Roman" w:hAnsi="Times New Roman"/>
              </w:rPr>
            </w:pPr>
            <w:r>
              <w:rPr>
                <w:rFonts w:ascii="Times New Roman" w:hAnsi="Times New Roman"/>
              </w:rPr>
              <w:t>水质目标</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与排放点距离/m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vAlign w:val="center"/>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w:t>
            </w:r>
          </w:p>
        </w:tc>
        <w:tc>
          <w:tcPr>
            <w:tcW w:w="1618" w:type="dxa"/>
            <w:vAlign w:val="center"/>
          </w:tcPr>
          <w:p>
            <w:pPr>
              <w:pStyle w:val="39"/>
              <w:adjustRightInd w:val="0"/>
              <w:snapToGrid w:val="0"/>
              <w:rPr>
                <w:rFonts w:ascii="Times New Roman" w:hAnsi="Times New Roman"/>
              </w:rPr>
            </w:pPr>
            <w:r>
              <w:rPr>
                <w:rFonts w:ascii="Times New Roman" w:hAnsi="Times New Roman"/>
              </w:rPr>
              <w:t>清溪镇乱石滩河吴家湾集中式饮用水水源地</w:t>
            </w:r>
          </w:p>
        </w:tc>
        <w:tc>
          <w:tcPr>
            <w:tcW w:w="2874" w:type="dxa"/>
            <w:gridSpan w:val="3"/>
            <w:vAlign w:val="center"/>
          </w:tcPr>
          <w:p>
            <w:pPr>
              <w:pStyle w:val="39"/>
              <w:adjustRightInd w:val="0"/>
              <w:snapToGrid w:val="0"/>
              <w:rPr>
                <w:rFonts w:ascii="Times New Roman" w:hAnsi="Times New Roman"/>
              </w:rPr>
            </w:pPr>
            <w:r>
              <w:rPr>
                <w:rFonts w:ascii="Times New Roman" w:hAnsi="Times New Roman"/>
              </w:rPr>
              <w:t>集中式地表水饮用水水源保护区</w:t>
            </w:r>
          </w:p>
        </w:tc>
        <w:tc>
          <w:tcPr>
            <w:tcW w:w="1218" w:type="dxa"/>
            <w:vAlign w:val="center"/>
          </w:tcPr>
          <w:p>
            <w:pPr>
              <w:pStyle w:val="39"/>
              <w:adjustRightInd w:val="0"/>
              <w:snapToGrid w:val="0"/>
              <w:rPr>
                <w:rFonts w:ascii="Times New Roman" w:hAnsi="Times New Roman"/>
              </w:rPr>
            </w:pPr>
            <w:r>
              <w:rPr>
                <w:rFonts w:ascii="Times New Roman" w:hAnsi="Times New Roman"/>
              </w:rPr>
              <w:t>Ⅲ</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在保护区上游穿越所在河流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vAlign w:val="center"/>
          </w:tcPr>
          <w:p>
            <w:pPr>
              <w:pStyle w:val="39"/>
              <w:adjustRightInd w:val="0"/>
              <w:snapToGrid w:val="0"/>
              <w:rPr>
                <w:rFonts w:ascii="Times New Roman" w:hAnsi="Times New Roman"/>
              </w:rPr>
            </w:pPr>
          </w:p>
        </w:tc>
        <w:tc>
          <w:tcPr>
            <w:tcW w:w="3250" w:type="dxa"/>
            <w:gridSpan w:val="3"/>
            <w:vMerge w:val="restart"/>
            <w:vAlign w:val="center"/>
          </w:tcPr>
          <w:p>
            <w:pPr>
              <w:pStyle w:val="39"/>
              <w:adjustRightInd w:val="0"/>
              <w:snapToGrid w:val="0"/>
              <w:rPr>
                <w:rFonts w:ascii="Times New Roman" w:hAnsi="Times New Roman"/>
                <w:bCs/>
              </w:rPr>
            </w:pPr>
            <w:r>
              <w:rPr>
                <w:rFonts w:ascii="Times New Roman" w:hAnsi="Times New Roman"/>
                <w:bCs/>
              </w:rPr>
              <w:t>地表水环境敏感程度E值</w:t>
            </w:r>
          </w:p>
        </w:tc>
        <w:tc>
          <w:tcPr>
            <w:tcW w:w="3250" w:type="dxa"/>
            <w:gridSpan w:val="4"/>
            <w:vAlign w:val="center"/>
          </w:tcPr>
          <w:p>
            <w:pPr>
              <w:pStyle w:val="39"/>
              <w:adjustRightInd w:val="0"/>
              <w:snapToGrid w:val="0"/>
              <w:rPr>
                <w:rFonts w:ascii="Times New Roman" w:hAnsi="Times New Roman"/>
                <w:b/>
              </w:rPr>
            </w:pPr>
            <w:r>
              <w:rPr>
                <w:rFonts w:ascii="Times New Roman" w:hAnsi="Times New Roman"/>
              </w:rPr>
              <w:t>宣探1井站</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E1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vAlign w:val="center"/>
          </w:tcPr>
          <w:p>
            <w:pPr>
              <w:pStyle w:val="39"/>
              <w:adjustRightInd w:val="0"/>
              <w:snapToGrid w:val="0"/>
              <w:rPr>
                <w:rFonts w:ascii="Times New Roman" w:hAnsi="Times New Roman"/>
              </w:rPr>
            </w:pPr>
          </w:p>
        </w:tc>
        <w:tc>
          <w:tcPr>
            <w:tcW w:w="3250" w:type="dxa"/>
            <w:gridSpan w:val="3"/>
            <w:vMerge w:val="continue"/>
            <w:vAlign w:val="center"/>
          </w:tcPr>
          <w:p>
            <w:pPr>
              <w:pStyle w:val="39"/>
              <w:adjustRightInd w:val="0"/>
              <w:snapToGrid w:val="0"/>
              <w:rPr>
                <w:rFonts w:ascii="Times New Roman" w:hAnsi="Times New Roman"/>
                <w:b/>
              </w:rPr>
            </w:pPr>
          </w:p>
        </w:tc>
        <w:tc>
          <w:tcPr>
            <w:tcW w:w="3250" w:type="dxa"/>
            <w:gridSpan w:val="4"/>
            <w:vAlign w:val="center"/>
          </w:tcPr>
          <w:p>
            <w:pPr>
              <w:pStyle w:val="39"/>
              <w:adjustRightInd w:val="0"/>
              <w:snapToGrid w:val="0"/>
              <w:rPr>
                <w:rFonts w:ascii="Times New Roman" w:hAnsi="Times New Roman"/>
                <w:b/>
              </w:rPr>
            </w:pPr>
            <w:r>
              <w:rPr>
                <w:rFonts w:ascii="Times New Roman" w:hAnsi="Times New Roman"/>
              </w:rPr>
              <w:t>宣兴1井站</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vAlign w:val="center"/>
          </w:tcPr>
          <w:p>
            <w:pPr>
              <w:pStyle w:val="39"/>
              <w:adjustRightInd w:val="0"/>
              <w:snapToGrid w:val="0"/>
              <w:rPr>
                <w:rFonts w:ascii="Times New Roman" w:hAnsi="Times New Roman"/>
              </w:rPr>
            </w:pPr>
          </w:p>
        </w:tc>
        <w:tc>
          <w:tcPr>
            <w:tcW w:w="3250" w:type="dxa"/>
            <w:gridSpan w:val="3"/>
            <w:vMerge w:val="continue"/>
            <w:vAlign w:val="center"/>
          </w:tcPr>
          <w:p>
            <w:pPr>
              <w:pStyle w:val="39"/>
              <w:adjustRightInd w:val="0"/>
              <w:snapToGrid w:val="0"/>
              <w:rPr>
                <w:rFonts w:ascii="Times New Roman" w:hAnsi="Times New Roman"/>
                <w:b/>
              </w:rPr>
            </w:pPr>
          </w:p>
        </w:tc>
        <w:tc>
          <w:tcPr>
            <w:tcW w:w="3250" w:type="dxa"/>
            <w:gridSpan w:val="4"/>
            <w:vAlign w:val="center"/>
          </w:tcPr>
          <w:p>
            <w:pPr>
              <w:pStyle w:val="39"/>
              <w:adjustRightInd w:val="0"/>
              <w:snapToGrid w:val="0"/>
              <w:rPr>
                <w:rFonts w:ascii="Times New Roman" w:hAnsi="Times New Roman"/>
                <w:b/>
              </w:rPr>
            </w:pPr>
            <w:r>
              <w:rPr>
                <w:rFonts w:ascii="Times New Roman" w:hAnsi="Times New Roman"/>
              </w:rPr>
              <w:t>宣兴1井-宣探阀室</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vAlign w:val="center"/>
          </w:tcPr>
          <w:p>
            <w:pPr>
              <w:pStyle w:val="39"/>
              <w:adjustRightInd w:val="0"/>
              <w:snapToGrid w:val="0"/>
              <w:rPr>
                <w:rFonts w:ascii="Times New Roman" w:hAnsi="Times New Roman"/>
              </w:rPr>
            </w:pPr>
          </w:p>
        </w:tc>
        <w:tc>
          <w:tcPr>
            <w:tcW w:w="3250" w:type="dxa"/>
            <w:gridSpan w:val="3"/>
            <w:vMerge w:val="continue"/>
            <w:vAlign w:val="center"/>
          </w:tcPr>
          <w:p>
            <w:pPr>
              <w:pStyle w:val="39"/>
              <w:adjustRightInd w:val="0"/>
              <w:snapToGrid w:val="0"/>
              <w:rPr>
                <w:rFonts w:ascii="Times New Roman" w:hAnsi="Times New Roman"/>
                <w:b/>
              </w:rPr>
            </w:pPr>
          </w:p>
        </w:tc>
        <w:tc>
          <w:tcPr>
            <w:tcW w:w="3250" w:type="dxa"/>
            <w:gridSpan w:val="4"/>
            <w:vAlign w:val="center"/>
          </w:tcPr>
          <w:p>
            <w:pPr>
              <w:pStyle w:val="39"/>
              <w:adjustRightInd w:val="0"/>
              <w:snapToGrid w:val="0"/>
              <w:rPr>
                <w:rFonts w:ascii="Times New Roman" w:hAnsi="Times New Roman"/>
                <w:b/>
              </w:rPr>
            </w:pPr>
            <w:r>
              <w:rPr>
                <w:rFonts w:ascii="Times New Roman" w:hAnsi="Times New Roman"/>
              </w:rPr>
              <w:t>宣探阀室-宣探清管站</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vAlign w:val="center"/>
          </w:tcPr>
          <w:p>
            <w:pPr>
              <w:pStyle w:val="39"/>
              <w:adjustRightInd w:val="0"/>
              <w:snapToGrid w:val="0"/>
              <w:rPr>
                <w:rFonts w:ascii="Times New Roman" w:hAnsi="Times New Roman"/>
              </w:rPr>
            </w:pPr>
          </w:p>
        </w:tc>
        <w:tc>
          <w:tcPr>
            <w:tcW w:w="3250" w:type="dxa"/>
            <w:gridSpan w:val="3"/>
            <w:vMerge w:val="continue"/>
            <w:vAlign w:val="center"/>
          </w:tcPr>
          <w:p>
            <w:pPr>
              <w:pStyle w:val="39"/>
              <w:adjustRightInd w:val="0"/>
              <w:snapToGrid w:val="0"/>
              <w:rPr>
                <w:rFonts w:ascii="Times New Roman" w:hAnsi="Times New Roman"/>
                <w:b/>
              </w:rPr>
            </w:pPr>
          </w:p>
        </w:tc>
        <w:tc>
          <w:tcPr>
            <w:tcW w:w="3250" w:type="dxa"/>
            <w:gridSpan w:val="4"/>
            <w:vAlign w:val="center"/>
          </w:tcPr>
          <w:p>
            <w:pPr>
              <w:pStyle w:val="39"/>
              <w:adjustRightInd w:val="0"/>
              <w:snapToGrid w:val="0"/>
              <w:rPr>
                <w:rFonts w:ascii="Times New Roman" w:hAnsi="Times New Roman"/>
                <w:b/>
              </w:rPr>
            </w:pPr>
            <w:r>
              <w:rPr>
                <w:rFonts w:ascii="Times New Roman" w:hAnsi="Times New Roman"/>
              </w:rPr>
              <w:t>宣探清管站-304集气站</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vAlign w:val="center"/>
          </w:tcPr>
          <w:p>
            <w:pPr>
              <w:pStyle w:val="39"/>
              <w:adjustRightInd w:val="0"/>
              <w:snapToGrid w:val="0"/>
              <w:rPr>
                <w:rFonts w:ascii="Times New Roman" w:hAnsi="Times New Roman"/>
              </w:rPr>
            </w:pPr>
          </w:p>
        </w:tc>
        <w:tc>
          <w:tcPr>
            <w:tcW w:w="3250" w:type="dxa"/>
            <w:gridSpan w:val="3"/>
            <w:vMerge w:val="continue"/>
            <w:vAlign w:val="center"/>
          </w:tcPr>
          <w:p>
            <w:pPr>
              <w:pStyle w:val="39"/>
              <w:adjustRightInd w:val="0"/>
              <w:snapToGrid w:val="0"/>
              <w:rPr>
                <w:rFonts w:ascii="Times New Roman" w:hAnsi="Times New Roman"/>
                <w:b/>
              </w:rPr>
            </w:pPr>
          </w:p>
        </w:tc>
        <w:tc>
          <w:tcPr>
            <w:tcW w:w="3250" w:type="dxa"/>
            <w:gridSpan w:val="4"/>
            <w:vAlign w:val="center"/>
          </w:tcPr>
          <w:p>
            <w:pPr>
              <w:pStyle w:val="39"/>
              <w:adjustRightInd w:val="0"/>
              <w:snapToGrid w:val="0"/>
              <w:rPr>
                <w:rFonts w:ascii="Times New Roman" w:hAnsi="Times New Roman"/>
                <w:b/>
              </w:rPr>
            </w:pPr>
            <w:r>
              <w:rPr>
                <w:rFonts w:ascii="Times New Roman" w:hAnsi="Times New Roman"/>
              </w:rPr>
              <w:t>宣探1井-宣兴1井</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E1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restart"/>
            <w:vAlign w:val="center"/>
          </w:tcPr>
          <w:p>
            <w:pPr>
              <w:pStyle w:val="39"/>
              <w:adjustRightInd w:val="0"/>
              <w:snapToGrid w:val="0"/>
              <w:rPr>
                <w:rFonts w:ascii="Times New Roman" w:hAnsi="Times New Roman"/>
              </w:rPr>
            </w:pPr>
            <w:r>
              <w:rPr>
                <w:rFonts w:ascii="Times New Roman" w:hAnsi="Times New Roman"/>
              </w:rPr>
              <w:t>地</w:t>
            </w:r>
          </w:p>
          <w:p>
            <w:pPr>
              <w:pStyle w:val="39"/>
              <w:adjustRightInd w:val="0"/>
              <w:snapToGrid w:val="0"/>
              <w:rPr>
                <w:rFonts w:ascii="Times New Roman" w:hAnsi="Times New Roman"/>
              </w:rPr>
            </w:pPr>
            <w:r>
              <w:rPr>
                <w:rFonts w:ascii="Times New Roman" w:hAnsi="Times New Roman"/>
              </w:rPr>
              <w:t>下</w:t>
            </w:r>
          </w:p>
          <w:p>
            <w:pPr>
              <w:pStyle w:val="39"/>
              <w:adjustRightInd w:val="0"/>
              <w:snapToGrid w:val="0"/>
              <w:rPr>
                <w:rFonts w:ascii="Times New Roman" w:hAnsi="Times New Roman"/>
              </w:rPr>
            </w:pPr>
            <w:r>
              <w:rPr>
                <w:rFonts w:ascii="Times New Roman" w:hAnsi="Times New Roman"/>
              </w:rPr>
              <w:t>水</w:t>
            </w:r>
          </w:p>
        </w:tc>
        <w:tc>
          <w:tcPr>
            <w:tcW w:w="776" w:type="dxa"/>
            <w:vAlign w:val="center"/>
          </w:tcPr>
          <w:p>
            <w:pPr>
              <w:pStyle w:val="39"/>
              <w:adjustRightInd w:val="0"/>
              <w:snapToGrid w:val="0"/>
              <w:rPr>
                <w:rFonts w:ascii="Times New Roman" w:hAnsi="Times New Roman"/>
              </w:rPr>
            </w:pPr>
            <w:r>
              <w:rPr>
                <w:rFonts w:ascii="Times New Roman" w:hAnsi="Times New Roman"/>
              </w:rPr>
              <w:t>序号</w:t>
            </w:r>
          </w:p>
        </w:tc>
        <w:tc>
          <w:tcPr>
            <w:tcW w:w="1618" w:type="dxa"/>
            <w:vAlign w:val="center"/>
          </w:tcPr>
          <w:p>
            <w:pPr>
              <w:pStyle w:val="39"/>
              <w:adjustRightInd w:val="0"/>
              <w:snapToGrid w:val="0"/>
              <w:rPr>
                <w:rFonts w:ascii="Times New Roman" w:hAnsi="Times New Roman"/>
              </w:rPr>
            </w:pPr>
            <w:r>
              <w:rPr>
                <w:rFonts w:ascii="Times New Roman" w:hAnsi="Times New Roman"/>
              </w:rPr>
              <w:t>环境敏感区名称</w:t>
            </w:r>
          </w:p>
        </w:tc>
        <w:tc>
          <w:tcPr>
            <w:tcW w:w="1656" w:type="dxa"/>
            <w:gridSpan w:val="2"/>
            <w:vAlign w:val="center"/>
          </w:tcPr>
          <w:p>
            <w:pPr>
              <w:pStyle w:val="39"/>
              <w:adjustRightInd w:val="0"/>
              <w:snapToGrid w:val="0"/>
              <w:rPr>
                <w:rFonts w:ascii="Times New Roman" w:hAnsi="Times New Roman"/>
              </w:rPr>
            </w:pPr>
            <w:r>
              <w:rPr>
                <w:rFonts w:ascii="Times New Roman" w:hAnsi="Times New Roman"/>
              </w:rPr>
              <w:t>环境敏感特征</w:t>
            </w:r>
          </w:p>
        </w:tc>
        <w:tc>
          <w:tcPr>
            <w:tcW w:w="1218" w:type="dxa"/>
            <w:vAlign w:val="center"/>
          </w:tcPr>
          <w:p>
            <w:pPr>
              <w:pStyle w:val="39"/>
              <w:adjustRightInd w:val="0"/>
              <w:snapToGrid w:val="0"/>
              <w:rPr>
                <w:rFonts w:ascii="Times New Roman" w:hAnsi="Times New Roman"/>
              </w:rPr>
            </w:pPr>
            <w:r>
              <w:rPr>
                <w:rFonts w:ascii="Times New Roman" w:hAnsi="Times New Roman"/>
              </w:rPr>
              <w:t>水质目标</w:t>
            </w:r>
          </w:p>
        </w:tc>
        <w:tc>
          <w:tcPr>
            <w:tcW w:w="1218" w:type="dxa"/>
            <w:vAlign w:val="center"/>
          </w:tcPr>
          <w:p>
            <w:pPr>
              <w:pStyle w:val="39"/>
              <w:adjustRightInd w:val="0"/>
              <w:snapToGrid w:val="0"/>
              <w:rPr>
                <w:rFonts w:ascii="Times New Roman" w:hAnsi="Times New Roman"/>
              </w:rPr>
            </w:pPr>
            <w:r>
              <w:rPr>
                <w:rFonts w:ascii="Times New Roman" w:hAnsi="Times New Roman"/>
              </w:rPr>
              <w:t>包气带防污性能</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与下游厂界距离/m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vAlign w:val="center"/>
          </w:tcPr>
          <w:p>
            <w:pPr>
              <w:pStyle w:val="39"/>
              <w:adjustRightInd w:val="0"/>
              <w:snapToGrid w:val="0"/>
              <w:rPr>
                <w:rFonts w:ascii="Times New Roman" w:hAnsi="Times New Roman"/>
              </w:rPr>
            </w:pPr>
          </w:p>
        </w:tc>
        <w:tc>
          <w:tcPr>
            <w:tcW w:w="8648" w:type="dxa"/>
            <w:gridSpan w:val="8"/>
            <w:vAlign w:val="center"/>
          </w:tcPr>
          <w:p>
            <w:pPr>
              <w:pStyle w:val="39"/>
              <w:adjustRightInd w:val="0"/>
              <w:snapToGrid w:val="0"/>
              <w:rPr>
                <w:rFonts w:ascii="Times New Roman" w:hAnsi="Times New Roman"/>
              </w:rPr>
            </w:pPr>
            <w:r>
              <w:rPr>
                <w:rFonts w:ascii="Times New Roman" w:hAnsi="Times New Roman"/>
              </w:rPr>
              <w:t>宣探1井站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w:t>
            </w:r>
          </w:p>
        </w:tc>
        <w:tc>
          <w:tcPr>
            <w:tcW w:w="1618" w:type="dxa"/>
            <w:vAlign w:val="center"/>
          </w:tcPr>
          <w:p>
            <w:pPr>
              <w:pStyle w:val="39"/>
              <w:adjustRightInd w:val="0"/>
              <w:snapToGrid w:val="0"/>
              <w:rPr>
                <w:rFonts w:ascii="Times New Roman" w:hAnsi="Times New Roman"/>
              </w:rPr>
            </w:pPr>
            <w:r>
              <w:rPr>
                <w:rFonts w:ascii="Times New Roman" w:hAnsi="Times New Roman"/>
              </w:rPr>
              <w:t>/</w:t>
            </w:r>
          </w:p>
        </w:tc>
        <w:tc>
          <w:tcPr>
            <w:tcW w:w="1656" w:type="dxa"/>
            <w:gridSpan w:val="2"/>
            <w:vAlign w:val="center"/>
          </w:tcPr>
          <w:p>
            <w:pPr>
              <w:pStyle w:val="39"/>
              <w:adjustRightInd w:val="0"/>
              <w:snapToGrid w:val="0"/>
              <w:rPr>
                <w:rFonts w:ascii="Times New Roman" w:hAnsi="Times New Roman"/>
              </w:rPr>
            </w:pPr>
            <w:r>
              <w:rPr>
                <w:rFonts w:ascii="Times New Roman" w:hAnsi="Times New Roman"/>
              </w:rPr>
              <w:t>不敏感G3</w:t>
            </w:r>
          </w:p>
        </w:tc>
        <w:tc>
          <w:tcPr>
            <w:tcW w:w="1218" w:type="dxa"/>
            <w:vAlign w:val="center"/>
          </w:tcPr>
          <w:p>
            <w:pPr>
              <w:pStyle w:val="39"/>
              <w:adjustRightInd w:val="0"/>
              <w:snapToGrid w:val="0"/>
              <w:rPr>
                <w:rFonts w:ascii="Times New Roman" w:hAnsi="Times New Roman"/>
              </w:rPr>
            </w:pPr>
            <w:r>
              <w:rPr>
                <w:rFonts w:ascii="Times New Roman" w:hAnsi="Times New Roman" w:eastAsia="微软雅黑"/>
              </w:rPr>
              <w:t>Ⅲ</w:t>
            </w:r>
          </w:p>
        </w:tc>
        <w:tc>
          <w:tcPr>
            <w:tcW w:w="1218" w:type="dxa"/>
            <w:vAlign w:val="center"/>
          </w:tcPr>
          <w:p>
            <w:pPr>
              <w:pStyle w:val="39"/>
              <w:adjustRightInd w:val="0"/>
              <w:snapToGrid w:val="0"/>
              <w:rPr>
                <w:rFonts w:ascii="Times New Roman" w:hAnsi="Times New Roman"/>
              </w:rPr>
            </w:pPr>
            <w:r>
              <w:rPr>
                <w:rFonts w:ascii="Times New Roman" w:hAnsi="Times New Roman"/>
              </w:rPr>
              <w:t>D2</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8648" w:type="dxa"/>
            <w:gridSpan w:val="8"/>
            <w:vAlign w:val="center"/>
          </w:tcPr>
          <w:p>
            <w:pPr>
              <w:pStyle w:val="39"/>
              <w:adjustRightInd w:val="0"/>
              <w:snapToGrid w:val="0"/>
              <w:rPr>
                <w:rFonts w:ascii="Times New Roman" w:hAnsi="Times New Roman"/>
              </w:rPr>
            </w:pPr>
            <w:r>
              <w:rPr>
                <w:rFonts w:ascii="Times New Roman" w:hAnsi="Times New Roman"/>
              </w:rPr>
              <w:t>宣兴1井站及集气管线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jc w:val="center"/>
        </w:trPr>
        <w:tc>
          <w:tcPr>
            <w:tcW w:w="816" w:type="dxa"/>
            <w:vMerge w:val="continue"/>
          </w:tcPr>
          <w:p>
            <w:pPr>
              <w:pStyle w:val="39"/>
              <w:adjustRightInd w:val="0"/>
              <w:snapToGrid w:val="0"/>
              <w:rPr>
                <w:rFonts w:ascii="Times New Roman" w:hAnsi="Times New Roman"/>
              </w:rPr>
            </w:pPr>
          </w:p>
        </w:tc>
        <w:tc>
          <w:tcPr>
            <w:tcW w:w="776" w:type="dxa"/>
            <w:vAlign w:val="center"/>
          </w:tcPr>
          <w:p>
            <w:pPr>
              <w:pStyle w:val="39"/>
              <w:adjustRightInd w:val="0"/>
              <w:snapToGrid w:val="0"/>
              <w:rPr>
                <w:rFonts w:ascii="Times New Roman" w:hAnsi="Times New Roman"/>
              </w:rPr>
            </w:pPr>
            <w:r>
              <w:rPr>
                <w:rFonts w:ascii="Times New Roman" w:hAnsi="Times New Roman"/>
              </w:rPr>
              <w:t>1</w:t>
            </w:r>
          </w:p>
        </w:tc>
        <w:tc>
          <w:tcPr>
            <w:tcW w:w="1618" w:type="dxa"/>
            <w:vAlign w:val="center"/>
          </w:tcPr>
          <w:p>
            <w:pPr>
              <w:pStyle w:val="39"/>
              <w:adjustRightInd w:val="0"/>
              <w:snapToGrid w:val="0"/>
              <w:rPr>
                <w:rFonts w:ascii="Times New Roman" w:hAnsi="Times New Roman"/>
              </w:rPr>
            </w:pPr>
            <w:r>
              <w:rPr>
                <w:rFonts w:ascii="Times New Roman" w:hAnsi="Times New Roman"/>
              </w:rPr>
              <w:t>分散式水源井</w:t>
            </w:r>
          </w:p>
        </w:tc>
        <w:tc>
          <w:tcPr>
            <w:tcW w:w="1656" w:type="dxa"/>
            <w:gridSpan w:val="2"/>
            <w:vAlign w:val="center"/>
          </w:tcPr>
          <w:p>
            <w:pPr>
              <w:pStyle w:val="39"/>
              <w:adjustRightInd w:val="0"/>
              <w:snapToGrid w:val="0"/>
              <w:rPr>
                <w:rFonts w:ascii="Times New Roman" w:hAnsi="Times New Roman"/>
              </w:rPr>
            </w:pPr>
            <w:r>
              <w:rPr>
                <w:rFonts w:ascii="Times New Roman" w:hAnsi="Times New Roman"/>
              </w:rPr>
              <w:t>较敏感G2</w:t>
            </w:r>
          </w:p>
        </w:tc>
        <w:tc>
          <w:tcPr>
            <w:tcW w:w="1218" w:type="dxa"/>
            <w:vAlign w:val="center"/>
          </w:tcPr>
          <w:p>
            <w:pPr>
              <w:pStyle w:val="39"/>
              <w:adjustRightInd w:val="0"/>
              <w:snapToGrid w:val="0"/>
              <w:rPr>
                <w:rFonts w:ascii="Times New Roman" w:hAnsi="Times New Roman"/>
              </w:rPr>
            </w:pPr>
            <w:r>
              <w:rPr>
                <w:rFonts w:ascii="Times New Roman" w:hAnsi="Times New Roman" w:eastAsia="微软雅黑"/>
              </w:rPr>
              <w:t>Ⅲ</w:t>
            </w:r>
          </w:p>
        </w:tc>
        <w:tc>
          <w:tcPr>
            <w:tcW w:w="1218" w:type="dxa"/>
            <w:vAlign w:val="center"/>
          </w:tcPr>
          <w:p>
            <w:pPr>
              <w:pStyle w:val="39"/>
              <w:adjustRightInd w:val="0"/>
              <w:snapToGrid w:val="0"/>
              <w:rPr>
                <w:rFonts w:ascii="Times New Roman" w:hAnsi="Times New Roman"/>
              </w:rPr>
            </w:pPr>
            <w:r>
              <w:rPr>
                <w:rFonts w:ascii="Times New Roman" w:hAnsi="Times New Roman"/>
              </w:rPr>
              <w:t>D2</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3250" w:type="dxa"/>
            <w:gridSpan w:val="3"/>
            <w:vMerge w:val="restart"/>
            <w:vAlign w:val="center"/>
          </w:tcPr>
          <w:p>
            <w:pPr>
              <w:pStyle w:val="39"/>
              <w:adjustRightInd w:val="0"/>
              <w:snapToGrid w:val="0"/>
              <w:rPr>
                <w:rFonts w:ascii="Times New Roman" w:hAnsi="Times New Roman"/>
                <w:bCs/>
              </w:rPr>
            </w:pPr>
            <w:r>
              <w:rPr>
                <w:rFonts w:ascii="Times New Roman" w:hAnsi="Times New Roman"/>
                <w:bCs/>
              </w:rPr>
              <w:t>地下水环境敏感程度E值</w:t>
            </w:r>
          </w:p>
        </w:tc>
        <w:tc>
          <w:tcPr>
            <w:tcW w:w="3250" w:type="dxa"/>
            <w:gridSpan w:val="4"/>
            <w:vAlign w:val="center"/>
          </w:tcPr>
          <w:p>
            <w:pPr>
              <w:pStyle w:val="39"/>
              <w:adjustRightInd w:val="0"/>
              <w:snapToGrid w:val="0"/>
              <w:rPr>
                <w:rFonts w:ascii="Times New Roman" w:hAnsi="Times New Roman"/>
                <w:bCs/>
              </w:rPr>
            </w:pPr>
            <w:r>
              <w:rPr>
                <w:rFonts w:ascii="Times New Roman" w:hAnsi="Times New Roman"/>
              </w:rPr>
              <w:t>宣探1井站</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3250" w:type="dxa"/>
            <w:gridSpan w:val="3"/>
            <w:vMerge w:val="continue"/>
            <w:vAlign w:val="center"/>
          </w:tcPr>
          <w:p>
            <w:pPr>
              <w:pStyle w:val="39"/>
              <w:adjustRightInd w:val="0"/>
              <w:snapToGrid w:val="0"/>
              <w:rPr>
                <w:rFonts w:ascii="Times New Roman" w:hAnsi="Times New Roman"/>
                <w:bCs/>
              </w:rPr>
            </w:pPr>
          </w:p>
        </w:tc>
        <w:tc>
          <w:tcPr>
            <w:tcW w:w="3250" w:type="dxa"/>
            <w:gridSpan w:val="4"/>
            <w:vAlign w:val="center"/>
          </w:tcPr>
          <w:p>
            <w:pPr>
              <w:pStyle w:val="39"/>
              <w:adjustRightInd w:val="0"/>
              <w:snapToGrid w:val="0"/>
              <w:rPr>
                <w:rFonts w:ascii="Times New Roman" w:hAnsi="Times New Roman"/>
                <w:bCs/>
              </w:rPr>
            </w:pPr>
            <w:r>
              <w:rPr>
                <w:rFonts w:ascii="Times New Roman" w:hAnsi="Times New Roman"/>
              </w:rPr>
              <w:t>宣兴1井站</w:t>
            </w:r>
          </w:p>
        </w:tc>
        <w:tc>
          <w:tcPr>
            <w:tcW w:w="2162" w:type="dxa"/>
            <w:gridSpan w:val="2"/>
            <w:vAlign w:val="center"/>
          </w:tcPr>
          <w:p>
            <w:pPr>
              <w:pStyle w:val="39"/>
              <w:adjustRightInd w:val="0"/>
              <w:snapToGrid w:val="0"/>
              <w:rPr>
                <w:rFonts w:ascii="Times New Roman" w:hAnsi="Times New Roman"/>
              </w:rPr>
            </w:pPr>
            <w:r>
              <w:rPr>
                <w:rFonts w:ascii="Times New Roman" w:hAnsi="Times New Roman"/>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3250" w:type="dxa"/>
            <w:gridSpan w:val="3"/>
            <w:vMerge w:val="continue"/>
            <w:vAlign w:val="center"/>
          </w:tcPr>
          <w:p>
            <w:pPr>
              <w:pStyle w:val="39"/>
              <w:adjustRightInd w:val="0"/>
              <w:snapToGrid w:val="0"/>
              <w:rPr>
                <w:rFonts w:ascii="Times New Roman" w:hAnsi="Times New Roman"/>
                <w:bCs/>
              </w:rPr>
            </w:pPr>
          </w:p>
        </w:tc>
        <w:tc>
          <w:tcPr>
            <w:tcW w:w="3250" w:type="dxa"/>
            <w:gridSpan w:val="4"/>
            <w:vAlign w:val="center"/>
          </w:tcPr>
          <w:p>
            <w:pPr>
              <w:pStyle w:val="39"/>
              <w:adjustRightInd w:val="0"/>
              <w:snapToGrid w:val="0"/>
              <w:rPr>
                <w:rFonts w:ascii="Times New Roman" w:hAnsi="Times New Roman"/>
                <w:bCs/>
              </w:rPr>
            </w:pPr>
            <w:r>
              <w:rPr>
                <w:rFonts w:ascii="Times New Roman" w:hAnsi="Times New Roman"/>
              </w:rPr>
              <w:t>宣兴1井-宣探阀室</w:t>
            </w:r>
          </w:p>
        </w:tc>
        <w:tc>
          <w:tcPr>
            <w:tcW w:w="2162" w:type="dxa"/>
            <w:gridSpan w:val="2"/>
          </w:tcPr>
          <w:p>
            <w:pPr>
              <w:pStyle w:val="39"/>
              <w:adjustRightInd w:val="0"/>
              <w:snapToGrid w:val="0"/>
              <w:rPr>
                <w:rFonts w:ascii="Times New Roman" w:hAnsi="Times New Roman"/>
              </w:rPr>
            </w:pPr>
            <w:r>
              <w:rPr>
                <w:rFonts w:ascii="Times New Roman" w:hAnsi="Times New Roman"/>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3250" w:type="dxa"/>
            <w:gridSpan w:val="3"/>
            <w:vMerge w:val="continue"/>
            <w:vAlign w:val="center"/>
          </w:tcPr>
          <w:p>
            <w:pPr>
              <w:pStyle w:val="39"/>
              <w:adjustRightInd w:val="0"/>
              <w:snapToGrid w:val="0"/>
              <w:rPr>
                <w:rFonts w:ascii="Times New Roman" w:hAnsi="Times New Roman"/>
                <w:bCs/>
              </w:rPr>
            </w:pPr>
          </w:p>
        </w:tc>
        <w:tc>
          <w:tcPr>
            <w:tcW w:w="3250" w:type="dxa"/>
            <w:gridSpan w:val="4"/>
            <w:vAlign w:val="center"/>
          </w:tcPr>
          <w:p>
            <w:pPr>
              <w:pStyle w:val="39"/>
              <w:adjustRightInd w:val="0"/>
              <w:snapToGrid w:val="0"/>
              <w:rPr>
                <w:rFonts w:ascii="Times New Roman" w:hAnsi="Times New Roman"/>
                <w:bCs/>
              </w:rPr>
            </w:pPr>
            <w:r>
              <w:rPr>
                <w:rFonts w:ascii="Times New Roman" w:hAnsi="Times New Roman"/>
              </w:rPr>
              <w:t>宣探阀室-宣探清管站</w:t>
            </w:r>
          </w:p>
        </w:tc>
        <w:tc>
          <w:tcPr>
            <w:tcW w:w="2162" w:type="dxa"/>
            <w:gridSpan w:val="2"/>
          </w:tcPr>
          <w:p>
            <w:pPr>
              <w:pStyle w:val="39"/>
              <w:adjustRightInd w:val="0"/>
              <w:snapToGrid w:val="0"/>
              <w:rPr>
                <w:rFonts w:ascii="Times New Roman" w:hAnsi="Times New Roman"/>
              </w:rPr>
            </w:pPr>
            <w:r>
              <w:rPr>
                <w:rFonts w:ascii="Times New Roman" w:hAnsi="Times New Roman"/>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3250" w:type="dxa"/>
            <w:gridSpan w:val="3"/>
            <w:vMerge w:val="continue"/>
            <w:vAlign w:val="center"/>
          </w:tcPr>
          <w:p>
            <w:pPr>
              <w:pStyle w:val="39"/>
              <w:adjustRightInd w:val="0"/>
              <w:snapToGrid w:val="0"/>
              <w:rPr>
                <w:rFonts w:ascii="Times New Roman" w:hAnsi="Times New Roman"/>
                <w:b/>
              </w:rPr>
            </w:pPr>
          </w:p>
        </w:tc>
        <w:tc>
          <w:tcPr>
            <w:tcW w:w="3250" w:type="dxa"/>
            <w:gridSpan w:val="4"/>
            <w:vAlign w:val="center"/>
          </w:tcPr>
          <w:p>
            <w:pPr>
              <w:pStyle w:val="39"/>
              <w:adjustRightInd w:val="0"/>
              <w:snapToGrid w:val="0"/>
              <w:rPr>
                <w:rFonts w:ascii="Times New Roman" w:hAnsi="Times New Roman"/>
                <w:b/>
              </w:rPr>
            </w:pPr>
            <w:r>
              <w:rPr>
                <w:rFonts w:ascii="Times New Roman" w:hAnsi="Times New Roman"/>
              </w:rPr>
              <w:t>宣探清管站-304集气站</w:t>
            </w:r>
          </w:p>
        </w:tc>
        <w:tc>
          <w:tcPr>
            <w:tcW w:w="2162" w:type="dxa"/>
            <w:gridSpan w:val="2"/>
          </w:tcPr>
          <w:p>
            <w:pPr>
              <w:pStyle w:val="39"/>
              <w:adjustRightInd w:val="0"/>
              <w:snapToGrid w:val="0"/>
              <w:rPr>
                <w:rFonts w:ascii="Times New Roman" w:hAnsi="Times New Roman"/>
              </w:rPr>
            </w:pPr>
            <w:r>
              <w:rPr>
                <w:rFonts w:ascii="Times New Roman" w:hAnsi="Times New Roman"/>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Merge w:val="continue"/>
          </w:tcPr>
          <w:p>
            <w:pPr>
              <w:pStyle w:val="39"/>
              <w:adjustRightInd w:val="0"/>
              <w:snapToGrid w:val="0"/>
              <w:rPr>
                <w:rFonts w:ascii="Times New Roman" w:hAnsi="Times New Roman"/>
              </w:rPr>
            </w:pPr>
          </w:p>
        </w:tc>
        <w:tc>
          <w:tcPr>
            <w:tcW w:w="3250" w:type="dxa"/>
            <w:gridSpan w:val="3"/>
            <w:vMerge w:val="continue"/>
            <w:vAlign w:val="center"/>
          </w:tcPr>
          <w:p>
            <w:pPr>
              <w:pStyle w:val="39"/>
              <w:adjustRightInd w:val="0"/>
              <w:snapToGrid w:val="0"/>
              <w:rPr>
                <w:rFonts w:ascii="Times New Roman" w:hAnsi="Times New Roman"/>
                <w:b/>
              </w:rPr>
            </w:pPr>
          </w:p>
        </w:tc>
        <w:tc>
          <w:tcPr>
            <w:tcW w:w="3250" w:type="dxa"/>
            <w:gridSpan w:val="4"/>
            <w:vAlign w:val="center"/>
          </w:tcPr>
          <w:p>
            <w:pPr>
              <w:pStyle w:val="39"/>
              <w:adjustRightInd w:val="0"/>
              <w:snapToGrid w:val="0"/>
              <w:rPr>
                <w:rFonts w:ascii="Times New Roman" w:hAnsi="Times New Roman"/>
                <w:b/>
              </w:rPr>
            </w:pPr>
            <w:r>
              <w:rPr>
                <w:rFonts w:ascii="Times New Roman" w:hAnsi="Times New Roman"/>
              </w:rPr>
              <w:t>宣探1井-宣兴1井</w:t>
            </w:r>
          </w:p>
        </w:tc>
        <w:tc>
          <w:tcPr>
            <w:tcW w:w="2162" w:type="dxa"/>
            <w:gridSpan w:val="2"/>
          </w:tcPr>
          <w:p>
            <w:pPr>
              <w:pStyle w:val="39"/>
              <w:adjustRightInd w:val="0"/>
              <w:snapToGrid w:val="0"/>
              <w:rPr>
                <w:rFonts w:ascii="Times New Roman" w:hAnsi="Times New Roman"/>
              </w:rPr>
            </w:pPr>
            <w:r>
              <w:rPr>
                <w:rFonts w:ascii="Times New Roman" w:hAnsi="Times New Roman"/>
              </w:rPr>
              <w:t>E2</w:t>
            </w:r>
          </w:p>
        </w:tc>
      </w:tr>
    </w:tbl>
    <w:p>
      <w:pPr>
        <w:ind w:firstLine="480"/>
        <w:rPr>
          <w:rFonts w:ascii="Times New Roman" w:hAnsi="Times New Roman"/>
        </w:rPr>
      </w:pPr>
    </w:p>
    <w:p>
      <w:pPr>
        <w:pStyle w:val="3"/>
        <w:rPr>
          <w:rFonts w:ascii="Times New Roman" w:hAnsi="Times New Roman" w:cs="Times New Roman"/>
        </w:rPr>
      </w:pPr>
      <w:bookmarkStart w:id="247" w:name="_Toc162339432"/>
      <w:r>
        <w:rPr>
          <w:rFonts w:ascii="Times New Roman" w:hAnsi="Times New Roman" w:cs="Times New Roman"/>
        </w:rPr>
        <w:t>环境风险潜势判定</w:t>
      </w:r>
      <w:bookmarkEnd w:id="247"/>
      <w:r>
        <w:rPr>
          <w:rFonts w:ascii="Times New Roman" w:hAnsi="Times New Roman" w:cs="Times New Roman"/>
        </w:rPr>
        <w:tab/>
      </w:r>
    </w:p>
    <w:p>
      <w:pPr>
        <w:pStyle w:val="4"/>
        <w:rPr>
          <w:rFonts w:ascii="Times New Roman" w:hAnsi="Times New Roman" w:cs="Times New Roman"/>
        </w:rPr>
      </w:pPr>
      <w:r>
        <w:rPr>
          <w:rFonts w:ascii="Times New Roman" w:hAnsi="Times New Roman" w:cs="Times New Roman"/>
        </w:rPr>
        <w:t>P的分级</w:t>
      </w:r>
    </w:p>
    <w:p>
      <w:pPr>
        <w:pStyle w:val="5"/>
        <w:rPr>
          <w:rFonts w:ascii="Times New Roman" w:hAnsi="Times New Roman"/>
        </w:rPr>
      </w:pPr>
      <w:r>
        <w:rPr>
          <w:rFonts w:ascii="Times New Roman" w:hAnsi="Times New Roman"/>
        </w:rPr>
        <w:t>危险物质数量与临界量比值（Q）的确定</w:t>
      </w:r>
    </w:p>
    <w:p>
      <w:pPr>
        <w:ind w:firstLine="480"/>
        <w:rPr>
          <w:rFonts w:ascii="Times New Roman" w:hAnsi="Times New Roman"/>
        </w:rPr>
      </w:pPr>
      <w:r>
        <w:rPr>
          <w:rFonts w:ascii="Times New Roman" w:hAnsi="Times New Roman"/>
        </w:rPr>
        <w:t>计算所涉及的每种危险物质在厂界内的最大存在总量与其在《建设项目环境风险评价技术导则》（HJ 169-2018）附录B中对应临界量的比值Q。在不同厂区的同一种物质，按其在厂界内的最大存在总量计算。对于管线，按照两个截断阀室之前管段危险物质最大存在总量计算。</w:t>
      </w:r>
    </w:p>
    <w:p>
      <w:pPr>
        <w:ind w:firstLine="436" w:firstLineChars="182"/>
        <w:rPr>
          <w:rFonts w:ascii="Times New Roman" w:hAnsi="Times New Roman"/>
        </w:rPr>
      </w:pPr>
      <w:r>
        <w:rPr>
          <w:rFonts w:ascii="Times New Roman" w:hAnsi="Times New Roman"/>
        </w:rPr>
        <w:t>当只涉及一种危险物质时，计算该物质的总量与其临界量比值，即为Q；</w:t>
      </w:r>
    </w:p>
    <w:p>
      <w:pPr>
        <w:ind w:firstLine="436" w:firstLineChars="182"/>
        <w:rPr>
          <w:rFonts w:ascii="Times New Roman" w:hAnsi="Times New Roman"/>
        </w:rPr>
      </w:pPr>
      <w:r>
        <w:rPr>
          <w:rFonts w:ascii="Times New Roman" w:hAnsi="Times New Roman"/>
        </w:rPr>
        <w:t>当存在多种危险物质时，按下式计算物质总量与其临界量的比值，即为（</w:t>
      </w:r>
      <w:r>
        <w:rPr>
          <w:rFonts w:ascii="Times New Roman" w:hAnsi="Times New Roman"/>
          <w:i/>
          <w:iCs/>
        </w:rPr>
        <w:t>Q</w:t>
      </w:r>
      <w:r>
        <w:rPr>
          <w:rFonts w:ascii="Times New Roman" w:hAnsi="Times New Roman"/>
        </w:rPr>
        <w:t>）：</w:t>
      </w:r>
    </w:p>
    <w:p>
      <w:pPr>
        <w:ind w:firstLine="0" w:firstLineChars="0"/>
        <w:rPr>
          <w:rFonts w:ascii="Times New Roman" w:hAnsi="Times New Roman"/>
        </w:rPr>
      </w:pPr>
      <m:oMathPara>
        <m:oMath>
          <m:r>
            <m:rPr/>
            <w:rPr>
              <w:rFonts w:ascii="Cambria Math" w:hAnsi="Cambria Math"/>
            </w:rPr>
            <m:t>Q=</m:t>
          </m:r>
          <m:f>
            <m:fPr>
              <m:ctrlPr>
                <w:rPr>
                  <w:rFonts w:ascii="Cambria Math" w:hAnsi="Cambria Math"/>
                  <w:i/>
                  <w:szCs w:val="22"/>
                </w:rPr>
              </m:ctrlPr>
            </m:fPr>
            <m:num>
              <m:sSub>
                <m:sSubPr>
                  <m:ctrlPr>
                    <w:rPr>
                      <w:rFonts w:ascii="Cambria Math" w:hAnsi="Cambria Math"/>
                      <w:i/>
                      <w:szCs w:val="22"/>
                    </w:rPr>
                  </m:ctrlPr>
                </m:sSubPr>
                <m:e>
                  <m:r>
                    <m:rPr/>
                    <w:rPr>
                      <w:rFonts w:ascii="Cambria Math" w:hAnsi="Cambria Math"/>
                    </w:rPr>
                    <m:t>q</m:t>
                  </m:r>
                  <m:ctrlPr>
                    <w:rPr>
                      <w:rFonts w:ascii="Cambria Math" w:hAnsi="Cambria Math"/>
                      <w:i/>
                      <w:szCs w:val="22"/>
                    </w:rPr>
                  </m:ctrlPr>
                </m:e>
                <m:sub>
                  <m:r>
                    <m:rPr/>
                    <w:rPr>
                      <w:rFonts w:ascii="Cambria Math" w:hAnsi="Cambria Math"/>
                    </w:rPr>
                    <m:t>1</m:t>
                  </m:r>
                  <m:ctrlPr>
                    <w:rPr>
                      <w:rFonts w:ascii="Cambria Math" w:hAnsi="Cambria Math"/>
                      <w:i/>
                      <w:szCs w:val="22"/>
                    </w:rPr>
                  </m:ctrlPr>
                </m:sub>
              </m:sSub>
              <m:ctrlPr>
                <w:rPr>
                  <w:rFonts w:ascii="Cambria Math" w:hAnsi="Cambria Math"/>
                  <w:i/>
                  <w:szCs w:val="22"/>
                </w:rPr>
              </m:ctrlPr>
            </m:num>
            <m:den>
              <m:sSub>
                <m:sSubPr>
                  <m:ctrlPr>
                    <w:rPr>
                      <w:rFonts w:ascii="Cambria Math" w:hAnsi="Cambria Math"/>
                      <w:i/>
                      <w:szCs w:val="22"/>
                    </w:rPr>
                  </m:ctrlPr>
                </m:sSubPr>
                <m:e>
                  <m:r>
                    <m:rPr/>
                    <w:rPr>
                      <w:rFonts w:ascii="Cambria Math" w:hAnsi="Cambria Math"/>
                    </w:rPr>
                    <m:t>Q</m:t>
                  </m:r>
                  <m:ctrlPr>
                    <w:rPr>
                      <w:rFonts w:ascii="Cambria Math" w:hAnsi="Cambria Math"/>
                      <w:i/>
                      <w:szCs w:val="22"/>
                    </w:rPr>
                  </m:ctrlPr>
                </m:e>
                <m:sub>
                  <m:r>
                    <m:rPr/>
                    <w:rPr>
                      <w:rFonts w:ascii="Cambria Math" w:hAnsi="Cambria Math"/>
                    </w:rPr>
                    <m:t>1</m:t>
                  </m:r>
                  <m:ctrlPr>
                    <w:rPr>
                      <w:rFonts w:ascii="Cambria Math" w:hAnsi="Cambria Math"/>
                      <w:i/>
                      <w:szCs w:val="22"/>
                    </w:rPr>
                  </m:ctrlPr>
                </m:sub>
              </m:sSub>
              <m:ctrlPr>
                <w:rPr>
                  <w:rFonts w:ascii="Cambria Math" w:hAnsi="Cambria Math"/>
                  <w:i/>
                  <w:szCs w:val="22"/>
                </w:rPr>
              </m:ctrlPr>
            </m:den>
          </m:f>
          <m:r>
            <m:rPr/>
            <w:rPr>
              <w:rFonts w:ascii="Cambria Math" w:hAnsi="Cambria Math"/>
            </w:rPr>
            <m:t>+</m:t>
          </m:r>
          <m:f>
            <m:fPr>
              <m:ctrlPr>
                <w:rPr>
                  <w:rFonts w:ascii="Cambria Math" w:hAnsi="Cambria Math"/>
                  <w:i/>
                  <w:szCs w:val="22"/>
                </w:rPr>
              </m:ctrlPr>
            </m:fPr>
            <m:num>
              <m:sSub>
                <m:sSubPr>
                  <m:ctrlPr>
                    <w:rPr>
                      <w:rFonts w:ascii="Cambria Math" w:hAnsi="Cambria Math"/>
                      <w:i/>
                      <w:szCs w:val="22"/>
                    </w:rPr>
                  </m:ctrlPr>
                </m:sSubPr>
                <m:e>
                  <m:r>
                    <m:rPr/>
                    <w:rPr>
                      <w:rFonts w:ascii="Cambria Math" w:hAnsi="Cambria Math"/>
                    </w:rPr>
                    <m:t>q</m:t>
                  </m:r>
                  <m:ctrlPr>
                    <w:rPr>
                      <w:rFonts w:ascii="Cambria Math" w:hAnsi="Cambria Math"/>
                      <w:i/>
                      <w:szCs w:val="22"/>
                    </w:rPr>
                  </m:ctrlPr>
                </m:e>
                <m:sub>
                  <m:r>
                    <m:rPr/>
                    <w:rPr>
                      <w:rFonts w:ascii="Cambria Math" w:hAnsi="Cambria Math"/>
                    </w:rPr>
                    <m:t>2</m:t>
                  </m:r>
                  <m:ctrlPr>
                    <w:rPr>
                      <w:rFonts w:ascii="Cambria Math" w:hAnsi="Cambria Math"/>
                      <w:i/>
                      <w:szCs w:val="22"/>
                    </w:rPr>
                  </m:ctrlPr>
                </m:sub>
              </m:sSub>
              <m:ctrlPr>
                <w:rPr>
                  <w:rFonts w:ascii="Cambria Math" w:hAnsi="Cambria Math"/>
                  <w:i/>
                  <w:szCs w:val="22"/>
                </w:rPr>
              </m:ctrlPr>
            </m:num>
            <m:den>
              <m:sSub>
                <m:sSubPr>
                  <m:ctrlPr>
                    <w:rPr>
                      <w:rFonts w:ascii="Cambria Math" w:hAnsi="Cambria Math"/>
                      <w:i/>
                      <w:szCs w:val="22"/>
                    </w:rPr>
                  </m:ctrlPr>
                </m:sSubPr>
                <m:e>
                  <m:r>
                    <m:rPr/>
                    <w:rPr>
                      <w:rFonts w:ascii="Cambria Math" w:hAnsi="Cambria Math"/>
                    </w:rPr>
                    <m:t>Q</m:t>
                  </m:r>
                  <m:ctrlPr>
                    <w:rPr>
                      <w:rFonts w:ascii="Cambria Math" w:hAnsi="Cambria Math"/>
                      <w:i/>
                      <w:szCs w:val="22"/>
                    </w:rPr>
                  </m:ctrlPr>
                </m:e>
                <m:sub>
                  <m:r>
                    <m:rPr/>
                    <w:rPr>
                      <w:rFonts w:ascii="Cambria Math" w:hAnsi="Cambria Math"/>
                    </w:rPr>
                    <m:t>2</m:t>
                  </m:r>
                  <m:ctrlPr>
                    <w:rPr>
                      <w:rFonts w:ascii="Cambria Math" w:hAnsi="Cambria Math"/>
                      <w:i/>
                      <w:szCs w:val="22"/>
                    </w:rPr>
                  </m:ctrlPr>
                </m:sub>
              </m:sSub>
              <m:ctrlPr>
                <w:rPr>
                  <w:rFonts w:ascii="Cambria Math" w:hAnsi="Cambria Math"/>
                  <w:i/>
                  <w:szCs w:val="22"/>
                </w:rPr>
              </m:ctrlPr>
            </m:den>
          </m:f>
          <m:r>
            <m:rPr/>
            <w:rPr>
              <w:rFonts w:ascii="Cambria Math" w:hAnsi="Cambria Math"/>
            </w:rPr>
            <m:t>+…+</m:t>
          </m:r>
          <m:f>
            <m:fPr>
              <m:ctrlPr>
                <w:rPr>
                  <w:rFonts w:ascii="Cambria Math" w:hAnsi="Cambria Math"/>
                  <w:i/>
                  <w:szCs w:val="22"/>
                </w:rPr>
              </m:ctrlPr>
            </m:fPr>
            <m:num>
              <m:sSub>
                <m:sSubPr>
                  <m:ctrlPr>
                    <w:rPr>
                      <w:rFonts w:ascii="Cambria Math" w:hAnsi="Cambria Math"/>
                      <w:i/>
                      <w:szCs w:val="22"/>
                    </w:rPr>
                  </m:ctrlPr>
                </m:sSubPr>
                <m:e>
                  <m:r>
                    <m:rPr/>
                    <w:rPr>
                      <w:rFonts w:ascii="Cambria Math" w:hAnsi="Cambria Math"/>
                    </w:rPr>
                    <m:t>q</m:t>
                  </m:r>
                  <m:ctrlPr>
                    <w:rPr>
                      <w:rFonts w:ascii="Cambria Math" w:hAnsi="Cambria Math"/>
                      <w:i/>
                      <w:szCs w:val="22"/>
                    </w:rPr>
                  </m:ctrlPr>
                </m:e>
                <m:sub>
                  <m:r>
                    <m:rPr/>
                    <w:rPr>
                      <w:rFonts w:ascii="Cambria Math" w:hAnsi="Cambria Math"/>
                    </w:rPr>
                    <m:t>n</m:t>
                  </m:r>
                  <m:ctrlPr>
                    <w:rPr>
                      <w:rFonts w:ascii="Cambria Math" w:hAnsi="Cambria Math"/>
                      <w:i/>
                      <w:szCs w:val="22"/>
                    </w:rPr>
                  </m:ctrlPr>
                </m:sub>
              </m:sSub>
              <m:ctrlPr>
                <w:rPr>
                  <w:rFonts w:ascii="Cambria Math" w:hAnsi="Cambria Math"/>
                  <w:i/>
                  <w:szCs w:val="22"/>
                </w:rPr>
              </m:ctrlPr>
            </m:num>
            <m:den>
              <m:sSub>
                <m:sSubPr>
                  <m:ctrlPr>
                    <w:rPr>
                      <w:rFonts w:ascii="Cambria Math" w:hAnsi="Cambria Math"/>
                      <w:i/>
                      <w:szCs w:val="22"/>
                    </w:rPr>
                  </m:ctrlPr>
                </m:sSubPr>
                <m:e>
                  <m:r>
                    <m:rPr/>
                    <w:rPr>
                      <w:rFonts w:ascii="Cambria Math" w:hAnsi="Cambria Math"/>
                    </w:rPr>
                    <m:t>Q</m:t>
                  </m:r>
                  <m:ctrlPr>
                    <w:rPr>
                      <w:rFonts w:ascii="Cambria Math" w:hAnsi="Cambria Math"/>
                      <w:i/>
                      <w:szCs w:val="22"/>
                    </w:rPr>
                  </m:ctrlPr>
                </m:e>
                <m:sub>
                  <m:r>
                    <m:rPr/>
                    <w:rPr>
                      <w:rFonts w:ascii="Cambria Math" w:hAnsi="Cambria Math"/>
                    </w:rPr>
                    <m:t>n</m:t>
                  </m:r>
                  <m:ctrlPr>
                    <w:rPr>
                      <w:rFonts w:ascii="Cambria Math" w:hAnsi="Cambria Math"/>
                      <w:i/>
                      <w:szCs w:val="22"/>
                    </w:rPr>
                  </m:ctrlPr>
                </m:sub>
              </m:sSub>
              <m:ctrlPr>
                <w:rPr>
                  <w:rFonts w:ascii="Cambria Math" w:hAnsi="Cambria Math"/>
                  <w:i/>
                  <w:szCs w:val="22"/>
                </w:rPr>
              </m:ctrlPr>
            </m:den>
          </m:f>
        </m:oMath>
      </m:oMathPara>
    </w:p>
    <w:p>
      <w:pPr>
        <w:ind w:firstLine="480"/>
        <w:rPr>
          <w:rFonts w:ascii="Times New Roman" w:hAnsi="Times New Roman"/>
        </w:rPr>
      </w:pPr>
      <w:r>
        <w:rPr>
          <w:rFonts w:ascii="Times New Roman" w:hAnsi="Times New Roman"/>
        </w:rPr>
        <w:t>式中：</w:t>
      </w:r>
    </w:p>
    <w:p>
      <w:pPr>
        <w:ind w:firstLine="480"/>
        <w:rPr>
          <w:rFonts w:ascii="Times New Roman" w:hAnsi="Times New Roman"/>
        </w:rPr>
      </w:pPr>
      <w:r>
        <w:rPr>
          <w:rFonts w:ascii="Times New Roman" w:hAnsi="Times New Roman"/>
        </w:rPr>
        <w:t>q</w:t>
      </w:r>
      <w:r>
        <w:rPr>
          <w:rFonts w:ascii="Times New Roman" w:hAnsi="Times New Roman"/>
          <w:vertAlign w:val="subscript"/>
        </w:rPr>
        <w:t>1</w:t>
      </w:r>
      <w:r>
        <w:rPr>
          <w:rFonts w:ascii="Times New Roman" w:hAnsi="Times New Roman"/>
        </w:rPr>
        <w:t>，q</w:t>
      </w:r>
      <w:r>
        <w:rPr>
          <w:rFonts w:ascii="Times New Roman" w:hAnsi="Times New Roman"/>
          <w:vertAlign w:val="subscript"/>
        </w:rPr>
        <w:t>2</w:t>
      </w:r>
      <w:r>
        <w:rPr>
          <w:rFonts w:ascii="Times New Roman" w:hAnsi="Times New Roman"/>
        </w:rPr>
        <w:t>，...，q</w:t>
      </w:r>
      <w:r>
        <w:rPr>
          <w:rFonts w:ascii="Times New Roman" w:hAnsi="Times New Roman"/>
          <w:vertAlign w:val="subscript"/>
        </w:rPr>
        <w:t>n</w:t>
      </w:r>
      <w:r>
        <w:rPr>
          <w:rFonts w:ascii="Times New Roman" w:hAnsi="Times New Roman"/>
        </w:rPr>
        <w:t>——每种危险物质的最大存在总量，t；</w:t>
      </w:r>
    </w:p>
    <w:p>
      <w:pPr>
        <w:ind w:firstLine="480"/>
        <w:rPr>
          <w:rFonts w:ascii="Times New Roman" w:hAnsi="Times New Roman"/>
        </w:rPr>
      </w:pPr>
      <w:r>
        <w:rPr>
          <w:rFonts w:ascii="Times New Roman" w:hAnsi="Times New Roman"/>
        </w:rPr>
        <w:t>Q</w:t>
      </w:r>
      <w:r>
        <w:rPr>
          <w:rFonts w:ascii="Times New Roman" w:hAnsi="Times New Roman"/>
          <w:vertAlign w:val="subscript"/>
        </w:rPr>
        <w:t>1</w:t>
      </w:r>
      <w:r>
        <w:rPr>
          <w:rFonts w:ascii="Times New Roman" w:hAnsi="Times New Roman"/>
        </w:rPr>
        <w:t>，Q</w:t>
      </w:r>
      <w:r>
        <w:rPr>
          <w:rFonts w:ascii="Times New Roman" w:hAnsi="Times New Roman"/>
          <w:vertAlign w:val="subscript"/>
        </w:rPr>
        <w:t>2</w:t>
      </w:r>
      <w:r>
        <w:rPr>
          <w:rFonts w:ascii="Times New Roman" w:hAnsi="Times New Roman"/>
        </w:rPr>
        <w:t>，...，Q</w:t>
      </w:r>
      <w:r>
        <w:rPr>
          <w:rFonts w:ascii="Times New Roman" w:hAnsi="Times New Roman"/>
          <w:vertAlign w:val="subscript"/>
        </w:rPr>
        <w:t>n</w:t>
      </w:r>
      <w:r>
        <w:rPr>
          <w:rFonts w:ascii="Times New Roman" w:hAnsi="Times New Roman"/>
        </w:rPr>
        <w:t>——每种危险物质的临界量，t。</w:t>
      </w:r>
    </w:p>
    <w:p>
      <w:pPr>
        <w:ind w:firstLine="480"/>
        <w:rPr>
          <w:rFonts w:ascii="Times New Roman" w:hAnsi="Times New Roman"/>
        </w:rPr>
      </w:pPr>
      <w:r>
        <w:rPr>
          <w:rFonts w:ascii="Times New Roman" w:hAnsi="Times New Roman"/>
        </w:rPr>
        <w:t>当Q＜1时，该项目环境风险潜势为I。</w:t>
      </w:r>
    </w:p>
    <w:p>
      <w:pPr>
        <w:ind w:firstLine="480"/>
        <w:rPr>
          <w:rFonts w:ascii="Times New Roman" w:hAnsi="Times New Roman"/>
        </w:rPr>
      </w:pPr>
      <w:r>
        <w:rPr>
          <w:rFonts w:ascii="Times New Roman" w:hAnsi="Times New Roman"/>
        </w:rPr>
        <w:t>当Q≥1时，将Q值划分为：（1）1≤Q＜10；（2）10≤Q＜100；（3）Q≥100。</w:t>
      </w:r>
    </w:p>
    <w:p>
      <w:pPr>
        <w:ind w:firstLine="480"/>
        <w:rPr>
          <w:rFonts w:ascii="Times New Roman" w:hAnsi="Times New Roman"/>
        </w:rPr>
      </w:pPr>
      <w:r>
        <w:rPr>
          <w:rFonts w:ascii="Times New Roman" w:hAnsi="Times New Roman"/>
        </w:rPr>
        <w:t>本项目涉及的工程单元包括采气井站和集气管道，各工程相对独立。两座井站之间的集气管道通过井站的进出站阀组切断阀可实现单元控制。集气管道通过截断阀可实现单元控制。故本项目环境风险危险源判定按可截断控制单元分别判断。</w:t>
      </w:r>
    </w:p>
    <w:p>
      <w:pPr>
        <w:ind w:firstLine="480"/>
        <w:rPr>
          <w:rFonts w:ascii="Times New Roman" w:hAnsi="Times New Roman"/>
        </w:rPr>
      </w:pPr>
      <w:r>
        <w:rPr>
          <w:rFonts w:ascii="Times New Roman" w:hAnsi="Times New Roman"/>
        </w:rPr>
        <w:t>（1）采气井站Q值计算</w:t>
      </w:r>
    </w:p>
    <w:p>
      <w:pPr>
        <w:ind w:firstLine="480"/>
        <w:rPr>
          <w:rFonts w:ascii="Times New Roman" w:hAnsi="Times New Roman"/>
          <w:lang w:bidi="ar"/>
        </w:rPr>
      </w:pPr>
      <w:r>
        <w:rPr>
          <w:rFonts w:ascii="Times New Roman" w:hAnsi="Times New Roman"/>
          <w:lang w:bidi="ar"/>
        </w:rPr>
        <w:t>根据《建设项目环境风险评价技术导则》（HJ169-2018）附录B，采气井站涉及的主要危险物质包括CH</w:t>
      </w:r>
      <w:r>
        <w:rPr>
          <w:rFonts w:ascii="Times New Roman" w:hAnsi="Times New Roman"/>
          <w:vertAlign w:val="subscript"/>
          <w:lang w:bidi="ar"/>
        </w:rPr>
        <w:t>4</w:t>
      </w:r>
      <w:r>
        <w:rPr>
          <w:rFonts w:ascii="Times New Roman" w:hAnsi="Times New Roman"/>
          <w:lang w:bidi="ar"/>
        </w:rPr>
        <w:t>、H</w:t>
      </w:r>
      <w:r>
        <w:rPr>
          <w:rFonts w:ascii="Times New Roman" w:hAnsi="Times New Roman"/>
          <w:vertAlign w:val="subscript"/>
          <w:lang w:bidi="ar"/>
        </w:rPr>
        <w:t>2</w:t>
      </w:r>
      <w:r>
        <w:rPr>
          <w:rFonts w:ascii="Times New Roman" w:hAnsi="Times New Roman"/>
          <w:lang w:bidi="ar"/>
        </w:rPr>
        <w:t>S、气田水（宣兴1井站）。采气井站</w:t>
      </w:r>
      <w:r>
        <w:rPr>
          <w:rFonts w:ascii="Times New Roman" w:hAnsi="Times New Roman"/>
          <w:i/>
          <w:iCs/>
          <w:lang w:bidi="ar"/>
        </w:rPr>
        <w:t>Q</w:t>
      </w:r>
      <w:r>
        <w:rPr>
          <w:rFonts w:ascii="Times New Roman" w:hAnsi="Times New Roman"/>
          <w:lang w:bidi="ar"/>
        </w:rPr>
        <w:t>值计算结果如下表。</w:t>
      </w:r>
    </w:p>
    <w:p>
      <w:pPr>
        <w:pStyle w:val="37"/>
        <w:rPr>
          <w:rFonts w:ascii="Times New Roman" w:hAnsi="Times New Roman" w:cs="Times New Roman"/>
        </w:rPr>
      </w:pPr>
      <w:bookmarkStart w:id="248" w:name="_Toc97245137"/>
      <w:bookmarkStart w:id="249" w:name="_Toc10799892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 xml:space="preserve">   采气井站</w:t>
      </w:r>
      <w:r>
        <w:rPr>
          <w:rFonts w:ascii="Times New Roman" w:hAnsi="Times New Roman" w:cs="Times New Roman"/>
          <w:i/>
          <w:iCs/>
        </w:rPr>
        <w:t>Q</w:t>
      </w:r>
      <w:r>
        <w:rPr>
          <w:rFonts w:ascii="Times New Roman" w:hAnsi="Times New Roman" w:cs="Times New Roman"/>
        </w:rPr>
        <w:t>值确定表</w:t>
      </w:r>
      <w:bookmarkEnd w:id="248"/>
      <w:bookmarkEnd w:id="249"/>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37"/>
        <w:gridCol w:w="3046"/>
        <w:gridCol w:w="1192"/>
        <w:gridCol w:w="1194"/>
        <w:gridCol w:w="1067"/>
        <w:gridCol w:w="1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5" w:hRule="atLeast"/>
          <w:tblHeader/>
          <w:jc w:val="center"/>
        </w:trPr>
        <w:tc>
          <w:tcPr>
            <w:tcW w:w="322"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序号</w:t>
            </w:r>
          </w:p>
        </w:tc>
        <w:tc>
          <w:tcPr>
            <w:tcW w:w="1827"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危险物质名称</w:t>
            </w:r>
          </w:p>
        </w:tc>
        <w:tc>
          <w:tcPr>
            <w:tcW w:w="715"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CAS号</w:t>
            </w:r>
          </w:p>
        </w:tc>
        <w:tc>
          <w:tcPr>
            <w:tcW w:w="716"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最大存</w:t>
            </w:r>
          </w:p>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在总量/t</w:t>
            </w:r>
          </w:p>
        </w:tc>
        <w:tc>
          <w:tcPr>
            <w:tcW w:w="640"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临界量/t</w:t>
            </w:r>
          </w:p>
        </w:tc>
        <w:tc>
          <w:tcPr>
            <w:tcW w:w="780"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该种危险</w:t>
            </w:r>
          </w:p>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物质</w:t>
            </w:r>
            <w:r>
              <w:rPr>
                <w:rFonts w:ascii="Times New Roman" w:hAnsi="Times New Roman"/>
                <w:i/>
                <w:iCs/>
                <w:sz w:val="21"/>
                <w:szCs w:val="21"/>
                <w:lang w:val="zh-CN"/>
              </w:rPr>
              <w:t>Q</w:t>
            </w:r>
            <w:r>
              <w:rPr>
                <w:rFonts w:ascii="Times New Roman" w:hAnsi="Times New Roman"/>
                <w:sz w:val="21"/>
                <w:szCs w:val="21"/>
                <w:lang w:val="zh-CN"/>
              </w:rPr>
              <w:t>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2"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w:t>
            </w:r>
          </w:p>
        </w:tc>
        <w:tc>
          <w:tcPr>
            <w:tcW w:w="1827"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甲烷</w:t>
            </w:r>
          </w:p>
        </w:tc>
        <w:tc>
          <w:tcPr>
            <w:tcW w:w="715"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74-82-8</w:t>
            </w:r>
          </w:p>
        </w:tc>
        <w:tc>
          <w:tcPr>
            <w:tcW w:w="716"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0.330</w:t>
            </w:r>
          </w:p>
        </w:tc>
        <w:tc>
          <w:tcPr>
            <w:tcW w:w="640"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10</w:t>
            </w:r>
          </w:p>
        </w:tc>
        <w:tc>
          <w:tcPr>
            <w:tcW w:w="780"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2"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w:t>
            </w:r>
          </w:p>
        </w:tc>
        <w:tc>
          <w:tcPr>
            <w:tcW w:w="1827"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硫化氢</w:t>
            </w:r>
          </w:p>
        </w:tc>
        <w:tc>
          <w:tcPr>
            <w:tcW w:w="715"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7783-06-4</w:t>
            </w:r>
          </w:p>
        </w:tc>
        <w:tc>
          <w:tcPr>
            <w:tcW w:w="716" w:type="pct"/>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0.093</w:t>
            </w:r>
          </w:p>
        </w:tc>
        <w:tc>
          <w:tcPr>
            <w:tcW w:w="640"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2.5</w:t>
            </w:r>
          </w:p>
        </w:tc>
        <w:tc>
          <w:tcPr>
            <w:tcW w:w="780"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2"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3</w:t>
            </w:r>
          </w:p>
        </w:tc>
        <w:tc>
          <w:tcPr>
            <w:tcW w:w="1827"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气田水（危害水环境物质）</w:t>
            </w:r>
          </w:p>
        </w:tc>
        <w:tc>
          <w:tcPr>
            <w:tcW w:w="715"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w:t>
            </w:r>
          </w:p>
        </w:tc>
        <w:tc>
          <w:tcPr>
            <w:tcW w:w="716" w:type="pct"/>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52</w:t>
            </w:r>
          </w:p>
        </w:tc>
        <w:tc>
          <w:tcPr>
            <w:tcW w:w="640"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100</w:t>
            </w:r>
          </w:p>
        </w:tc>
        <w:tc>
          <w:tcPr>
            <w:tcW w:w="780"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220" w:type="pct"/>
            <w:gridSpan w:val="5"/>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宣探1井站Q值∑</w:t>
            </w:r>
          </w:p>
        </w:tc>
        <w:tc>
          <w:tcPr>
            <w:tcW w:w="780"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2"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w:t>
            </w:r>
          </w:p>
        </w:tc>
        <w:tc>
          <w:tcPr>
            <w:tcW w:w="1827"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甲烷</w:t>
            </w:r>
          </w:p>
        </w:tc>
        <w:tc>
          <w:tcPr>
            <w:tcW w:w="715"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74-82-8</w:t>
            </w:r>
          </w:p>
        </w:tc>
        <w:tc>
          <w:tcPr>
            <w:tcW w:w="716"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0.478</w:t>
            </w:r>
          </w:p>
        </w:tc>
        <w:tc>
          <w:tcPr>
            <w:tcW w:w="640"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10</w:t>
            </w:r>
          </w:p>
        </w:tc>
        <w:tc>
          <w:tcPr>
            <w:tcW w:w="780"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2"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w:t>
            </w:r>
          </w:p>
        </w:tc>
        <w:tc>
          <w:tcPr>
            <w:tcW w:w="1827"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硫化氢</w:t>
            </w:r>
          </w:p>
        </w:tc>
        <w:tc>
          <w:tcPr>
            <w:tcW w:w="715"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7783-06-4</w:t>
            </w:r>
          </w:p>
        </w:tc>
        <w:tc>
          <w:tcPr>
            <w:tcW w:w="716" w:type="pct"/>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0.188</w:t>
            </w:r>
          </w:p>
        </w:tc>
        <w:tc>
          <w:tcPr>
            <w:tcW w:w="640"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2.5</w:t>
            </w:r>
          </w:p>
        </w:tc>
        <w:tc>
          <w:tcPr>
            <w:tcW w:w="780"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2"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4</w:t>
            </w:r>
          </w:p>
        </w:tc>
        <w:tc>
          <w:tcPr>
            <w:tcW w:w="1827"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气田水（危害水环境物质）</w:t>
            </w:r>
          </w:p>
        </w:tc>
        <w:tc>
          <w:tcPr>
            <w:tcW w:w="715"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w:t>
            </w:r>
          </w:p>
        </w:tc>
        <w:tc>
          <w:tcPr>
            <w:tcW w:w="716" w:type="pct"/>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52</w:t>
            </w:r>
          </w:p>
        </w:tc>
        <w:tc>
          <w:tcPr>
            <w:tcW w:w="640"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100</w:t>
            </w:r>
          </w:p>
        </w:tc>
        <w:tc>
          <w:tcPr>
            <w:tcW w:w="780"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220" w:type="pct"/>
            <w:gridSpan w:val="5"/>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宣兴1井站Q值∑</w:t>
            </w:r>
          </w:p>
        </w:tc>
        <w:tc>
          <w:tcPr>
            <w:tcW w:w="780" w:type="pct"/>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0.65</w:t>
            </w:r>
          </w:p>
        </w:tc>
      </w:tr>
    </w:tbl>
    <w:p>
      <w:pPr>
        <w:ind w:firstLine="0" w:firstLineChars="0"/>
        <w:rPr>
          <w:rFonts w:ascii="Times New Roman" w:hAnsi="Times New Roman"/>
          <w:lang w:bidi="ar"/>
        </w:rPr>
      </w:pPr>
    </w:p>
    <w:p>
      <w:pPr>
        <w:ind w:firstLine="480"/>
        <w:rPr>
          <w:rFonts w:ascii="Times New Roman" w:hAnsi="Times New Roman"/>
        </w:rPr>
      </w:pPr>
      <w:r>
        <w:rPr>
          <w:rFonts w:ascii="Times New Roman" w:hAnsi="Times New Roman"/>
        </w:rPr>
        <w:t>（2）集气管道</w:t>
      </w:r>
      <w:r>
        <w:rPr>
          <w:rFonts w:ascii="Times New Roman" w:hAnsi="Times New Roman"/>
          <w:i/>
          <w:iCs/>
        </w:rPr>
        <w:t>Q</w:t>
      </w:r>
      <w:r>
        <w:rPr>
          <w:rFonts w:ascii="Times New Roman" w:hAnsi="Times New Roman"/>
        </w:rPr>
        <w:t>值计算</w:t>
      </w:r>
    </w:p>
    <w:p>
      <w:pPr>
        <w:ind w:firstLine="480"/>
        <w:rPr>
          <w:rFonts w:ascii="Times New Roman" w:hAnsi="Times New Roman"/>
          <w:lang w:bidi="ar"/>
        </w:rPr>
      </w:pPr>
      <w:r>
        <w:rPr>
          <w:rFonts w:ascii="Times New Roman" w:hAnsi="Times New Roman"/>
          <w:lang w:bidi="ar"/>
        </w:rPr>
        <w:t>根据《建设项目环境风险评价技术导则》（HJ169-2018）附录B，集气管线涉及的主要危险物质包括CH</w:t>
      </w:r>
      <w:r>
        <w:rPr>
          <w:rFonts w:ascii="Times New Roman" w:hAnsi="Times New Roman"/>
          <w:vertAlign w:val="subscript"/>
          <w:lang w:bidi="ar"/>
        </w:rPr>
        <w:t>4</w:t>
      </w:r>
      <w:r>
        <w:rPr>
          <w:rFonts w:ascii="Times New Roman" w:hAnsi="Times New Roman"/>
          <w:lang w:bidi="ar"/>
        </w:rPr>
        <w:t>、H</w:t>
      </w:r>
      <w:r>
        <w:rPr>
          <w:rFonts w:ascii="Times New Roman" w:hAnsi="Times New Roman"/>
          <w:vertAlign w:val="subscript"/>
          <w:lang w:bidi="ar"/>
        </w:rPr>
        <w:t>2</w:t>
      </w:r>
      <w:r>
        <w:rPr>
          <w:rFonts w:ascii="Times New Roman" w:hAnsi="Times New Roman"/>
          <w:lang w:bidi="ar"/>
        </w:rPr>
        <w:t>S。对于集气管道，按照两个截断阀室之间管段危险物质最大存在总量计算</w:t>
      </w:r>
      <w:r>
        <w:rPr>
          <w:rFonts w:ascii="Times New Roman" w:hAnsi="Times New Roman"/>
          <w:i/>
          <w:iCs/>
          <w:lang w:bidi="ar"/>
        </w:rPr>
        <w:t>Q</w:t>
      </w:r>
      <w:r>
        <w:rPr>
          <w:rFonts w:ascii="Times New Roman" w:hAnsi="Times New Roman"/>
          <w:lang w:bidi="ar"/>
        </w:rPr>
        <w:t>值。本项目集气管线各段</w:t>
      </w:r>
      <w:r>
        <w:rPr>
          <w:rFonts w:ascii="Times New Roman" w:hAnsi="Times New Roman"/>
          <w:i/>
          <w:iCs/>
          <w:lang w:bidi="ar"/>
        </w:rPr>
        <w:t>Q</w:t>
      </w:r>
      <w:r>
        <w:rPr>
          <w:rFonts w:ascii="Times New Roman" w:hAnsi="Times New Roman"/>
          <w:lang w:bidi="ar"/>
        </w:rPr>
        <w:t>值计算结果见</w:t>
      </w:r>
      <w:r>
        <w:rPr>
          <w:rFonts w:ascii="Times New Roman" w:hAnsi="Times New Roman"/>
          <w:lang w:bidi="ar"/>
        </w:rPr>
        <w:fldChar w:fldCharType="begin"/>
      </w:r>
      <w:r>
        <w:rPr>
          <w:rFonts w:ascii="Times New Roman" w:hAnsi="Times New Roman"/>
          <w:lang w:bidi="ar"/>
        </w:rPr>
        <w:instrText xml:space="preserve"> REF _Ref154579439 \h  \* MERGEFORMAT </w:instrText>
      </w:r>
      <w:r>
        <w:rPr>
          <w:rFonts w:ascii="Times New Roman" w:hAnsi="Times New Roman"/>
          <w:lang w:bidi="ar"/>
        </w:rPr>
        <w:fldChar w:fldCharType="separate"/>
      </w:r>
      <w:r>
        <w:rPr>
          <w:rFonts w:ascii="Times New Roman" w:hAnsi="Times New Roman"/>
        </w:rPr>
        <w:t>表 7</w:t>
      </w:r>
      <w:r>
        <w:rPr>
          <w:rFonts w:ascii="Times New Roman" w:hAnsi="Times New Roman"/>
        </w:rPr>
        <w:noBreakHyphen/>
      </w:r>
      <w:r>
        <w:rPr>
          <w:rFonts w:ascii="Times New Roman" w:hAnsi="Times New Roman"/>
        </w:rPr>
        <w:t>4</w:t>
      </w:r>
      <w:r>
        <w:rPr>
          <w:rFonts w:ascii="Times New Roman" w:hAnsi="Times New Roman"/>
          <w:lang w:bidi="ar"/>
        </w:rPr>
        <w:fldChar w:fldCharType="end"/>
      </w:r>
      <w:r>
        <w:rPr>
          <w:rFonts w:ascii="Times New Roman" w:hAnsi="Times New Roman"/>
          <w:lang w:bidi="ar"/>
        </w:rPr>
        <w:t>。</w:t>
      </w:r>
    </w:p>
    <w:p>
      <w:pPr>
        <w:pStyle w:val="37"/>
        <w:rPr>
          <w:rFonts w:ascii="Times New Roman" w:hAnsi="Times New Roman" w:cs="Times New Roman"/>
        </w:rPr>
      </w:pPr>
      <w:bookmarkStart w:id="250" w:name="_Ref154579439"/>
      <w:bookmarkStart w:id="251" w:name="_Toc97245136"/>
      <w:bookmarkStart w:id="252" w:name="_Toc10799892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bookmarkEnd w:id="250"/>
      <w:r>
        <w:rPr>
          <w:rFonts w:ascii="Times New Roman" w:hAnsi="Times New Roman" w:cs="Times New Roman"/>
        </w:rPr>
        <w:t xml:space="preserve"> 集气管道各管段</w:t>
      </w:r>
      <w:r>
        <w:rPr>
          <w:rFonts w:ascii="Times New Roman" w:hAnsi="Times New Roman" w:cs="Times New Roman"/>
          <w:i/>
          <w:iCs/>
        </w:rPr>
        <w:t>Q</w:t>
      </w:r>
      <w:r>
        <w:rPr>
          <w:rFonts w:ascii="Times New Roman" w:hAnsi="Times New Roman" w:cs="Times New Roman"/>
        </w:rPr>
        <w:t>值计算列表</w:t>
      </w:r>
      <w:bookmarkEnd w:id="251"/>
      <w:bookmarkEnd w:id="252"/>
    </w:p>
    <w:tbl>
      <w:tblPr>
        <w:tblStyle w:val="28"/>
        <w:tblW w:w="50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00"/>
        <w:gridCol w:w="2188"/>
        <w:gridCol w:w="741"/>
        <w:gridCol w:w="920"/>
        <w:gridCol w:w="687"/>
        <w:gridCol w:w="804"/>
        <w:gridCol w:w="707"/>
        <w:gridCol w:w="813"/>
        <w:gridCol w:w="780"/>
        <w:gridCol w:w="4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236"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序号</w:t>
            </w:r>
          </w:p>
        </w:tc>
        <w:tc>
          <w:tcPr>
            <w:tcW w:w="1287"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管段</w:t>
            </w:r>
          </w:p>
        </w:tc>
        <w:tc>
          <w:tcPr>
            <w:tcW w:w="436"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长度/km</w:t>
            </w:r>
          </w:p>
        </w:tc>
        <w:tc>
          <w:tcPr>
            <w:tcW w:w="541"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操作压力/MPa</w:t>
            </w:r>
          </w:p>
        </w:tc>
        <w:tc>
          <w:tcPr>
            <w:tcW w:w="404"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管径/mm</w:t>
            </w:r>
          </w:p>
        </w:tc>
        <w:tc>
          <w:tcPr>
            <w:tcW w:w="473"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甲烷存</w:t>
            </w:r>
          </w:p>
          <w:p>
            <w:pPr>
              <w:pStyle w:val="39"/>
              <w:rPr>
                <w:rFonts w:ascii="Times New Roman" w:hAnsi="Times New Roman"/>
              </w:rPr>
            </w:pPr>
            <w:r>
              <w:rPr>
                <w:rFonts w:ascii="Times New Roman" w:hAnsi="Times New Roman"/>
                <w:lang w:bidi="ar"/>
              </w:rPr>
              <w:t>在量/t</w:t>
            </w:r>
          </w:p>
        </w:tc>
        <w:tc>
          <w:tcPr>
            <w:tcW w:w="416"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甲烷临</w:t>
            </w:r>
          </w:p>
          <w:p>
            <w:pPr>
              <w:pStyle w:val="39"/>
              <w:rPr>
                <w:rFonts w:ascii="Times New Roman" w:hAnsi="Times New Roman"/>
              </w:rPr>
            </w:pPr>
            <w:r>
              <w:rPr>
                <w:rFonts w:ascii="Times New Roman" w:hAnsi="Times New Roman"/>
                <w:lang w:bidi="ar"/>
              </w:rPr>
              <w:t>界量/t</w:t>
            </w:r>
          </w:p>
        </w:tc>
        <w:tc>
          <w:tcPr>
            <w:tcW w:w="478"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硫化氢</w:t>
            </w:r>
          </w:p>
          <w:p>
            <w:pPr>
              <w:pStyle w:val="39"/>
              <w:rPr>
                <w:rFonts w:ascii="Times New Roman" w:hAnsi="Times New Roman"/>
              </w:rPr>
            </w:pPr>
            <w:r>
              <w:rPr>
                <w:rFonts w:ascii="Times New Roman" w:hAnsi="Times New Roman"/>
                <w:lang w:bidi="ar"/>
              </w:rPr>
              <w:t>存在量/t</w:t>
            </w:r>
          </w:p>
        </w:tc>
        <w:tc>
          <w:tcPr>
            <w:tcW w:w="459"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硫化氢</w:t>
            </w:r>
          </w:p>
          <w:p>
            <w:pPr>
              <w:pStyle w:val="39"/>
              <w:rPr>
                <w:rFonts w:ascii="Times New Roman" w:hAnsi="Times New Roman"/>
              </w:rPr>
            </w:pPr>
            <w:r>
              <w:rPr>
                <w:rFonts w:ascii="Times New Roman" w:hAnsi="Times New Roman"/>
                <w:lang w:bidi="ar"/>
              </w:rPr>
              <w:t>临界量/t</w:t>
            </w:r>
          </w:p>
        </w:tc>
        <w:tc>
          <w:tcPr>
            <w:tcW w:w="270" w:type="pct"/>
            <w:noWrap/>
            <w:tcMar>
              <w:top w:w="15" w:type="dxa"/>
              <w:left w:w="15" w:type="dxa"/>
              <w:right w:w="15" w:type="dxa"/>
            </w:tcMar>
            <w:vAlign w:val="center"/>
          </w:tcPr>
          <w:p>
            <w:pPr>
              <w:pStyle w:val="39"/>
              <w:rPr>
                <w:rFonts w:ascii="Times New Roman" w:hAnsi="Times New Roman"/>
              </w:rPr>
            </w:pPr>
            <w:r>
              <w:rPr>
                <w:rFonts w:ascii="Times New Roman" w:hAnsi="Times New Roman"/>
                <w:i/>
                <w:iCs/>
                <w:lang w:bidi="ar"/>
              </w:rPr>
              <w:t>Q</w:t>
            </w:r>
            <w:r>
              <w:rPr>
                <w:rFonts w:ascii="Times New Roman" w:hAnsi="Times New Roman"/>
                <w:lang w:bidi="ar"/>
              </w:rPr>
              <w:t>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236" w:type="pct"/>
            <w:vMerge w:val="restart"/>
            <w:tcMar>
              <w:top w:w="15" w:type="dxa"/>
              <w:left w:w="15" w:type="dxa"/>
              <w:right w:w="15" w:type="dxa"/>
            </w:tcMar>
            <w:vAlign w:val="center"/>
          </w:tcPr>
          <w:p>
            <w:pPr>
              <w:pStyle w:val="39"/>
              <w:rPr>
                <w:rFonts w:ascii="Times New Roman" w:hAnsi="Times New Roman"/>
              </w:rPr>
            </w:pPr>
            <w:r>
              <w:rPr>
                <w:rFonts w:ascii="Times New Roman" w:hAnsi="Times New Roman"/>
                <w:lang w:bidi="ar"/>
              </w:rPr>
              <w:t>1</w:t>
            </w:r>
          </w:p>
        </w:tc>
        <w:tc>
          <w:tcPr>
            <w:tcW w:w="1287" w:type="pct"/>
            <w:tcMar>
              <w:top w:w="15" w:type="dxa"/>
              <w:left w:w="15" w:type="dxa"/>
              <w:right w:w="15" w:type="dxa"/>
            </w:tcMar>
            <w:vAlign w:val="center"/>
          </w:tcPr>
          <w:p>
            <w:pPr>
              <w:pStyle w:val="39"/>
              <w:rPr>
                <w:rFonts w:ascii="Times New Roman" w:hAnsi="Times New Roman"/>
              </w:rPr>
            </w:pPr>
            <w:bookmarkStart w:id="253" w:name="_Hlk154579972"/>
            <w:r>
              <w:rPr>
                <w:rFonts w:ascii="Times New Roman" w:hAnsi="Times New Roman"/>
              </w:rPr>
              <w:t>宣探集气干线</w:t>
            </w:r>
          </w:p>
          <w:bookmarkEnd w:id="253"/>
          <w:p>
            <w:pPr>
              <w:pStyle w:val="39"/>
              <w:rPr>
                <w:rFonts w:ascii="Times New Roman" w:hAnsi="Times New Roman"/>
              </w:rPr>
            </w:pPr>
            <w:r>
              <w:rPr>
                <w:rFonts w:ascii="Times New Roman" w:hAnsi="Times New Roman"/>
              </w:rPr>
              <w:t>宣兴1井-宣探阀室</w:t>
            </w:r>
          </w:p>
        </w:tc>
        <w:tc>
          <w:tcPr>
            <w:tcW w:w="436" w:type="pct"/>
            <w:tcMar>
              <w:top w:w="15" w:type="dxa"/>
              <w:left w:w="15" w:type="dxa"/>
              <w:right w:w="15" w:type="dxa"/>
            </w:tcMar>
            <w:vAlign w:val="center"/>
          </w:tcPr>
          <w:p>
            <w:pPr>
              <w:pStyle w:val="39"/>
              <w:rPr>
                <w:rFonts w:ascii="Times New Roman" w:hAnsi="Times New Roman"/>
              </w:rPr>
            </w:pPr>
            <w:r>
              <w:rPr>
                <w:rFonts w:ascii="Times New Roman" w:hAnsi="Times New Roman"/>
              </w:rPr>
              <w:t>4.1</w:t>
            </w:r>
          </w:p>
        </w:tc>
        <w:tc>
          <w:tcPr>
            <w:tcW w:w="541" w:type="pct"/>
            <w:tcMar>
              <w:top w:w="15" w:type="dxa"/>
              <w:left w:w="15" w:type="dxa"/>
              <w:right w:w="15" w:type="dxa"/>
            </w:tcMar>
            <w:vAlign w:val="center"/>
          </w:tcPr>
          <w:p>
            <w:pPr>
              <w:pStyle w:val="39"/>
              <w:rPr>
                <w:rFonts w:ascii="Times New Roman" w:hAnsi="Times New Roman"/>
              </w:rPr>
            </w:pPr>
            <w:r>
              <w:rPr>
                <w:rFonts w:ascii="Times New Roman" w:hAnsi="Times New Roman"/>
              </w:rPr>
              <w:t>10.6</w:t>
            </w:r>
          </w:p>
        </w:tc>
        <w:tc>
          <w:tcPr>
            <w:tcW w:w="404" w:type="pct"/>
            <w:tcMar>
              <w:top w:w="15" w:type="dxa"/>
              <w:left w:w="15" w:type="dxa"/>
              <w:right w:w="15" w:type="dxa"/>
            </w:tcMar>
            <w:vAlign w:val="center"/>
          </w:tcPr>
          <w:p>
            <w:pPr>
              <w:pStyle w:val="39"/>
              <w:rPr>
                <w:rFonts w:ascii="Times New Roman" w:hAnsi="Times New Roman"/>
              </w:rPr>
            </w:pPr>
            <w:r>
              <w:rPr>
                <w:rFonts w:ascii="Times New Roman" w:hAnsi="Times New Roman"/>
              </w:rPr>
              <w:t>DN200</w:t>
            </w:r>
          </w:p>
        </w:tc>
        <w:tc>
          <w:tcPr>
            <w:tcW w:w="473" w:type="pct"/>
            <w:noWrap/>
            <w:tcMar>
              <w:top w:w="15" w:type="dxa"/>
              <w:left w:w="15" w:type="dxa"/>
              <w:right w:w="15" w:type="dxa"/>
            </w:tcMar>
            <w:vAlign w:val="center"/>
          </w:tcPr>
          <w:p>
            <w:pPr>
              <w:pStyle w:val="39"/>
              <w:rPr>
                <w:rFonts w:ascii="Times New Roman" w:hAnsi="Times New Roman"/>
              </w:rPr>
            </w:pPr>
            <w:r>
              <w:rPr>
                <w:rFonts w:ascii="Times New Roman" w:hAnsi="Times New Roman"/>
              </w:rPr>
              <w:t>6.585</w:t>
            </w:r>
          </w:p>
        </w:tc>
        <w:tc>
          <w:tcPr>
            <w:tcW w:w="416" w:type="pct"/>
            <w:noWrap/>
            <w:tcMar>
              <w:top w:w="15" w:type="dxa"/>
              <w:left w:w="15" w:type="dxa"/>
              <w:right w:w="15" w:type="dxa"/>
            </w:tcMar>
            <w:vAlign w:val="center"/>
          </w:tcPr>
          <w:p>
            <w:pPr>
              <w:pStyle w:val="39"/>
              <w:rPr>
                <w:rFonts w:ascii="Times New Roman" w:hAnsi="Times New Roman"/>
              </w:rPr>
            </w:pPr>
            <w:r>
              <w:rPr>
                <w:rFonts w:ascii="Times New Roman" w:hAnsi="Times New Roman"/>
                <w:lang w:bidi="ar"/>
              </w:rPr>
              <w:t>10</w:t>
            </w:r>
          </w:p>
        </w:tc>
        <w:tc>
          <w:tcPr>
            <w:tcW w:w="478" w:type="pct"/>
            <w:noWrap/>
            <w:tcMar>
              <w:top w:w="15" w:type="dxa"/>
              <w:left w:w="15" w:type="dxa"/>
              <w:right w:w="15" w:type="dxa"/>
            </w:tcMar>
            <w:vAlign w:val="center"/>
          </w:tcPr>
          <w:p>
            <w:pPr>
              <w:pStyle w:val="39"/>
              <w:rPr>
                <w:rFonts w:ascii="Times New Roman" w:hAnsi="Times New Roman"/>
              </w:rPr>
            </w:pPr>
            <w:r>
              <w:rPr>
                <w:rFonts w:ascii="Times New Roman" w:hAnsi="Times New Roman"/>
              </w:rPr>
              <w:t>2.147</w:t>
            </w:r>
          </w:p>
        </w:tc>
        <w:tc>
          <w:tcPr>
            <w:tcW w:w="459" w:type="pct"/>
            <w:noWrap/>
            <w:tcMar>
              <w:top w:w="15" w:type="dxa"/>
              <w:left w:w="15" w:type="dxa"/>
              <w:right w:w="15" w:type="dxa"/>
            </w:tcMar>
            <w:vAlign w:val="center"/>
          </w:tcPr>
          <w:p>
            <w:pPr>
              <w:pStyle w:val="39"/>
              <w:rPr>
                <w:rFonts w:ascii="Times New Roman" w:hAnsi="Times New Roman"/>
              </w:rPr>
            </w:pPr>
            <w:r>
              <w:rPr>
                <w:rFonts w:ascii="Times New Roman" w:hAnsi="Times New Roman"/>
                <w:lang w:bidi="ar"/>
              </w:rPr>
              <w:t>2.5</w:t>
            </w:r>
          </w:p>
        </w:tc>
        <w:tc>
          <w:tcPr>
            <w:tcW w:w="270" w:type="pct"/>
            <w:vMerge w:val="restart"/>
            <w:noWrap/>
            <w:tcMar>
              <w:top w:w="15" w:type="dxa"/>
              <w:left w:w="15" w:type="dxa"/>
              <w:right w:w="15" w:type="dxa"/>
            </w:tcMar>
            <w:vAlign w:val="center"/>
          </w:tcPr>
          <w:p>
            <w:pPr>
              <w:pStyle w:val="39"/>
              <w:rPr>
                <w:rFonts w:ascii="Times New Roman" w:hAnsi="Times New Roman"/>
              </w:rPr>
            </w:pPr>
            <w:r>
              <w:rPr>
                <w:rFonts w:ascii="Times New Roman" w:hAnsi="Times New Roman"/>
              </w:rPr>
              <w:t>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236" w:type="pct"/>
            <w:vMerge w:val="continue"/>
            <w:tcMar>
              <w:top w:w="15" w:type="dxa"/>
              <w:left w:w="15" w:type="dxa"/>
              <w:right w:w="15" w:type="dxa"/>
            </w:tcMar>
            <w:vAlign w:val="center"/>
          </w:tcPr>
          <w:p>
            <w:pPr>
              <w:pStyle w:val="39"/>
              <w:rPr>
                <w:rFonts w:ascii="Times New Roman" w:hAnsi="Times New Roman"/>
                <w:lang w:bidi="ar"/>
              </w:rPr>
            </w:pPr>
          </w:p>
        </w:tc>
        <w:tc>
          <w:tcPr>
            <w:tcW w:w="1287" w:type="pct"/>
            <w:tcMar>
              <w:top w:w="15" w:type="dxa"/>
              <w:left w:w="15" w:type="dxa"/>
              <w:right w:w="15" w:type="dxa"/>
            </w:tcMar>
            <w:vAlign w:val="center"/>
          </w:tcPr>
          <w:p>
            <w:pPr>
              <w:pStyle w:val="39"/>
              <w:rPr>
                <w:rFonts w:ascii="Times New Roman" w:hAnsi="Times New Roman"/>
              </w:rPr>
            </w:pPr>
            <w:r>
              <w:rPr>
                <w:rFonts w:ascii="Times New Roman" w:hAnsi="Times New Roman"/>
              </w:rPr>
              <w:t>燃料气管道</w:t>
            </w:r>
          </w:p>
        </w:tc>
        <w:tc>
          <w:tcPr>
            <w:tcW w:w="436" w:type="pct"/>
            <w:tcMar>
              <w:top w:w="15" w:type="dxa"/>
              <w:left w:w="15" w:type="dxa"/>
              <w:right w:w="15" w:type="dxa"/>
            </w:tcMar>
            <w:vAlign w:val="center"/>
          </w:tcPr>
          <w:p>
            <w:pPr>
              <w:pStyle w:val="39"/>
              <w:rPr>
                <w:rFonts w:ascii="Times New Roman" w:hAnsi="Times New Roman"/>
              </w:rPr>
            </w:pPr>
            <w:r>
              <w:rPr>
                <w:rFonts w:ascii="Times New Roman" w:hAnsi="Times New Roman"/>
              </w:rPr>
              <w:t>4.1</w:t>
            </w:r>
          </w:p>
        </w:tc>
        <w:tc>
          <w:tcPr>
            <w:tcW w:w="541" w:type="pct"/>
            <w:tcMar>
              <w:top w:w="15" w:type="dxa"/>
              <w:left w:w="15" w:type="dxa"/>
              <w:right w:w="15" w:type="dxa"/>
            </w:tcMar>
            <w:vAlign w:val="center"/>
          </w:tcPr>
          <w:p>
            <w:pPr>
              <w:pStyle w:val="39"/>
              <w:rPr>
                <w:rFonts w:ascii="Times New Roman" w:hAnsi="Times New Roman"/>
              </w:rPr>
            </w:pPr>
            <w:r>
              <w:rPr>
                <w:rFonts w:ascii="Times New Roman" w:hAnsi="Times New Roman"/>
              </w:rPr>
              <w:t>3.5</w:t>
            </w:r>
          </w:p>
        </w:tc>
        <w:tc>
          <w:tcPr>
            <w:tcW w:w="404" w:type="pct"/>
            <w:tcMar>
              <w:top w:w="15" w:type="dxa"/>
              <w:left w:w="15" w:type="dxa"/>
              <w:right w:w="15" w:type="dxa"/>
            </w:tcMar>
            <w:vAlign w:val="center"/>
          </w:tcPr>
          <w:p>
            <w:pPr>
              <w:pStyle w:val="39"/>
              <w:rPr>
                <w:rFonts w:ascii="Times New Roman" w:hAnsi="Times New Roman"/>
              </w:rPr>
            </w:pPr>
            <w:r>
              <w:rPr>
                <w:rFonts w:ascii="Times New Roman" w:hAnsi="Times New Roman"/>
              </w:rPr>
              <w:t>DN80</w:t>
            </w:r>
          </w:p>
        </w:tc>
        <w:tc>
          <w:tcPr>
            <w:tcW w:w="473" w:type="pct"/>
            <w:noWrap/>
            <w:tcMar>
              <w:top w:w="15" w:type="dxa"/>
              <w:left w:w="15" w:type="dxa"/>
              <w:right w:w="15" w:type="dxa"/>
            </w:tcMar>
            <w:vAlign w:val="center"/>
          </w:tcPr>
          <w:p>
            <w:pPr>
              <w:pStyle w:val="39"/>
              <w:rPr>
                <w:rFonts w:ascii="Times New Roman" w:hAnsi="Times New Roman"/>
              </w:rPr>
            </w:pPr>
            <w:r>
              <w:rPr>
                <w:rFonts w:ascii="Times New Roman" w:hAnsi="Times New Roman"/>
              </w:rPr>
              <w:t>0.452</w:t>
            </w:r>
          </w:p>
        </w:tc>
        <w:tc>
          <w:tcPr>
            <w:tcW w:w="416"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10</w:t>
            </w:r>
          </w:p>
        </w:tc>
        <w:tc>
          <w:tcPr>
            <w:tcW w:w="478" w:type="pct"/>
            <w:noWrap/>
            <w:tcMar>
              <w:top w:w="15" w:type="dxa"/>
              <w:left w:w="15" w:type="dxa"/>
              <w:right w:w="15" w:type="dxa"/>
            </w:tcMar>
            <w:vAlign w:val="center"/>
          </w:tcPr>
          <w:p>
            <w:pPr>
              <w:pStyle w:val="39"/>
              <w:rPr>
                <w:rFonts w:ascii="Times New Roman" w:hAnsi="Times New Roman"/>
              </w:rPr>
            </w:pPr>
            <w:r>
              <w:rPr>
                <w:rFonts w:ascii="Times New Roman" w:hAnsi="Times New Roman"/>
              </w:rPr>
              <w:t>0</w:t>
            </w:r>
          </w:p>
        </w:tc>
        <w:tc>
          <w:tcPr>
            <w:tcW w:w="459"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2.5</w:t>
            </w:r>
          </w:p>
        </w:tc>
        <w:tc>
          <w:tcPr>
            <w:tcW w:w="270" w:type="pct"/>
            <w:vMerge w:val="continue"/>
            <w:noWrap/>
            <w:tcMar>
              <w:top w:w="15" w:type="dxa"/>
              <w:left w:w="15" w:type="dxa"/>
              <w:right w:w="15" w:type="dxa"/>
            </w:tcMar>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236"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2</w:t>
            </w:r>
          </w:p>
        </w:tc>
        <w:tc>
          <w:tcPr>
            <w:tcW w:w="1287" w:type="pct"/>
            <w:tcMar>
              <w:top w:w="15" w:type="dxa"/>
              <w:left w:w="15" w:type="dxa"/>
              <w:right w:w="15" w:type="dxa"/>
            </w:tcMar>
            <w:vAlign w:val="center"/>
          </w:tcPr>
          <w:p>
            <w:pPr>
              <w:pStyle w:val="39"/>
              <w:rPr>
                <w:rFonts w:ascii="Times New Roman" w:hAnsi="Times New Roman"/>
              </w:rPr>
            </w:pPr>
            <w:r>
              <w:rPr>
                <w:rFonts w:ascii="Times New Roman" w:hAnsi="Times New Roman"/>
              </w:rPr>
              <w:t>宣探集气干线</w:t>
            </w:r>
          </w:p>
          <w:p>
            <w:pPr>
              <w:pStyle w:val="39"/>
              <w:rPr>
                <w:rFonts w:ascii="Times New Roman" w:hAnsi="Times New Roman"/>
                <w:lang w:bidi="ar"/>
              </w:rPr>
            </w:pPr>
            <w:r>
              <w:rPr>
                <w:rFonts w:ascii="Times New Roman" w:hAnsi="Times New Roman"/>
              </w:rPr>
              <w:t>宣探阀室-宣探清管站</w:t>
            </w:r>
          </w:p>
        </w:tc>
        <w:tc>
          <w:tcPr>
            <w:tcW w:w="436"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10.5</w:t>
            </w:r>
          </w:p>
        </w:tc>
        <w:tc>
          <w:tcPr>
            <w:tcW w:w="541" w:type="pct"/>
            <w:tcMar>
              <w:top w:w="15" w:type="dxa"/>
              <w:left w:w="15" w:type="dxa"/>
              <w:right w:w="15" w:type="dxa"/>
            </w:tcMar>
            <w:vAlign w:val="center"/>
          </w:tcPr>
          <w:p>
            <w:pPr>
              <w:pStyle w:val="39"/>
              <w:rPr>
                <w:rFonts w:ascii="Times New Roman" w:hAnsi="Times New Roman"/>
                <w:lang w:bidi="ar"/>
              </w:rPr>
            </w:pPr>
            <w:r>
              <w:rPr>
                <w:rFonts w:ascii="Times New Roman" w:hAnsi="Times New Roman"/>
              </w:rPr>
              <w:t>10.1</w:t>
            </w:r>
          </w:p>
        </w:tc>
        <w:tc>
          <w:tcPr>
            <w:tcW w:w="404" w:type="pct"/>
            <w:tcMar>
              <w:top w:w="15" w:type="dxa"/>
              <w:left w:w="15" w:type="dxa"/>
              <w:right w:w="15" w:type="dxa"/>
            </w:tcMar>
            <w:vAlign w:val="center"/>
          </w:tcPr>
          <w:p>
            <w:pPr>
              <w:pStyle w:val="39"/>
              <w:rPr>
                <w:rFonts w:ascii="Times New Roman" w:hAnsi="Times New Roman"/>
                <w:lang w:bidi="ar"/>
              </w:rPr>
            </w:pPr>
            <w:r>
              <w:rPr>
                <w:rFonts w:ascii="Times New Roman" w:hAnsi="Times New Roman"/>
              </w:rPr>
              <w:t>DN200</w:t>
            </w:r>
          </w:p>
        </w:tc>
        <w:tc>
          <w:tcPr>
            <w:tcW w:w="473"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rPr>
              <w:t>16.423</w:t>
            </w:r>
          </w:p>
        </w:tc>
        <w:tc>
          <w:tcPr>
            <w:tcW w:w="416"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10</w:t>
            </w:r>
          </w:p>
        </w:tc>
        <w:tc>
          <w:tcPr>
            <w:tcW w:w="478"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rPr>
              <w:t>6.297</w:t>
            </w:r>
          </w:p>
        </w:tc>
        <w:tc>
          <w:tcPr>
            <w:tcW w:w="459"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2.5</w:t>
            </w:r>
          </w:p>
        </w:tc>
        <w:tc>
          <w:tcPr>
            <w:tcW w:w="270"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4.16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236" w:type="pct"/>
            <w:vMerge w:val="restar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3</w:t>
            </w:r>
          </w:p>
        </w:tc>
        <w:tc>
          <w:tcPr>
            <w:tcW w:w="1287" w:type="pct"/>
            <w:tcMar>
              <w:top w:w="15" w:type="dxa"/>
              <w:left w:w="15" w:type="dxa"/>
              <w:right w:w="15" w:type="dxa"/>
            </w:tcMar>
            <w:vAlign w:val="center"/>
          </w:tcPr>
          <w:p>
            <w:pPr>
              <w:pStyle w:val="39"/>
              <w:rPr>
                <w:rFonts w:ascii="Times New Roman" w:hAnsi="Times New Roman"/>
              </w:rPr>
            </w:pPr>
            <w:r>
              <w:rPr>
                <w:rFonts w:ascii="Times New Roman" w:hAnsi="Times New Roman"/>
              </w:rPr>
              <w:t>宣探联络线</w:t>
            </w:r>
          </w:p>
          <w:p>
            <w:pPr>
              <w:pStyle w:val="39"/>
              <w:rPr>
                <w:rFonts w:ascii="Times New Roman" w:hAnsi="Times New Roman"/>
                <w:lang w:bidi="ar"/>
              </w:rPr>
            </w:pPr>
            <w:r>
              <w:rPr>
                <w:rFonts w:ascii="Times New Roman" w:hAnsi="Times New Roman"/>
              </w:rPr>
              <w:t>宣探清管站-304集气站</w:t>
            </w:r>
          </w:p>
        </w:tc>
        <w:tc>
          <w:tcPr>
            <w:tcW w:w="436"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1.2</w:t>
            </w:r>
          </w:p>
        </w:tc>
        <w:tc>
          <w:tcPr>
            <w:tcW w:w="541"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8.05</w:t>
            </w:r>
          </w:p>
        </w:tc>
        <w:tc>
          <w:tcPr>
            <w:tcW w:w="404" w:type="pct"/>
            <w:tcMar>
              <w:top w:w="15" w:type="dxa"/>
              <w:left w:w="15" w:type="dxa"/>
              <w:right w:w="15" w:type="dxa"/>
            </w:tcMar>
            <w:vAlign w:val="center"/>
          </w:tcPr>
          <w:p>
            <w:pPr>
              <w:pStyle w:val="39"/>
              <w:rPr>
                <w:rFonts w:ascii="Times New Roman" w:hAnsi="Times New Roman"/>
                <w:lang w:bidi="ar"/>
              </w:rPr>
            </w:pPr>
            <w:r>
              <w:rPr>
                <w:rFonts w:ascii="Times New Roman" w:hAnsi="Times New Roman"/>
              </w:rPr>
              <w:t>DN200</w:t>
            </w:r>
          </w:p>
        </w:tc>
        <w:tc>
          <w:tcPr>
            <w:tcW w:w="473"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rPr>
              <w:t>1.458</w:t>
            </w:r>
          </w:p>
        </w:tc>
        <w:tc>
          <w:tcPr>
            <w:tcW w:w="416"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10</w:t>
            </w:r>
          </w:p>
        </w:tc>
        <w:tc>
          <w:tcPr>
            <w:tcW w:w="478"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rPr>
              <w:t>0.559</w:t>
            </w:r>
          </w:p>
        </w:tc>
        <w:tc>
          <w:tcPr>
            <w:tcW w:w="459"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2.5</w:t>
            </w:r>
          </w:p>
        </w:tc>
        <w:tc>
          <w:tcPr>
            <w:tcW w:w="270" w:type="pct"/>
            <w:vMerge w:val="restar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236" w:type="pct"/>
            <w:vMerge w:val="continue"/>
            <w:tcMar>
              <w:top w:w="15" w:type="dxa"/>
              <w:left w:w="15" w:type="dxa"/>
              <w:right w:w="15" w:type="dxa"/>
            </w:tcMar>
            <w:vAlign w:val="center"/>
          </w:tcPr>
          <w:p>
            <w:pPr>
              <w:pStyle w:val="39"/>
              <w:rPr>
                <w:rFonts w:ascii="Times New Roman" w:hAnsi="Times New Roman"/>
                <w:lang w:bidi="ar"/>
              </w:rPr>
            </w:pPr>
          </w:p>
        </w:tc>
        <w:tc>
          <w:tcPr>
            <w:tcW w:w="1287" w:type="pct"/>
            <w:tcMar>
              <w:top w:w="15" w:type="dxa"/>
              <w:left w:w="15" w:type="dxa"/>
              <w:right w:w="15" w:type="dxa"/>
            </w:tcMar>
            <w:vAlign w:val="center"/>
          </w:tcPr>
          <w:p>
            <w:pPr>
              <w:pStyle w:val="39"/>
              <w:rPr>
                <w:rFonts w:ascii="Times New Roman" w:hAnsi="Times New Roman"/>
              </w:rPr>
            </w:pPr>
            <w:r>
              <w:rPr>
                <w:rFonts w:ascii="Times New Roman" w:hAnsi="Times New Roman"/>
              </w:rPr>
              <w:t>燃料气管道</w:t>
            </w:r>
          </w:p>
        </w:tc>
        <w:tc>
          <w:tcPr>
            <w:tcW w:w="436"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1.2</w:t>
            </w:r>
          </w:p>
        </w:tc>
        <w:tc>
          <w:tcPr>
            <w:tcW w:w="541" w:type="pct"/>
            <w:tcMar>
              <w:top w:w="15" w:type="dxa"/>
              <w:left w:w="15" w:type="dxa"/>
              <w:right w:w="15" w:type="dxa"/>
            </w:tcMar>
            <w:vAlign w:val="center"/>
          </w:tcPr>
          <w:p>
            <w:pPr>
              <w:pStyle w:val="39"/>
              <w:rPr>
                <w:rFonts w:ascii="Times New Roman" w:hAnsi="Times New Roman"/>
                <w:lang w:bidi="ar"/>
              </w:rPr>
            </w:pPr>
            <w:r>
              <w:rPr>
                <w:rFonts w:ascii="Times New Roman" w:hAnsi="Times New Roman"/>
              </w:rPr>
              <w:t>3.5</w:t>
            </w:r>
          </w:p>
        </w:tc>
        <w:tc>
          <w:tcPr>
            <w:tcW w:w="404" w:type="pct"/>
            <w:tcMar>
              <w:top w:w="15" w:type="dxa"/>
              <w:left w:w="15" w:type="dxa"/>
              <w:right w:w="15" w:type="dxa"/>
            </w:tcMar>
            <w:vAlign w:val="center"/>
          </w:tcPr>
          <w:p>
            <w:pPr>
              <w:pStyle w:val="39"/>
              <w:rPr>
                <w:rFonts w:ascii="Times New Roman" w:hAnsi="Times New Roman"/>
              </w:rPr>
            </w:pPr>
            <w:r>
              <w:rPr>
                <w:rFonts w:ascii="Times New Roman" w:hAnsi="Times New Roman"/>
              </w:rPr>
              <w:t>DN50</w:t>
            </w:r>
          </w:p>
        </w:tc>
        <w:tc>
          <w:tcPr>
            <w:tcW w:w="473" w:type="pct"/>
            <w:noWrap/>
            <w:tcMar>
              <w:top w:w="15" w:type="dxa"/>
              <w:left w:w="15" w:type="dxa"/>
              <w:right w:w="15" w:type="dxa"/>
            </w:tcMar>
            <w:vAlign w:val="center"/>
          </w:tcPr>
          <w:p>
            <w:pPr>
              <w:pStyle w:val="39"/>
              <w:rPr>
                <w:rFonts w:ascii="Times New Roman" w:hAnsi="Times New Roman"/>
              </w:rPr>
            </w:pPr>
            <w:r>
              <w:rPr>
                <w:rFonts w:ascii="Times New Roman" w:hAnsi="Times New Roman"/>
              </w:rPr>
              <w:t>0.054</w:t>
            </w:r>
          </w:p>
        </w:tc>
        <w:tc>
          <w:tcPr>
            <w:tcW w:w="416"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10</w:t>
            </w:r>
          </w:p>
        </w:tc>
        <w:tc>
          <w:tcPr>
            <w:tcW w:w="478" w:type="pct"/>
            <w:noWrap/>
            <w:tcMar>
              <w:top w:w="15" w:type="dxa"/>
              <w:left w:w="15" w:type="dxa"/>
              <w:right w:w="15" w:type="dxa"/>
            </w:tcMar>
            <w:vAlign w:val="center"/>
          </w:tcPr>
          <w:p>
            <w:pPr>
              <w:pStyle w:val="39"/>
              <w:rPr>
                <w:rFonts w:ascii="Times New Roman" w:hAnsi="Times New Roman"/>
              </w:rPr>
            </w:pPr>
            <w:r>
              <w:rPr>
                <w:rFonts w:ascii="Times New Roman" w:hAnsi="Times New Roman"/>
              </w:rPr>
              <w:t>0</w:t>
            </w:r>
          </w:p>
        </w:tc>
        <w:tc>
          <w:tcPr>
            <w:tcW w:w="459"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2.5</w:t>
            </w:r>
          </w:p>
        </w:tc>
        <w:tc>
          <w:tcPr>
            <w:tcW w:w="270" w:type="pct"/>
            <w:vMerge w:val="continue"/>
            <w:noWrap/>
            <w:tcMar>
              <w:top w:w="15" w:type="dxa"/>
              <w:left w:w="15" w:type="dxa"/>
              <w:right w:w="15" w:type="dxa"/>
            </w:tcMar>
            <w:vAlign w:val="center"/>
          </w:tcPr>
          <w:p>
            <w:pPr>
              <w:pStyle w:val="39"/>
              <w:rPr>
                <w:rFonts w:ascii="Times New Roman" w:hAnsi="Times New Roman"/>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236" w:type="pct"/>
            <w:vMerge w:val="restar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4</w:t>
            </w:r>
          </w:p>
        </w:tc>
        <w:tc>
          <w:tcPr>
            <w:tcW w:w="1287" w:type="pct"/>
            <w:tcMar>
              <w:top w:w="15" w:type="dxa"/>
              <w:left w:w="15" w:type="dxa"/>
              <w:right w:w="15" w:type="dxa"/>
            </w:tcMar>
            <w:vAlign w:val="center"/>
          </w:tcPr>
          <w:p>
            <w:pPr>
              <w:pStyle w:val="39"/>
              <w:rPr>
                <w:rFonts w:ascii="Times New Roman" w:hAnsi="Times New Roman"/>
              </w:rPr>
            </w:pPr>
            <w:r>
              <w:rPr>
                <w:rFonts w:ascii="Times New Roman" w:hAnsi="Times New Roman"/>
              </w:rPr>
              <w:t>宣探集气支线</w:t>
            </w:r>
          </w:p>
          <w:p>
            <w:pPr>
              <w:pStyle w:val="39"/>
              <w:rPr>
                <w:rFonts w:ascii="Times New Roman" w:hAnsi="Times New Roman"/>
                <w:lang w:bidi="ar"/>
              </w:rPr>
            </w:pPr>
            <w:r>
              <w:rPr>
                <w:rFonts w:ascii="Times New Roman" w:hAnsi="Times New Roman"/>
              </w:rPr>
              <w:t>宣探1井-宣兴1井</w:t>
            </w:r>
          </w:p>
        </w:tc>
        <w:tc>
          <w:tcPr>
            <w:tcW w:w="436"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3.5</w:t>
            </w:r>
          </w:p>
        </w:tc>
        <w:tc>
          <w:tcPr>
            <w:tcW w:w="541" w:type="pct"/>
            <w:tcMar>
              <w:top w:w="15" w:type="dxa"/>
              <w:left w:w="15" w:type="dxa"/>
              <w:right w:w="15" w:type="dxa"/>
            </w:tcMar>
            <w:vAlign w:val="center"/>
          </w:tcPr>
          <w:p>
            <w:pPr>
              <w:pStyle w:val="39"/>
              <w:rPr>
                <w:rFonts w:ascii="Times New Roman" w:hAnsi="Times New Roman"/>
                <w:lang w:bidi="ar"/>
              </w:rPr>
            </w:pPr>
            <w:r>
              <w:rPr>
                <w:rFonts w:ascii="Times New Roman" w:hAnsi="Times New Roman"/>
              </w:rPr>
              <w:t>11.6</w:t>
            </w:r>
          </w:p>
        </w:tc>
        <w:tc>
          <w:tcPr>
            <w:tcW w:w="404" w:type="pct"/>
            <w:tcMar>
              <w:top w:w="15" w:type="dxa"/>
              <w:left w:w="15" w:type="dxa"/>
              <w:right w:w="15" w:type="dxa"/>
            </w:tcMar>
            <w:vAlign w:val="center"/>
          </w:tcPr>
          <w:p>
            <w:pPr>
              <w:pStyle w:val="39"/>
              <w:rPr>
                <w:rFonts w:ascii="Times New Roman" w:hAnsi="Times New Roman"/>
                <w:lang w:bidi="ar"/>
              </w:rPr>
            </w:pPr>
            <w:r>
              <w:rPr>
                <w:rFonts w:ascii="Times New Roman" w:hAnsi="Times New Roman"/>
              </w:rPr>
              <w:t>DN150</w:t>
            </w:r>
          </w:p>
        </w:tc>
        <w:tc>
          <w:tcPr>
            <w:tcW w:w="473"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rPr>
              <w:t>3.726</w:t>
            </w:r>
          </w:p>
        </w:tc>
        <w:tc>
          <w:tcPr>
            <w:tcW w:w="416"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10</w:t>
            </w:r>
          </w:p>
        </w:tc>
        <w:tc>
          <w:tcPr>
            <w:tcW w:w="478"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rPr>
              <w:t>1.055</w:t>
            </w:r>
          </w:p>
        </w:tc>
        <w:tc>
          <w:tcPr>
            <w:tcW w:w="459"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2.5</w:t>
            </w:r>
          </w:p>
        </w:tc>
        <w:tc>
          <w:tcPr>
            <w:tcW w:w="270" w:type="pct"/>
            <w:vMerge w:val="restar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0.83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236" w:type="pct"/>
            <w:vMerge w:val="continue"/>
            <w:tcMar>
              <w:top w:w="15" w:type="dxa"/>
              <w:left w:w="15" w:type="dxa"/>
              <w:right w:w="15" w:type="dxa"/>
            </w:tcMar>
            <w:vAlign w:val="center"/>
          </w:tcPr>
          <w:p>
            <w:pPr>
              <w:pStyle w:val="39"/>
              <w:rPr>
                <w:rFonts w:ascii="Times New Roman" w:hAnsi="Times New Roman"/>
                <w:lang w:bidi="ar"/>
              </w:rPr>
            </w:pPr>
          </w:p>
        </w:tc>
        <w:tc>
          <w:tcPr>
            <w:tcW w:w="1287" w:type="pct"/>
            <w:tcMar>
              <w:top w:w="15" w:type="dxa"/>
              <w:left w:w="15" w:type="dxa"/>
              <w:right w:w="15" w:type="dxa"/>
            </w:tcMar>
            <w:vAlign w:val="center"/>
          </w:tcPr>
          <w:p>
            <w:pPr>
              <w:pStyle w:val="39"/>
              <w:rPr>
                <w:rFonts w:ascii="Times New Roman" w:hAnsi="Times New Roman"/>
              </w:rPr>
            </w:pPr>
            <w:r>
              <w:rPr>
                <w:rFonts w:ascii="Times New Roman" w:hAnsi="Times New Roman"/>
              </w:rPr>
              <w:t>燃料气管道</w:t>
            </w:r>
          </w:p>
        </w:tc>
        <w:tc>
          <w:tcPr>
            <w:tcW w:w="436"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2.3+1.2</w:t>
            </w:r>
          </w:p>
        </w:tc>
        <w:tc>
          <w:tcPr>
            <w:tcW w:w="541" w:type="pct"/>
            <w:tcMar>
              <w:top w:w="15" w:type="dxa"/>
              <w:left w:w="15" w:type="dxa"/>
              <w:right w:w="15" w:type="dxa"/>
            </w:tcMar>
            <w:vAlign w:val="center"/>
          </w:tcPr>
          <w:p>
            <w:pPr>
              <w:pStyle w:val="39"/>
              <w:rPr>
                <w:rFonts w:ascii="Times New Roman" w:hAnsi="Times New Roman"/>
              </w:rPr>
            </w:pPr>
            <w:r>
              <w:rPr>
                <w:rFonts w:ascii="Times New Roman" w:hAnsi="Times New Roman"/>
              </w:rPr>
              <w:t>3.5</w:t>
            </w:r>
          </w:p>
        </w:tc>
        <w:tc>
          <w:tcPr>
            <w:tcW w:w="404" w:type="pct"/>
            <w:tcMar>
              <w:top w:w="15" w:type="dxa"/>
              <w:left w:w="15" w:type="dxa"/>
              <w:right w:w="15" w:type="dxa"/>
            </w:tcMar>
            <w:vAlign w:val="center"/>
          </w:tcPr>
          <w:p>
            <w:pPr>
              <w:pStyle w:val="39"/>
              <w:rPr>
                <w:rFonts w:ascii="Times New Roman" w:hAnsi="Times New Roman"/>
              </w:rPr>
            </w:pPr>
            <w:r>
              <w:rPr>
                <w:rFonts w:ascii="Times New Roman" w:hAnsi="Times New Roman"/>
              </w:rPr>
              <w:t>DN80</w:t>
            </w:r>
          </w:p>
        </w:tc>
        <w:tc>
          <w:tcPr>
            <w:tcW w:w="473" w:type="pct"/>
            <w:noWrap/>
            <w:tcMar>
              <w:top w:w="15" w:type="dxa"/>
              <w:left w:w="15" w:type="dxa"/>
              <w:right w:w="15" w:type="dxa"/>
            </w:tcMar>
            <w:vAlign w:val="center"/>
          </w:tcPr>
          <w:p>
            <w:pPr>
              <w:pStyle w:val="39"/>
              <w:rPr>
                <w:rFonts w:ascii="Times New Roman" w:hAnsi="Times New Roman"/>
              </w:rPr>
            </w:pPr>
            <w:r>
              <w:rPr>
                <w:rFonts w:ascii="Times New Roman" w:hAnsi="Times New Roman"/>
              </w:rPr>
              <w:t>0.386</w:t>
            </w:r>
          </w:p>
        </w:tc>
        <w:tc>
          <w:tcPr>
            <w:tcW w:w="416"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10</w:t>
            </w:r>
          </w:p>
        </w:tc>
        <w:tc>
          <w:tcPr>
            <w:tcW w:w="478" w:type="pct"/>
            <w:noWrap/>
            <w:tcMar>
              <w:top w:w="15" w:type="dxa"/>
              <w:left w:w="15" w:type="dxa"/>
              <w:right w:w="15" w:type="dxa"/>
            </w:tcMar>
            <w:vAlign w:val="center"/>
          </w:tcPr>
          <w:p>
            <w:pPr>
              <w:pStyle w:val="39"/>
              <w:rPr>
                <w:rFonts w:ascii="Times New Roman" w:hAnsi="Times New Roman"/>
              </w:rPr>
            </w:pPr>
            <w:r>
              <w:rPr>
                <w:rFonts w:ascii="Times New Roman" w:hAnsi="Times New Roman"/>
              </w:rPr>
              <w:t>0</w:t>
            </w:r>
          </w:p>
        </w:tc>
        <w:tc>
          <w:tcPr>
            <w:tcW w:w="459" w:type="pct"/>
            <w:noWrap/>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2.5</w:t>
            </w:r>
          </w:p>
        </w:tc>
        <w:tc>
          <w:tcPr>
            <w:tcW w:w="270" w:type="pct"/>
            <w:vMerge w:val="continue"/>
            <w:noWrap/>
            <w:tcMar>
              <w:top w:w="15" w:type="dxa"/>
              <w:left w:w="15" w:type="dxa"/>
              <w:right w:w="15" w:type="dxa"/>
            </w:tcMar>
            <w:vAlign w:val="center"/>
          </w:tcPr>
          <w:p>
            <w:pPr>
              <w:pStyle w:val="39"/>
              <w:rPr>
                <w:rFonts w:ascii="Times New Roman" w:hAnsi="Times New Roman"/>
                <w:lang w:bidi="ar"/>
              </w:rPr>
            </w:pPr>
          </w:p>
        </w:tc>
      </w:tr>
    </w:tbl>
    <w:p>
      <w:pPr>
        <w:pStyle w:val="5"/>
        <w:rPr>
          <w:rFonts w:ascii="Times New Roman" w:hAnsi="Times New Roman"/>
        </w:rPr>
      </w:pPr>
      <w:r>
        <w:rPr>
          <w:rFonts w:ascii="Times New Roman" w:hAnsi="Times New Roman"/>
        </w:rPr>
        <w:t>行业及生产工艺（M）的确定</w:t>
      </w:r>
    </w:p>
    <w:p>
      <w:pPr>
        <w:ind w:firstLine="480"/>
        <w:rPr>
          <w:rFonts w:ascii="Times New Roman" w:hAnsi="Times New Roman"/>
          <w:lang w:bidi="ar"/>
        </w:rPr>
      </w:pPr>
      <w:r>
        <w:rPr>
          <w:rFonts w:ascii="Times New Roman" w:hAnsi="Times New Roman"/>
          <w:lang w:bidi="ar"/>
        </w:rPr>
        <w:t>根据《建设项目环境风险评价技术导则》（HJ169-2018）附录C，石油天然气行业中涉及石油、天然气、页岩气开采（含净化），油气管线等项目分值均为10，M值为M3。因此，本项目各危险单元的行业及生产工艺得分情况见</w:t>
      </w:r>
      <w:r>
        <w:rPr>
          <w:rFonts w:ascii="Times New Roman" w:hAnsi="Times New Roman"/>
          <w:lang w:bidi="ar"/>
        </w:rPr>
        <w:fldChar w:fldCharType="begin"/>
      </w:r>
      <w:r>
        <w:rPr>
          <w:rFonts w:ascii="Times New Roman" w:hAnsi="Times New Roman"/>
          <w:lang w:bidi="ar"/>
        </w:rPr>
        <w:instrText xml:space="preserve"> REF _Ref154580310 \h  \* MERGEFORMAT </w:instrText>
      </w:r>
      <w:r>
        <w:rPr>
          <w:rFonts w:ascii="Times New Roman" w:hAnsi="Times New Roman"/>
          <w:lang w:bidi="ar"/>
        </w:rPr>
        <w:fldChar w:fldCharType="separate"/>
      </w:r>
      <w:r>
        <w:rPr>
          <w:rFonts w:ascii="Times New Roman" w:hAnsi="Times New Roman"/>
        </w:rPr>
        <w:t>表 7</w:t>
      </w:r>
      <w:r>
        <w:rPr>
          <w:rFonts w:ascii="Times New Roman" w:hAnsi="Times New Roman"/>
        </w:rPr>
        <w:noBreakHyphen/>
      </w:r>
      <w:r>
        <w:rPr>
          <w:rFonts w:ascii="Times New Roman" w:hAnsi="Times New Roman"/>
        </w:rPr>
        <w:t>5</w:t>
      </w:r>
      <w:r>
        <w:rPr>
          <w:rFonts w:ascii="Times New Roman" w:hAnsi="Times New Roman"/>
          <w:lang w:bidi="ar"/>
        </w:rPr>
        <w:fldChar w:fldCharType="end"/>
      </w:r>
      <w:r>
        <w:rPr>
          <w:rFonts w:ascii="Times New Roman" w:hAnsi="Times New Roman"/>
          <w:lang w:bidi="ar"/>
        </w:rPr>
        <w:t>。</w:t>
      </w:r>
    </w:p>
    <w:p>
      <w:pPr>
        <w:pStyle w:val="37"/>
        <w:rPr>
          <w:rFonts w:ascii="Times New Roman" w:hAnsi="Times New Roman" w:cs="Times New Roman"/>
        </w:rPr>
      </w:pPr>
      <w:bookmarkStart w:id="254" w:name="_Ref154580310"/>
      <w:bookmarkStart w:id="255" w:name="_Toc107998928"/>
      <w:bookmarkStart w:id="256" w:name="_Toc9724514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bookmarkEnd w:id="254"/>
      <w:r>
        <w:rPr>
          <w:rFonts w:ascii="Times New Roman" w:hAnsi="Times New Roman" w:cs="Times New Roman"/>
        </w:rPr>
        <w:t xml:space="preserve"> 本项目各危险单元的M值确定表</w:t>
      </w:r>
      <w:bookmarkEnd w:id="255"/>
      <w:bookmarkEnd w:id="256"/>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886"/>
        <w:gridCol w:w="2298"/>
        <w:gridCol w:w="2978"/>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0" w:hRule="atLeast"/>
          <w:tblHeader/>
          <w:jc w:val="center"/>
        </w:trPr>
        <w:tc>
          <w:tcPr>
            <w:tcW w:w="1871" w:type="dxa"/>
            <w:vAlign w:val="center"/>
          </w:tcPr>
          <w:p>
            <w:pPr>
              <w:pStyle w:val="39"/>
              <w:rPr>
                <w:rFonts w:ascii="Times New Roman" w:hAnsi="Times New Roman"/>
              </w:rPr>
            </w:pPr>
            <w:r>
              <w:rPr>
                <w:rFonts w:ascii="Times New Roman" w:hAnsi="Times New Roman"/>
              </w:rPr>
              <w:t>行业</w:t>
            </w:r>
          </w:p>
        </w:tc>
        <w:tc>
          <w:tcPr>
            <w:tcW w:w="2280" w:type="dxa"/>
            <w:vAlign w:val="center"/>
          </w:tcPr>
          <w:p>
            <w:pPr>
              <w:pStyle w:val="39"/>
              <w:rPr>
                <w:rFonts w:ascii="Times New Roman" w:hAnsi="Times New Roman"/>
              </w:rPr>
            </w:pPr>
            <w:r>
              <w:rPr>
                <w:rFonts w:ascii="Times New Roman" w:hAnsi="Times New Roman"/>
              </w:rPr>
              <w:t>项目</w:t>
            </w:r>
          </w:p>
        </w:tc>
        <w:tc>
          <w:tcPr>
            <w:tcW w:w="2954" w:type="dxa"/>
            <w:vAlign w:val="center"/>
          </w:tcPr>
          <w:p>
            <w:pPr>
              <w:pStyle w:val="39"/>
              <w:rPr>
                <w:rFonts w:ascii="Times New Roman" w:hAnsi="Times New Roman"/>
              </w:rPr>
            </w:pPr>
            <w:r>
              <w:rPr>
                <w:rFonts w:ascii="Times New Roman" w:hAnsi="Times New Roman"/>
              </w:rPr>
              <w:t>评估依据</w:t>
            </w:r>
          </w:p>
        </w:tc>
        <w:tc>
          <w:tcPr>
            <w:tcW w:w="1191" w:type="dxa"/>
            <w:vAlign w:val="center"/>
          </w:tcPr>
          <w:p>
            <w:pPr>
              <w:pStyle w:val="39"/>
              <w:rPr>
                <w:rFonts w:ascii="Times New Roman" w:hAnsi="Times New Roman"/>
              </w:rPr>
            </w:pPr>
            <w:r>
              <w:rPr>
                <w:rFonts w:ascii="Times New Roman" w:hAnsi="Times New Roman"/>
              </w:rPr>
              <w:t>得分情况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0" w:hRule="atLeast"/>
          <w:tblHeader/>
          <w:jc w:val="center"/>
        </w:trPr>
        <w:tc>
          <w:tcPr>
            <w:tcW w:w="1871" w:type="dxa"/>
            <w:vMerge w:val="restart"/>
            <w:vAlign w:val="center"/>
          </w:tcPr>
          <w:p>
            <w:pPr>
              <w:pStyle w:val="39"/>
              <w:rPr>
                <w:rFonts w:ascii="Times New Roman" w:hAnsi="Times New Roman"/>
              </w:rPr>
            </w:pPr>
            <w:r>
              <w:rPr>
                <w:rFonts w:ascii="Times New Roman" w:hAnsi="Times New Roman"/>
              </w:rPr>
              <w:t>石油</w:t>
            </w:r>
          </w:p>
          <w:p>
            <w:pPr>
              <w:pStyle w:val="39"/>
              <w:rPr>
                <w:rFonts w:ascii="Times New Roman" w:hAnsi="Times New Roman"/>
              </w:rPr>
            </w:pPr>
            <w:r>
              <w:rPr>
                <w:rFonts w:ascii="Times New Roman" w:hAnsi="Times New Roman"/>
              </w:rPr>
              <w:t>天然气</w:t>
            </w:r>
          </w:p>
        </w:tc>
        <w:tc>
          <w:tcPr>
            <w:tcW w:w="2280" w:type="dxa"/>
            <w:vAlign w:val="center"/>
          </w:tcPr>
          <w:p>
            <w:pPr>
              <w:pStyle w:val="39"/>
              <w:rPr>
                <w:rFonts w:ascii="Times New Roman" w:hAnsi="Times New Roman"/>
              </w:rPr>
            </w:pPr>
            <w:r>
              <w:rPr>
                <w:rFonts w:ascii="Times New Roman" w:hAnsi="Times New Roman"/>
              </w:rPr>
              <w:t>采气井场</w:t>
            </w:r>
          </w:p>
        </w:tc>
        <w:tc>
          <w:tcPr>
            <w:tcW w:w="2954" w:type="dxa"/>
            <w:vAlign w:val="center"/>
          </w:tcPr>
          <w:p>
            <w:pPr>
              <w:pStyle w:val="39"/>
              <w:rPr>
                <w:rFonts w:ascii="Times New Roman" w:hAnsi="Times New Roman"/>
              </w:rPr>
            </w:pPr>
            <w:r>
              <w:rPr>
                <w:rFonts w:ascii="Times New Roman" w:hAnsi="Times New Roman"/>
              </w:rPr>
              <w:t>天然气开采</w:t>
            </w:r>
          </w:p>
        </w:tc>
        <w:tc>
          <w:tcPr>
            <w:tcW w:w="1191" w:type="dxa"/>
            <w:vAlign w:val="center"/>
          </w:tcPr>
          <w:p>
            <w:pPr>
              <w:pStyle w:val="39"/>
              <w:rPr>
                <w:rFonts w:ascii="Times New Roman" w:hAnsi="Times New Roman"/>
              </w:rPr>
            </w:pPr>
            <w:r>
              <w:rPr>
                <w:rFonts w:ascii="Times New Roman" w:hAnsi="Times New Roma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0" w:hRule="atLeast"/>
          <w:tblHeader/>
          <w:jc w:val="center"/>
        </w:trPr>
        <w:tc>
          <w:tcPr>
            <w:tcW w:w="1871" w:type="dxa"/>
            <w:vMerge w:val="continue"/>
            <w:vAlign w:val="center"/>
          </w:tcPr>
          <w:p>
            <w:pPr>
              <w:pStyle w:val="39"/>
              <w:rPr>
                <w:rFonts w:ascii="Times New Roman" w:hAnsi="Times New Roman"/>
              </w:rPr>
            </w:pPr>
          </w:p>
        </w:tc>
        <w:tc>
          <w:tcPr>
            <w:tcW w:w="2280" w:type="dxa"/>
            <w:vAlign w:val="center"/>
          </w:tcPr>
          <w:p>
            <w:pPr>
              <w:pStyle w:val="39"/>
              <w:rPr>
                <w:rFonts w:ascii="Times New Roman" w:hAnsi="Times New Roman"/>
              </w:rPr>
            </w:pPr>
            <w:r>
              <w:rPr>
                <w:rFonts w:ascii="Times New Roman" w:hAnsi="Times New Roman"/>
              </w:rPr>
              <w:t>集气管线</w:t>
            </w:r>
          </w:p>
        </w:tc>
        <w:tc>
          <w:tcPr>
            <w:tcW w:w="2954" w:type="dxa"/>
            <w:vAlign w:val="center"/>
          </w:tcPr>
          <w:p>
            <w:pPr>
              <w:pStyle w:val="39"/>
              <w:rPr>
                <w:rFonts w:ascii="Times New Roman" w:hAnsi="Times New Roman"/>
              </w:rPr>
            </w:pPr>
            <w:r>
              <w:rPr>
                <w:rFonts w:ascii="Times New Roman" w:hAnsi="Times New Roman"/>
              </w:rPr>
              <w:t>油气管线（分段判定）</w:t>
            </w:r>
          </w:p>
        </w:tc>
        <w:tc>
          <w:tcPr>
            <w:tcW w:w="1191" w:type="dxa"/>
            <w:vAlign w:val="center"/>
          </w:tcPr>
          <w:p>
            <w:pPr>
              <w:pStyle w:val="39"/>
              <w:rPr>
                <w:rFonts w:ascii="Times New Roman" w:hAnsi="Times New Roman"/>
              </w:rPr>
            </w:pPr>
            <w:r>
              <w:rPr>
                <w:rFonts w:ascii="Times New Roman" w:hAnsi="Times New Roman"/>
              </w:rPr>
              <w:t>10</w:t>
            </w:r>
          </w:p>
        </w:tc>
      </w:tr>
    </w:tbl>
    <w:p>
      <w:pPr>
        <w:ind w:firstLine="480"/>
        <w:rPr>
          <w:rFonts w:ascii="Times New Roman" w:hAnsi="Times New Roman"/>
        </w:rPr>
      </w:pPr>
    </w:p>
    <w:p>
      <w:pPr>
        <w:pStyle w:val="5"/>
        <w:rPr>
          <w:rFonts w:ascii="Times New Roman" w:hAnsi="Times New Roman"/>
        </w:rPr>
      </w:pPr>
      <w:r>
        <w:rPr>
          <w:rFonts w:ascii="Times New Roman" w:hAnsi="Times New Roman"/>
        </w:rPr>
        <w:t>危险物质及工艺系统危险性P分级</w:t>
      </w:r>
    </w:p>
    <w:p>
      <w:pPr>
        <w:ind w:firstLine="480"/>
        <w:rPr>
          <w:rFonts w:ascii="Times New Roman" w:hAnsi="Times New Roman"/>
          <w:lang w:bidi="ar"/>
        </w:rPr>
      </w:pPr>
      <w:r>
        <w:rPr>
          <w:rFonts w:ascii="Times New Roman" w:hAnsi="Times New Roman"/>
          <w:lang w:bidi="ar"/>
        </w:rPr>
        <w:t>根据危险物质数量与临界量比值（Q）和行业及生产工艺（M），按照导则附录C表C.2确定危险物质及工艺系统危险性等级。Q的计算结果分为四个等级，即（1）Q＜1，可直接评为环境风险潜势为I；（2）1≤Q＜10；（3）10≤Q＜100；（4）Q≥100。生产工艺情况M划分为（1）M&gt;20；（2）10&lt;M≤20；（3）5&lt;M≤10；（4）M=5，分别以M1、M2、M3和M4表示。分级结果见</w:t>
      </w:r>
      <w:r>
        <w:rPr>
          <w:rFonts w:ascii="Times New Roman" w:hAnsi="Times New Roman"/>
          <w:lang w:bidi="ar"/>
        </w:rPr>
        <w:fldChar w:fldCharType="begin"/>
      </w:r>
      <w:r>
        <w:rPr>
          <w:rFonts w:ascii="Times New Roman" w:hAnsi="Times New Roman"/>
          <w:lang w:bidi="ar"/>
        </w:rPr>
        <w:instrText xml:space="preserve"> REF _Ref154580762 \h  \* MERGEFORMAT </w:instrText>
      </w:r>
      <w:r>
        <w:rPr>
          <w:rFonts w:ascii="Times New Roman" w:hAnsi="Times New Roman"/>
          <w:lang w:bidi="ar"/>
        </w:rPr>
        <w:fldChar w:fldCharType="separate"/>
      </w:r>
      <w:r>
        <w:rPr>
          <w:rFonts w:ascii="Times New Roman" w:hAnsi="Times New Roman"/>
        </w:rPr>
        <w:t>表 7</w:t>
      </w:r>
      <w:r>
        <w:rPr>
          <w:rFonts w:ascii="Times New Roman" w:hAnsi="Times New Roman"/>
        </w:rPr>
        <w:noBreakHyphen/>
      </w:r>
      <w:r>
        <w:rPr>
          <w:rFonts w:ascii="Times New Roman" w:hAnsi="Times New Roman"/>
        </w:rPr>
        <w:t>6</w:t>
      </w:r>
      <w:r>
        <w:rPr>
          <w:rFonts w:ascii="Times New Roman" w:hAnsi="Times New Roman"/>
          <w:lang w:bidi="ar"/>
        </w:rPr>
        <w:fldChar w:fldCharType="end"/>
      </w:r>
      <w:r>
        <w:rPr>
          <w:rFonts w:ascii="Times New Roman" w:hAnsi="Times New Roman"/>
          <w:lang w:bidi="ar"/>
        </w:rPr>
        <w:t>。</w:t>
      </w:r>
    </w:p>
    <w:p>
      <w:pPr>
        <w:pStyle w:val="37"/>
        <w:rPr>
          <w:rFonts w:ascii="Times New Roman" w:hAnsi="Times New Roman" w:cs="Times New Roman"/>
        </w:rPr>
      </w:pPr>
      <w:bookmarkStart w:id="257" w:name="_Ref154580762"/>
      <w:bookmarkStart w:id="258" w:name="_Toc107998929"/>
      <w:bookmarkStart w:id="259" w:name="_Toc97245143"/>
      <w:bookmarkStart w:id="260" w:name="_Hlk16063708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bookmarkEnd w:id="257"/>
      <w:r>
        <w:rPr>
          <w:rFonts w:ascii="Times New Roman" w:hAnsi="Times New Roman" w:cs="Times New Roman"/>
        </w:rPr>
        <w:t xml:space="preserve"> 危险物质及工艺系统危险性等级判断（P）</w:t>
      </w:r>
      <w:bookmarkEnd w:id="258"/>
      <w:bookmarkEnd w:id="259"/>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29"/>
        <w:gridCol w:w="2503"/>
        <w:gridCol w:w="1249"/>
        <w:gridCol w:w="1249"/>
        <w:gridCol w:w="1249"/>
        <w:gridCol w:w="12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498" w:type="pct"/>
            <w:vAlign w:val="center"/>
          </w:tcPr>
          <w:p>
            <w:pPr>
              <w:pStyle w:val="39"/>
              <w:rPr>
                <w:rFonts w:ascii="Times New Roman" w:hAnsi="Times New Roman"/>
                <w:lang w:bidi="ar"/>
              </w:rPr>
            </w:pPr>
            <w:r>
              <w:rPr>
                <w:rFonts w:ascii="Times New Roman" w:hAnsi="Times New Roman"/>
                <w:lang w:bidi="ar"/>
              </w:rPr>
              <w:t>序号</w:t>
            </w:r>
          </w:p>
        </w:tc>
        <w:tc>
          <w:tcPr>
            <w:tcW w:w="1503"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lang w:bidi="ar"/>
              </w:rPr>
              <w:t>危险单元</w:t>
            </w:r>
          </w:p>
        </w:tc>
        <w:tc>
          <w:tcPr>
            <w:tcW w:w="1500" w:type="pct"/>
            <w:gridSpan w:val="2"/>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lang w:bidi="ar"/>
              </w:rPr>
              <w:t>危险物质数量与临界量比值</w:t>
            </w:r>
            <w:r>
              <w:rPr>
                <w:rFonts w:ascii="Times New Roman" w:hAnsi="Times New Roman"/>
                <w:i/>
                <w:iCs/>
                <w:lang w:bidi="ar"/>
              </w:rPr>
              <w:t>Q</w:t>
            </w:r>
          </w:p>
        </w:tc>
        <w:tc>
          <w:tcPr>
            <w:tcW w:w="750"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lang w:bidi="ar"/>
              </w:rPr>
              <w:t>行业及生产工艺M</w:t>
            </w:r>
          </w:p>
        </w:tc>
        <w:tc>
          <w:tcPr>
            <w:tcW w:w="749"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lang w:bidi="ar"/>
              </w:rPr>
              <w:t>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498" w:type="pct"/>
            <w:vAlign w:val="center"/>
          </w:tcPr>
          <w:p>
            <w:pPr>
              <w:pStyle w:val="39"/>
              <w:rPr>
                <w:rFonts w:ascii="Times New Roman" w:hAnsi="Times New Roman"/>
              </w:rPr>
            </w:pPr>
            <w:r>
              <w:rPr>
                <w:rFonts w:ascii="Times New Roman" w:hAnsi="Times New Roman"/>
              </w:rPr>
              <w:t>1</w:t>
            </w:r>
          </w:p>
        </w:tc>
        <w:tc>
          <w:tcPr>
            <w:tcW w:w="1503"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rPr>
              <w:t>宣探1井站</w:t>
            </w:r>
          </w:p>
        </w:tc>
        <w:tc>
          <w:tcPr>
            <w:tcW w:w="750"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rPr>
              <w:t>0.59</w:t>
            </w:r>
          </w:p>
        </w:tc>
        <w:tc>
          <w:tcPr>
            <w:tcW w:w="750"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i/>
                <w:iCs/>
                <w:lang w:bidi="ar"/>
              </w:rPr>
              <w:t>Q</w:t>
            </w:r>
            <w:r>
              <w:rPr>
                <w:rFonts w:ascii="Times New Roman" w:hAnsi="Times New Roman"/>
                <w:lang w:bidi="ar"/>
              </w:rPr>
              <w:t>＜1</w:t>
            </w:r>
          </w:p>
        </w:tc>
        <w:tc>
          <w:tcPr>
            <w:tcW w:w="750"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lang w:bidi="ar"/>
              </w:rPr>
              <w:t>M3</w:t>
            </w:r>
          </w:p>
        </w:tc>
        <w:tc>
          <w:tcPr>
            <w:tcW w:w="749"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498" w:type="pct"/>
            <w:vAlign w:val="center"/>
          </w:tcPr>
          <w:p>
            <w:pPr>
              <w:pStyle w:val="39"/>
              <w:rPr>
                <w:rFonts w:ascii="Times New Roman" w:hAnsi="Times New Roman"/>
              </w:rPr>
            </w:pPr>
            <w:r>
              <w:rPr>
                <w:rFonts w:ascii="Times New Roman" w:hAnsi="Times New Roman"/>
              </w:rPr>
              <w:t>2</w:t>
            </w:r>
          </w:p>
        </w:tc>
        <w:tc>
          <w:tcPr>
            <w:tcW w:w="1503"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rPr>
              <w:t>宣兴1井站</w:t>
            </w:r>
          </w:p>
        </w:tc>
        <w:tc>
          <w:tcPr>
            <w:tcW w:w="750"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rPr>
              <w:t>0.65</w:t>
            </w:r>
          </w:p>
        </w:tc>
        <w:tc>
          <w:tcPr>
            <w:tcW w:w="750"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i/>
                <w:iCs/>
                <w:lang w:bidi="ar"/>
              </w:rPr>
              <w:t>Q</w:t>
            </w:r>
            <w:r>
              <w:rPr>
                <w:rFonts w:ascii="Times New Roman" w:hAnsi="Times New Roman"/>
                <w:lang w:bidi="ar"/>
              </w:rPr>
              <w:t>＜1</w:t>
            </w:r>
          </w:p>
        </w:tc>
        <w:tc>
          <w:tcPr>
            <w:tcW w:w="750"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lang w:bidi="ar"/>
              </w:rPr>
              <w:t>M3</w:t>
            </w:r>
          </w:p>
        </w:tc>
        <w:tc>
          <w:tcPr>
            <w:tcW w:w="749"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498" w:type="pct"/>
            <w:vAlign w:val="center"/>
          </w:tcPr>
          <w:p>
            <w:pPr>
              <w:pStyle w:val="39"/>
              <w:rPr>
                <w:rFonts w:ascii="Times New Roman" w:hAnsi="Times New Roman"/>
              </w:rPr>
            </w:pPr>
            <w:r>
              <w:rPr>
                <w:rFonts w:ascii="Times New Roman" w:hAnsi="Times New Roman"/>
              </w:rPr>
              <w:t>3</w:t>
            </w:r>
          </w:p>
        </w:tc>
        <w:tc>
          <w:tcPr>
            <w:tcW w:w="1503"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rPr>
              <w:t>宣探集气干线</w:t>
            </w:r>
          </w:p>
          <w:p>
            <w:pPr>
              <w:pStyle w:val="39"/>
              <w:rPr>
                <w:rFonts w:ascii="Times New Roman" w:hAnsi="Times New Roman"/>
              </w:rPr>
            </w:pPr>
            <w:r>
              <w:rPr>
                <w:rFonts w:ascii="Times New Roman" w:hAnsi="Times New Roman"/>
              </w:rPr>
              <w:t>宣兴1井-宣探阀室</w:t>
            </w:r>
          </w:p>
        </w:tc>
        <w:tc>
          <w:tcPr>
            <w:tcW w:w="750"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rPr>
              <w:t>1.57</w:t>
            </w:r>
          </w:p>
        </w:tc>
        <w:tc>
          <w:tcPr>
            <w:tcW w:w="750"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lang w:bidi="ar"/>
              </w:rPr>
              <w:t>1≤</w:t>
            </w:r>
            <w:r>
              <w:rPr>
                <w:rFonts w:ascii="Times New Roman" w:hAnsi="Times New Roman"/>
                <w:i/>
                <w:iCs/>
                <w:lang w:bidi="ar"/>
              </w:rPr>
              <w:t>Q</w:t>
            </w:r>
            <w:r>
              <w:rPr>
                <w:rFonts w:ascii="Times New Roman" w:hAnsi="Times New Roman"/>
                <w:lang w:bidi="ar"/>
              </w:rPr>
              <w:t>＜10</w:t>
            </w:r>
          </w:p>
        </w:tc>
        <w:tc>
          <w:tcPr>
            <w:tcW w:w="750"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lang w:bidi="ar"/>
              </w:rPr>
              <w:t>M3</w:t>
            </w:r>
          </w:p>
        </w:tc>
        <w:tc>
          <w:tcPr>
            <w:tcW w:w="749"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lang w:bidi="ar"/>
              </w:rPr>
              <w:t>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498" w:type="pct"/>
            <w:vAlign w:val="center"/>
          </w:tcPr>
          <w:p>
            <w:pPr>
              <w:pStyle w:val="39"/>
              <w:rPr>
                <w:rFonts w:ascii="Times New Roman" w:hAnsi="Times New Roman"/>
              </w:rPr>
            </w:pPr>
            <w:r>
              <w:rPr>
                <w:rFonts w:ascii="Times New Roman" w:hAnsi="Times New Roman"/>
              </w:rPr>
              <w:t>4</w:t>
            </w:r>
          </w:p>
        </w:tc>
        <w:tc>
          <w:tcPr>
            <w:tcW w:w="1503"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rPr>
              <w:t>宣探集气干线</w:t>
            </w:r>
          </w:p>
          <w:p>
            <w:pPr>
              <w:pStyle w:val="39"/>
              <w:rPr>
                <w:rFonts w:ascii="Times New Roman" w:hAnsi="Times New Roman"/>
                <w:lang w:bidi="ar"/>
              </w:rPr>
            </w:pPr>
            <w:r>
              <w:rPr>
                <w:rFonts w:ascii="Times New Roman" w:hAnsi="Times New Roman"/>
              </w:rPr>
              <w:t>宣探阀室-宣探清管站</w:t>
            </w:r>
          </w:p>
        </w:tc>
        <w:tc>
          <w:tcPr>
            <w:tcW w:w="750" w:type="pct"/>
            <w:shd w:val="clear" w:color="auto" w:fill="auto"/>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4.16</w:t>
            </w:r>
          </w:p>
        </w:tc>
        <w:tc>
          <w:tcPr>
            <w:tcW w:w="750" w:type="pct"/>
            <w:shd w:val="clear" w:color="auto" w:fill="auto"/>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1≤</w:t>
            </w:r>
            <w:r>
              <w:rPr>
                <w:rFonts w:ascii="Times New Roman" w:hAnsi="Times New Roman"/>
                <w:i/>
                <w:iCs/>
                <w:lang w:bidi="ar"/>
              </w:rPr>
              <w:t>Q</w:t>
            </w:r>
            <w:r>
              <w:rPr>
                <w:rFonts w:ascii="Times New Roman" w:hAnsi="Times New Roman"/>
                <w:lang w:bidi="ar"/>
              </w:rPr>
              <w:t>＜10</w:t>
            </w:r>
          </w:p>
        </w:tc>
        <w:tc>
          <w:tcPr>
            <w:tcW w:w="750" w:type="pct"/>
            <w:shd w:val="clear" w:color="auto" w:fill="auto"/>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M3</w:t>
            </w:r>
          </w:p>
        </w:tc>
        <w:tc>
          <w:tcPr>
            <w:tcW w:w="749" w:type="pct"/>
            <w:shd w:val="clear" w:color="auto" w:fill="auto"/>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498" w:type="pct"/>
            <w:vAlign w:val="center"/>
          </w:tcPr>
          <w:p>
            <w:pPr>
              <w:pStyle w:val="39"/>
              <w:rPr>
                <w:rFonts w:ascii="Times New Roman" w:hAnsi="Times New Roman"/>
              </w:rPr>
            </w:pPr>
            <w:r>
              <w:rPr>
                <w:rFonts w:ascii="Times New Roman" w:hAnsi="Times New Roman"/>
              </w:rPr>
              <w:t>5</w:t>
            </w:r>
          </w:p>
        </w:tc>
        <w:tc>
          <w:tcPr>
            <w:tcW w:w="1503"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rPr>
              <w:t>宣探联络线</w:t>
            </w:r>
          </w:p>
          <w:p>
            <w:pPr>
              <w:pStyle w:val="39"/>
              <w:rPr>
                <w:rFonts w:ascii="Times New Roman" w:hAnsi="Times New Roman"/>
                <w:lang w:bidi="ar"/>
              </w:rPr>
            </w:pPr>
            <w:r>
              <w:rPr>
                <w:rFonts w:ascii="Times New Roman" w:hAnsi="Times New Roman"/>
              </w:rPr>
              <w:t>宣探清管站-304集气站</w:t>
            </w:r>
          </w:p>
        </w:tc>
        <w:tc>
          <w:tcPr>
            <w:tcW w:w="750" w:type="pct"/>
            <w:shd w:val="clear" w:color="auto" w:fill="auto"/>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0.38</w:t>
            </w:r>
          </w:p>
        </w:tc>
        <w:tc>
          <w:tcPr>
            <w:tcW w:w="750" w:type="pct"/>
            <w:shd w:val="clear" w:color="auto" w:fill="auto"/>
            <w:tcMar>
              <w:top w:w="15" w:type="dxa"/>
              <w:left w:w="15" w:type="dxa"/>
              <w:right w:w="15" w:type="dxa"/>
            </w:tcMar>
            <w:vAlign w:val="center"/>
          </w:tcPr>
          <w:p>
            <w:pPr>
              <w:pStyle w:val="39"/>
              <w:rPr>
                <w:rFonts w:ascii="Times New Roman" w:hAnsi="Times New Roman"/>
                <w:lang w:bidi="ar"/>
              </w:rPr>
            </w:pPr>
            <w:r>
              <w:rPr>
                <w:rFonts w:ascii="Times New Roman" w:hAnsi="Times New Roman"/>
                <w:i/>
                <w:iCs/>
                <w:lang w:bidi="ar"/>
              </w:rPr>
              <w:t>Q</w:t>
            </w:r>
            <w:r>
              <w:rPr>
                <w:rFonts w:ascii="Times New Roman" w:hAnsi="Times New Roman"/>
                <w:lang w:bidi="ar"/>
              </w:rPr>
              <w:t>＜1</w:t>
            </w:r>
          </w:p>
        </w:tc>
        <w:tc>
          <w:tcPr>
            <w:tcW w:w="750" w:type="pct"/>
            <w:shd w:val="clear" w:color="auto" w:fill="auto"/>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M3</w:t>
            </w:r>
          </w:p>
        </w:tc>
        <w:tc>
          <w:tcPr>
            <w:tcW w:w="749" w:type="pct"/>
            <w:shd w:val="clear" w:color="auto" w:fill="auto"/>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498" w:type="pct"/>
            <w:vAlign w:val="center"/>
          </w:tcPr>
          <w:p>
            <w:pPr>
              <w:pStyle w:val="39"/>
              <w:rPr>
                <w:rFonts w:ascii="Times New Roman" w:hAnsi="Times New Roman"/>
              </w:rPr>
            </w:pPr>
            <w:r>
              <w:rPr>
                <w:rFonts w:ascii="Times New Roman" w:hAnsi="Times New Roman"/>
              </w:rPr>
              <w:t>6</w:t>
            </w:r>
          </w:p>
        </w:tc>
        <w:tc>
          <w:tcPr>
            <w:tcW w:w="1503" w:type="pct"/>
            <w:shd w:val="clear" w:color="auto" w:fill="auto"/>
            <w:tcMar>
              <w:top w:w="15" w:type="dxa"/>
              <w:left w:w="15" w:type="dxa"/>
              <w:right w:w="15" w:type="dxa"/>
            </w:tcMar>
            <w:vAlign w:val="center"/>
          </w:tcPr>
          <w:p>
            <w:pPr>
              <w:pStyle w:val="39"/>
              <w:rPr>
                <w:rFonts w:ascii="Times New Roman" w:hAnsi="Times New Roman"/>
              </w:rPr>
            </w:pPr>
            <w:r>
              <w:rPr>
                <w:rFonts w:ascii="Times New Roman" w:hAnsi="Times New Roman"/>
              </w:rPr>
              <w:t>宣探集气支线</w:t>
            </w:r>
          </w:p>
          <w:p>
            <w:pPr>
              <w:pStyle w:val="39"/>
              <w:rPr>
                <w:rFonts w:ascii="Times New Roman" w:hAnsi="Times New Roman"/>
                <w:lang w:bidi="ar"/>
              </w:rPr>
            </w:pPr>
            <w:r>
              <w:rPr>
                <w:rFonts w:ascii="Times New Roman" w:hAnsi="Times New Roman"/>
              </w:rPr>
              <w:t>宣探1井-宣兴1井</w:t>
            </w:r>
          </w:p>
        </w:tc>
        <w:tc>
          <w:tcPr>
            <w:tcW w:w="750" w:type="pct"/>
            <w:shd w:val="clear" w:color="auto" w:fill="auto"/>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0.84</w:t>
            </w:r>
          </w:p>
        </w:tc>
        <w:tc>
          <w:tcPr>
            <w:tcW w:w="750" w:type="pct"/>
            <w:shd w:val="clear" w:color="auto" w:fill="auto"/>
            <w:tcMar>
              <w:top w:w="15" w:type="dxa"/>
              <w:left w:w="15" w:type="dxa"/>
              <w:right w:w="15" w:type="dxa"/>
            </w:tcMar>
            <w:vAlign w:val="center"/>
          </w:tcPr>
          <w:p>
            <w:pPr>
              <w:pStyle w:val="39"/>
              <w:rPr>
                <w:rFonts w:ascii="Times New Roman" w:hAnsi="Times New Roman"/>
                <w:lang w:bidi="ar"/>
              </w:rPr>
            </w:pPr>
            <w:r>
              <w:rPr>
                <w:rFonts w:ascii="Times New Roman" w:hAnsi="Times New Roman"/>
                <w:i/>
                <w:iCs/>
                <w:lang w:bidi="ar"/>
              </w:rPr>
              <w:t>Q</w:t>
            </w:r>
            <w:r>
              <w:rPr>
                <w:rFonts w:ascii="Times New Roman" w:hAnsi="Times New Roman"/>
                <w:lang w:bidi="ar"/>
              </w:rPr>
              <w:t>＜1</w:t>
            </w:r>
          </w:p>
        </w:tc>
        <w:tc>
          <w:tcPr>
            <w:tcW w:w="750" w:type="pct"/>
            <w:shd w:val="clear" w:color="auto" w:fill="auto"/>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M3</w:t>
            </w:r>
          </w:p>
        </w:tc>
        <w:tc>
          <w:tcPr>
            <w:tcW w:w="749" w:type="pct"/>
            <w:shd w:val="clear" w:color="auto" w:fill="auto"/>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w:t>
            </w:r>
          </w:p>
        </w:tc>
      </w:tr>
    </w:tbl>
    <w:p>
      <w:pPr>
        <w:ind w:firstLine="360"/>
        <w:rPr>
          <w:rFonts w:ascii="Times New Roman" w:hAnsi="Times New Roman"/>
          <w:sz w:val="18"/>
          <w:szCs w:val="18"/>
        </w:rPr>
      </w:pPr>
      <w:r>
        <w:rPr>
          <w:rFonts w:ascii="Times New Roman" w:hAnsi="Times New Roman"/>
          <w:sz w:val="18"/>
          <w:szCs w:val="18"/>
        </w:rPr>
        <w:t>备注：Q值小于1时，不判定P值，环境风险潜势为Ⅰ。</w:t>
      </w:r>
      <w:bookmarkEnd w:id="260"/>
    </w:p>
    <w:p>
      <w:pPr>
        <w:pStyle w:val="4"/>
        <w:rPr>
          <w:rFonts w:ascii="Times New Roman" w:hAnsi="Times New Roman" w:cs="Times New Roman"/>
        </w:rPr>
      </w:pPr>
      <w:r>
        <w:rPr>
          <w:rFonts w:ascii="Times New Roman" w:hAnsi="Times New Roman" w:cs="Times New Roman"/>
        </w:rPr>
        <w:t>E的分级</w:t>
      </w:r>
    </w:p>
    <w:p>
      <w:pPr>
        <w:ind w:firstLine="480"/>
        <w:rPr>
          <w:rFonts w:ascii="Times New Roman" w:hAnsi="Times New Roman"/>
        </w:rPr>
      </w:pPr>
      <w:r>
        <w:rPr>
          <w:rFonts w:ascii="Times New Roman" w:hAnsi="Times New Roman"/>
        </w:rPr>
        <w:t>根据对本项目环境风险敏感目标的调查和梳理，依据《建设项目环境风险评价技术导则》（HJ169-2018）附录D环境敏感程度（E）的分级，确定本项目各环境要素环境敏感程度E的分级。</w:t>
      </w:r>
    </w:p>
    <w:p>
      <w:pPr>
        <w:pStyle w:val="5"/>
        <w:rPr>
          <w:rFonts w:ascii="Times New Roman" w:hAnsi="Times New Roman"/>
        </w:rPr>
      </w:pPr>
      <w:r>
        <w:rPr>
          <w:rFonts w:ascii="Times New Roman" w:hAnsi="Times New Roman"/>
        </w:rPr>
        <w:t>大气环境敏感程度</w:t>
      </w:r>
    </w:p>
    <w:p>
      <w:pPr>
        <w:ind w:firstLine="480"/>
        <w:rPr>
          <w:rFonts w:ascii="Times New Roman" w:hAnsi="Times New Roman"/>
        </w:rPr>
      </w:pPr>
      <w:r>
        <w:rPr>
          <w:rFonts w:ascii="Times New Roman" w:hAnsi="Times New Roman"/>
        </w:rPr>
        <w:t>本项目井站、各管段分别判断大气环境敏感程度，具体见</w:t>
      </w:r>
      <w:r>
        <w:rPr>
          <w:rFonts w:ascii="Times New Roman" w:hAnsi="Times New Roman"/>
        </w:rPr>
        <w:fldChar w:fldCharType="begin"/>
      </w:r>
      <w:r>
        <w:rPr>
          <w:rFonts w:ascii="Times New Roman" w:hAnsi="Times New Roman"/>
        </w:rPr>
        <w:instrText xml:space="preserve"> REF _Ref154584106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7</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261" w:name="_Ref15458410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bookmarkEnd w:id="261"/>
      <w:r>
        <w:rPr>
          <w:rFonts w:ascii="Times New Roman" w:hAnsi="Times New Roman" w:cs="Times New Roman"/>
        </w:rPr>
        <w:t xml:space="preserve">   大气环境敏感的程度分级</w:t>
      </w:r>
    </w:p>
    <w:tbl>
      <w:tblPr>
        <w:tblStyle w:val="28"/>
        <w:tblW w:w="544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78"/>
        <w:gridCol w:w="2608"/>
        <w:gridCol w:w="5129"/>
        <w:gridCol w:w="9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tblHeader/>
          <w:jc w:val="center"/>
        </w:trPr>
        <w:tc>
          <w:tcPr>
            <w:tcW w:w="377"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序号</w:t>
            </w:r>
          </w:p>
        </w:tc>
        <w:tc>
          <w:tcPr>
            <w:tcW w:w="2595"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工艺单元</w:t>
            </w:r>
          </w:p>
        </w:tc>
        <w:tc>
          <w:tcPr>
            <w:tcW w:w="5104"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分级依据</w:t>
            </w:r>
          </w:p>
        </w:tc>
        <w:tc>
          <w:tcPr>
            <w:tcW w:w="953" w:type="dxa"/>
            <w:tcBorders>
              <w:bottom w:val="single" w:color="auto" w:sz="4" w:space="0"/>
            </w:tcBorders>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大气环境敏感程度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377"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1</w:t>
            </w:r>
          </w:p>
        </w:tc>
        <w:tc>
          <w:tcPr>
            <w:tcW w:w="2595"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宣探1井站</w:t>
            </w:r>
          </w:p>
        </w:tc>
        <w:tc>
          <w:tcPr>
            <w:tcW w:w="5104"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500米范围内325人，5公里范围内34060人</w:t>
            </w:r>
          </w:p>
        </w:tc>
        <w:tc>
          <w:tcPr>
            <w:tcW w:w="953"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377"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2</w:t>
            </w:r>
          </w:p>
        </w:tc>
        <w:tc>
          <w:tcPr>
            <w:tcW w:w="2595"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宣兴1井站</w:t>
            </w:r>
          </w:p>
        </w:tc>
        <w:tc>
          <w:tcPr>
            <w:tcW w:w="5104"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500米范围内165人，5公里范围内24875人</w:t>
            </w:r>
          </w:p>
        </w:tc>
        <w:tc>
          <w:tcPr>
            <w:tcW w:w="953"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377"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3</w:t>
            </w:r>
          </w:p>
        </w:tc>
        <w:tc>
          <w:tcPr>
            <w:tcW w:w="2595"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宣探集气干线</w:t>
            </w:r>
          </w:p>
          <w:p>
            <w:pPr>
              <w:pStyle w:val="39"/>
              <w:rPr>
                <w:rFonts w:ascii="Times New Roman" w:hAnsi="Times New Roman"/>
              </w:rPr>
            </w:pPr>
            <w:r>
              <w:rPr>
                <w:rFonts w:ascii="Times New Roman" w:hAnsi="Times New Roman"/>
              </w:rPr>
              <w:t>宣兴1井-宣探阀室</w:t>
            </w:r>
          </w:p>
        </w:tc>
        <w:tc>
          <w:tcPr>
            <w:tcW w:w="5104"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两侧200米范围内共21人，每公里范围＜100人</w:t>
            </w:r>
          </w:p>
        </w:tc>
        <w:tc>
          <w:tcPr>
            <w:tcW w:w="953"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377"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4</w:t>
            </w:r>
          </w:p>
        </w:tc>
        <w:tc>
          <w:tcPr>
            <w:tcW w:w="2595"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宣探集气干线</w:t>
            </w:r>
          </w:p>
          <w:p>
            <w:pPr>
              <w:pStyle w:val="39"/>
              <w:rPr>
                <w:rFonts w:ascii="Times New Roman" w:hAnsi="Times New Roman"/>
              </w:rPr>
            </w:pPr>
            <w:r>
              <w:rPr>
                <w:rFonts w:ascii="Times New Roman" w:hAnsi="Times New Roman"/>
              </w:rPr>
              <w:t>宣探阀室-宣探清管站</w:t>
            </w:r>
          </w:p>
        </w:tc>
        <w:tc>
          <w:tcPr>
            <w:tcW w:w="5104"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两侧200米范围内共427人，每公里范围内＞100人，＜200人</w:t>
            </w:r>
          </w:p>
        </w:tc>
        <w:tc>
          <w:tcPr>
            <w:tcW w:w="953"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377"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5</w:t>
            </w:r>
          </w:p>
        </w:tc>
        <w:tc>
          <w:tcPr>
            <w:tcW w:w="2595"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宣探联络线</w:t>
            </w:r>
          </w:p>
          <w:p>
            <w:pPr>
              <w:pStyle w:val="39"/>
              <w:rPr>
                <w:rFonts w:ascii="Times New Roman" w:hAnsi="Times New Roman"/>
              </w:rPr>
            </w:pPr>
            <w:r>
              <w:rPr>
                <w:rFonts w:ascii="Times New Roman" w:hAnsi="Times New Roman"/>
              </w:rPr>
              <w:t>宣探清管站-304集气站</w:t>
            </w:r>
          </w:p>
        </w:tc>
        <w:tc>
          <w:tcPr>
            <w:tcW w:w="5104"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两侧200米范围内共45人，每公里范围内＜100人</w:t>
            </w:r>
          </w:p>
        </w:tc>
        <w:tc>
          <w:tcPr>
            <w:tcW w:w="953"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377"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6</w:t>
            </w:r>
          </w:p>
        </w:tc>
        <w:tc>
          <w:tcPr>
            <w:tcW w:w="2595"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宣探集气支线</w:t>
            </w:r>
          </w:p>
          <w:p>
            <w:pPr>
              <w:pStyle w:val="39"/>
              <w:rPr>
                <w:rFonts w:ascii="Times New Roman" w:hAnsi="Times New Roman"/>
              </w:rPr>
            </w:pPr>
            <w:r>
              <w:rPr>
                <w:rFonts w:ascii="Times New Roman" w:hAnsi="Times New Roman"/>
              </w:rPr>
              <w:t>宣探1井-宣兴1井</w:t>
            </w:r>
          </w:p>
        </w:tc>
        <w:tc>
          <w:tcPr>
            <w:tcW w:w="5104"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两侧200米范围内共86人，每公里范围内＜100人</w:t>
            </w:r>
          </w:p>
        </w:tc>
        <w:tc>
          <w:tcPr>
            <w:tcW w:w="953" w:type="dxa"/>
            <w:shd w:val="clear" w:color="auto" w:fill="auto"/>
            <w:noWrap/>
            <w:tcMar>
              <w:top w:w="15" w:type="dxa"/>
              <w:left w:w="15" w:type="dxa"/>
              <w:right w:w="15" w:type="dxa"/>
            </w:tcMar>
            <w:vAlign w:val="center"/>
          </w:tcPr>
          <w:p>
            <w:pPr>
              <w:pStyle w:val="39"/>
              <w:rPr>
                <w:rFonts w:ascii="Times New Roman" w:hAnsi="Times New Roman"/>
              </w:rPr>
            </w:pPr>
            <w:r>
              <w:rPr>
                <w:rFonts w:ascii="Times New Roman" w:hAnsi="Times New Roman"/>
              </w:rPr>
              <w:t>E3</w:t>
            </w:r>
          </w:p>
        </w:tc>
      </w:tr>
    </w:tbl>
    <w:p>
      <w:pPr>
        <w:ind w:firstLine="480"/>
        <w:rPr>
          <w:rFonts w:ascii="Times New Roman" w:hAnsi="Times New Roman"/>
        </w:rPr>
      </w:pPr>
    </w:p>
    <w:p>
      <w:pPr>
        <w:pStyle w:val="5"/>
        <w:rPr>
          <w:rFonts w:ascii="Times New Roman" w:hAnsi="Times New Roman"/>
        </w:rPr>
      </w:pPr>
      <w:r>
        <w:rPr>
          <w:rFonts w:ascii="Times New Roman" w:hAnsi="Times New Roman"/>
        </w:rPr>
        <w:t>地表水环境敏感程度</w:t>
      </w:r>
    </w:p>
    <w:p>
      <w:pPr>
        <w:ind w:firstLine="480"/>
        <w:rPr>
          <w:rFonts w:ascii="Times New Roman" w:hAnsi="Times New Roman"/>
        </w:rPr>
      </w:pPr>
      <w:r>
        <w:rPr>
          <w:rFonts w:ascii="Times New Roman" w:hAnsi="Times New Roman"/>
        </w:rPr>
        <w:t>本项目井站、各管段分别判断地表水环境敏感程度，具体见</w:t>
      </w:r>
      <w:r>
        <w:rPr>
          <w:rFonts w:ascii="Times New Roman" w:hAnsi="Times New Roman"/>
        </w:rPr>
        <w:fldChar w:fldCharType="begin"/>
      </w:r>
      <w:r>
        <w:rPr>
          <w:rFonts w:ascii="Times New Roman" w:hAnsi="Times New Roman"/>
        </w:rPr>
        <w:instrText xml:space="preserve"> REF _Ref154584324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8</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262" w:name="_Ref154584324"/>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bookmarkEnd w:id="262"/>
      <w:r>
        <w:rPr>
          <w:rFonts w:ascii="Times New Roman" w:hAnsi="Times New Roman" w:cs="Times New Roman"/>
        </w:rPr>
        <w:t xml:space="preserve">   地表水环境敏感程度分级</w:t>
      </w:r>
    </w:p>
    <w:tbl>
      <w:tblPr>
        <w:tblStyle w:val="28"/>
        <w:tblW w:w="52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51"/>
        <w:gridCol w:w="2251"/>
        <w:gridCol w:w="1708"/>
        <w:gridCol w:w="607"/>
        <w:gridCol w:w="10"/>
        <w:gridCol w:w="1867"/>
        <w:gridCol w:w="650"/>
        <w:gridCol w:w="12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3" w:hRule="atLeast"/>
          <w:jc w:val="center"/>
        </w:trPr>
        <w:tc>
          <w:tcPr>
            <w:tcW w:w="449" w:type="dxa"/>
            <w:vMerge w:val="restart"/>
            <w:noWrap/>
            <w:tcMar>
              <w:top w:w="15" w:type="dxa"/>
              <w:left w:w="15" w:type="dxa"/>
              <w:right w:w="15" w:type="dxa"/>
            </w:tcMar>
            <w:vAlign w:val="center"/>
          </w:tcPr>
          <w:p>
            <w:pPr>
              <w:pStyle w:val="39"/>
              <w:rPr>
                <w:rFonts w:ascii="Times New Roman" w:hAnsi="Times New Roman"/>
              </w:rPr>
            </w:pPr>
            <w:r>
              <w:rPr>
                <w:rFonts w:ascii="Times New Roman" w:hAnsi="Times New Roman"/>
              </w:rPr>
              <w:t>序号</w:t>
            </w:r>
          </w:p>
        </w:tc>
        <w:tc>
          <w:tcPr>
            <w:tcW w:w="2240" w:type="dxa"/>
            <w:vMerge w:val="restart"/>
            <w:noWrap/>
            <w:tcMar>
              <w:top w:w="15" w:type="dxa"/>
              <w:left w:w="15" w:type="dxa"/>
              <w:right w:w="15" w:type="dxa"/>
            </w:tcMar>
            <w:vAlign w:val="center"/>
          </w:tcPr>
          <w:p>
            <w:pPr>
              <w:pStyle w:val="39"/>
              <w:rPr>
                <w:rFonts w:ascii="Times New Roman" w:hAnsi="Times New Roman"/>
              </w:rPr>
            </w:pPr>
            <w:r>
              <w:rPr>
                <w:rFonts w:ascii="Times New Roman" w:hAnsi="Times New Roman"/>
              </w:rPr>
              <w:t>工艺单元</w:t>
            </w:r>
          </w:p>
        </w:tc>
        <w:tc>
          <w:tcPr>
            <w:tcW w:w="2314" w:type="dxa"/>
            <w:gridSpan w:val="3"/>
            <w:tcMar>
              <w:top w:w="15" w:type="dxa"/>
              <w:left w:w="15" w:type="dxa"/>
              <w:right w:w="15" w:type="dxa"/>
            </w:tcMar>
            <w:vAlign w:val="center"/>
          </w:tcPr>
          <w:p>
            <w:pPr>
              <w:pStyle w:val="39"/>
              <w:rPr>
                <w:rFonts w:ascii="Times New Roman" w:hAnsi="Times New Roman"/>
              </w:rPr>
            </w:pPr>
            <w:r>
              <w:rPr>
                <w:rFonts w:ascii="Times New Roman" w:hAnsi="Times New Roman"/>
              </w:rPr>
              <w:t>地表水功能敏感性分区</w:t>
            </w:r>
          </w:p>
        </w:tc>
        <w:tc>
          <w:tcPr>
            <w:tcW w:w="2505" w:type="dxa"/>
            <w:gridSpan w:val="2"/>
            <w:tcMar>
              <w:top w:w="15" w:type="dxa"/>
              <w:left w:w="15" w:type="dxa"/>
              <w:right w:w="15" w:type="dxa"/>
            </w:tcMar>
            <w:vAlign w:val="center"/>
          </w:tcPr>
          <w:p>
            <w:pPr>
              <w:pStyle w:val="39"/>
              <w:rPr>
                <w:rFonts w:ascii="Times New Roman" w:hAnsi="Times New Roman"/>
              </w:rPr>
            </w:pPr>
            <w:r>
              <w:rPr>
                <w:rFonts w:ascii="Times New Roman" w:hAnsi="Times New Roman"/>
              </w:rPr>
              <w:t>地表水环境敏感目标分级</w:t>
            </w:r>
          </w:p>
        </w:tc>
        <w:tc>
          <w:tcPr>
            <w:tcW w:w="1276" w:type="dxa"/>
            <w:vMerge w:val="restart"/>
            <w:tcMar>
              <w:top w:w="15" w:type="dxa"/>
              <w:left w:w="15" w:type="dxa"/>
              <w:right w:w="15" w:type="dxa"/>
            </w:tcMar>
            <w:vAlign w:val="center"/>
          </w:tcPr>
          <w:p>
            <w:pPr>
              <w:pStyle w:val="39"/>
              <w:rPr>
                <w:rFonts w:ascii="Times New Roman" w:hAnsi="Times New Roman"/>
              </w:rPr>
            </w:pPr>
            <w:r>
              <w:rPr>
                <w:rFonts w:ascii="Times New Roman" w:hAnsi="Times New Roman"/>
              </w:rPr>
              <w:t>地表水环境敏感程度分级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49" w:type="dxa"/>
            <w:vMerge w:val="continue"/>
            <w:noWrap/>
            <w:tcMar>
              <w:top w:w="15" w:type="dxa"/>
              <w:left w:w="15" w:type="dxa"/>
              <w:right w:w="15" w:type="dxa"/>
            </w:tcMar>
            <w:vAlign w:val="center"/>
          </w:tcPr>
          <w:p>
            <w:pPr>
              <w:pStyle w:val="39"/>
              <w:rPr>
                <w:rFonts w:ascii="Times New Roman" w:hAnsi="Times New Roman"/>
              </w:rPr>
            </w:pPr>
          </w:p>
        </w:tc>
        <w:tc>
          <w:tcPr>
            <w:tcW w:w="2240" w:type="dxa"/>
            <w:vMerge w:val="continue"/>
            <w:noWrap/>
            <w:tcMar>
              <w:top w:w="15" w:type="dxa"/>
              <w:left w:w="15" w:type="dxa"/>
              <w:right w:w="15" w:type="dxa"/>
            </w:tcMar>
            <w:vAlign w:val="center"/>
          </w:tcPr>
          <w:p>
            <w:pPr>
              <w:pStyle w:val="39"/>
              <w:rPr>
                <w:rFonts w:ascii="Times New Roman" w:hAnsi="Times New Roman"/>
              </w:rPr>
            </w:pPr>
          </w:p>
        </w:tc>
        <w:tc>
          <w:tcPr>
            <w:tcW w:w="1700" w:type="dxa"/>
            <w:tcMar>
              <w:top w:w="15" w:type="dxa"/>
              <w:left w:w="15" w:type="dxa"/>
              <w:right w:w="15" w:type="dxa"/>
            </w:tcMar>
            <w:vAlign w:val="center"/>
          </w:tcPr>
          <w:p>
            <w:pPr>
              <w:pStyle w:val="39"/>
              <w:rPr>
                <w:rFonts w:ascii="Times New Roman" w:hAnsi="Times New Roman"/>
              </w:rPr>
            </w:pPr>
            <w:r>
              <w:rPr>
                <w:rFonts w:ascii="Times New Roman" w:hAnsi="Times New Roman"/>
              </w:rPr>
              <w:t>描述</w:t>
            </w:r>
          </w:p>
        </w:tc>
        <w:tc>
          <w:tcPr>
            <w:tcW w:w="604" w:type="dxa"/>
            <w:tcMar>
              <w:top w:w="15" w:type="dxa"/>
              <w:left w:w="15" w:type="dxa"/>
              <w:right w:w="15" w:type="dxa"/>
            </w:tcMar>
            <w:vAlign w:val="center"/>
          </w:tcPr>
          <w:p>
            <w:pPr>
              <w:pStyle w:val="39"/>
              <w:rPr>
                <w:rFonts w:ascii="Times New Roman" w:hAnsi="Times New Roman"/>
              </w:rPr>
            </w:pPr>
            <w:r>
              <w:rPr>
                <w:rFonts w:ascii="Times New Roman" w:hAnsi="Times New Roman"/>
              </w:rPr>
              <w:t>赋值</w:t>
            </w:r>
          </w:p>
        </w:tc>
        <w:tc>
          <w:tcPr>
            <w:tcW w:w="1868" w:type="dxa"/>
            <w:gridSpan w:val="2"/>
            <w:tcMar>
              <w:top w:w="15" w:type="dxa"/>
              <w:left w:w="15" w:type="dxa"/>
              <w:right w:w="15" w:type="dxa"/>
            </w:tcMar>
            <w:vAlign w:val="center"/>
          </w:tcPr>
          <w:p>
            <w:pPr>
              <w:pStyle w:val="39"/>
              <w:rPr>
                <w:rFonts w:ascii="Times New Roman" w:hAnsi="Times New Roman"/>
              </w:rPr>
            </w:pPr>
            <w:r>
              <w:rPr>
                <w:rFonts w:ascii="Times New Roman" w:hAnsi="Times New Roman"/>
              </w:rPr>
              <w:t>描述</w:t>
            </w:r>
          </w:p>
        </w:tc>
        <w:tc>
          <w:tcPr>
            <w:tcW w:w="647" w:type="dxa"/>
            <w:tcMar>
              <w:top w:w="15" w:type="dxa"/>
              <w:left w:w="15" w:type="dxa"/>
              <w:right w:w="15" w:type="dxa"/>
            </w:tcMar>
            <w:vAlign w:val="center"/>
          </w:tcPr>
          <w:p>
            <w:pPr>
              <w:pStyle w:val="39"/>
              <w:rPr>
                <w:rFonts w:ascii="Times New Roman" w:hAnsi="Times New Roman"/>
              </w:rPr>
            </w:pPr>
            <w:r>
              <w:rPr>
                <w:rFonts w:ascii="Times New Roman" w:hAnsi="Times New Roman"/>
              </w:rPr>
              <w:t>赋值</w:t>
            </w:r>
          </w:p>
        </w:tc>
        <w:tc>
          <w:tcPr>
            <w:tcW w:w="1276" w:type="dxa"/>
            <w:vMerge w:val="continue"/>
            <w:tcMar>
              <w:top w:w="15" w:type="dxa"/>
              <w:left w:w="15" w:type="dxa"/>
              <w:right w:w="15" w:type="dxa"/>
            </w:tcMar>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49" w:type="dxa"/>
            <w:noWrap/>
            <w:tcMar>
              <w:top w:w="15" w:type="dxa"/>
              <w:left w:w="15" w:type="dxa"/>
              <w:right w:w="15" w:type="dxa"/>
            </w:tcMar>
            <w:vAlign w:val="center"/>
          </w:tcPr>
          <w:p>
            <w:pPr>
              <w:pStyle w:val="39"/>
              <w:rPr>
                <w:rFonts w:ascii="Times New Roman" w:hAnsi="Times New Roman"/>
              </w:rPr>
            </w:pPr>
            <w:r>
              <w:rPr>
                <w:rFonts w:ascii="Times New Roman" w:hAnsi="Times New Roman"/>
              </w:rPr>
              <w:t>1</w:t>
            </w:r>
          </w:p>
        </w:tc>
        <w:tc>
          <w:tcPr>
            <w:tcW w:w="2240" w:type="dxa"/>
            <w:noWrap/>
            <w:tcMar>
              <w:top w:w="15" w:type="dxa"/>
              <w:left w:w="15" w:type="dxa"/>
              <w:right w:w="15" w:type="dxa"/>
            </w:tcMar>
            <w:vAlign w:val="center"/>
          </w:tcPr>
          <w:p>
            <w:pPr>
              <w:pStyle w:val="39"/>
              <w:rPr>
                <w:rFonts w:ascii="Times New Roman" w:hAnsi="Times New Roman"/>
                <w:lang w:val="zh-CN"/>
              </w:rPr>
            </w:pPr>
            <w:r>
              <w:rPr>
                <w:rFonts w:ascii="Times New Roman" w:hAnsi="Times New Roman"/>
                <w:lang w:val="zh-CN"/>
              </w:rPr>
              <w:t>宣探1井站</w:t>
            </w:r>
          </w:p>
        </w:tc>
        <w:tc>
          <w:tcPr>
            <w:tcW w:w="1700" w:type="dxa"/>
            <w:tcMar>
              <w:top w:w="15" w:type="dxa"/>
              <w:left w:w="15" w:type="dxa"/>
              <w:right w:w="15" w:type="dxa"/>
            </w:tcMar>
            <w:vAlign w:val="center"/>
          </w:tcPr>
          <w:p>
            <w:pPr>
              <w:pStyle w:val="39"/>
              <w:rPr>
                <w:rFonts w:ascii="Times New Roman" w:hAnsi="Times New Roman"/>
              </w:rPr>
            </w:pPr>
            <w:r>
              <w:rPr>
                <w:rFonts w:ascii="Times New Roman" w:hAnsi="Times New Roman"/>
              </w:rPr>
              <w:t>宣探1井站北侧160m清溪河（又名乱石滩河），水功能区划为地表水Ⅲ类，虽无水力联系，但距离较近</w:t>
            </w:r>
          </w:p>
        </w:tc>
        <w:tc>
          <w:tcPr>
            <w:tcW w:w="604" w:type="dxa"/>
            <w:tcMar>
              <w:top w:w="15" w:type="dxa"/>
              <w:left w:w="15" w:type="dxa"/>
              <w:right w:w="15" w:type="dxa"/>
            </w:tcMar>
            <w:vAlign w:val="center"/>
          </w:tcPr>
          <w:p>
            <w:pPr>
              <w:pStyle w:val="39"/>
              <w:rPr>
                <w:rFonts w:ascii="Times New Roman" w:hAnsi="Times New Roman"/>
              </w:rPr>
            </w:pPr>
            <w:r>
              <w:rPr>
                <w:rFonts w:ascii="Times New Roman" w:hAnsi="Times New Roman"/>
              </w:rPr>
              <w:t>F2</w:t>
            </w:r>
          </w:p>
        </w:tc>
        <w:tc>
          <w:tcPr>
            <w:tcW w:w="1868" w:type="dxa"/>
            <w:gridSpan w:val="2"/>
            <w:tcMar>
              <w:top w:w="15" w:type="dxa"/>
              <w:left w:w="15" w:type="dxa"/>
              <w:right w:w="15" w:type="dxa"/>
            </w:tcMar>
            <w:vAlign w:val="center"/>
          </w:tcPr>
          <w:p>
            <w:pPr>
              <w:pStyle w:val="39"/>
              <w:rPr>
                <w:rFonts w:ascii="Times New Roman" w:hAnsi="Times New Roman"/>
              </w:rPr>
            </w:pPr>
            <w:r>
              <w:rPr>
                <w:rFonts w:ascii="Times New Roman" w:hAnsi="Times New Roman"/>
              </w:rPr>
              <w:t>下游1.3km为清溪镇乱石滩河吴家湾集中式饮用水水源地二级保护区边界。</w:t>
            </w:r>
          </w:p>
        </w:tc>
        <w:tc>
          <w:tcPr>
            <w:tcW w:w="647" w:type="dxa"/>
            <w:tcMar>
              <w:top w:w="15" w:type="dxa"/>
              <w:left w:w="15" w:type="dxa"/>
              <w:right w:w="15" w:type="dxa"/>
            </w:tcMar>
            <w:vAlign w:val="center"/>
          </w:tcPr>
          <w:p>
            <w:pPr>
              <w:pStyle w:val="39"/>
              <w:rPr>
                <w:rFonts w:ascii="Times New Roman" w:hAnsi="Times New Roman"/>
              </w:rPr>
            </w:pPr>
            <w:r>
              <w:rPr>
                <w:rFonts w:ascii="Times New Roman" w:hAnsi="Times New Roman"/>
              </w:rPr>
              <w:t>S1</w:t>
            </w:r>
          </w:p>
        </w:tc>
        <w:tc>
          <w:tcPr>
            <w:tcW w:w="1276" w:type="dxa"/>
            <w:tcMar>
              <w:top w:w="15" w:type="dxa"/>
              <w:left w:w="15" w:type="dxa"/>
              <w:right w:w="15" w:type="dxa"/>
            </w:tcMar>
            <w:vAlign w:val="center"/>
          </w:tcPr>
          <w:p>
            <w:pPr>
              <w:pStyle w:val="39"/>
              <w:rPr>
                <w:rFonts w:ascii="Times New Roman" w:hAnsi="Times New Roman"/>
              </w:rPr>
            </w:pPr>
            <w:r>
              <w:rPr>
                <w:rFonts w:ascii="Times New Roman" w:hAnsi="Times New Roman"/>
              </w:rPr>
              <w:t>E1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49" w:type="dxa"/>
            <w:noWrap/>
            <w:tcMar>
              <w:top w:w="15" w:type="dxa"/>
              <w:left w:w="15" w:type="dxa"/>
              <w:right w:w="15" w:type="dxa"/>
            </w:tcMar>
            <w:vAlign w:val="center"/>
          </w:tcPr>
          <w:p>
            <w:pPr>
              <w:pStyle w:val="39"/>
              <w:rPr>
                <w:rFonts w:ascii="Times New Roman" w:hAnsi="Times New Roman"/>
              </w:rPr>
            </w:pPr>
            <w:r>
              <w:rPr>
                <w:rFonts w:ascii="Times New Roman" w:hAnsi="Times New Roman"/>
              </w:rPr>
              <w:t>2</w:t>
            </w:r>
          </w:p>
        </w:tc>
        <w:tc>
          <w:tcPr>
            <w:tcW w:w="2240" w:type="dxa"/>
            <w:noWrap/>
            <w:tcMar>
              <w:top w:w="15" w:type="dxa"/>
              <w:left w:w="15" w:type="dxa"/>
              <w:right w:w="15" w:type="dxa"/>
            </w:tcMar>
            <w:vAlign w:val="center"/>
          </w:tcPr>
          <w:p>
            <w:pPr>
              <w:pStyle w:val="39"/>
              <w:rPr>
                <w:rFonts w:ascii="Times New Roman" w:hAnsi="Times New Roman"/>
                <w:lang w:val="zh-CN"/>
              </w:rPr>
            </w:pPr>
            <w:r>
              <w:rPr>
                <w:rFonts w:ascii="Times New Roman" w:hAnsi="Times New Roman"/>
                <w:lang w:val="zh-CN"/>
              </w:rPr>
              <w:t>宣兴1井站</w:t>
            </w:r>
          </w:p>
        </w:tc>
        <w:tc>
          <w:tcPr>
            <w:tcW w:w="1700" w:type="dxa"/>
            <w:tcMar>
              <w:top w:w="15" w:type="dxa"/>
              <w:left w:w="15" w:type="dxa"/>
              <w:right w:w="15" w:type="dxa"/>
            </w:tcMar>
            <w:vAlign w:val="center"/>
          </w:tcPr>
          <w:p>
            <w:pPr>
              <w:pStyle w:val="39"/>
              <w:rPr>
                <w:rFonts w:ascii="Times New Roman" w:hAnsi="Times New Roman"/>
              </w:rPr>
            </w:pPr>
            <w:r>
              <w:rPr>
                <w:rFonts w:ascii="Times New Roman" w:hAnsi="Times New Roman"/>
              </w:rPr>
              <w:t>宣兴1井站周边无地表水体，与清溪河无水力联系</w:t>
            </w:r>
          </w:p>
        </w:tc>
        <w:tc>
          <w:tcPr>
            <w:tcW w:w="604" w:type="dxa"/>
            <w:tcMar>
              <w:top w:w="15" w:type="dxa"/>
              <w:left w:w="15" w:type="dxa"/>
              <w:right w:w="15" w:type="dxa"/>
            </w:tcMar>
            <w:vAlign w:val="center"/>
          </w:tcPr>
          <w:p>
            <w:pPr>
              <w:pStyle w:val="39"/>
              <w:rPr>
                <w:rFonts w:ascii="Times New Roman" w:hAnsi="Times New Roman"/>
              </w:rPr>
            </w:pPr>
            <w:r>
              <w:rPr>
                <w:rFonts w:ascii="Times New Roman" w:hAnsi="Times New Roman"/>
              </w:rPr>
              <w:t>/</w:t>
            </w:r>
          </w:p>
        </w:tc>
        <w:tc>
          <w:tcPr>
            <w:tcW w:w="1868" w:type="dxa"/>
            <w:gridSpan w:val="2"/>
            <w:tcMar>
              <w:top w:w="15" w:type="dxa"/>
              <w:left w:w="15" w:type="dxa"/>
              <w:right w:w="15" w:type="dxa"/>
            </w:tcMar>
            <w:vAlign w:val="center"/>
          </w:tcPr>
          <w:p>
            <w:pPr>
              <w:pStyle w:val="39"/>
              <w:rPr>
                <w:rFonts w:ascii="Times New Roman" w:hAnsi="Times New Roman"/>
              </w:rPr>
            </w:pPr>
            <w:r>
              <w:rPr>
                <w:rFonts w:ascii="Times New Roman" w:hAnsi="Times New Roman"/>
              </w:rPr>
              <w:t>/</w:t>
            </w:r>
          </w:p>
        </w:tc>
        <w:tc>
          <w:tcPr>
            <w:tcW w:w="647" w:type="dxa"/>
            <w:tcMar>
              <w:top w:w="15" w:type="dxa"/>
              <w:left w:w="15" w:type="dxa"/>
              <w:right w:w="15" w:type="dxa"/>
            </w:tcMar>
            <w:vAlign w:val="center"/>
          </w:tcPr>
          <w:p>
            <w:pPr>
              <w:pStyle w:val="39"/>
              <w:rPr>
                <w:rFonts w:ascii="Times New Roman" w:hAnsi="Times New Roman"/>
              </w:rPr>
            </w:pPr>
            <w:r>
              <w:rPr>
                <w:rFonts w:ascii="Times New Roman" w:hAnsi="Times New Roman"/>
              </w:rPr>
              <w:t>/</w:t>
            </w:r>
          </w:p>
        </w:tc>
        <w:tc>
          <w:tcPr>
            <w:tcW w:w="1276" w:type="dxa"/>
            <w:tcMar>
              <w:top w:w="15" w:type="dxa"/>
              <w:left w:w="15" w:type="dxa"/>
              <w:right w:w="15"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49" w:type="dxa"/>
            <w:noWrap/>
            <w:tcMar>
              <w:top w:w="15" w:type="dxa"/>
              <w:left w:w="15" w:type="dxa"/>
              <w:right w:w="15" w:type="dxa"/>
            </w:tcMar>
            <w:vAlign w:val="center"/>
          </w:tcPr>
          <w:p>
            <w:pPr>
              <w:pStyle w:val="39"/>
              <w:rPr>
                <w:rFonts w:ascii="Times New Roman" w:hAnsi="Times New Roman"/>
              </w:rPr>
            </w:pPr>
            <w:r>
              <w:rPr>
                <w:rFonts w:ascii="Times New Roman" w:hAnsi="Times New Roman"/>
              </w:rPr>
              <w:t>3</w:t>
            </w:r>
          </w:p>
        </w:tc>
        <w:tc>
          <w:tcPr>
            <w:tcW w:w="2240" w:type="dxa"/>
            <w:noWrap/>
            <w:tcMar>
              <w:top w:w="15" w:type="dxa"/>
              <w:left w:w="15" w:type="dxa"/>
              <w:right w:w="15" w:type="dxa"/>
            </w:tcMar>
            <w:vAlign w:val="center"/>
          </w:tcPr>
          <w:p>
            <w:pPr>
              <w:pStyle w:val="39"/>
              <w:rPr>
                <w:rFonts w:ascii="Times New Roman" w:hAnsi="Times New Roman"/>
              </w:rPr>
            </w:pPr>
            <w:r>
              <w:rPr>
                <w:rFonts w:ascii="Times New Roman" w:hAnsi="Times New Roman"/>
              </w:rPr>
              <w:t>宣探集气干线</w:t>
            </w:r>
          </w:p>
          <w:p>
            <w:pPr>
              <w:pStyle w:val="39"/>
              <w:rPr>
                <w:rFonts w:ascii="Times New Roman" w:hAnsi="Times New Roman"/>
                <w:lang w:val="zh-CN"/>
              </w:rPr>
            </w:pPr>
            <w:r>
              <w:rPr>
                <w:rFonts w:ascii="Times New Roman" w:hAnsi="Times New Roman"/>
              </w:rPr>
              <w:t>宣兴1井-宣探阀室</w:t>
            </w:r>
          </w:p>
        </w:tc>
        <w:tc>
          <w:tcPr>
            <w:tcW w:w="1700" w:type="dxa"/>
            <w:tcMar>
              <w:top w:w="15" w:type="dxa"/>
              <w:left w:w="15" w:type="dxa"/>
              <w:right w:w="15" w:type="dxa"/>
            </w:tcMar>
            <w:vAlign w:val="center"/>
          </w:tcPr>
          <w:p>
            <w:pPr>
              <w:pStyle w:val="39"/>
              <w:rPr>
                <w:rFonts w:ascii="Times New Roman" w:hAnsi="Times New Roman"/>
              </w:rPr>
            </w:pPr>
            <w:r>
              <w:rPr>
                <w:rFonts w:ascii="Times New Roman" w:hAnsi="Times New Roman"/>
              </w:rPr>
              <w:t>未穿越地表河流</w:t>
            </w:r>
          </w:p>
        </w:tc>
        <w:tc>
          <w:tcPr>
            <w:tcW w:w="604" w:type="dxa"/>
            <w:tcMar>
              <w:top w:w="15" w:type="dxa"/>
              <w:left w:w="15" w:type="dxa"/>
              <w:right w:w="15" w:type="dxa"/>
            </w:tcMar>
            <w:vAlign w:val="center"/>
          </w:tcPr>
          <w:p>
            <w:pPr>
              <w:pStyle w:val="39"/>
              <w:rPr>
                <w:rFonts w:ascii="Times New Roman" w:hAnsi="Times New Roman"/>
              </w:rPr>
            </w:pPr>
            <w:r>
              <w:rPr>
                <w:rFonts w:ascii="Times New Roman" w:hAnsi="Times New Roman"/>
              </w:rPr>
              <w:t>/</w:t>
            </w:r>
          </w:p>
        </w:tc>
        <w:tc>
          <w:tcPr>
            <w:tcW w:w="1868" w:type="dxa"/>
            <w:gridSpan w:val="2"/>
            <w:tcMar>
              <w:top w:w="15" w:type="dxa"/>
              <w:left w:w="15" w:type="dxa"/>
              <w:right w:w="15" w:type="dxa"/>
            </w:tcMar>
            <w:vAlign w:val="center"/>
          </w:tcPr>
          <w:p>
            <w:pPr>
              <w:pStyle w:val="39"/>
              <w:rPr>
                <w:rFonts w:ascii="Times New Roman" w:hAnsi="Times New Roman"/>
              </w:rPr>
            </w:pPr>
            <w:r>
              <w:rPr>
                <w:rFonts w:ascii="Times New Roman" w:hAnsi="Times New Roman"/>
              </w:rPr>
              <w:t>/</w:t>
            </w:r>
          </w:p>
        </w:tc>
        <w:tc>
          <w:tcPr>
            <w:tcW w:w="647" w:type="dxa"/>
            <w:tcMar>
              <w:top w:w="15" w:type="dxa"/>
              <w:left w:w="15" w:type="dxa"/>
              <w:right w:w="15" w:type="dxa"/>
            </w:tcMar>
            <w:vAlign w:val="center"/>
          </w:tcPr>
          <w:p>
            <w:pPr>
              <w:pStyle w:val="39"/>
              <w:rPr>
                <w:rFonts w:ascii="Times New Roman" w:hAnsi="Times New Roman"/>
              </w:rPr>
            </w:pPr>
            <w:r>
              <w:rPr>
                <w:rFonts w:ascii="Times New Roman" w:hAnsi="Times New Roman"/>
              </w:rPr>
              <w:t>/</w:t>
            </w:r>
          </w:p>
        </w:tc>
        <w:tc>
          <w:tcPr>
            <w:tcW w:w="1276" w:type="dxa"/>
            <w:tcMar>
              <w:top w:w="15" w:type="dxa"/>
              <w:left w:w="15" w:type="dxa"/>
              <w:right w:w="15"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49" w:type="dxa"/>
            <w:noWrap/>
            <w:tcMar>
              <w:top w:w="15" w:type="dxa"/>
              <w:left w:w="15" w:type="dxa"/>
              <w:right w:w="15" w:type="dxa"/>
            </w:tcMar>
            <w:vAlign w:val="center"/>
          </w:tcPr>
          <w:p>
            <w:pPr>
              <w:pStyle w:val="39"/>
              <w:rPr>
                <w:rFonts w:ascii="Times New Roman" w:hAnsi="Times New Roman"/>
              </w:rPr>
            </w:pPr>
            <w:r>
              <w:rPr>
                <w:rFonts w:ascii="Times New Roman" w:hAnsi="Times New Roman"/>
              </w:rPr>
              <w:t>4</w:t>
            </w:r>
          </w:p>
        </w:tc>
        <w:tc>
          <w:tcPr>
            <w:tcW w:w="2240" w:type="dxa"/>
            <w:noWrap/>
            <w:tcMar>
              <w:top w:w="15" w:type="dxa"/>
              <w:left w:w="15" w:type="dxa"/>
              <w:right w:w="15" w:type="dxa"/>
            </w:tcMar>
            <w:vAlign w:val="center"/>
          </w:tcPr>
          <w:p>
            <w:pPr>
              <w:pStyle w:val="39"/>
              <w:rPr>
                <w:rFonts w:ascii="Times New Roman" w:hAnsi="Times New Roman"/>
              </w:rPr>
            </w:pPr>
            <w:r>
              <w:rPr>
                <w:rFonts w:ascii="Times New Roman" w:hAnsi="Times New Roman"/>
              </w:rPr>
              <w:t>宣探集气干线</w:t>
            </w:r>
          </w:p>
          <w:p>
            <w:pPr>
              <w:pStyle w:val="39"/>
              <w:rPr>
                <w:rFonts w:ascii="Times New Roman" w:hAnsi="Times New Roman"/>
                <w:lang w:val="zh-CN"/>
              </w:rPr>
            </w:pPr>
            <w:r>
              <w:rPr>
                <w:rFonts w:ascii="Times New Roman" w:hAnsi="Times New Roman"/>
              </w:rPr>
              <w:t>宣探阀室-宣探清管站</w:t>
            </w:r>
          </w:p>
        </w:tc>
        <w:tc>
          <w:tcPr>
            <w:tcW w:w="1700" w:type="dxa"/>
            <w:tcMar>
              <w:top w:w="15" w:type="dxa"/>
              <w:left w:w="15" w:type="dxa"/>
              <w:right w:w="15" w:type="dxa"/>
            </w:tcMar>
            <w:vAlign w:val="center"/>
          </w:tcPr>
          <w:p>
            <w:pPr>
              <w:pStyle w:val="39"/>
              <w:rPr>
                <w:rFonts w:ascii="Times New Roman" w:hAnsi="Times New Roman"/>
              </w:rPr>
            </w:pPr>
            <w:r>
              <w:rPr>
                <w:rFonts w:ascii="Times New Roman" w:hAnsi="Times New Roman"/>
              </w:rPr>
              <w:t>未穿越地表河流</w:t>
            </w:r>
          </w:p>
        </w:tc>
        <w:tc>
          <w:tcPr>
            <w:tcW w:w="604" w:type="dxa"/>
            <w:tcMar>
              <w:top w:w="15" w:type="dxa"/>
              <w:left w:w="15" w:type="dxa"/>
              <w:right w:w="15" w:type="dxa"/>
            </w:tcMar>
            <w:vAlign w:val="center"/>
          </w:tcPr>
          <w:p>
            <w:pPr>
              <w:pStyle w:val="39"/>
              <w:rPr>
                <w:rFonts w:ascii="Times New Roman" w:hAnsi="Times New Roman"/>
              </w:rPr>
            </w:pPr>
            <w:r>
              <w:rPr>
                <w:rFonts w:ascii="Times New Roman" w:hAnsi="Times New Roman"/>
              </w:rPr>
              <w:t>/</w:t>
            </w:r>
          </w:p>
        </w:tc>
        <w:tc>
          <w:tcPr>
            <w:tcW w:w="1868" w:type="dxa"/>
            <w:gridSpan w:val="2"/>
            <w:tcMar>
              <w:top w:w="15" w:type="dxa"/>
              <w:left w:w="15" w:type="dxa"/>
              <w:right w:w="15" w:type="dxa"/>
            </w:tcMar>
            <w:vAlign w:val="center"/>
          </w:tcPr>
          <w:p>
            <w:pPr>
              <w:pStyle w:val="39"/>
              <w:rPr>
                <w:rFonts w:ascii="Times New Roman" w:hAnsi="Times New Roman"/>
              </w:rPr>
            </w:pPr>
            <w:r>
              <w:rPr>
                <w:rFonts w:ascii="Times New Roman" w:hAnsi="Times New Roman"/>
              </w:rPr>
              <w:t>/</w:t>
            </w:r>
          </w:p>
        </w:tc>
        <w:tc>
          <w:tcPr>
            <w:tcW w:w="647" w:type="dxa"/>
            <w:tcMar>
              <w:top w:w="15" w:type="dxa"/>
              <w:left w:w="15" w:type="dxa"/>
              <w:right w:w="15" w:type="dxa"/>
            </w:tcMar>
            <w:vAlign w:val="center"/>
          </w:tcPr>
          <w:p>
            <w:pPr>
              <w:pStyle w:val="39"/>
              <w:rPr>
                <w:rFonts w:ascii="Times New Roman" w:hAnsi="Times New Roman"/>
              </w:rPr>
            </w:pPr>
            <w:r>
              <w:rPr>
                <w:rFonts w:ascii="Times New Roman" w:hAnsi="Times New Roman"/>
              </w:rPr>
              <w:t>/</w:t>
            </w:r>
          </w:p>
        </w:tc>
        <w:tc>
          <w:tcPr>
            <w:tcW w:w="1276" w:type="dxa"/>
            <w:tcMar>
              <w:top w:w="15" w:type="dxa"/>
              <w:left w:w="15" w:type="dxa"/>
              <w:right w:w="15"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49" w:type="dxa"/>
            <w:noWrap/>
            <w:tcMar>
              <w:top w:w="15" w:type="dxa"/>
              <w:left w:w="15" w:type="dxa"/>
              <w:right w:w="15" w:type="dxa"/>
            </w:tcMar>
            <w:vAlign w:val="center"/>
          </w:tcPr>
          <w:p>
            <w:pPr>
              <w:pStyle w:val="39"/>
              <w:rPr>
                <w:rFonts w:ascii="Times New Roman" w:hAnsi="Times New Roman"/>
              </w:rPr>
            </w:pPr>
            <w:r>
              <w:rPr>
                <w:rFonts w:ascii="Times New Roman" w:hAnsi="Times New Roman"/>
              </w:rPr>
              <w:t>5</w:t>
            </w:r>
          </w:p>
        </w:tc>
        <w:tc>
          <w:tcPr>
            <w:tcW w:w="2240" w:type="dxa"/>
            <w:noWrap/>
            <w:tcMar>
              <w:top w:w="15" w:type="dxa"/>
              <w:left w:w="15" w:type="dxa"/>
              <w:right w:w="15" w:type="dxa"/>
            </w:tcMar>
            <w:vAlign w:val="center"/>
          </w:tcPr>
          <w:p>
            <w:pPr>
              <w:pStyle w:val="39"/>
              <w:rPr>
                <w:rFonts w:ascii="Times New Roman" w:hAnsi="Times New Roman"/>
              </w:rPr>
            </w:pPr>
            <w:r>
              <w:rPr>
                <w:rFonts w:ascii="Times New Roman" w:hAnsi="Times New Roman"/>
              </w:rPr>
              <w:t>宣探联络线</w:t>
            </w:r>
          </w:p>
          <w:p>
            <w:pPr>
              <w:pStyle w:val="39"/>
              <w:rPr>
                <w:rFonts w:ascii="Times New Roman" w:hAnsi="Times New Roman"/>
              </w:rPr>
            </w:pPr>
            <w:r>
              <w:rPr>
                <w:rFonts w:ascii="Times New Roman" w:hAnsi="Times New Roman"/>
              </w:rPr>
              <w:t>宣探清管站-304集气站</w:t>
            </w:r>
          </w:p>
        </w:tc>
        <w:tc>
          <w:tcPr>
            <w:tcW w:w="1700" w:type="dxa"/>
            <w:tcMar>
              <w:top w:w="15" w:type="dxa"/>
              <w:left w:w="15" w:type="dxa"/>
              <w:right w:w="15" w:type="dxa"/>
            </w:tcMar>
            <w:vAlign w:val="center"/>
          </w:tcPr>
          <w:p>
            <w:pPr>
              <w:pStyle w:val="39"/>
              <w:rPr>
                <w:rFonts w:ascii="Times New Roman" w:hAnsi="Times New Roman"/>
              </w:rPr>
            </w:pPr>
            <w:r>
              <w:rPr>
                <w:rFonts w:ascii="Times New Roman" w:hAnsi="Times New Roman"/>
              </w:rPr>
              <w:t>未穿越地表河流</w:t>
            </w:r>
          </w:p>
        </w:tc>
        <w:tc>
          <w:tcPr>
            <w:tcW w:w="604" w:type="dxa"/>
            <w:tcMar>
              <w:top w:w="15" w:type="dxa"/>
              <w:left w:w="15" w:type="dxa"/>
              <w:right w:w="15" w:type="dxa"/>
            </w:tcMar>
            <w:vAlign w:val="center"/>
          </w:tcPr>
          <w:p>
            <w:pPr>
              <w:pStyle w:val="39"/>
              <w:rPr>
                <w:rFonts w:ascii="Times New Roman" w:hAnsi="Times New Roman"/>
              </w:rPr>
            </w:pPr>
            <w:r>
              <w:rPr>
                <w:rFonts w:ascii="Times New Roman" w:hAnsi="Times New Roman"/>
              </w:rPr>
              <w:t>/</w:t>
            </w:r>
          </w:p>
        </w:tc>
        <w:tc>
          <w:tcPr>
            <w:tcW w:w="1868" w:type="dxa"/>
            <w:gridSpan w:val="2"/>
            <w:tcMar>
              <w:top w:w="15" w:type="dxa"/>
              <w:left w:w="15" w:type="dxa"/>
              <w:right w:w="15" w:type="dxa"/>
            </w:tcMar>
            <w:vAlign w:val="center"/>
          </w:tcPr>
          <w:p>
            <w:pPr>
              <w:pStyle w:val="39"/>
              <w:rPr>
                <w:rFonts w:ascii="Times New Roman" w:hAnsi="Times New Roman"/>
              </w:rPr>
            </w:pPr>
            <w:r>
              <w:rPr>
                <w:rFonts w:ascii="Times New Roman" w:hAnsi="Times New Roman"/>
              </w:rPr>
              <w:t>/</w:t>
            </w:r>
          </w:p>
        </w:tc>
        <w:tc>
          <w:tcPr>
            <w:tcW w:w="647" w:type="dxa"/>
            <w:tcMar>
              <w:top w:w="15" w:type="dxa"/>
              <w:left w:w="15" w:type="dxa"/>
              <w:right w:w="15" w:type="dxa"/>
            </w:tcMar>
            <w:vAlign w:val="center"/>
          </w:tcPr>
          <w:p>
            <w:pPr>
              <w:pStyle w:val="39"/>
              <w:rPr>
                <w:rFonts w:ascii="Times New Roman" w:hAnsi="Times New Roman"/>
              </w:rPr>
            </w:pPr>
            <w:r>
              <w:rPr>
                <w:rFonts w:ascii="Times New Roman" w:hAnsi="Times New Roman"/>
              </w:rPr>
              <w:t>/</w:t>
            </w:r>
          </w:p>
        </w:tc>
        <w:tc>
          <w:tcPr>
            <w:tcW w:w="1276" w:type="dxa"/>
            <w:tcMar>
              <w:top w:w="15" w:type="dxa"/>
              <w:left w:w="15" w:type="dxa"/>
              <w:right w:w="15"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49" w:type="dxa"/>
            <w:noWrap/>
            <w:tcMar>
              <w:top w:w="15" w:type="dxa"/>
              <w:left w:w="15" w:type="dxa"/>
              <w:right w:w="15" w:type="dxa"/>
            </w:tcMar>
            <w:vAlign w:val="center"/>
          </w:tcPr>
          <w:p>
            <w:pPr>
              <w:pStyle w:val="39"/>
              <w:rPr>
                <w:rFonts w:ascii="Times New Roman" w:hAnsi="Times New Roman"/>
              </w:rPr>
            </w:pPr>
            <w:r>
              <w:rPr>
                <w:rFonts w:ascii="Times New Roman" w:hAnsi="Times New Roman"/>
              </w:rPr>
              <w:t>6</w:t>
            </w:r>
          </w:p>
        </w:tc>
        <w:tc>
          <w:tcPr>
            <w:tcW w:w="2240" w:type="dxa"/>
            <w:noWrap/>
            <w:tcMar>
              <w:top w:w="15" w:type="dxa"/>
              <w:left w:w="15" w:type="dxa"/>
              <w:right w:w="15" w:type="dxa"/>
            </w:tcMar>
            <w:vAlign w:val="center"/>
          </w:tcPr>
          <w:p>
            <w:pPr>
              <w:pStyle w:val="39"/>
              <w:rPr>
                <w:rFonts w:ascii="Times New Roman" w:hAnsi="Times New Roman"/>
              </w:rPr>
            </w:pPr>
            <w:r>
              <w:rPr>
                <w:rFonts w:ascii="Times New Roman" w:hAnsi="Times New Roman"/>
              </w:rPr>
              <w:t>宣探集气支线</w:t>
            </w:r>
          </w:p>
          <w:p>
            <w:pPr>
              <w:pStyle w:val="39"/>
              <w:rPr>
                <w:rFonts w:ascii="Times New Roman" w:hAnsi="Times New Roman"/>
                <w:lang w:val="zh-CN"/>
              </w:rPr>
            </w:pPr>
            <w:r>
              <w:rPr>
                <w:rFonts w:ascii="Times New Roman" w:hAnsi="Times New Roman"/>
              </w:rPr>
              <w:t>宣探1井-宣兴1井</w:t>
            </w:r>
          </w:p>
        </w:tc>
        <w:tc>
          <w:tcPr>
            <w:tcW w:w="1700" w:type="dxa"/>
            <w:tcMar>
              <w:top w:w="15" w:type="dxa"/>
              <w:left w:w="15" w:type="dxa"/>
              <w:right w:w="15" w:type="dxa"/>
            </w:tcMar>
            <w:vAlign w:val="center"/>
          </w:tcPr>
          <w:p>
            <w:pPr>
              <w:pStyle w:val="39"/>
              <w:rPr>
                <w:rFonts w:ascii="Times New Roman" w:hAnsi="Times New Roman"/>
              </w:rPr>
            </w:pPr>
            <w:r>
              <w:rPr>
                <w:rFonts w:ascii="Times New Roman" w:hAnsi="Times New Roman"/>
              </w:rPr>
              <w:t>穿越清溪河，水功能区划为地表水Ⅲ类</w:t>
            </w:r>
          </w:p>
        </w:tc>
        <w:tc>
          <w:tcPr>
            <w:tcW w:w="604" w:type="dxa"/>
            <w:tcMar>
              <w:top w:w="15" w:type="dxa"/>
              <w:left w:w="15" w:type="dxa"/>
              <w:right w:w="15" w:type="dxa"/>
            </w:tcMar>
            <w:vAlign w:val="center"/>
          </w:tcPr>
          <w:p>
            <w:pPr>
              <w:pStyle w:val="39"/>
              <w:rPr>
                <w:rFonts w:ascii="Times New Roman" w:hAnsi="Times New Roman"/>
              </w:rPr>
            </w:pPr>
            <w:r>
              <w:rPr>
                <w:rFonts w:ascii="Times New Roman" w:hAnsi="Times New Roman"/>
              </w:rPr>
              <w:t>F2</w:t>
            </w:r>
          </w:p>
        </w:tc>
        <w:tc>
          <w:tcPr>
            <w:tcW w:w="1868" w:type="dxa"/>
            <w:gridSpan w:val="2"/>
            <w:tcMar>
              <w:top w:w="15" w:type="dxa"/>
              <w:left w:w="15" w:type="dxa"/>
              <w:right w:w="15" w:type="dxa"/>
            </w:tcMar>
            <w:vAlign w:val="center"/>
          </w:tcPr>
          <w:p>
            <w:pPr>
              <w:pStyle w:val="39"/>
              <w:rPr>
                <w:rFonts w:ascii="Times New Roman" w:hAnsi="Times New Roman"/>
              </w:rPr>
            </w:pPr>
            <w:r>
              <w:rPr>
                <w:rFonts w:ascii="Times New Roman" w:hAnsi="Times New Roman"/>
              </w:rPr>
              <w:t>穿越清溪河处，距离清溪河清溪镇乱石滩河吴家湾集中式饮用水水源地二级保护区边界1.5km</w:t>
            </w:r>
          </w:p>
        </w:tc>
        <w:tc>
          <w:tcPr>
            <w:tcW w:w="647" w:type="dxa"/>
            <w:tcMar>
              <w:top w:w="15" w:type="dxa"/>
              <w:left w:w="15" w:type="dxa"/>
              <w:right w:w="15" w:type="dxa"/>
            </w:tcMar>
            <w:vAlign w:val="center"/>
          </w:tcPr>
          <w:p>
            <w:pPr>
              <w:pStyle w:val="39"/>
              <w:rPr>
                <w:rFonts w:ascii="Times New Roman" w:hAnsi="Times New Roman"/>
              </w:rPr>
            </w:pPr>
            <w:r>
              <w:rPr>
                <w:rFonts w:ascii="Times New Roman" w:hAnsi="Times New Roman"/>
              </w:rPr>
              <w:t>S1</w:t>
            </w:r>
          </w:p>
        </w:tc>
        <w:tc>
          <w:tcPr>
            <w:tcW w:w="1276" w:type="dxa"/>
            <w:tcMar>
              <w:top w:w="15" w:type="dxa"/>
              <w:left w:w="15" w:type="dxa"/>
              <w:right w:w="15" w:type="dxa"/>
            </w:tcMar>
            <w:vAlign w:val="center"/>
          </w:tcPr>
          <w:p>
            <w:pPr>
              <w:pStyle w:val="39"/>
              <w:rPr>
                <w:rFonts w:ascii="Times New Roman" w:hAnsi="Times New Roman"/>
              </w:rPr>
            </w:pPr>
            <w:r>
              <w:rPr>
                <w:rFonts w:ascii="Times New Roman" w:hAnsi="Times New Roman"/>
              </w:rPr>
              <w:t>E1</w:t>
            </w:r>
          </w:p>
        </w:tc>
      </w:tr>
    </w:tbl>
    <w:p>
      <w:pPr>
        <w:pStyle w:val="5"/>
        <w:rPr>
          <w:rFonts w:ascii="Times New Roman" w:hAnsi="Times New Roman"/>
        </w:rPr>
      </w:pPr>
      <w:r>
        <w:rPr>
          <w:rFonts w:ascii="Times New Roman" w:hAnsi="Times New Roman"/>
        </w:rPr>
        <w:t>地下水环境敏感程度</w:t>
      </w:r>
    </w:p>
    <w:p>
      <w:pPr>
        <w:ind w:firstLine="480"/>
        <w:rPr>
          <w:rFonts w:ascii="Times New Roman" w:hAnsi="Times New Roman"/>
        </w:rPr>
      </w:pPr>
      <w:r>
        <w:rPr>
          <w:rFonts w:ascii="Times New Roman" w:hAnsi="Times New Roman"/>
        </w:rPr>
        <w:t>根据现场调查和收集到的水文地质勘察资料，宣探1井站地下水评价范围内，没有分散式水井等，地下水功能敏感性分级为不敏感G3；宣兴1井站周边和集气管道周边，分布有分散式水井，地下水功能敏感性分级为较敏感G2。评价区域包气带防污性能分级为D2。</w:t>
      </w:r>
    </w:p>
    <w:p>
      <w:pPr>
        <w:ind w:firstLine="480"/>
        <w:rPr>
          <w:rFonts w:ascii="Times New Roman" w:hAnsi="Times New Roman"/>
        </w:rPr>
      </w:pPr>
      <w:r>
        <w:rPr>
          <w:rFonts w:ascii="Times New Roman" w:hAnsi="Times New Roman"/>
        </w:rPr>
        <w:t>因此，宣探1井站地下水环境敏感等级为E3，宣兴1井站和集气管道周边地下水环境敏感等级均为E2。</w:t>
      </w:r>
    </w:p>
    <w:p>
      <w:pPr>
        <w:pStyle w:val="4"/>
        <w:rPr>
          <w:rFonts w:ascii="Times New Roman" w:hAnsi="Times New Roman" w:cs="Times New Roman"/>
        </w:rPr>
      </w:pPr>
      <w:r>
        <w:rPr>
          <w:rFonts w:ascii="Times New Roman" w:hAnsi="Times New Roman" w:cs="Times New Roman"/>
        </w:rPr>
        <w:t>环境风险潜势</w:t>
      </w:r>
    </w:p>
    <w:p>
      <w:pPr>
        <w:ind w:firstLine="480"/>
        <w:rPr>
          <w:rFonts w:ascii="Times New Roman" w:hAnsi="Times New Roman"/>
        </w:rPr>
      </w:pPr>
      <w:r>
        <w:rPr>
          <w:rFonts w:ascii="Times New Roman" w:hAnsi="Times New Roman"/>
        </w:rPr>
        <w:t>根据以上P和E的分级结果，确定本项目环境风险潜势，具体见</w:t>
      </w:r>
      <w:r>
        <w:rPr>
          <w:rFonts w:ascii="Times New Roman" w:hAnsi="Times New Roman"/>
        </w:rPr>
        <w:fldChar w:fldCharType="begin"/>
      </w:r>
      <w:r>
        <w:rPr>
          <w:rFonts w:ascii="Times New Roman" w:hAnsi="Times New Roman"/>
        </w:rPr>
        <w:instrText xml:space="preserve"> REF _Ref144218334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9</w:t>
      </w:r>
      <w:r>
        <w:rPr>
          <w:rFonts w:ascii="Times New Roman" w:hAnsi="Times New Roman"/>
        </w:rPr>
        <w:fldChar w:fldCharType="end"/>
      </w:r>
      <w:r>
        <w:rPr>
          <w:rFonts w:ascii="Times New Roman" w:hAnsi="Times New Roman"/>
        </w:rPr>
        <w:t>。</w:t>
      </w:r>
    </w:p>
    <w:p>
      <w:pPr>
        <w:pStyle w:val="3"/>
        <w:rPr>
          <w:rFonts w:ascii="Times New Roman" w:hAnsi="Times New Roman" w:cs="Times New Roman"/>
        </w:rPr>
      </w:pPr>
      <w:bookmarkStart w:id="263" w:name="_Toc162339433"/>
      <w:r>
        <w:rPr>
          <w:rFonts w:ascii="Times New Roman" w:hAnsi="Times New Roman" w:cs="Times New Roman"/>
        </w:rPr>
        <w:t>评价等级及评价范围</w:t>
      </w:r>
      <w:bookmarkEnd w:id="263"/>
    </w:p>
    <w:p>
      <w:pPr>
        <w:ind w:firstLine="480"/>
        <w:rPr>
          <w:rFonts w:ascii="Times New Roman" w:hAnsi="Times New Roman"/>
        </w:rPr>
        <w:sectPr>
          <w:headerReference r:id="rId19" w:type="first"/>
          <w:footerReference r:id="rId21" w:type="first"/>
          <w:headerReference r:id="rId17" w:type="default"/>
          <w:headerReference r:id="rId18" w:type="even"/>
          <w:footerReference r:id="rId20" w:type="even"/>
          <w:pgSz w:w="11906" w:h="16838"/>
          <w:pgMar w:top="1440" w:right="1800" w:bottom="1440" w:left="1800" w:header="851" w:footer="992" w:gutter="0"/>
          <w:cols w:space="425" w:num="1"/>
          <w:docGrid w:type="lines" w:linePitch="312" w:charSpace="0"/>
        </w:sectPr>
      </w:pPr>
      <w:r>
        <w:rPr>
          <w:rFonts w:ascii="Times New Roman" w:hAnsi="Times New Roman"/>
        </w:rPr>
        <w:t>根据以上环境风险潜势分析，确定本项目各环境要素评价等级和评价范围详，见</w:t>
      </w:r>
      <w:r>
        <w:rPr>
          <w:rFonts w:ascii="Times New Roman" w:hAnsi="Times New Roman"/>
        </w:rPr>
        <w:fldChar w:fldCharType="begin"/>
      </w:r>
      <w:r>
        <w:rPr>
          <w:rFonts w:ascii="Times New Roman" w:hAnsi="Times New Roman"/>
        </w:rPr>
        <w:instrText xml:space="preserve"> REF _Ref144130681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10</w:t>
      </w:r>
      <w:r>
        <w:rPr>
          <w:rFonts w:ascii="Times New Roman" w:hAnsi="Times New Roman"/>
        </w:rPr>
        <w:fldChar w:fldCharType="end"/>
      </w:r>
      <w:r>
        <w:rPr>
          <w:rFonts w:ascii="Times New Roman" w:hAnsi="Times New Roman"/>
        </w:rPr>
        <w:t>。考虑到本项目为高含硫气田试采工程，井站管线和集输管线均为输送高含硫原料气的管线，因此在进行大气环境风险评价时，各危险单元均考虑采用模型预测的方法进行影响评价。</w:t>
      </w:r>
    </w:p>
    <w:p>
      <w:pPr>
        <w:pStyle w:val="37"/>
        <w:rPr>
          <w:rFonts w:ascii="Times New Roman" w:hAnsi="Times New Roman" w:cs="Times New Roman"/>
        </w:rPr>
      </w:pPr>
      <w:bookmarkStart w:id="264" w:name="_Ref144218334"/>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bookmarkEnd w:id="264"/>
      <w:r>
        <w:rPr>
          <w:rFonts w:ascii="Times New Roman" w:hAnsi="Times New Roman" w:cs="Times New Roman"/>
        </w:rPr>
        <w:t xml:space="preserve">   本项目环境风险潜势判定结果</w:t>
      </w:r>
    </w:p>
    <w:tbl>
      <w:tblPr>
        <w:tblStyle w:val="28"/>
        <w:tblW w:w="143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7"/>
        <w:gridCol w:w="1691"/>
        <w:gridCol w:w="1692"/>
        <w:gridCol w:w="1692"/>
        <w:gridCol w:w="1692"/>
        <w:gridCol w:w="1692"/>
        <w:gridCol w:w="1692"/>
        <w:gridCol w:w="16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547" w:type="dxa"/>
            <w:vMerge w:val="restart"/>
            <w:vAlign w:val="center"/>
          </w:tcPr>
          <w:p>
            <w:pPr>
              <w:pStyle w:val="39"/>
              <w:adjustRightInd w:val="0"/>
              <w:snapToGrid w:val="0"/>
              <w:rPr>
                <w:rFonts w:ascii="Times New Roman" w:hAnsi="Times New Roman"/>
              </w:rPr>
            </w:pPr>
            <w:r>
              <w:rPr>
                <w:rFonts w:ascii="Times New Roman" w:hAnsi="Times New Roman"/>
              </w:rPr>
              <w:t>工艺单元</w:t>
            </w:r>
          </w:p>
        </w:tc>
        <w:tc>
          <w:tcPr>
            <w:tcW w:w="1691" w:type="dxa"/>
            <w:vMerge w:val="restart"/>
            <w:vAlign w:val="center"/>
          </w:tcPr>
          <w:p>
            <w:pPr>
              <w:pStyle w:val="39"/>
              <w:adjustRightInd w:val="0"/>
              <w:snapToGrid w:val="0"/>
              <w:rPr>
                <w:rFonts w:ascii="Times New Roman" w:hAnsi="Times New Roman"/>
              </w:rPr>
            </w:pPr>
            <w:r>
              <w:rPr>
                <w:rFonts w:ascii="Times New Roman" w:hAnsi="Times New Roman"/>
              </w:rPr>
              <w:t>物质及工艺系统危险性P</w:t>
            </w:r>
          </w:p>
        </w:tc>
        <w:tc>
          <w:tcPr>
            <w:tcW w:w="3384" w:type="dxa"/>
            <w:gridSpan w:val="2"/>
            <w:vAlign w:val="center"/>
          </w:tcPr>
          <w:p>
            <w:pPr>
              <w:pStyle w:val="39"/>
              <w:adjustRightInd w:val="0"/>
              <w:snapToGrid w:val="0"/>
              <w:rPr>
                <w:rFonts w:ascii="Times New Roman" w:hAnsi="Times New Roman"/>
              </w:rPr>
            </w:pPr>
            <w:r>
              <w:rPr>
                <w:rFonts w:ascii="Times New Roman" w:hAnsi="Times New Roman"/>
              </w:rPr>
              <w:t>大气环境</w:t>
            </w:r>
          </w:p>
        </w:tc>
        <w:tc>
          <w:tcPr>
            <w:tcW w:w="3384" w:type="dxa"/>
            <w:gridSpan w:val="2"/>
            <w:vAlign w:val="center"/>
          </w:tcPr>
          <w:p>
            <w:pPr>
              <w:pStyle w:val="39"/>
              <w:adjustRightInd w:val="0"/>
              <w:snapToGrid w:val="0"/>
              <w:rPr>
                <w:rFonts w:ascii="Times New Roman" w:hAnsi="Times New Roman"/>
              </w:rPr>
            </w:pPr>
            <w:r>
              <w:rPr>
                <w:rFonts w:ascii="Times New Roman" w:hAnsi="Times New Roman"/>
              </w:rPr>
              <w:t>地表水环境</w:t>
            </w:r>
          </w:p>
        </w:tc>
        <w:tc>
          <w:tcPr>
            <w:tcW w:w="3384" w:type="dxa"/>
            <w:gridSpan w:val="2"/>
            <w:vAlign w:val="center"/>
          </w:tcPr>
          <w:p>
            <w:pPr>
              <w:pStyle w:val="39"/>
              <w:adjustRightInd w:val="0"/>
              <w:snapToGrid w:val="0"/>
              <w:rPr>
                <w:rFonts w:ascii="Times New Roman" w:hAnsi="Times New Roman"/>
              </w:rPr>
            </w:pPr>
            <w:r>
              <w:rPr>
                <w:rFonts w:ascii="Times New Roman" w:hAnsi="Times New Roman"/>
              </w:rPr>
              <w:t>地下水环境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547" w:type="dxa"/>
            <w:vMerge w:val="continue"/>
            <w:vAlign w:val="center"/>
          </w:tcPr>
          <w:p>
            <w:pPr>
              <w:pStyle w:val="39"/>
              <w:adjustRightInd w:val="0"/>
              <w:snapToGrid w:val="0"/>
              <w:rPr>
                <w:rFonts w:ascii="Times New Roman" w:hAnsi="Times New Roman"/>
              </w:rPr>
            </w:pPr>
          </w:p>
        </w:tc>
        <w:tc>
          <w:tcPr>
            <w:tcW w:w="1691" w:type="dxa"/>
            <w:vMerge w:val="continue"/>
            <w:vAlign w:val="center"/>
          </w:tcPr>
          <w:p>
            <w:pPr>
              <w:pStyle w:val="39"/>
              <w:adjustRightInd w:val="0"/>
              <w:snapToGrid w:val="0"/>
              <w:rPr>
                <w:rFonts w:ascii="Times New Roman" w:hAnsi="Times New Roman"/>
              </w:rPr>
            </w:pPr>
          </w:p>
        </w:tc>
        <w:tc>
          <w:tcPr>
            <w:tcW w:w="1692" w:type="dxa"/>
            <w:vAlign w:val="center"/>
          </w:tcPr>
          <w:p>
            <w:pPr>
              <w:pStyle w:val="39"/>
              <w:adjustRightInd w:val="0"/>
              <w:snapToGrid w:val="0"/>
              <w:rPr>
                <w:rFonts w:ascii="Times New Roman" w:hAnsi="Times New Roman"/>
              </w:rPr>
            </w:pPr>
            <w:r>
              <w:rPr>
                <w:rFonts w:ascii="Times New Roman" w:hAnsi="Times New Roman"/>
              </w:rPr>
              <w:t>环境敏感程度E</w:t>
            </w:r>
          </w:p>
        </w:tc>
        <w:tc>
          <w:tcPr>
            <w:tcW w:w="1692" w:type="dxa"/>
            <w:vAlign w:val="center"/>
          </w:tcPr>
          <w:p>
            <w:pPr>
              <w:pStyle w:val="39"/>
              <w:adjustRightInd w:val="0"/>
              <w:snapToGrid w:val="0"/>
              <w:rPr>
                <w:rFonts w:ascii="Times New Roman" w:hAnsi="Times New Roman"/>
              </w:rPr>
            </w:pPr>
            <w:r>
              <w:rPr>
                <w:rFonts w:ascii="Times New Roman" w:hAnsi="Times New Roman"/>
              </w:rPr>
              <w:t>风险潜势</w:t>
            </w:r>
          </w:p>
        </w:tc>
        <w:tc>
          <w:tcPr>
            <w:tcW w:w="1692" w:type="dxa"/>
            <w:vAlign w:val="center"/>
          </w:tcPr>
          <w:p>
            <w:pPr>
              <w:pStyle w:val="39"/>
              <w:adjustRightInd w:val="0"/>
              <w:snapToGrid w:val="0"/>
              <w:rPr>
                <w:rFonts w:ascii="Times New Roman" w:hAnsi="Times New Roman"/>
              </w:rPr>
            </w:pPr>
            <w:r>
              <w:rPr>
                <w:rFonts w:ascii="Times New Roman" w:hAnsi="Times New Roman"/>
              </w:rPr>
              <w:t>环境敏感程度E</w:t>
            </w:r>
          </w:p>
        </w:tc>
        <w:tc>
          <w:tcPr>
            <w:tcW w:w="1692" w:type="dxa"/>
            <w:vAlign w:val="center"/>
          </w:tcPr>
          <w:p>
            <w:pPr>
              <w:pStyle w:val="39"/>
              <w:adjustRightInd w:val="0"/>
              <w:snapToGrid w:val="0"/>
              <w:rPr>
                <w:rFonts w:ascii="Times New Roman" w:hAnsi="Times New Roman"/>
              </w:rPr>
            </w:pPr>
            <w:r>
              <w:rPr>
                <w:rFonts w:ascii="Times New Roman" w:hAnsi="Times New Roman"/>
              </w:rPr>
              <w:t>风险潜势</w:t>
            </w:r>
          </w:p>
        </w:tc>
        <w:tc>
          <w:tcPr>
            <w:tcW w:w="1692" w:type="dxa"/>
            <w:vAlign w:val="center"/>
          </w:tcPr>
          <w:p>
            <w:pPr>
              <w:pStyle w:val="39"/>
              <w:adjustRightInd w:val="0"/>
              <w:snapToGrid w:val="0"/>
              <w:rPr>
                <w:rFonts w:ascii="Times New Roman" w:hAnsi="Times New Roman"/>
              </w:rPr>
            </w:pPr>
            <w:r>
              <w:rPr>
                <w:rFonts w:ascii="Times New Roman" w:hAnsi="Times New Roman"/>
              </w:rPr>
              <w:t>环境敏感程度E</w:t>
            </w:r>
          </w:p>
        </w:tc>
        <w:tc>
          <w:tcPr>
            <w:tcW w:w="1692" w:type="dxa"/>
            <w:vAlign w:val="center"/>
          </w:tcPr>
          <w:p>
            <w:pPr>
              <w:pStyle w:val="39"/>
              <w:adjustRightInd w:val="0"/>
              <w:snapToGrid w:val="0"/>
              <w:rPr>
                <w:rFonts w:ascii="Times New Roman" w:hAnsi="Times New Roman"/>
              </w:rPr>
            </w:pPr>
            <w:r>
              <w:rPr>
                <w:rFonts w:ascii="Times New Roman" w:hAnsi="Times New Roman"/>
              </w:rPr>
              <w:t>风险潜势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2547" w:type="dxa"/>
            <w:vAlign w:val="center"/>
          </w:tcPr>
          <w:p>
            <w:pPr>
              <w:pStyle w:val="39"/>
              <w:adjustRightInd w:val="0"/>
              <w:snapToGrid w:val="0"/>
              <w:rPr>
                <w:rFonts w:ascii="Times New Roman" w:hAnsi="Times New Roman"/>
              </w:rPr>
            </w:pPr>
            <w:r>
              <w:rPr>
                <w:rFonts w:ascii="Times New Roman" w:hAnsi="Times New Roman"/>
                <w:lang w:val="zh-CN"/>
              </w:rPr>
              <w:t>宣探1井站</w:t>
            </w:r>
          </w:p>
        </w:tc>
        <w:tc>
          <w:tcPr>
            <w:tcW w:w="1691"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692" w:type="dxa"/>
            <w:vAlign w:val="center"/>
          </w:tcPr>
          <w:p>
            <w:pPr>
              <w:pStyle w:val="39"/>
              <w:adjustRightInd w:val="0"/>
              <w:snapToGrid w:val="0"/>
              <w:rPr>
                <w:rFonts w:ascii="Times New Roman" w:hAnsi="Times New Roman"/>
              </w:rPr>
            </w:pPr>
            <w:r>
              <w:rPr>
                <w:rFonts w:ascii="Times New Roman" w:hAnsi="Times New Roman"/>
                <w:lang w:val="zh-CN"/>
              </w:rPr>
              <w:t>E2</w:t>
            </w:r>
          </w:p>
        </w:tc>
        <w:tc>
          <w:tcPr>
            <w:tcW w:w="1692"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692" w:type="dxa"/>
            <w:vAlign w:val="center"/>
          </w:tcPr>
          <w:p>
            <w:pPr>
              <w:pStyle w:val="39"/>
              <w:adjustRightInd w:val="0"/>
              <w:snapToGrid w:val="0"/>
              <w:rPr>
                <w:rFonts w:ascii="Times New Roman" w:hAnsi="Times New Roman"/>
              </w:rPr>
            </w:pPr>
            <w:r>
              <w:rPr>
                <w:rFonts w:ascii="Times New Roman" w:hAnsi="Times New Roman"/>
              </w:rPr>
              <w:t>E1</w:t>
            </w:r>
          </w:p>
        </w:tc>
        <w:tc>
          <w:tcPr>
            <w:tcW w:w="1692"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692" w:type="dxa"/>
            <w:vAlign w:val="center"/>
          </w:tcPr>
          <w:p>
            <w:pPr>
              <w:pStyle w:val="39"/>
              <w:adjustRightInd w:val="0"/>
              <w:snapToGrid w:val="0"/>
              <w:rPr>
                <w:rFonts w:ascii="Times New Roman" w:hAnsi="Times New Roman"/>
              </w:rPr>
            </w:pPr>
            <w:r>
              <w:rPr>
                <w:rFonts w:ascii="Times New Roman" w:hAnsi="Times New Roman"/>
              </w:rPr>
              <w:t>E3</w:t>
            </w:r>
          </w:p>
        </w:tc>
        <w:tc>
          <w:tcPr>
            <w:tcW w:w="1692" w:type="dxa"/>
            <w:vAlign w:val="center"/>
          </w:tcPr>
          <w:p>
            <w:pPr>
              <w:pStyle w:val="39"/>
              <w:adjustRightInd w:val="0"/>
              <w:snapToGrid w:val="0"/>
              <w:rPr>
                <w:rFonts w:ascii="Times New Roman" w:hAnsi="Times New Roman"/>
              </w:rPr>
            </w:pPr>
            <w:r>
              <w:rPr>
                <w:rFonts w:ascii="Times New Roman" w:hAnsi="Times New Roman"/>
                <w:lang w:val="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547" w:type="dxa"/>
            <w:vAlign w:val="center"/>
          </w:tcPr>
          <w:p>
            <w:pPr>
              <w:pStyle w:val="39"/>
              <w:adjustRightInd w:val="0"/>
              <w:snapToGrid w:val="0"/>
              <w:rPr>
                <w:rFonts w:ascii="Times New Roman" w:hAnsi="Times New Roman"/>
              </w:rPr>
            </w:pPr>
            <w:r>
              <w:rPr>
                <w:rFonts w:ascii="Times New Roman" w:hAnsi="Times New Roman"/>
                <w:lang w:val="zh-CN"/>
              </w:rPr>
              <w:t>宣兴1井站</w:t>
            </w:r>
          </w:p>
        </w:tc>
        <w:tc>
          <w:tcPr>
            <w:tcW w:w="1691"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692" w:type="dxa"/>
            <w:vAlign w:val="center"/>
          </w:tcPr>
          <w:p>
            <w:pPr>
              <w:pStyle w:val="39"/>
              <w:adjustRightInd w:val="0"/>
              <w:snapToGrid w:val="0"/>
              <w:rPr>
                <w:rFonts w:ascii="Times New Roman" w:hAnsi="Times New Roman"/>
              </w:rPr>
            </w:pPr>
            <w:r>
              <w:rPr>
                <w:rFonts w:ascii="Times New Roman" w:hAnsi="Times New Roman"/>
                <w:lang w:val="zh-CN"/>
              </w:rPr>
              <w:t>E2</w:t>
            </w:r>
          </w:p>
        </w:tc>
        <w:tc>
          <w:tcPr>
            <w:tcW w:w="1692"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692" w:type="dxa"/>
            <w:vAlign w:val="center"/>
          </w:tcPr>
          <w:p>
            <w:pPr>
              <w:pStyle w:val="39"/>
              <w:adjustRightInd w:val="0"/>
              <w:snapToGrid w:val="0"/>
              <w:rPr>
                <w:rFonts w:ascii="Times New Roman" w:hAnsi="Times New Roman"/>
              </w:rPr>
            </w:pPr>
            <w:r>
              <w:rPr>
                <w:rFonts w:ascii="Times New Roman" w:hAnsi="Times New Roman"/>
              </w:rPr>
              <w:t>/</w:t>
            </w:r>
          </w:p>
        </w:tc>
        <w:tc>
          <w:tcPr>
            <w:tcW w:w="1692"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692" w:type="dxa"/>
            <w:vAlign w:val="center"/>
          </w:tcPr>
          <w:p>
            <w:pPr>
              <w:pStyle w:val="39"/>
              <w:adjustRightInd w:val="0"/>
              <w:snapToGrid w:val="0"/>
              <w:rPr>
                <w:rFonts w:ascii="Times New Roman" w:hAnsi="Times New Roman"/>
              </w:rPr>
            </w:pPr>
            <w:r>
              <w:rPr>
                <w:rFonts w:ascii="Times New Roman" w:hAnsi="Times New Roman"/>
              </w:rPr>
              <w:t>E2</w:t>
            </w:r>
          </w:p>
        </w:tc>
        <w:tc>
          <w:tcPr>
            <w:tcW w:w="1692" w:type="dxa"/>
            <w:vAlign w:val="center"/>
          </w:tcPr>
          <w:p>
            <w:pPr>
              <w:pStyle w:val="39"/>
              <w:adjustRightInd w:val="0"/>
              <w:snapToGrid w:val="0"/>
              <w:rPr>
                <w:rFonts w:ascii="Times New Roman" w:hAnsi="Times New Roman"/>
              </w:rPr>
            </w:pPr>
            <w:r>
              <w:rPr>
                <w:rFonts w:ascii="Times New Roman" w:hAnsi="Times New Roman"/>
                <w:lang w:val="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547"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宣探集气干线</w:t>
            </w:r>
          </w:p>
          <w:p>
            <w:pPr>
              <w:pStyle w:val="39"/>
              <w:adjustRightInd w:val="0"/>
              <w:snapToGrid w:val="0"/>
              <w:rPr>
                <w:rFonts w:ascii="Times New Roman" w:hAnsi="Times New Roman"/>
              </w:rPr>
            </w:pPr>
            <w:r>
              <w:rPr>
                <w:rFonts w:ascii="Times New Roman" w:hAnsi="Times New Roman"/>
              </w:rPr>
              <w:t>宣兴1井-宣探阀室</w:t>
            </w:r>
          </w:p>
        </w:tc>
        <w:tc>
          <w:tcPr>
            <w:tcW w:w="1691" w:type="dxa"/>
            <w:vAlign w:val="center"/>
          </w:tcPr>
          <w:p>
            <w:pPr>
              <w:pStyle w:val="39"/>
              <w:adjustRightInd w:val="0"/>
              <w:snapToGrid w:val="0"/>
              <w:rPr>
                <w:rFonts w:ascii="Times New Roman" w:hAnsi="Times New Roman"/>
              </w:rPr>
            </w:pPr>
            <w:r>
              <w:rPr>
                <w:rFonts w:ascii="Times New Roman" w:hAnsi="Times New Roman"/>
                <w:lang w:val="zh-CN" w:bidi="ar"/>
              </w:rPr>
              <w:t>P4</w:t>
            </w:r>
          </w:p>
        </w:tc>
        <w:tc>
          <w:tcPr>
            <w:tcW w:w="1692" w:type="dxa"/>
            <w:vAlign w:val="center"/>
          </w:tcPr>
          <w:p>
            <w:pPr>
              <w:pStyle w:val="39"/>
              <w:adjustRightInd w:val="0"/>
              <w:snapToGrid w:val="0"/>
              <w:rPr>
                <w:rFonts w:ascii="Times New Roman" w:hAnsi="Times New Roman"/>
              </w:rPr>
            </w:pPr>
            <w:r>
              <w:rPr>
                <w:rFonts w:ascii="Times New Roman" w:hAnsi="Times New Roman"/>
                <w:lang w:val="zh-CN"/>
              </w:rPr>
              <w:t>E3</w:t>
            </w:r>
          </w:p>
        </w:tc>
        <w:tc>
          <w:tcPr>
            <w:tcW w:w="1692" w:type="dxa"/>
            <w:vAlign w:val="center"/>
          </w:tcPr>
          <w:p>
            <w:pPr>
              <w:pStyle w:val="39"/>
              <w:adjustRightInd w:val="0"/>
              <w:snapToGrid w:val="0"/>
              <w:rPr>
                <w:rFonts w:ascii="Times New Roman" w:hAnsi="Times New Roman"/>
              </w:rPr>
            </w:pPr>
            <w:r>
              <w:rPr>
                <w:rFonts w:ascii="Times New Roman" w:hAnsi="Times New Roman"/>
              </w:rPr>
              <w:t>Ⅰ</w:t>
            </w:r>
          </w:p>
        </w:tc>
        <w:tc>
          <w:tcPr>
            <w:tcW w:w="1692" w:type="dxa"/>
            <w:vAlign w:val="center"/>
          </w:tcPr>
          <w:p>
            <w:pPr>
              <w:pStyle w:val="39"/>
              <w:adjustRightInd w:val="0"/>
              <w:snapToGrid w:val="0"/>
              <w:rPr>
                <w:rFonts w:ascii="Times New Roman" w:hAnsi="Times New Roman"/>
              </w:rPr>
            </w:pPr>
            <w:r>
              <w:rPr>
                <w:rFonts w:ascii="Times New Roman" w:hAnsi="Times New Roman"/>
              </w:rPr>
              <w:t>/</w:t>
            </w:r>
          </w:p>
        </w:tc>
        <w:tc>
          <w:tcPr>
            <w:tcW w:w="1692" w:type="dxa"/>
            <w:vAlign w:val="center"/>
          </w:tcPr>
          <w:p>
            <w:pPr>
              <w:pStyle w:val="39"/>
              <w:adjustRightInd w:val="0"/>
              <w:snapToGrid w:val="0"/>
              <w:rPr>
                <w:rFonts w:ascii="Times New Roman" w:hAnsi="Times New Roman"/>
              </w:rPr>
            </w:pPr>
            <w:r>
              <w:rPr>
                <w:rFonts w:ascii="Times New Roman" w:hAnsi="Times New Roman"/>
              </w:rPr>
              <w:t>Ⅰ</w:t>
            </w:r>
          </w:p>
        </w:tc>
        <w:tc>
          <w:tcPr>
            <w:tcW w:w="1692" w:type="dxa"/>
            <w:vAlign w:val="center"/>
          </w:tcPr>
          <w:p>
            <w:pPr>
              <w:pStyle w:val="39"/>
              <w:adjustRightInd w:val="0"/>
              <w:snapToGrid w:val="0"/>
              <w:rPr>
                <w:rFonts w:ascii="Times New Roman" w:hAnsi="Times New Roman"/>
              </w:rPr>
            </w:pPr>
            <w:r>
              <w:rPr>
                <w:rFonts w:ascii="Times New Roman" w:hAnsi="Times New Roman"/>
              </w:rPr>
              <w:t>E2</w:t>
            </w:r>
          </w:p>
        </w:tc>
        <w:tc>
          <w:tcPr>
            <w:tcW w:w="1692" w:type="dxa"/>
            <w:vAlign w:val="center"/>
          </w:tcPr>
          <w:p>
            <w:pPr>
              <w:pStyle w:val="39"/>
              <w:adjustRightInd w:val="0"/>
              <w:snapToGrid w:val="0"/>
              <w:rPr>
                <w:rFonts w:ascii="Times New Roman" w:hAnsi="Times New Roman"/>
              </w:rPr>
            </w:pPr>
            <w:r>
              <w:rPr>
                <w:rFonts w:ascii="Times New Roman" w:hAnsi="Times New Roman"/>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547"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宣探集气干线</w:t>
            </w:r>
          </w:p>
          <w:p>
            <w:pPr>
              <w:pStyle w:val="39"/>
              <w:adjustRightInd w:val="0"/>
              <w:snapToGrid w:val="0"/>
              <w:rPr>
                <w:rFonts w:ascii="Times New Roman" w:hAnsi="Times New Roman"/>
              </w:rPr>
            </w:pPr>
            <w:r>
              <w:rPr>
                <w:rFonts w:ascii="Times New Roman" w:hAnsi="Times New Roman"/>
              </w:rPr>
              <w:t>宣探阀室-宣探清管站</w:t>
            </w:r>
          </w:p>
        </w:tc>
        <w:tc>
          <w:tcPr>
            <w:tcW w:w="1691" w:type="dxa"/>
            <w:vAlign w:val="center"/>
          </w:tcPr>
          <w:p>
            <w:pPr>
              <w:pStyle w:val="39"/>
              <w:adjustRightInd w:val="0"/>
              <w:snapToGrid w:val="0"/>
              <w:rPr>
                <w:rFonts w:ascii="Times New Roman" w:hAnsi="Times New Roman"/>
              </w:rPr>
            </w:pPr>
            <w:r>
              <w:rPr>
                <w:rFonts w:ascii="Times New Roman" w:hAnsi="Times New Roman"/>
                <w:lang w:val="zh-CN" w:bidi="ar"/>
              </w:rPr>
              <w:t>P4</w:t>
            </w:r>
          </w:p>
        </w:tc>
        <w:tc>
          <w:tcPr>
            <w:tcW w:w="1692" w:type="dxa"/>
            <w:vAlign w:val="center"/>
          </w:tcPr>
          <w:p>
            <w:pPr>
              <w:pStyle w:val="39"/>
              <w:adjustRightInd w:val="0"/>
              <w:snapToGrid w:val="0"/>
              <w:rPr>
                <w:rFonts w:ascii="Times New Roman" w:hAnsi="Times New Roman"/>
              </w:rPr>
            </w:pPr>
            <w:r>
              <w:rPr>
                <w:rFonts w:ascii="Times New Roman" w:hAnsi="Times New Roman"/>
                <w:lang w:val="zh-CN"/>
              </w:rPr>
              <w:t>E2</w:t>
            </w:r>
          </w:p>
        </w:tc>
        <w:tc>
          <w:tcPr>
            <w:tcW w:w="1692" w:type="dxa"/>
            <w:vAlign w:val="center"/>
          </w:tcPr>
          <w:p>
            <w:pPr>
              <w:pStyle w:val="39"/>
              <w:adjustRightInd w:val="0"/>
              <w:snapToGrid w:val="0"/>
              <w:rPr>
                <w:rFonts w:ascii="Times New Roman" w:hAnsi="Times New Roman"/>
              </w:rPr>
            </w:pPr>
            <w:r>
              <w:rPr>
                <w:rFonts w:ascii="Times New Roman" w:hAnsi="Times New Roman"/>
              </w:rPr>
              <w:t>Ⅱ</w:t>
            </w:r>
          </w:p>
        </w:tc>
        <w:tc>
          <w:tcPr>
            <w:tcW w:w="1692" w:type="dxa"/>
            <w:vAlign w:val="center"/>
          </w:tcPr>
          <w:p>
            <w:pPr>
              <w:pStyle w:val="39"/>
              <w:adjustRightInd w:val="0"/>
              <w:snapToGrid w:val="0"/>
              <w:rPr>
                <w:rFonts w:ascii="Times New Roman" w:hAnsi="Times New Roman"/>
              </w:rPr>
            </w:pPr>
            <w:r>
              <w:rPr>
                <w:rFonts w:ascii="Times New Roman" w:hAnsi="Times New Roman"/>
              </w:rPr>
              <w:t>/</w:t>
            </w:r>
          </w:p>
        </w:tc>
        <w:tc>
          <w:tcPr>
            <w:tcW w:w="1692" w:type="dxa"/>
            <w:vAlign w:val="center"/>
          </w:tcPr>
          <w:p>
            <w:pPr>
              <w:pStyle w:val="39"/>
              <w:adjustRightInd w:val="0"/>
              <w:snapToGrid w:val="0"/>
              <w:rPr>
                <w:rFonts w:ascii="Times New Roman" w:hAnsi="Times New Roman"/>
              </w:rPr>
            </w:pPr>
            <w:r>
              <w:rPr>
                <w:rFonts w:ascii="Times New Roman" w:hAnsi="Times New Roman"/>
              </w:rPr>
              <w:t>Ⅰ</w:t>
            </w:r>
          </w:p>
        </w:tc>
        <w:tc>
          <w:tcPr>
            <w:tcW w:w="1692" w:type="dxa"/>
            <w:vAlign w:val="center"/>
          </w:tcPr>
          <w:p>
            <w:pPr>
              <w:pStyle w:val="39"/>
              <w:adjustRightInd w:val="0"/>
              <w:snapToGrid w:val="0"/>
              <w:rPr>
                <w:rFonts w:ascii="Times New Roman" w:hAnsi="Times New Roman"/>
              </w:rPr>
            </w:pPr>
            <w:r>
              <w:rPr>
                <w:rFonts w:ascii="Times New Roman" w:hAnsi="Times New Roman"/>
              </w:rPr>
              <w:t>E2</w:t>
            </w:r>
          </w:p>
        </w:tc>
        <w:tc>
          <w:tcPr>
            <w:tcW w:w="1692" w:type="dxa"/>
            <w:vAlign w:val="center"/>
          </w:tcPr>
          <w:p>
            <w:pPr>
              <w:pStyle w:val="39"/>
              <w:adjustRightInd w:val="0"/>
              <w:snapToGrid w:val="0"/>
              <w:rPr>
                <w:rFonts w:ascii="Times New Roman" w:hAnsi="Times New Roman"/>
              </w:rPr>
            </w:pPr>
            <w:r>
              <w:rPr>
                <w:rFonts w:ascii="Times New Roman" w:hAnsi="Times New Roman"/>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547"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宣探联络线</w:t>
            </w:r>
          </w:p>
          <w:p>
            <w:pPr>
              <w:pStyle w:val="39"/>
              <w:adjustRightInd w:val="0"/>
              <w:snapToGrid w:val="0"/>
              <w:rPr>
                <w:rFonts w:ascii="Times New Roman" w:hAnsi="Times New Roman"/>
              </w:rPr>
            </w:pPr>
            <w:r>
              <w:rPr>
                <w:rFonts w:ascii="Times New Roman" w:hAnsi="Times New Roman"/>
              </w:rPr>
              <w:t>宣探清管站-304集气站</w:t>
            </w:r>
          </w:p>
        </w:tc>
        <w:tc>
          <w:tcPr>
            <w:tcW w:w="1691"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692" w:type="dxa"/>
            <w:vAlign w:val="center"/>
          </w:tcPr>
          <w:p>
            <w:pPr>
              <w:pStyle w:val="39"/>
              <w:adjustRightInd w:val="0"/>
              <w:snapToGrid w:val="0"/>
              <w:rPr>
                <w:rFonts w:ascii="Times New Roman" w:hAnsi="Times New Roman"/>
              </w:rPr>
            </w:pPr>
            <w:r>
              <w:rPr>
                <w:rFonts w:ascii="Times New Roman" w:hAnsi="Times New Roman"/>
                <w:lang w:val="zh-CN"/>
              </w:rPr>
              <w:t>E3</w:t>
            </w:r>
          </w:p>
        </w:tc>
        <w:tc>
          <w:tcPr>
            <w:tcW w:w="1692"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692" w:type="dxa"/>
            <w:vAlign w:val="center"/>
          </w:tcPr>
          <w:p>
            <w:pPr>
              <w:pStyle w:val="39"/>
              <w:adjustRightInd w:val="0"/>
              <w:snapToGrid w:val="0"/>
              <w:rPr>
                <w:rFonts w:ascii="Times New Roman" w:hAnsi="Times New Roman"/>
              </w:rPr>
            </w:pPr>
            <w:r>
              <w:rPr>
                <w:rFonts w:ascii="Times New Roman" w:hAnsi="Times New Roman"/>
              </w:rPr>
              <w:t>/</w:t>
            </w:r>
          </w:p>
        </w:tc>
        <w:tc>
          <w:tcPr>
            <w:tcW w:w="1692"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692" w:type="dxa"/>
            <w:vAlign w:val="center"/>
          </w:tcPr>
          <w:p>
            <w:pPr>
              <w:pStyle w:val="39"/>
              <w:adjustRightInd w:val="0"/>
              <w:snapToGrid w:val="0"/>
              <w:rPr>
                <w:rFonts w:ascii="Times New Roman" w:hAnsi="Times New Roman"/>
              </w:rPr>
            </w:pPr>
            <w:r>
              <w:rPr>
                <w:rFonts w:ascii="Times New Roman" w:hAnsi="Times New Roman"/>
              </w:rPr>
              <w:t>E2</w:t>
            </w:r>
          </w:p>
        </w:tc>
        <w:tc>
          <w:tcPr>
            <w:tcW w:w="1692" w:type="dxa"/>
            <w:vAlign w:val="center"/>
          </w:tcPr>
          <w:p>
            <w:pPr>
              <w:pStyle w:val="39"/>
              <w:adjustRightInd w:val="0"/>
              <w:snapToGrid w:val="0"/>
              <w:rPr>
                <w:rFonts w:ascii="Times New Roman" w:hAnsi="Times New Roman"/>
              </w:rPr>
            </w:pPr>
            <w:r>
              <w:rPr>
                <w:rFonts w:ascii="Times New Roman" w:hAnsi="Times New Roman"/>
                <w:lang w:val="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547"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宣探集气支线</w:t>
            </w:r>
          </w:p>
          <w:p>
            <w:pPr>
              <w:pStyle w:val="39"/>
              <w:adjustRightInd w:val="0"/>
              <w:snapToGrid w:val="0"/>
              <w:rPr>
                <w:rFonts w:ascii="Times New Roman" w:hAnsi="Times New Roman"/>
              </w:rPr>
            </w:pPr>
            <w:r>
              <w:rPr>
                <w:rFonts w:ascii="Times New Roman" w:hAnsi="Times New Roman"/>
              </w:rPr>
              <w:t>宣探1井-宣兴1井</w:t>
            </w:r>
          </w:p>
        </w:tc>
        <w:tc>
          <w:tcPr>
            <w:tcW w:w="1691"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692" w:type="dxa"/>
            <w:vAlign w:val="center"/>
          </w:tcPr>
          <w:p>
            <w:pPr>
              <w:pStyle w:val="39"/>
              <w:adjustRightInd w:val="0"/>
              <w:snapToGrid w:val="0"/>
              <w:rPr>
                <w:rFonts w:ascii="Times New Roman" w:hAnsi="Times New Roman"/>
              </w:rPr>
            </w:pPr>
            <w:r>
              <w:rPr>
                <w:rFonts w:ascii="Times New Roman" w:hAnsi="Times New Roman"/>
                <w:lang w:val="zh-CN"/>
              </w:rPr>
              <w:t>E3</w:t>
            </w:r>
          </w:p>
        </w:tc>
        <w:tc>
          <w:tcPr>
            <w:tcW w:w="1692"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692" w:type="dxa"/>
            <w:vAlign w:val="center"/>
          </w:tcPr>
          <w:p>
            <w:pPr>
              <w:pStyle w:val="39"/>
              <w:adjustRightInd w:val="0"/>
              <w:snapToGrid w:val="0"/>
              <w:rPr>
                <w:rFonts w:ascii="Times New Roman" w:hAnsi="Times New Roman"/>
              </w:rPr>
            </w:pPr>
            <w:r>
              <w:rPr>
                <w:rFonts w:ascii="Times New Roman" w:hAnsi="Times New Roman"/>
              </w:rPr>
              <w:t>E1</w:t>
            </w:r>
          </w:p>
        </w:tc>
        <w:tc>
          <w:tcPr>
            <w:tcW w:w="1692"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692" w:type="dxa"/>
            <w:vAlign w:val="center"/>
          </w:tcPr>
          <w:p>
            <w:pPr>
              <w:pStyle w:val="39"/>
              <w:adjustRightInd w:val="0"/>
              <w:snapToGrid w:val="0"/>
              <w:rPr>
                <w:rFonts w:ascii="Times New Roman" w:hAnsi="Times New Roman"/>
              </w:rPr>
            </w:pPr>
            <w:r>
              <w:rPr>
                <w:rFonts w:ascii="Times New Roman" w:hAnsi="Times New Roman"/>
              </w:rPr>
              <w:t>E2</w:t>
            </w:r>
          </w:p>
        </w:tc>
        <w:tc>
          <w:tcPr>
            <w:tcW w:w="1692" w:type="dxa"/>
            <w:vAlign w:val="center"/>
          </w:tcPr>
          <w:p>
            <w:pPr>
              <w:pStyle w:val="39"/>
              <w:adjustRightInd w:val="0"/>
              <w:snapToGrid w:val="0"/>
              <w:rPr>
                <w:rFonts w:ascii="Times New Roman" w:hAnsi="Times New Roman"/>
              </w:rPr>
            </w:pPr>
            <w:r>
              <w:rPr>
                <w:rFonts w:ascii="Times New Roman" w:hAnsi="Times New Roman"/>
                <w:lang w:val="zh-CN" w:bidi="ar"/>
              </w:rPr>
              <w:t>/</w:t>
            </w:r>
          </w:p>
        </w:tc>
      </w:tr>
    </w:tbl>
    <w:p>
      <w:pPr>
        <w:pStyle w:val="37"/>
        <w:rPr>
          <w:rFonts w:ascii="Times New Roman" w:hAnsi="Times New Roman" w:cs="Times New Roman"/>
        </w:rPr>
      </w:pPr>
      <w:bookmarkStart w:id="265" w:name="_Ref14413068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bookmarkEnd w:id="265"/>
      <w:r>
        <w:rPr>
          <w:rFonts w:ascii="Times New Roman" w:hAnsi="Times New Roman" w:cs="Times New Roman"/>
        </w:rPr>
        <w:t xml:space="preserve">   </w:t>
      </w:r>
      <w:bookmarkStart w:id="266" w:name="_Hlk160637217"/>
      <w:r>
        <w:rPr>
          <w:rFonts w:ascii="Times New Roman" w:hAnsi="Times New Roman" w:cs="Times New Roman"/>
        </w:rPr>
        <w:t>本项目环境风险评价等级及评价范围</w:t>
      </w:r>
    </w:p>
    <w:tbl>
      <w:tblPr>
        <w:tblStyle w:val="28"/>
        <w:tblW w:w="145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52"/>
        <w:gridCol w:w="1158"/>
        <w:gridCol w:w="1418"/>
        <w:gridCol w:w="2268"/>
        <w:gridCol w:w="1276"/>
        <w:gridCol w:w="1134"/>
        <w:gridCol w:w="1134"/>
        <w:gridCol w:w="1153"/>
        <w:gridCol w:w="1243"/>
        <w:gridCol w:w="1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352" w:type="dxa"/>
            <w:vMerge w:val="restart"/>
            <w:vAlign w:val="center"/>
          </w:tcPr>
          <w:p>
            <w:pPr>
              <w:pStyle w:val="39"/>
              <w:adjustRightInd w:val="0"/>
              <w:snapToGrid w:val="0"/>
              <w:rPr>
                <w:rFonts w:ascii="Times New Roman" w:hAnsi="Times New Roman"/>
              </w:rPr>
            </w:pPr>
            <w:r>
              <w:rPr>
                <w:rFonts w:ascii="Times New Roman" w:hAnsi="Times New Roman"/>
              </w:rPr>
              <w:t>工艺单元</w:t>
            </w:r>
          </w:p>
        </w:tc>
        <w:tc>
          <w:tcPr>
            <w:tcW w:w="4844" w:type="dxa"/>
            <w:gridSpan w:val="3"/>
            <w:vAlign w:val="center"/>
          </w:tcPr>
          <w:p>
            <w:pPr>
              <w:pStyle w:val="39"/>
              <w:adjustRightInd w:val="0"/>
              <w:snapToGrid w:val="0"/>
              <w:rPr>
                <w:rFonts w:ascii="Times New Roman" w:hAnsi="Times New Roman"/>
              </w:rPr>
            </w:pPr>
            <w:r>
              <w:rPr>
                <w:rFonts w:ascii="Times New Roman" w:hAnsi="Times New Roman"/>
              </w:rPr>
              <w:t>大气环境</w:t>
            </w:r>
          </w:p>
        </w:tc>
        <w:tc>
          <w:tcPr>
            <w:tcW w:w="3544" w:type="dxa"/>
            <w:gridSpan w:val="3"/>
            <w:vAlign w:val="center"/>
          </w:tcPr>
          <w:p>
            <w:pPr>
              <w:pStyle w:val="39"/>
              <w:adjustRightInd w:val="0"/>
              <w:snapToGrid w:val="0"/>
              <w:rPr>
                <w:rFonts w:ascii="Times New Roman" w:hAnsi="Times New Roman"/>
              </w:rPr>
            </w:pPr>
            <w:r>
              <w:rPr>
                <w:rFonts w:ascii="Times New Roman" w:hAnsi="Times New Roman"/>
              </w:rPr>
              <w:t>地表水环境</w:t>
            </w:r>
          </w:p>
        </w:tc>
        <w:tc>
          <w:tcPr>
            <w:tcW w:w="3799" w:type="dxa"/>
            <w:gridSpan w:val="3"/>
            <w:vAlign w:val="center"/>
          </w:tcPr>
          <w:p>
            <w:pPr>
              <w:pStyle w:val="39"/>
              <w:adjustRightInd w:val="0"/>
              <w:snapToGrid w:val="0"/>
              <w:rPr>
                <w:rFonts w:ascii="Times New Roman" w:hAnsi="Times New Roman"/>
              </w:rPr>
            </w:pPr>
            <w:r>
              <w:rPr>
                <w:rFonts w:ascii="Times New Roman" w:hAnsi="Times New Roman"/>
              </w:rPr>
              <w:t>地下水环境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352" w:type="dxa"/>
            <w:vMerge w:val="continue"/>
            <w:vAlign w:val="center"/>
          </w:tcPr>
          <w:p>
            <w:pPr>
              <w:pStyle w:val="39"/>
              <w:adjustRightInd w:val="0"/>
              <w:snapToGrid w:val="0"/>
              <w:rPr>
                <w:rFonts w:ascii="Times New Roman" w:hAnsi="Times New Roman"/>
              </w:rPr>
            </w:pPr>
          </w:p>
        </w:tc>
        <w:tc>
          <w:tcPr>
            <w:tcW w:w="1158" w:type="dxa"/>
            <w:vAlign w:val="center"/>
          </w:tcPr>
          <w:p>
            <w:pPr>
              <w:pStyle w:val="39"/>
              <w:adjustRightInd w:val="0"/>
              <w:snapToGrid w:val="0"/>
              <w:rPr>
                <w:rFonts w:ascii="Times New Roman" w:hAnsi="Times New Roman"/>
              </w:rPr>
            </w:pPr>
            <w:r>
              <w:rPr>
                <w:rFonts w:ascii="Times New Roman" w:hAnsi="Times New Roman"/>
              </w:rPr>
              <w:t>风险潜势</w:t>
            </w:r>
          </w:p>
        </w:tc>
        <w:tc>
          <w:tcPr>
            <w:tcW w:w="1418" w:type="dxa"/>
            <w:vAlign w:val="center"/>
          </w:tcPr>
          <w:p>
            <w:pPr>
              <w:pStyle w:val="39"/>
              <w:adjustRightInd w:val="0"/>
              <w:snapToGrid w:val="0"/>
              <w:rPr>
                <w:rFonts w:ascii="Times New Roman" w:hAnsi="Times New Roman"/>
              </w:rPr>
            </w:pPr>
            <w:r>
              <w:rPr>
                <w:rFonts w:ascii="Times New Roman" w:hAnsi="Times New Roman"/>
              </w:rPr>
              <w:t>评价等级</w:t>
            </w:r>
          </w:p>
        </w:tc>
        <w:tc>
          <w:tcPr>
            <w:tcW w:w="2268" w:type="dxa"/>
            <w:vAlign w:val="center"/>
          </w:tcPr>
          <w:p>
            <w:pPr>
              <w:pStyle w:val="39"/>
              <w:adjustRightInd w:val="0"/>
              <w:snapToGrid w:val="0"/>
              <w:rPr>
                <w:rFonts w:ascii="Times New Roman" w:hAnsi="Times New Roman"/>
              </w:rPr>
            </w:pPr>
            <w:r>
              <w:rPr>
                <w:rFonts w:ascii="Times New Roman" w:hAnsi="Times New Roman"/>
              </w:rPr>
              <w:t>评级范围</w:t>
            </w:r>
          </w:p>
        </w:tc>
        <w:tc>
          <w:tcPr>
            <w:tcW w:w="1276" w:type="dxa"/>
            <w:vAlign w:val="center"/>
          </w:tcPr>
          <w:p>
            <w:pPr>
              <w:pStyle w:val="39"/>
              <w:adjustRightInd w:val="0"/>
              <w:snapToGrid w:val="0"/>
              <w:rPr>
                <w:rFonts w:ascii="Times New Roman" w:hAnsi="Times New Roman"/>
              </w:rPr>
            </w:pPr>
            <w:r>
              <w:rPr>
                <w:rFonts w:ascii="Times New Roman" w:hAnsi="Times New Roman"/>
              </w:rPr>
              <w:t>风险潜势</w:t>
            </w:r>
          </w:p>
        </w:tc>
        <w:tc>
          <w:tcPr>
            <w:tcW w:w="1134" w:type="dxa"/>
            <w:vAlign w:val="center"/>
          </w:tcPr>
          <w:p>
            <w:pPr>
              <w:pStyle w:val="39"/>
              <w:adjustRightInd w:val="0"/>
              <w:snapToGrid w:val="0"/>
              <w:rPr>
                <w:rFonts w:ascii="Times New Roman" w:hAnsi="Times New Roman"/>
              </w:rPr>
            </w:pPr>
            <w:r>
              <w:rPr>
                <w:rFonts w:ascii="Times New Roman" w:hAnsi="Times New Roman"/>
              </w:rPr>
              <w:t>评价等级</w:t>
            </w:r>
          </w:p>
        </w:tc>
        <w:tc>
          <w:tcPr>
            <w:tcW w:w="1134" w:type="dxa"/>
            <w:vAlign w:val="center"/>
          </w:tcPr>
          <w:p>
            <w:pPr>
              <w:pStyle w:val="39"/>
              <w:adjustRightInd w:val="0"/>
              <w:snapToGrid w:val="0"/>
              <w:rPr>
                <w:rFonts w:ascii="Times New Roman" w:hAnsi="Times New Roman"/>
              </w:rPr>
            </w:pPr>
            <w:r>
              <w:rPr>
                <w:rFonts w:ascii="Times New Roman" w:hAnsi="Times New Roman"/>
              </w:rPr>
              <w:t>评级范围</w:t>
            </w:r>
          </w:p>
        </w:tc>
        <w:tc>
          <w:tcPr>
            <w:tcW w:w="1153" w:type="dxa"/>
            <w:vAlign w:val="center"/>
          </w:tcPr>
          <w:p>
            <w:pPr>
              <w:pStyle w:val="39"/>
              <w:adjustRightInd w:val="0"/>
              <w:snapToGrid w:val="0"/>
              <w:rPr>
                <w:rFonts w:ascii="Times New Roman" w:hAnsi="Times New Roman"/>
              </w:rPr>
            </w:pPr>
            <w:r>
              <w:rPr>
                <w:rFonts w:ascii="Times New Roman" w:hAnsi="Times New Roman"/>
              </w:rPr>
              <w:t>风险潜势</w:t>
            </w:r>
          </w:p>
        </w:tc>
        <w:tc>
          <w:tcPr>
            <w:tcW w:w="1243" w:type="dxa"/>
            <w:vAlign w:val="center"/>
          </w:tcPr>
          <w:p>
            <w:pPr>
              <w:pStyle w:val="39"/>
              <w:adjustRightInd w:val="0"/>
              <w:snapToGrid w:val="0"/>
              <w:rPr>
                <w:rFonts w:ascii="Times New Roman" w:hAnsi="Times New Roman"/>
              </w:rPr>
            </w:pPr>
            <w:r>
              <w:rPr>
                <w:rFonts w:ascii="Times New Roman" w:hAnsi="Times New Roman"/>
              </w:rPr>
              <w:t>评价等级</w:t>
            </w:r>
          </w:p>
        </w:tc>
        <w:tc>
          <w:tcPr>
            <w:tcW w:w="1403" w:type="dxa"/>
            <w:vAlign w:val="center"/>
          </w:tcPr>
          <w:p>
            <w:pPr>
              <w:pStyle w:val="39"/>
              <w:adjustRightInd w:val="0"/>
              <w:snapToGrid w:val="0"/>
              <w:rPr>
                <w:rFonts w:ascii="Times New Roman" w:hAnsi="Times New Roman"/>
              </w:rPr>
            </w:pPr>
            <w:r>
              <w:rPr>
                <w:rFonts w:ascii="Times New Roman" w:hAnsi="Times New Roman"/>
              </w:rPr>
              <w:t>评级范围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2352" w:type="dxa"/>
            <w:vAlign w:val="center"/>
          </w:tcPr>
          <w:p>
            <w:pPr>
              <w:pStyle w:val="39"/>
              <w:adjustRightInd w:val="0"/>
              <w:snapToGrid w:val="0"/>
              <w:rPr>
                <w:rFonts w:ascii="Times New Roman" w:hAnsi="Times New Roman"/>
              </w:rPr>
            </w:pPr>
            <w:r>
              <w:rPr>
                <w:rFonts w:ascii="Times New Roman" w:hAnsi="Times New Roman"/>
                <w:lang w:val="zh-CN"/>
              </w:rPr>
              <w:t>宣探1井站</w:t>
            </w:r>
          </w:p>
        </w:tc>
        <w:tc>
          <w:tcPr>
            <w:tcW w:w="1158"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418" w:type="dxa"/>
            <w:vAlign w:val="center"/>
          </w:tcPr>
          <w:p>
            <w:pPr>
              <w:pStyle w:val="39"/>
              <w:adjustRightInd w:val="0"/>
              <w:snapToGrid w:val="0"/>
              <w:rPr>
                <w:rFonts w:ascii="Times New Roman" w:hAnsi="Times New Roman"/>
              </w:rPr>
            </w:pPr>
            <w:r>
              <w:rPr>
                <w:rFonts w:ascii="Times New Roman" w:hAnsi="Times New Roman"/>
              </w:rPr>
              <w:t>简单分析</w:t>
            </w:r>
          </w:p>
        </w:tc>
        <w:tc>
          <w:tcPr>
            <w:tcW w:w="2268" w:type="dxa"/>
            <w:vAlign w:val="center"/>
          </w:tcPr>
          <w:p>
            <w:pPr>
              <w:pStyle w:val="39"/>
              <w:adjustRightInd w:val="0"/>
              <w:snapToGrid w:val="0"/>
              <w:rPr>
                <w:rFonts w:ascii="Times New Roman" w:hAnsi="Times New Roman"/>
              </w:rPr>
            </w:pPr>
            <w:r>
              <w:rPr>
                <w:rFonts w:ascii="Times New Roman" w:hAnsi="Times New Roman"/>
              </w:rPr>
              <w:t>边界外延3km</w:t>
            </w:r>
          </w:p>
        </w:tc>
        <w:tc>
          <w:tcPr>
            <w:tcW w:w="1276"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134" w:type="dxa"/>
            <w:vAlign w:val="center"/>
          </w:tcPr>
          <w:p>
            <w:pPr>
              <w:pStyle w:val="39"/>
              <w:adjustRightInd w:val="0"/>
              <w:snapToGrid w:val="0"/>
              <w:rPr>
                <w:rFonts w:ascii="Times New Roman" w:hAnsi="Times New Roman"/>
              </w:rPr>
            </w:pPr>
            <w:r>
              <w:rPr>
                <w:rFonts w:ascii="Times New Roman" w:hAnsi="Times New Roman"/>
              </w:rPr>
              <w:t>简单分析</w:t>
            </w:r>
          </w:p>
        </w:tc>
        <w:tc>
          <w:tcPr>
            <w:tcW w:w="1134" w:type="dxa"/>
            <w:vAlign w:val="center"/>
          </w:tcPr>
          <w:p>
            <w:pPr>
              <w:pStyle w:val="39"/>
              <w:adjustRightInd w:val="0"/>
              <w:snapToGrid w:val="0"/>
              <w:rPr>
                <w:rFonts w:ascii="Times New Roman" w:hAnsi="Times New Roman"/>
              </w:rPr>
            </w:pPr>
            <w:r>
              <w:rPr>
                <w:rFonts w:ascii="Times New Roman" w:hAnsi="Times New Roman"/>
              </w:rPr>
              <w:t>/</w:t>
            </w:r>
          </w:p>
        </w:tc>
        <w:tc>
          <w:tcPr>
            <w:tcW w:w="1153"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243" w:type="dxa"/>
            <w:vAlign w:val="center"/>
          </w:tcPr>
          <w:p>
            <w:pPr>
              <w:pStyle w:val="39"/>
              <w:adjustRightInd w:val="0"/>
              <w:snapToGrid w:val="0"/>
              <w:rPr>
                <w:rFonts w:ascii="Times New Roman" w:hAnsi="Times New Roman"/>
              </w:rPr>
            </w:pPr>
            <w:r>
              <w:rPr>
                <w:rFonts w:ascii="Times New Roman" w:hAnsi="Times New Roman"/>
              </w:rPr>
              <w:t>简单分析</w:t>
            </w:r>
          </w:p>
        </w:tc>
        <w:tc>
          <w:tcPr>
            <w:tcW w:w="1403" w:type="dxa"/>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2352" w:type="dxa"/>
            <w:vAlign w:val="center"/>
          </w:tcPr>
          <w:p>
            <w:pPr>
              <w:pStyle w:val="39"/>
              <w:adjustRightInd w:val="0"/>
              <w:snapToGrid w:val="0"/>
              <w:rPr>
                <w:rFonts w:ascii="Times New Roman" w:hAnsi="Times New Roman"/>
              </w:rPr>
            </w:pPr>
            <w:r>
              <w:rPr>
                <w:rFonts w:ascii="Times New Roman" w:hAnsi="Times New Roman"/>
                <w:lang w:val="zh-CN"/>
              </w:rPr>
              <w:t>宣兴1井站</w:t>
            </w:r>
          </w:p>
        </w:tc>
        <w:tc>
          <w:tcPr>
            <w:tcW w:w="1158"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418" w:type="dxa"/>
            <w:vAlign w:val="center"/>
          </w:tcPr>
          <w:p>
            <w:pPr>
              <w:pStyle w:val="39"/>
              <w:adjustRightInd w:val="0"/>
              <w:snapToGrid w:val="0"/>
              <w:rPr>
                <w:rFonts w:ascii="Times New Roman" w:hAnsi="Times New Roman"/>
              </w:rPr>
            </w:pPr>
            <w:r>
              <w:rPr>
                <w:rFonts w:ascii="Times New Roman" w:hAnsi="Times New Roman"/>
              </w:rPr>
              <w:t>简单分析</w:t>
            </w:r>
          </w:p>
        </w:tc>
        <w:tc>
          <w:tcPr>
            <w:tcW w:w="2268" w:type="dxa"/>
            <w:vAlign w:val="center"/>
          </w:tcPr>
          <w:p>
            <w:pPr>
              <w:pStyle w:val="39"/>
              <w:adjustRightInd w:val="0"/>
              <w:snapToGrid w:val="0"/>
              <w:rPr>
                <w:rFonts w:ascii="Times New Roman" w:hAnsi="Times New Roman"/>
              </w:rPr>
            </w:pPr>
            <w:r>
              <w:rPr>
                <w:rFonts w:ascii="Times New Roman" w:hAnsi="Times New Roman"/>
              </w:rPr>
              <w:t>边界外延3km</w:t>
            </w:r>
          </w:p>
        </w:tc>
        <w:tc>
          <w:tcPr>
            <w:tcW w:w="1276"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134" w:type="dxa"/>
            <w:vAlign w:val="center"/>
          </w:tcPr>
          <w:p>
            <w:pPr>
              <w:pStyle w:val="39"/>
              <w:adjustRightInd w:val="0"/>
              <w:snapToGrid w:val="0"/>
              <w:rPr>
                <w:rFonts w:ascii="Times New Roman" w:hAnsi="Times New Roman"/>
              </w:rPr>
            </w:pPr>
            <w:r>
              <w:rPr>
                <w:rFonts w:ascii="Times New Roman" w:hAnsi="Times New Roman"/>
              </w:rPr>
              <w:t>简单分析</w:t>
            </w:r>
          </w:p>
        </w:tc>
        <w:tc>
          <w:tcPr>
            <w:tcW w:w="1134" w:type="dxa"/>
            <w:vAlign w:val="center"/>
          </w:tcPr>
          <w:p>
            <w:pPr>
              <w:pStyle w:val="39"/>
              <w:adjustRightInd w:val="0"/>
              <w:snapToGrid w:val="0"/>
              <w:rPr>
                <w:rFonts w:ascii="Times New Roman" w:hAnsi="Times New Roman"/>
              </w:rPr>
            </w:pPr>
            <w:r>
              <w:rPr>
                <w:rFonts w:ascii="Times New Roman" w:hAnsi="Times New Roman"/>
              </w:rPr>
              <w:t>/</w:t>
            </w:r>
          </w:p>
        </w:tc>
        <w:tc>
          <w:tcPr>
            <w:tcW w:w="1153"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243" w:type="dxa"/>
            <w:vAlign w:val="center"/>
          </w:tcPr>
          <w:p>
            <w:pPr>
              <w:pStyle w:val="39"/>
              <w:adjustRightInd w:val="0"/>
              <w:snapToGrid w:val="0"/>
              <w:rPr>
                <w:rFonts w:ascii="Times New Roman" w:hAnsi="Times New Roman"/>
              </w:rPr>
            </w:pPr>
            <w:r>
              <w:rPr>
                <w:rFonts w:ascii="Times New Roman" w:hAnsi="Times New Roman"/>
              </w:rPr>
              <w:t>简单分析</w:t>
            </w:r>
          </w:p>
        </w:tc>
        <w:tc>
          <w:tcPr>
            <w:tcW w:w="1403" w:type="dxa"/>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35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宣探集气干线</w:t>
            </w:r>
          </w:p>
          <w:p>
            <w:pPr>
              <w:pStyle w:val="39"/>
              <w:adjustRightInd w:val="0"/>
              <w:snapToGrid w:val="0"/>
              <w:rPr>
                <w:rFonts w:ascii="Times New Roman" w:hAnsi="Times New Roman"/>
              </w:rPr>
            </w:pPr>
            <w:r>
              <w:rPr>
                <w:rFonts w:ascii="Times New Roman" w:hAnsi="Times New Roman"/>
              </w:rPr>
              <w:t>宣兴1井-宣探阀室</w:t>
            </w:r>
          </w:p>
        </w:tc>
        <w:tc>
          <w:tcPr>
            <w:tcW w:w="1158" w:type="dxa"/>
            <w:vAlign w:val="center"/>
          </w:tcPr>
          <w:p>
            <w:pPr>
              <w:pStyle w:val="39"/>
              <w:adjustRightInd w:val="0"/>
              <w:snapToGrid w:val="0"/>
              <w:rPr>
                <w:rFonts w:ascii="Times New Roman" w:hAnsi="Times New Roman"/>
              </w:rPr>
            </w:pPr>
            <w:r>
              <w:rPr>
                <w:rFonts w:ascii="Times New Roman" w:hAnsi="Times New Roman"/>
              </w:rPr>
              <w:t>Ⅰ</w:t>
            </w:r>
          </w:p>
        </w:tc>
        <w:tc>
          <w:tcPr>
            <w:tcW w:w="1418" w:type="dxa"/>
            <w:vAlign w:val="center"/>
          </w:tcPr>
          <w:p>
            <w:pPr>
              <w:pStyle w:val="39"/>
              <w:adjustRightInd w:val="0"/>
              <w:snapToGrid w:val="0"/>
              <w:rPr>
                <w:rFonts w:ascii="Times New Roman" w:hAnsi="Times New Roman"/>
              </w:rPr>
            </w:pPr>
            <w:r>
              <w:rPr>
                <w:rFonts w:ascii="Times New Roman" w:hAnsi="Times New Roman"/>
              </w:rPr>
              <w:t>简单分析</w:t>
            </w:r>
          </w:p>
        </w:tc>
        <w:tc>
          <w:tcPr>
            <w:tcW w:w="2268" w:type="dxa"/>
            <w:vAlign w:val="center"/>
          </w:tcPr>
          <w:p>
            <w:pPr>
              <w:pStyle w:val="39"/>
              <w:adjustRightInd w:val="0"/>
              <w:snapToGrid w:val="0"/>
              <w:rPr>
                <w:rFonts w:ascii="Times New Roman" w:hAnsi="Times New Roman"/>
              </w:rPr>
            </w:pPr>
            <w:r>
              <w:rPr>
                <w:rFonts w:ascii="Times New Roman" w:hAnsi="Times New Roman"/>
              </w:rPr>
              <w:t>管道两侧840m（根据预测结果取值）</w:t>
            </w:r>
          </w:p>
        </w:tc>
        <w:tc>
          <w:tcPr>
            <w:tcW w:w="1276" w:type="dxa"/>
            <w:vAlign w:val="center"/>
          </w:tcPr>
          <w:p>
            <w:pPr>
              <w:pStyle w:val="39"/>
              <w:adjustRightInd w:val="0"/>
              <w:snapToGrid w:val="0"/>
              <w:rPr>
                <w:rFonts w:ascii="Times New Roman" w:hAnsi="Times New Roman"/>
              </w:rPr>
            </w:pPr>
            <w:r>
              <w:rPr>
                <w:rFonts w:ascii="Times New Roman" w:hAnsi="Times New Roman"/>
              </w:rPr>
              <w:t>Ⅰ</w:t>
            </w:r>
          </w:p>
        </w:tc>
        <w:tc>
          <w:tcPr>
            <w:tcW w:w="1134" w:type="dxa"/>
            <w:vAlign w:val="center"/>
          </w:tcPr>
          <w:p>
            <w:pPr>
              <w:pStyle w:val="39"/>
              <w:adjustRightInd w:val="0"/>
              <w:snapToGrid w:val="0"/>
              <w:rPr>
                <w:rFonts w:ascii="Times New Roman" w:hAnsi="Times New Roman"/>
              </w:rPr>
            </w:pPr>
            <w:r>
              <w:rPr>
                <w:rFonts w:ascii="Times New Roman" w:hAnsi="Times New Roman"/>
              </w:rPr>
              <w:t>简单分析</w:t>
            </w:r>
          </w:p>
        </w:tc>
        <w:tc>
          <w:tcPr>
            <w:tcW w:w="1134" w:type="dxa"/>
            <w:vAlign w:val="center"/>
          </w:tcPr>
          <w:p>
            <w:pPr>
              <w:pStyle w:val="39"/>
              <w:adjustRightInd w:val="0"/>
              <w:snapToGrid w:val="0"/>
              <w:rPr>
                <w:rFonts w:ascii="Times New Roman" w:hAnsi="Times New Roman"/>
              </w:rPr>
            </w:pPr>
            <w:r>
              <w:rPr>
                <w:rFonts w:ascii="Times New Roman" w:hAnsi="Times New Roman"/>
              </w:rPr>
              <w:t>/</w:t>
            </w:r>
          </w:p>
        </w:tc>
        <w:tc>
          <w:tcPr>
            <w:tcW w:w="1153" w:type="dxa"/>
            <w:vAlign w:val="center"/>
          </w:tcPr>
          <w:p>
            <w:pPr>
              <w:pStyle w:val="39"/>
              <w:adjustRightInd w:val="0"/>
              <w:snapToGrid w:val="0"/>
              <w:rPr>
                <w:rFonts w:ascii="Times New Roman" w:hAnsi="Times New Roman"/>
              </w:rPr>
            </w:pPr>
            <w:r>
              <w:rPr>
                <w:rFonts w:ascii="Times New Roman" w:hAnsi="Times New Roman"/>
              </w:rPr>
              <w:t>Ⅱ</w:t>
            </w:r>
          </w:p>
        </w:tc>
        <w:tc>
          <w:tcPr>
            <w:tcW w:w="1243" w:type="dxa"/>
            <w:vAlign w:val="center"/>
          </w:tcPr>
          <w:p>
            <w:pPr>
              <w:pStyle w:val="39"/>
              <w:adjustRightInd w:val="0"/>
              <w:snapToGrid w:val="0"/>
              <w:rPr>
                <w:rFonts w:ascii="Times New Roman" w:hAnsi="Times New Roman"/>
              </w:rPr>
            </w:pPr>
            <w:r>
              <w:rPr>
                <w:rFonts w:ascii="Times New Roman" w:hAnsi="Times New Roman"/>
              </w:rPr>
              <w:t>三级</w:t>
            </w:r>
          </w:p>
        </w:tc>
        <w:tc>
          <w:tcPr>
            <w:tcW w:w="1403" w:type="dxa"/>
            <w:vAlign w:val="center"/>
          </w:tcPr>
          <w:p>
            <w:pPr>
              <w:pStyle w:val="39"/>
              <w:adjustRightInd w:val="0"/>
              <w:snapToGrid w:val="0"/>
              <w:rPr>
                <w:rFonts w:ascii="Times New Roman" w:hAnsi="Times New Roman"/>
              </w:rPr>
            </w:pPr>
            <w:r>
              <w:rPr>
                <w:rFonts w:ascii="Times New Roman" w:hAnsi="Times New Roman"/>
              </w:rPr>
              <w:t>管道两侧200m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35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宣探集气干线</w:t>
            </w:r>
          </w:p>
          <w:p>
            <w:pPr>
              <w:pStyle w:val="39"/>
              <w:adjustRightInd w:val="0"/>
              <w:snapToGrid w:val="0"/>
              <w:rPr>
                <w:rFonts w:ascii="Times New Roman" w:hAnsi="Times New Roman"/>
              </w:rPr>
            </w:pPr>
            <w:r>
              <w:rPr>
                <w:rFonts w:ascii="Times New Roman" w:hAnsi="Times New Roman"/>
              </w:rPr>
              <w:t>宣探阀室-宣探清管站</w:t>
            </w:r>
          </w:p>
        </w:tc>
        <w:tc>
          <w:tcPr>
            <w:tcW w:w="1158" w:type="dxa"/>
            <w:vAlign w:val="center"/>
          </w:tcPr>
          <w:p>
            <w:pPr>
              <w:pStyle w:val="39"/>
              <w:adjustRightInd w:val="0"/>
              <w:snapToGrid w:val="0"/>
              <w:rPr>
                <w:rFonts w:ascii="Times New Roman" w:hAnsi="Times New Roman"/>
              </w:rPr>
            </w:pPr>
            <w:r>
              <w:rPr>
                <w:rFonts w:ascii="Times New Roman" w:hAnsi="Times New Roman"/>
              </w:rPr>
              <w:t>Ⅱ</w:t>
            </w:r>
          </w:p>
        </w:tc>
        <w:tc>
          <w:tcPr>
            <w:tcW w:w="1418" w:type="dxa"/>
            <w:vAlign w:val="center"/>
          </w:tcPr>
          <w:p>
            <w:pPr>
              <w:pStyle w:val="39"/>
              <w:adjustRightInd w:val="0"/>
              <w:snapToGrid w:val="0"/>
              <w:rPr>
                <w:rFonts w:ascii="Times New Roman" w:hAnsi="Times New Roman"/>
              </w:rPr>
            </w:pPr>
            <w:r>
              <w:rPr>
                <w:rFonts w:ascii="Times New Roman" w:hAnsi="Times New Roman"/>
              </w:rPr>
              <w:t>三级</w:t>
            </w:r>
          </w:p>
        </w:tc>
        <w:tc>
          <w:tcPr>
            <w:tcW w:w="2268" w:type="dxa"/>
            <w:vAlign w:val="center"/>
          </w:tcPr>
          <w:p>
            <w:pPr>
              <w:pStyle w:val="39"/>
              <w:adjustRightInd w:val="0"/>
              <w:snapToGrid w:val="0"/>
              <w:rPr>
                <w:rFonts w:ascii="Times New Roman" w:hAnsi="Times New Roman"/>
              </w:rPr>
            </w:pPr>
            <w:r>
              <w:rPr>
                <w:rFonts w:ascii="Times New Roman" w:hAnsi="Times New Roman"/>
              </w:rPr>
              <w:t>管道两侧1470m（根据预测结果取值）</w:t>
            </w:r>
          </w:p>
        </w:tc>
        <w:tc>
          <w:tcPr>
            <w:tcW w:w="1276" w:type="dxa"/>
            <w:vAlign w:val="center"/>
          </w:tcPr>
          <w:p>
            <w:pPr>
              <w:pStyle w:val="39"/>
              <w:adjustRightInd w:val="0"/>
              <w:snapToGrid w:val="0"/>
              <w:rPr>
                <w:rFonts w:ascii="Times New Roman" w:hAnsi="Times New Roman"/>
              </w:rPr>
            </w:pPr>
            <w:r>
              <w:rPr>
                <w:rFonts w:ascii="Times New Roman" w:hAnsi="Times New Roman"/>
              </w:rPr>
              <w:t>Ⅰ</w:t>
            </w:r>
          </w:p>
        </w:tc>
        <w:tc>
          <w:tcPr>
            <w:tcW w:w="1134" w:type="dxa"/>
            <w:vAlign w:val="center"/>
          </w:tcPr>
          <w:p>
            <w:pPr>
              <w:pStyle w:val="39"/>
              <w:adjustRightInd w:val="0"/>
              <w:snapToGrid w:val="0"/>
              <w:rPr>
                <w:rFonts w:ascii="Times New Roman" w:hAnsi="Times New Roman"/>
              </w:rPr>
            </w:pPr>
            <w:r>
              <w:rPr>
                <w:rFonts w:ascii="Times New Roman" w:hAnsi="Times New Roman"/>
              </w:rPr>
              <w:t>简单分析</w:t>
            </w:r>
          </w:p>
        </w:tc>
        <w:tc>
          <w:tcPr>
            <w:tcW w:w="1134" w:type="dxa"/>
            <w:vAlign w:val="center"/>
          </w:tcPr>
          <w:p>
            <w:pPr>
              <w:pStyle w:val="39"/>
              <w:adjustRightInd w:val="0"/>
              <w:snapToGrid w:val="0"/>
              <w:rPr>
                <w:rFonts w:ascii="Times New Roman" w:hAnsi="Times New Roman"/>
              </w:rPr>
            </w:pPr>
            <w:r>
              <w:rPr>
                <w:rFonts w:ascii="Times New Roman" w:hAnsi="Times New Roman"/>
              </w:rPr>
              <w:t>/</w:t>
            </w:r>
          </w:p>
        </w:tc>
        <w:tc>
          <w:tcPr>
            <w:tcW w:w="1153" w:type="dxa"/>
            <w:vAlign w:val="center"/>
          </w:tcPr>
          <w:p>
            <w:pPr>
              <w:pStyle w:val="39"/>
              <w:adjustRightInd w:val="0"/>
              <w:snapToGrid w:val="0"/>
              <w:rPr>
                <w:rFonts w:ascii="Times New Roman" w:hAnsi="Times New Roman"/>
              </w:rPr>
            </w:pPr>
            <w:r>
              <w:rPr>
                <w:rFonts w:ascii="Times New Roman" w:hAnsi="Times New Roman"/>
              </w:rPr>
              <w:t>Ⅱ</w:t>
            </w:r>
          </w:p>
        </w:tc>
        <w:tc>
          <w:tcPr>
            <w:tcW w:w="1243" w:type="dxa"/>
            <w:vAlign w:val="center"/>
          </w:tcPr>
          <w:p>
            <w:pPr>
              <w:pStyle w:val="39"/>
              <w:adjustRightInd w:val="0"/>
              <w:snapToGrid w:val="0"/>
              <w:rPr>
                <w:rFonts w:ascii="Times New Roman" w:hAnsi="Times New Roman"/>
              </w:rPr>
            </w:pPr>
            <w:r>
              <w:rPr>
                <w:rFonts w:ascii="Times New Roman" w:hAnsi="Times New Roman"/>
              </w:rPr>
              <w:t>三级</w:t>
            </w:r>
          </w:p>
        </w:tc>
        <w:tc>
          <w:tcPr>
            <w:tcW w:w="1403" w:type="dxa"/>
            <w:vAlign w:val="center"/>
          </w:tcPr>
          <w:p>
            <w:pPr>
              <w:pStyle w:val="39"/>
              <w:adjustRightInd w:val="0"/>
              <w:snapToGrid w:val="0"/>
              <w:rPr>
                <w:rFonts w:ascii="Times New Roman" w:hAnsi="Times New Roman"/>
              </w:rPr>
            </w:pPr>
            <w:r>
              <w:rPr>
                <w:rFonts w:ascii="Times New Roman" w:hAnsi="Times New Roman"/>
              </w:rPr>
              <w:t>管道两侧200m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35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宣探联络线</w:t>
            </w:r>
          </w:p>
          <w:p>
            <w:pPr>
              <w:pStyle w:val="39"/>
              <w:adjustRightInd w:val="0"/>
              <w:snapToGrid w:val="0"/>
              <w:rPr>
                <w:rFonts w:ascii="Times New Roman" w:hAnsi="Times New Roman"/>
              </w:rPr>
            </w:pPr>
            <w:r>
              <w:rPr>
                <w:rFonts w:ascii="Times New Roman" w:hAnsi="Times New Roman"/>
              </w:rPr>
              <w:t>宣探清管站-304集气站</w:t>
            </w:r>
          </w:p>
        </w:tc>
        <w:tc>
          <w:tcPr>
            <w:tcW w:w="1158"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418" w:type="dxa"/>
            <w:vAlign w:val="center"/>
          </w:tcPr>
          <w:p>
            <w:pPr>
              <w:pStyle w:val="39"/>
              <w:adjustRightInd w:val="0"/>
              <w:snapToGrid w:val="0"/>
              <w:rPr>
                <w:rFonts w:ascii="Times New Roman" w:hAnsi="Times New Roman"/>
              </w:rPr>
            </w:pPr>
            <w:r>
              <w:rPr>
                <w:rFonts w:ascii="Times New Roman" w:hAnsi="Times New Roman"/>
              </w:rPr>
              <w:t>简单分析</w:t>
            </w:r>
          </w:p>
        </w:tc>
        <w:tc>
          <w:tcPr>
            <w:tcW w:w="2268" w:type="dxa"/>
            <w:vAlign w:val="center"/>
          </w:tcPr>
          <w:p>
            <w:pPr>
              <w:pStyle w:val="39"/>
              <w:adjustRightInd w:val="0"/>
              <w:snapToGrid w:val="0"/>
              <w:rPr>
                <w:rFonts w:ascii="Times New Roman" w:hAnsi="Times New Roman"/>
              </w:rPr>
            </w:pPr>
            <w:r>
              <w:rPr>
                <w:rFonts w:ascii="Times New Roman" w:hAnsi="Times New Roman"/>
              </w:rPr>
              <w:t>管道两侧200m</w:t>
            </w:r>
          </w:p>
        </w:tc>
        <w:tc>
          <w:tcPr>
            <w:tcW w:w="1276"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134" w:type="dxa"/>
            <w:vAlign w:val="center"/>
          </w:tcPr>
          <w:p>
            <w:pPr>
              <w:pStyle w:val="39"/>
              <w:adjustRightInd w:val="0"/>
              <w:snapToGrid w:val="0"/>
              <w:rPr>
                <w:rFonts w:ascii="Times New Roman" w:hAnsi="Times New Roman"/>
              </w:rPr>
            </w:pPr>
            <w:r>
              <w:rPr>
                <w:rFonts w:ascii="Times New Roman" w:hAnsi="Times New Roman"/>
              </w:rPr>
              <w:t>简单分析</w:t>
            </w:r>
          </w:p>
        </w:tc>
        <w:tc>
          <w:tcPr>
            <w:tcW w:w="1134" w:type="dxa"/>
            <w:vAlign w:val="center"/>
          </w:tcPr>
          <w:p>
            <w:pPr>
              <w:pStyle w:val="39"/>
              <w:adjustRightInd w:val="0"/>
              <w:snapToGrid w:val="0"/>
              <w:rPr>
                <w:rFonts w:ascii="Times New Roman" w:hAnsi="Times New Roman"/>
              </w:rPr>
            </w:pPr>
            <w:r>
              <w:rPr>
                <w:rFonts w:ascii="Times New Roman" w:hAnsi="Times New Roman"/>
              </w:rPr>
              <w:t>/</w:t>
            </w:r>
          </w:p>
        </w:tc>
        <w:tc>
          <w:tcPr>
            <w:tcW w:w="1153"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243" w:type="dxa"/>
            <w:vAlign w:val="center"/>
          </w:tcPr>
          <w:p>
            <w:pPr>
              <w:pStyle w:val="39"/>
              <w:adjustRightInd w:val="0"/>
              <w:snapToGrid w:val="0"/>
              <w:rPr>
                <w:rFonts w:ascii="Times New Roman" w:hAnsi="Times New Roman"/>
              </w:rPr>
            </w:pPr>
            <w:r>
              <w:rPr>
                <w:rFonts w:ascii="Times New Roman" w:hAnsi="Times New Roman"/>
              </w:rPr>
              <w:t>简单分析</w:t>
            </w:r>
          </w:p>
        </w:tc>
        <w:tc>
          <w:tcPr>
            <w:tcW w:w="1403" w:type="dxa"/>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35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宣探集气支线</w:t>
            </w:r>
          </w:p>
          <w:p>
            <w:pPr>
              <w:pStyle w:val="39"/>
              <w:adjustRightInd w:val="0"/>
              <w:snapToGrid w:val="0"/>
              <w:rPr>
                <w:rFonts w:ascii="Times New Roman" w:hAnsi="Times New Roman"/>
              </w:rPr>
            </w:pPr>
            <w:r>
              <w:rPr>
                <w:rFonts w:ascii="Times New Roman" w:hAnsi="Times New Roman"/>
              </w:rPr>
              <w:t>宣探1井-宣兴1井</w:t>
            </w:r>
          </w:p>
        </w:tc>
        <w:tc>
          <w:tcPr>
            <w:tcW w:w="1158"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418" w:type="dxa"/>
            <w:vAlign w:val="center"/>
          </w:tcPr>
          <w:p>
            <w:pPr>
              <w:pStyle w:val="39"/>
              <w:adjustRightInd w:val="0"/>
              <w:snapToGrid w:val="0"/>
              <w:rPr>
                <w:rFonts w:ascii="Times New Roman" w:hAnsi="Times New Roman"/>
              </w:rPr>
            </w:pPr>
            <w:r>
              <w:rPr>
                <w:rFonts w:ascii="Times New Roman" w:hAnsi="Times New Roman"/>
              </w:rPr>
              <w:t>简单分析</w:t>
            </w:r>
          </w:p>
        </w:tc>
        <w:tc>
          <w:tcPr>
            <w:tcW w:w="2268" w:type="dxa"/>
            <w:vAlign w:val="center"/>
          </w:tcPr>
          <w:p>
            <w:pPr>
              <w:pStyle w:val="39"/>
              <w:adjustRightInd w:val="0"/>
              <w:snapToGrid w:val="0"/>
              <w:rPr>
                <w:rFonts w:ascii="Times New Roman" w:hAnsi="Times New Roman"/>
              </w:rPr>
            </w:pPr>
            <w:r>
              <w:rPr>
                <w:rFonts w:ascii="Times New Roman" w:hAnsi="Times New Roman"/>
              </w:rPr>
              <w:t>管道两侧200m</w:t>
            </w:r>
          </w:p>
        </w:tc>
        <w:tc>
          <w:tcPr>
            <w:tcW w:w="1276"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134" w:type="dxa"/>
            <w:vAlign w:val="center"/>
          </w:tcPr>
          <w:p>
            <w:pPr>
              <w:pStyle w:val="39"/>
              <w:adjustRightInd w:val="0"/>
              <w:snapToGrid w:val="0"/>
              <w:rPr>
                <w:rFonts w:ascii="Times New Roman" w:hAnsi="Times New Roman"/>
              </w:rPr>
            </w:pPr>
            <w:r>
              <w:rPr>
                <w:rFonts w:ascii="Times New Roman" w:hAnsi="Times New Roman"/>
              </w:rPr>
              <w:t>简单分析</w:t>
            </w:r>
          </w:p>
        </w:tc>
        <w:tc>
          <w:tcPr>
            <w:tcW w:w="1134" w:type="dxa"/>
            <w:vAlign w:val="center"/>
          </w:tcPr>
          <w:p>
            <w:pPr>
              <w:pStyle w:val="39"/>
              <w:adjustRightInd w:val="0"/>
              <w:snapToGrid w:val="0"/>
              <w:rPr>
                <w:rFonts w:ascii="Times New Roman" w:hAnsi="Times New Roman"/>
              </w:rPr>
            </w:pPr>
            <w:r>
              <w:rPr>
                <w:rFonts w:ascii="Times New Roman" w:hAnsi="Times New Roman"/>
              </w:rPr>
              <w:t>/</w:t>
            </w:r>
          </w:p>
        </w:tc>
        <w:tc>
          <w:tcPr>
            <w:tcW w:w="1153" w:type="dxa"/>
            <w:vAlign w:val="center"/>
          </w:tcPr>
          <w:p>
            <w:pPr>
              <w:pStyle w:val="39"/>
              <w:adjustRightInd w:val="0"/>
              <w:snapToGrid w:val="0"/>
              <w:rPr>
                <w:rFonts w:ascii="Times New Roman" w:hAnsi="Times New Roman"/>
              </w:rPr>
            </w:pPr>
            <w:r>
              <w:rPr>
                <w:rFonts w:ascii="Times New Roman" w:hAnsi="Times New Roman"/>
                <w:lang w:val="zh-CN" w:bidi="ar"/>
              </w:rPr>
              <w:t>/</w:t>
            </w:r>
          </w:p>
        </w:tc>
        <w:tc>
          <w:tcPr>
            <w:tcW w:w="1243" w:type="dxa"/>
            <w:vAlign w:val="center"/>
          </w:tcPr>
          <w:p>
            <w:pPr>
              <w:pStyle w:val="39"/>
              <w:adjustRightInd w:val="0"/>
              <w:snapToGrid w:val="0"/>
              <w:rPr>
                <w:rFonts w:ascii="Times New Roman" w:hAnsi="Times New Roman"/>
              </w:rPr>
            </w:pPr>
            <w:r>
              <w:rPr>
                <w:rFonts w:ascii="Times New Roman" w:hAnsi="Times New Roman"/>
              </w:rPr>
              <w:t>简单分析</w:t>
            </w:r>
          </w:p>
        </w:tc>
        <w:tc>
          <w:tcPr>
            <w:tcW w:w="1403" w:type="dxa"/>
            <w:vAlign w:val="center"/>
          </w:tcPr>
          <w:p>
            <w:pPr>
              <w:pStyle w:val="39"/>
              <w:adjustRightInd w:val="0"/>
              <w:snapToGrid w:val="0"/>
              <w:rPr>
                <w:rFonts w:ascii="Times New Roman" w:hAnsi="Times New Roman"/>
              </w:rPr>
            </w:pPr>
            <w:r>
              <w:rPr>
                <w:rFonts w:ascii="Times New Roman" w:hAnsi="Times New Roman"/>
              </w:rPr>
              <w:t>/</w:t>
            </w:r>
          </w:p>
        </w:tc>
      </w:tr>
      <w:bookmarkEnd w:id="266"/>
    </w:tbl>
    <w:p>
      <w:pPr>
        <w:ind w:firstLine="480"/>
        <w:rPr>
          <w:rFonts w:ascii="Times New Roman" w:hAnsi="Times New Roman"/>
        </w:rPr>
        <w:sectPr>
          <w:pgSz w:w="16838" w:h="11906" w:orient="landscape"/>
          <w:pgMar w:top="1800" w:right="1440" w:bottom="1800" w:left="1440" w:header="851" w:footer="992" w:gutter="0"/>
          <w:cols w:space="425" w:num="1"/>
          <w:docGrid w:linePitch="312" w:charSpace="0"/>
        </w:sectPr>
      </w:pPr>
    </w:p>
    <w:p>
      <w:pPr>
        <w:pStyle w:val="3"/>
        <w:rPr>
          <w:rFonts w:ascii="Times New Roman" w:hAnsi="Times New Roman" w:cs="Times New Roman"/>
        </w:rPr>
      </w:pPr>
      <w:bookmarkStart w:id="267" w:name="_Toc162339434"/>
      <w:r>
        <w:rPr>
          <w:rFonts w:ascii="Times New Roman" w:hAnsi="Times New Roman" w:cs="Times New Roman"/>
        </w:rPr>
        <w:t>风险识别</w:t>
      </w:r>
      <w:bookmarkEnd w:id="267"/>
    </w:p>
    <w:p>
      <w:pPr>
        <w:pStyle w:val="4"/>
        <w:rPr>
          <w:rFonts w:ascii="Times New Roman" w:hAnsi="Times New Roman" w:cs="Times New Roman"/>
        </w:rPr>
      </w:pPr>
      <w:r>
        <w:rPr>
          <w:rFonts w:ascii="Times New Roman" w:hAnsi="Times New Roman" w:cs="Times New Roman"/>
        </w:rPr>
        <w:t>事故案例资料收集</w:t>
      </w:r>
    </w:p>
    <w:p>
      <w:pPr>
        <w:ind w:firstLine="480"/>
        <w:rPr>
          <w:rFonts w:ascii="Times New Roman" w:hAnsi="Times New Roman"/>
        </w:rPr>
      </w:pPr>
      <w:r>
        <w:rPr>
          <w:rFonts w:ascii="Times New Roman" w:hAnsi="Times New Roman"/>
        </w:rPr>
        <w:t>本次评价收集了与天然气钻采、运输、使用有关的事故资料，结合本项目特点，主要介绍开采天然气时运输管道泄漏事故情况，以及周边普光气田集气站发生的事故案例。</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t xml:space="preserve">  事故案例统计结果</w:t>
      </w:r>
    </w:p>
    <w:tbl>
      <w:tblPr>
        <w:tblStyle w:val="29"/>
        <w:tblW w:w="87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
        <w:gridCol w:w="1134"/>
        <w:gridCol w:w="3827"/>
        <w:gridCol w:w="1134"/>
        <w:gridCol w:w="1134"/>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pPr>
              <w:pStyle w:val="39"/>
              <w:rPr>
                <w:rFonts w:ascii="Times New Roman" w:hAnsi="Times New Roman"/>
              </w:rPr>
            </w:pPr>
            <w:r>
              <w:rPr>
                <w:rFonts w:ascii="Times New Roman" w:hAnsi="Times New Roman"/>
              </w:rPr>
              <w:t>序号</w:t>
            </w:r>
          </w:p>
        </w:tc>
        <w:tc>
          <w:tcPr>
            <w:tcW w:w="1134" w:type="dxa"/>
            <w:vAlign w:val="center"/>
          </w:tcPr>
          <w:p>
            <w:pPr>
              <w:pStyle w:val="39"/>
              <w:rPr>
                <w:rFonts w:ascii="Times New Roman" w:hAnsi="Times New Roman"/>
              </w:rPr>
            </w:pPr>
            <w:r>
              <w:rPr>
                <w:rFonts w:ascii="Times New Roman" w:hAnsi="Times New Roman"/>
              </w:rPr>
              <w:t>事故时间</w:t>
            </w:r>
          </w:p>
        </w:tc>
        <w:tc>
          <w:tcPr>
            <w:tcW w:w="3827" w:type="dxa"/>
            <w:vAlign w:val="center"/>
          </w:tcPr>
          <w:p>
            <w:pPr>
              <w:pStyle w:val="39"/>
              <w:rPr>
                <w:rFonts w:ascii="Times New Roman" w:hAnsi="Times New Roman"/>
              </w:rPr>
            </w:pPr>
            <w:r>
              <w:rPr>
                <w:rFonts w:ascii="Times New Roman" w:hAnsi="Times New Roman"/>
              </w:rPr>
              <w:t>事故过程</w:t>
            </w:r>
          </w:p>
        </w:tc>
        <w:tc>
          <w:tcPr>
            <w:tcW w:w="1134" w:type="dxa"/>
            <w:vAlign w:val="center"/>
          </w:tcPr>
          <w:p>
            <w:pPr>
              <w:pStyle w:val="39"/>
              <w:rPr>
                <w:rFonts w:ascii="Times New Roman" w:hAnsi="Times New Roman"/>
              </w:rPr>
            </w:pPr>
            <w:r>
              <w:rPr>
                <w:rFonts w:ascii="Times New Roman" w:hAnsi="Times New Roman"/>
              </w:rPr>
              <w:t>事故类型</w:t>
            </w:r>
          </w:p>
        </w:tc>
        <w:tc>
          <w:tcPr>
            <w:tcW w:w="1134" w:type="dxa"/>
            <w:vAlign w:val="center"/>
          </w:tcPr>
          <w:p>
            <w:pPr>
              <w:pStyle w:val="39"/>
              <w:rPr>
                <w:rFonts w:ascii="Times New Roman" w:hAnsi="Times New Roman"/>
              </w:rPr>
            </w:pPr>
            <w:r>
              <w:rPr>
                <w:rFonts w:ascii="Times New Roman" w:hAnsi="Times New Roman"/>
              </w:rPr>
              <w:t>伤亡人数</w:t>
            </w:r>
          </w:p>
        </w:tc>
        <w:tc>
          <w:tcPr>
            <w:tcW w:w="1134" w:type="dxa"/>
            <w:vAlign w:val="center"/>
          </w:tcPr>
          <w:p>
            <w:pPr>
              <w:pStyle w:val="39"/>
              <w:rPr>
                <w:rFonts w:ascii="Times New Roman" w:hAnsi="Times New Roman"/>
              </w:rPr>
            </w:pPr>
            <w:r>
              <w:rPr>
                <w:rFonts w:ascii="Times New Roman" w:hAnsi="Times New Roman"/>
              </w:rPr>
              <w:t>事故原因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pPr>
              <w:pStyle w:val="39"/>
              <w:rPr>
                <w:rFonts w:ascii="Times New Roman" w:hAnsi="Times New Roman"/>
              </w:rPr>
            </w:pPr>
            <w:r>
              <w:rPr>
                <w:rFonts w:ascii="Times New Roman" w:hAnsi="Times New Roman"/>
              </w:rPr>
              <w:t>1</w:t>
            </w:r>
          </w:p>
        </w:tc>
        <w:tc>
          <w:tcPr>
            <w:tcW w:w="1134" w:type="dxa"/>
            <w:vAlign w:val="center"/>
          </w:tcPr>
          <w:p>
            <w:pPr>
              <w:pStyle w:val="39"/>
              <w:rPr>
                <w:rFonts w:ascii="Times New Roman" w:hAnsi="Times New Roman"/>
              </w:rPr>
            </w:pPr>
            <w:r>
              <w:rPr>
                <w:rFonts w:ascii="Times New Roman" w:hAnsi="Times New Roman"/>
              </w:rPr>
              <w:t>2009.10.18</w:t>
            </w:r>
          </w:p>
        </w:tc>
        <w:tc>
          <w:tcPr>
            <w:tcW w:w="3827" w:type="dxa"/>
            <w:vAlign w:val="center"/>
          </w:tcPr>
          <w:p>
            <w:pPr>
              <w:pStyle w:val="39"/>
              <w:jc w:val="left"/>
              <w:rPr>
                <w:rFonts w:ascii="Times New Roman" w:hAnsi="Times New Roman"/>
              </w:rPr>
            </w:pPr>
            <w:r>
              <w:rPr>
                <w:rFonts w:ascii="Times New Roman" w:hAnsi="Times New Roman"/>
              </w:rPr>
              <w:t>17时左右，普光气田采气厂集气末站外输汇管附近的固定式硫化氢报警仪报警，中控室当班人员立即向厂调度室汇报。专业人员使用气体泄漏红外热像仪检测发现在外输汇管大湾预留口附近本体焊缝处有硫化氢气体渗出，事后发现马来西亚TMA-JOY公司制造的Φ1016×24000mm外输汇管存在质量问题，在汇管本体焊缝处有一条3cm长的裂痕。各集气站关井保压，集气末站进行了关断、放空、氮气置换。</w:t>
            </w:r>
          </w:p>
        </w:tc>
        <w:tc>
          <w:tcPr>
            <w:tcW w:w="1134" w:type="dxa"/>
            <w:vAlign w:val="center"/>
          </w:tcPr>
          <w:p>
            <w:pPr>
              <w:pStyle w:val="39"/>
              <w:rPr>
                <w:rFonts w:ascii="Times New Roman" w:hAnsi="Times New Roman"/>
              </w:rPr>
            </w:pPr>
            <w:r>
              <w:rPr>
                <w:rFonts w:ascii="Times New Roman" w:hAnsi="Times New Roman"/>
              </w:rPr>
              <w:t>设备渗漏</w:t>
            </w:r>
          </w:p>
        </w:tc>
        <w:tc>
          <w:tcPr>
            <w:tcW w:w="1134" w:type="dxa"/>
            <w:vAlign w:val="center"/>
          </w:tcPr>
          <w:p>
            <w:pPr>
              <w:pStyle w:val="39"/>
              <w:rPr>
                <w:rFonts w:ascii="Times New Roman" w:hAnsi="Times New Roman"/>
              </w:rPr>
            </w:pPr>
            <w:r>
              <w:rPr>
                <w:rFonts w:ascii="Times New Roman" w:hAnsi="Times New Roman"/>
              </w:rPr>
              <w:t>无人伤亡</w:t>
            </w:r>
          </w:p>
        </w:tc>
        <w:tc>
          <w:tcPr>
            <w:tcW w:w="1134" w:type="dxa"/>
            <w:vAlign w:val="center"/>
          </w:tcPr>
          <w:p>
            <w:pPr>
              <w:pStyle w:val="39"/>
              <w:rPr>
                <w:rFonts w:ascii="Times New Roman" w:hAnsi="Times New Roman"/>
              </w:rPr>
            </w:pPr>
            <w:r>
              <w:rPr>
                <w:rFonts w:ascii="Times New Roman" w:hAnsi="Times New Roman"/>
              </w:rPr>
              <w:t>外输汇管本体焊缝发生微渗漏。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pPr>
              <w:pStyle w:val="39"/>
              <w:rPr>
                <w:rFonts w:ascii="Times New Roman" w:hAnsi="Times New Roman"/>
              </w:rPr>
            </w:pPr>
            <w:r>
              <w:rPr>
                <w:rFonts w:ascii="Times New Roman" w:hAnsi="Times New Roman"/>
              </w:rPr>
              <w:t>2</w:t>
            </w:r>
          </w:p>
        </w:tc>
        <w:tc>
          <w:tcPr>
            <w:tcW w:w="1134" w:type="dxa"/>
            <w:vAlign w:val="center"/>
          </w:tcPr>
          <w:p>
            <w:pPr>
              <w:pStyle w:val="39"/>
              <w:rPr>
                <w:rFonts w:ascii="Times New Roman" w:hAnsi="Times New Roman"/>
              </w:rPr>
            </w:pPr>
            <w:r>
              <w:rPr>
                <w:rFonts w:ascii="Times New Roman" w:hAnsi="Times New Roman"/>
              </w:rPr>
              <w:t>2010.02.03</w:t>
            </w:r>
          </w:p>
        </w:tc>
        <w:tc>
          <w:tcPr>
            <w:tcW w:w="3827" w:type="dxa"/>
            <w:vAlign w:val="center"/>
          </w:tcPr>
          <w:p>
            <w:pPr>
              <w:pStyle w:val="39"/>
              <w:jc w:val="left"/>
              <w:rPr>
                <w:rFonts w:ascii="Times New Roman" w:hAnsi="Times New Roman"/>
              </w:rPr>
            </w:pPr>
            <w:r>
              <w:rPr>
                <w:rFonts w:ascii="Times New Roman" w:hAnsi="Times New Roman"/>
              </w:rPr>
              <w:t>16:50，普光气田中控室人机界面显示，20#阀室硫化氢探头（AT-32001）报警（报警设定浓度为10ppm），同时可燃气体探头（GD-32001）报警（报警设定浓度为1%）。微渗漏情况小于紧急关断条件，值班人员立即向厂应急办公室汇报，启动厂、区应急预案。P202集气站、P203集气站关井，寻找泄漏点，并进行处置。</w:t>
            </w:r>
          </w:p>
        </w:tc>
        <w:tc>
          <w:tcPr>
            <w:tcW w:w="1134" w:type="dxa"/>
            <w:vAlign w:val="center"/>
          </w:tcPr>
          <w:p>
            <w:pPr>
              <w:pStyle w:val="39"/>
              <w:rPr>
                <w:rFonts w:ascii="Times New Roman" w:hAnsi="Times New Roman"/>
              </w:rPr>
            </w:pPr>
            <w:r>
              <w:rPr>
                <w:rFonts w:ascii="Times New Roman" w:hAnsi="Times New Roman"/>
              </w:rPr>
              <w:t>设备渗漏</w:t>
            </w:r>
          </w:p>
        </w:tc>
        <w:tc>
          <w:tcPr>
            <w:tcW w:w="1134" w:type="dxa"/>
            <w:vAlign w:val="center"/>
          </w:tcPr>
          <w:p>
            <w:pPr>
              <w:pStyle w:val="39"/>
              <w:rPr>
                <w:rFonts w:ascii="Times New Roman" w:hAnsi="Times New Roman"/>
              </w:rPr>
            </w:pPr>
            <w:r>
              <w:rPr>
                <w:rFonts w:ascii="Times New Roman" w:hAnsi="Times New Roman"/>
              </w:rPr>
              <w:t>无人伤亡</w:t>
            </w:r>
          </w:p>
        </w:tc>
        <w:tc>
          <w:tcPr>
            <w:tcW w:w="1134" w:type="dxa"/>
            <w:vAlign w:val="center"/>
          </w:tcPr>
          <w:p>
            <w:pPr>
              <w:pStyle w:val="39"/>
              <w:rPr>
                <w:rFonts w:ascii="Times New Roman" w:hAnsi="Times New Roman"/>
              </w:rPr>
            </w:pPr>
            <w:r>
              <w:rPr>
                <w:rFonts w:ascii="Times New Roman" w:hAnsi="Times New Roman"/>
              </w:rPr>
              <w:t>20#阀室BV阀压力变送器变过滤器接口微渗漏。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pPr>
              <w:pStyle w:val="39"/>
              <w:rPr>
                <w:rFonts w:ascii="Times New Roman" w:hAnsi="Times New Roman"/>
              </w:rPr>
            </w:pPr>
            <w:r>
              <w:rPr>
                <w:rFonts w:ascii="Times New Roman" w:hAnsi="Times New Roman"/>
              </w:rPr>
              <w:t>3</w:t>
            </w:r>
          </w:p>
        </w:tc>
        <w:tc>
          <w:tcPr>
            <w:tcW w:w="1134" w:type="dxa"/>
            <w:vAlign w:val="center"/>
          </w:tcPr>
          <w:p>
            <w:pPr>
              <w:pStyle w:val="39"/>
              <w:rPr>
                <w:rFonts w:ascii="Times New Roman" w:hAnsi="Times New Roman"/>
              </w:rPr>
            </w:pPr>
            <w:r>
              <w:rPr>
                <w:rFonts w:ascii="Times New Roman" w:hAnsi="Times New Roman"/>
              </w:rPr>
              <w:t>2010.04.14</w:t>
            </w:r>
          </w:p>
        </w:tc>
        <w:tc>
          <w:tcPr>
            <w:tcW w:w="3827" w:type="dxa"/>
            <w:vAlign w:val="center"/>
          </w:tcPr>
          <w:p>
            <w:pPr>
              <w:pStyle w:val="39"/>
              <w:jc w:val="left"/>
              <w:rPr>
                <w:rFonts w:ascii="Times New Roman" w:hAnsi="Times New Roman"/>
              </w:rPr>
            </w:pPr>
            <w:r>
              <w:rPr>
                <w:rFonts w:ascii="Times New Roman" w:hAnsi="Times New Roman"/>
              </w:rPr>
              <w:t>19:14左右，普光气田P2011集气站有社会人员进入并触发1#逃生门旁的站场一级关断按钮，P201集气站全站自动关断泄压，随即几秒钟内P202集气站保压关断，5口气井（P201-1、P201-2、P2011-5、P202-1、P202—2H）全部关停，P201集气站7个BDV放空阀全开经火炬放空。站上值班人员迅速用报话机向区调度室汇报了情况，并安排人员佩戴空气呼吸器进入现场检查确认。检查人员到达现场后，看到P2011集气平台所有的关断蓝色状态指示灯闪烁，但火警红色报警灯和硫化氢黄色报警灯均未报警，判定为井场没有发生火灾和硫化氢泄漏。</w:t>
            </w:r>
          </w:p>
        </w:tc>
        <w:tc>
          <w:tcPr>
            <w:tcW w:w="1134" w:type="dxa"/>
            <w:vAlign w:val="center"/>
          </w:tcPr>
          <w:p>
            <w:pPr>
              <w:pStyle w:val="39"/>
              <w:rPr>
                <w:rFonts w:ascii="Times New Roman" w:hAnsi="Times New Roman"/>
              </w:rPr>
            </w:pPr>
            <w:r>
              <w:rPr>
                <w:rFonts w:ascii="Times New Roman" w:hAnsi="Times New Roman"/>
              </w:rPr>
              <w:t>/</w:t>
            </w:r>
          </w:p>
        </w:tc>
        <w:tc>
          <w:tcPr>
            <w:tcW w:w="1134" w:type="dxa"/>
            <w:vAlign w:val="center"/>
          </w:tcPr>
          <w:p>
            <w:pPr>
              <w:pStyle w:val="39"/>
              <w:rPr>
                <w:rFonts w:ascii="Times New Roman" w:hAnsi="Times New Roman"/>
              </w:rPr>
            </w:pPr>
            <w:r>
              <w:rPr>
                <w:rFonts w:ascii="Times New Roman" w:hAnsi="Times New Roman"/>
              </w:rPr>
              <w:t>无人伤亡</w:t>
            </w:r>
          </w:p>
        </w:tc>
        <w:tc>
          <w:tcPr>
            <w:tcW w:w="1134" w:type="dxa"/>
            <w:vAlign w:val="center"/>
          </w:tcPr>
          <w:p>
            <w:pPr>
              <w:pStyle w:val="39"/>
              <w:rPr>
                <w:rFonts w:ascii="Times New Roman" w:hAnsi="Times New Roman"/>
              </w:rPr>
            </w:pPr>
            <w:r>
              <w:rPr>
                <w:rFonts w:ascii="Times New Roman" w:hAnsi="Times New Roman"/>
              </w:rPr>
              <w:t>社会人员进入集气站触发站场一级关断按钮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pPr>
              <w:pStyle w:val="39"/>
              <w:rPr>
                <w:rFonts w:ascii="Times New Roman" w:hAnsi="Times New Roman"/>
              </w:rPr>
            </w:pPr>
            <w:r>
              <w:rPr>
                <w:rFonts w:ascii="Times New Roman" w:hAnsi="Times New Roman"/>
              </w:rPr>
              <w:t>4</w:t>
            </w:r>
          </w:p>
        </w:tc>
        <w:tc>
          <w:tcPr>
            <w:tcW w:w="1134" w:type="dxa"/>
            <w:vAlign w:val="center"/>
          </w:tcPr>
          <w:p>
            <w:pPr>
              <w:pStyle w:val="39"/>
              <w:rPr>
                <w:rFonts w:ascii="Times New Roman" w:hAnsi="Times New Roman"/>
              </w:rPr>
            </w:pPr>
            <w:r>
              <w:rPr>
                <w:rFonts w:ascii="Times New Roman" w:hAnsi="Times New Roman"/>
              </w:rPr>
              <w:t>2002.06.07</w:t>
            </w:r>
          </w:p>
        </w:tc>
        <w:tc>
          <w:tcPr>
            <w:tcW w:w="3827" w:type="dxa"/>
            <w:vAlign w:val="center"/>
          </w:tcPr>
          <w:p>
            <w:pPr>
              <w:pStyle w:val="39"/>
              <w:jc w:val="left"/>
              <w:rPr>
                <w:rFonts w:ascii="Times New Roman" w:hAnsi="Times New Roman"/>
              </w:rPr>
            </w:pPr>
            <w:r>
              <w:rPr>
                <w:rFonts w:ascii="Times New Roman" w:hAnsi="Times New Roman"/>
              </w:rPr>
              <w:t>长庆第一采气厂陕西靖边县乔沟湾集气管道主干线被一施工铲车挖出像胳膊一样粗的缺口，导致天然气大量泄漏，307国道交通中断达3h。通过紧急关闭泄漏点两侧管道阀门等手段，天然气才停止继续泄漏。</w:t>
            </w:r>
          </w:p>
        </w:tc>
        <w:tc>
          <w:tcPr>
            <w:tcW w:w="1134" w:type="dxa"/>
            <w:vAlign w:val="center"/>
          </w:tcPr>
          <w:p>
            <w:pPr>
              <w:pStyle w:val="39"/>
              <w:rPr>
                <w:rFonts w:ascii="Times New Roman" w:hAnsi="Times New Roman"/>
              </w:rPr>
            </w:pPr>
            <w:r>
              <w:rPr>
                <w:rFonts w:ascii="Times New Roman" w:hAnsi="Times New Roman"/>
              </w:rPr>
              <w:t>天然气管道挖断后导致的泄漏事故</w:t>
            </w:r>
          </w:p>
        </w:tc>
        <w:tc>
          <w:tcPr>
            <w:tcW w:w="1134" w:type="dxa"/>
            <w:vAlign w:val="center"/>
          </w:tcPr>
          <w:p>
            <w:pPr>
              <w:pStyle w:val="39"/>
              <w:rPr>
                <w:rFonts w:ascii="Times New Roman" w:hAnsi="Times New Roman"/>
              </w:rPr>
            </w:pPr>
            <w:r>
              <w:rPr>
                <w:rFonts w:ascii="Times New Roman" w:hAnsi="Times New Roman"/>
              </w:rPr>
              <w:t>无人伤亡</w:t>
            </w:r>
          </w:p>
        </w:tc>
        <w:tc>
          <w:tcPr>
            <w:tcW w:w="1134" w:type="dxa"/>
            <w:vAlign w:val="center"/>
          </w:tcPr>
          <w:p>
            <w:pPr>
              <w:pStyle w:val="39"/>
              <w:rPr>
                <w:rFonts w:ascii="Times New Roman" w:hAnsi="Times New Roman"/>
              </w:rPr>
            </w:pPr>
            <w:r>
              <w:rPr>
                <w:rFonts w:ascii="Times New Roman" w:hAnsi="Times New Roman"/>
              </w:rPr>
              <w:t>施工时不慎将天然气管道表面挖破，天然气泄漏。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pPr>
              <w:pStyle w:val="39"/>
              <w:rPr>
                <w:rFonts w:ascii="Times New Roman" w:hAnsi="Times New Roman"/>
              </w:rPr>
            </w:pPr>
            <w:r>
              <w:rPr>
                <w:rFonts w:ascii="Times New Roman" w:hAnsi="Times New Roman"/>
              </w:rPr>
              <w:t>5</w:t>
            </w:r>
          </w:p>
        </w:tc>
        <w:tc>
          <w:tcPr>
            <w:tcW w:w="1134" w:type="dxa"/>
            <w:vAlign w:val="center"/>
          </w:tcPr>
          <w:p>
            <w:pPr>
              <w:pStyle w:val="39"/>
              <w:rPr>
                <w:rFonts w:ascii="Times New Roman" w:hAnsi="Times New Roman"/>
              </w:rPr>
            </w:pPr>
            <w:r>
              <w:rPr>
                <w:rFonts w:ascii="Times New Roman" w:hAnsi="Times New Roman"/>
              </w:rPr>
              <w:t>2015.03.26</w:t>
            </w:r>
          </w:p>
        </w:tc>
        <w:tc>
          <w:tcPr>
            <w:tcW w:w="3827" w:type="dxa"/>
            <w:vAlign w:val="center"/>
          </w:tcPr>
          <w:p>
            <w:pPr>
              <w:pStyle w:val="39"/>
              <w:jc w:val="left"/>
              <w:rPr>
                <w:rFonts w:ascii="Times New Roman" w:hAnsi="Times New Roman"/>
              </w:rPr>
            </w:pPr>
            <w:r>
              <w:rPr>
                <w:rFonts w:ascii="Times New Roman" w:hAnsi="Times New Roman"/>
              </w:rPr>
              <w:t>2015年3月26日凌晨，长庆气田第九采气厂起二增到吴一转之间的管线破损，破损管道半径114mm，泄漏天然气初步估计在20m</w:t>
            </w:r>
            <w:r>
              <w:rPr>
                <w:rFonts w:ascii="Times New Roman" w:hAnsi="Times New Roman"/>
                <w:vertAlign w:val="superscript"/>
              </w:rPr>
              <w:t>3</w:t>
            </w:r>
            <w:r>
              <w:rPr>
                <w:rFonts w:ascii="Times New Roman" w:hAnsi="Times New Roman"/>
              </w:rPr>
              <w:t>左右。现场天然气顺山坡林地流下总长约800m，包括一段50m长的涵洞，平均宽度为50cm。由于泄漏点均在沟谷内，附近都是干沟，无地表水体，所以泄漏天然气没有对地表水产生影响。抢险队员通过采取筑堤、挖坑，设置草袋、吸油毡等措施逐级收集渗透在沟谷土壤表面的天然气，减缓天然气进一步向下游蔓延。</w:t>
            </w:r>
          </w:p>
        </w:tc>
        <w:tc>
          <w:tcPr>
            <w:tcW w:w="1134" w:type="dxa"/>
            <w:vAlign w:val="center"/>
          </w:tcPr>
          <w:p>
            <w:pPr>
              <w:pStyle w:val="39"/>
              <w:rPr>
                <w:rFonts w:ascii="Times New Roman" w:hAnsi="Times New Roman"/>
              </w:rPr>
            </w:pPr>
            <w:r>
              <w:rPr>
                <w:rFonts w:ascii="Times New Roman" w:hAnsi="Times New Roman"/>
              </w:rPr>
              <w:t>管道天然气泄漏</w:t>
            </w:r>
          </w:p>
        </w:tc>
        <w:tc>
          <w:tcPr>
            <w:tcW w:w="1134" w:type="dxa"/>
            <w:vAlign w:val="center"/>
          </w:tcPr>
          <w:p>
            <w:pPr>
              <w:pStyle w:val="39"/>
              <w:rPr>
                <w:rFonts w:ascii="Times New Roman" w:hAnsi="Times New Roman"/>
              </w:rPr>
            </w:pPr>
            <w:r>
              <w:rPr>
                <w:rFonts w:ascii="Times New Roman" w:hAnsi="Times New Roman"/>
              </w:rPr>
              <w:t>无人伤亡</w:t>
            </w:r>
          </w:p>
        </w:tc>
        <w:tc>
          <w:tcPr>
            <w:tcW w:w="1134" w:type="dxa"/>
            <w:vAlign w:val="center"/>
          </w:tcPr>
          <w:p>
            <w:pPr>
              <w:pStyle w:val="39"/>
              <w:rPr>
                <w:rFonts w:ascii="Times New Roman" w:hAnsi="Times New Roman"/>
              </w:rPr>
            </w:pPr>
            <w:r>
              <w:rPr>
                <w:rFonts w:ascii="Times New Roman" w:hAnsi="Times New Roman"/>
              </w:rPr>
              <w:t>管道破裂导致天然气泄漏。</w:t>
            </w:r>
          </w:p>
        </w:tc>
      </w:tr>
    </w:tbl>
    <w:p>
      <w:pPr>
        <w:ind w:firstLine="480"/>
        <w:rPr>
          <w:rFonts w:ascii="Times New Roman" w:hAnsi="Times New Roman"/>
        </w:rPr>
      </w:pPr>
    </w:p>
    <w:p>
      <w:pPr>
        <w:pStyle w:val="4"/>
        <w:rPr>
          <w:rFonts w:ascii="Times New Roman" w:hAnsi="Times New Roman" w:cs="Times New Roman"/>
        </w:rPr>
      </w:pPr>
      <w:r>
        <w:rPr>
          <w:rFonts w:ascii="Times New Roman" w:hAnsi="Times New Roman" w:cs="Times New Roman"/>
        </w:rPr>
        <w:t>物质危险性识别</w:t>
      </w:r>
    </w:p>
    <w:p>
      <w:pPr>
        <w:ind w:firstLine="480"/>
        <w:rPr>
          <w:rFonts w:ascii="Times New Roman" w:hAnsi="Times New Roman"/>
        </w:rPr>
      </w:pPr>
      <w:r>
        <w:rPr>
          <w:rFonts w:ascii="Times New Roman" w:hAnsi="Times New Roman"/>
        </w:rPr>
        <w:t>根据本项目风险源调查，结合《建设项目环境风险评价技术导则》（HJ169-2018）附录B，识别出本项目主要危险物质有甲烷、硫化氢、二氧化碳、硫化亚铁、气田水、元素硫，以及火灾、爆炸事故伴生物一氧化碳和二氧化硫等。</w:t>
      </w:r>
    </w:p>
    <w:p>
      <w:pPr>
        <w:pStyle w:val="5"/>
        <w:rPr>
          <w:rFonts w:ascii="Times New Roman" w:hAnsi="Times New Roman"/>
        </w:rPr>
      </w:pPr>
      <w:r>
        <w:rPr>
          <w:rFonts w:ascii="Times New Roman" w:hAnsi="Times New Roman"/>
        </w:rPr>
        <w:t>天然气</w:t>
      </w:r>
    </w:p>
    <w:p>
      <w:pPr>
        <w:ind w:firstLine="480"/>
        <w:rPr>
          <w:rFonts w:ascii="Times New Roman" w:hAnsi="Times New Roman"/>
        </w:rPr>
      </w:pPr>
      <w:r>
        <w:rPr>
          <w:rFonts w:ascii="Times New Roman" w:hAnsi="Times New Roman"/>
        </w:rPr>
        <w:t>天然气属甲类易燃、易爆气体，与空气混合形成爆炸性混合物，遇明火极易燃烧爆炸，在相对密闭空间内有窒息危险。</w:t>
      </w:r>
    </w:p>
    <w:p>
      <w:pPr>
        <w:ind w:firstLine="480"/>
        <w:rPr>
          <w:rFonts w:ascii="Times New Roman" w:hAnsi="Times New Roman"/>
        </w:rPr>
      </w:pPr>
      <w:r>
        <w:rPr>
          <w:rFonts w:ascii="Times New Roman" w:hAnsi="Times New Roman"/>
        </w:rPr>
        <w:t>根据《石油天然气工程设计防火规范》（GB50183-2004）对石油天然气火灾危险性分类：天然气生产属于甲B类火灾危险性。作为主要烃组份的甲烷属于《化学品分类和危险性公示 通则》（GB 13690-2009）中的气相爆炸物质，在爆炸极限范围内遇点火源可引起爆炸。</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r>
        <w:rPr>
          <w:rFonts w:ascii="Times New Roman" w:hAnsi="Times New Roman" w:cs="Times New Roman"/>
        </w:rPr>
        <w:t xml:space="preserve">   甲烷危险特性一览表</w:t>
      </w:r>
    </w:p>
    <w:tbl>
      <w:tblPr>
        <w:tblStyle w:val="28"/>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2268"/>
        <w:gridCol w:w="1646"/>
        <w:gridCol w:w="55"/>
        <w:gridCol w:w="517"/>
        <w:gridCol w:w="34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restart"/>
            <w:vAlign w:val="center"/>
          </w:tcPr>
          <w:p>
            <w:pPr>
              <w:pStyle w:val="39"/>
              <w:rPr>
                <w:rFonts w:ascii="Times New Roman" w:hAnsi="Times New Roman"/>
              </w:rPr>
            </w:pPr>
            <w:r>
              <w:rPr>
                <w:rFonts w:ascii="Times New Roman" w:hAnsi="Times New Roman"/>
              </w:rPr>
              <w:t>标识</w:t>
            </w:r>
          </w:p>
        </w:tc>
        <w:tc>
          <w:tcPr>
            <w:tcW w:w="3969" w:type="dxa"/>
            <w:gridSpan w:val="3"/>
            <w:vAlign w:val="center"/>
          </w:tcPr>
          <w:p>
            <w:pPr>
              <w:pStyle w:val="39"/>
              <w:rPr>
                <w:rFonts w:ascii="Times New Roman" w:hAnsi="Times New Roman"/>
              </w:rPr>
            </w:pPr>
            <w:r>
              <w:rPr>
                <w:rFonts w:ascii="Times New Roman" w:hAnsi="Times New Roman"/>
              </w:rPr>
              <w:t>中文名：甲烷</w:t>
            </w:r>
          </w:p>
        </w:tc>
        <w:tc>
          <w:tcPr>
            <w:tcW w:w="3969" w:type="dxa"/>
            <w:gridSpan w:val="2"/>
            <w:vAlign w:val="center"/>
          </w:tcPr>
          <w:p>
            <w:pPr>
              <w:pStyle w:val="39"/>
              <w:rPr>
                <w:rFonts w:ascii="Times New Roman" w:hAnsi="Times New Roman"/>
              </w:rPr>
            </w:pPr>
            <w:r>
              <w:rPr>
                <w:rFonts w:ascii="Times New Roman" w:hAnsi="Times New Roman"/>
              </w:rPr>
              <w:t>英文名：methane Marsh gas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2268" w:type="dxa"/>
            <w:vAlign w:val="center"/>
          </w:tcPr>
          <w:p>
            <w:pPr>
              <w:pStyle w:val="39"/>
              <w:rPr>
                <w:rFonts w:ascii="Times New Roman" w:hAnsi="Times New Roman"/>
              </w:rPr>
            </w:pPr>
            <w:r>
              <w:rPr>
                <w:rFonts w:ascii="Times New Roman" w:hAnsi="Times New Roman"/>
              </w:rPr>
              <w:t>分子式：CH</w:t>
            </w:r>
            <w:r>
              <w:rPr>
                <w:rFonts w:ascii="Times New Roman" w:hAnsi="Times New Roman"/>
                <w:vertAlign w:val="subscript"/>
              </w:rPr>
              <w:t>4</w:t>
            </w:r>
          </w:p>
        </w:tc>
        <w:tc>
          <w:tcPr>
            <w:tcW w:w="2218" w:type="dxa"/>
            <w:gridSpan w:val="3"/>
            <w:vAlign w:val="center"/>
          </w:tcPr>
          <w:p>
            <w:pPr>
              <w:pStyle w:val="39"/>
              <w:rPr>
                <w:rFonts w:ascii="Times New Roman" w:hAnsi="Times New Roman"/>
              </w:rPr>
            </w:pPr>
            <w:r>
              <w:rPr>
                <w:rFonts w:ascii="Times New Roman" w:hAnsi="Times New Roman"/>
              </w:rPr>
              <w:t>分子量：16.04</w:t>
            </w:r>
          </w:p>
        </w:tc>
        <w:tc>
          <w:tcPr>
            <w:tcW w:w="3452" w:type="dxa"/>
            <w:vAlign w:val="center"/>
          </w:tcPr>
          <w:p>
            <w:pPr>
              <w:pStyle w:val="39"/>
              <w:rPr>
                <w:rFonts w:ascii="Times New Roman" w:hAnsi="Times New Roman"/>
              </w:rPr>
            </w:pPr>
            <w:r>
              <w:rPr>
                <w:rFonts w:ascii="Times New Roman" w:hAnsi="Times New Roman"/>
              </w:rPr>
              <w:t>CAS号：74-82-8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7938" w:type="dxa"/>
            <w:gridSpan w:val="5"/>
            <w:vAlign w:val="center"/>
          </w:tcPr>
          <w:p>
            <w:pPr>
              <w:pStyle w:val="39"/>
              <w:rPr>
                <w:rFonts w:ascii="Times New Roman" w:hAnsi="Times New Roman"/>
              </w:rPr>
            </w:pPr>
            <w:r>
              <w:rPr>
                <w:rFonts w:ascii="Times New Roman" w:hAnsi="Times New Roman"/>
              </w:rPr>
              <w:t>危规号：21007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restart"/>
            <w:vAlign w:val="center"/>
          </w:tcPr>
          <w:p>
            <w:pPr>
              <w:pStyle w:val="39"/>
              <w:rPr>
                <w:rFonts w:ascii="Times New Roman" w:hAnsi="Times New Roman"/>
              </w:rPr>
            </w:pPr>
            <w:r>
              <w:rPr>
                <w:rFonts w:ascii="Times New Roman" w:hAnsi="Times New Roman"/>
              </w:rPr>
              <w:t>理化</w:t>
            </w:r>
          </w:p>
          <w:p>
            <w:pPr>
              <w:pStyle w:val="39"/>
              <w:rPr>
                <w:rFonts w:ascii="Times New Roman" w:hAnsi="Times New Roman"/>
              </w:rPr>
            </w:pPr>
            <w:r>
              <w:rPr>
                <w:rFonts w:ascii="Times New Roman" w:hAnsi="Times New Roman"/>
              </w:rPr>
              <w:t>性质</w:t>
            </w:r>
          </w:p>
        </w:tc>
        <w:tc>
          <w:tcPr>
            <w:tcW w:w="7938" w:type="dxa"/>
            <w:gridSpan w:val="5"/>
            <w:vAlign w:val="center"/>
          </w:tcPr>
          <w:p>
            <w:pPr>
              <w:pStyle w:val="39"/>
              <w:rPr>
                <w:rFonts w:ascii="Times New Roman" w:hAnsi="Times New Roman"/>
              </w:rPr>
            </w:pPr>
            <w:r>
              <w:rPr>
                <w:rFonts w:ascii="Times New Roman" w:hAnsi="Times New Roman"/>
              </w:rPr>
              <w:t>性状：无色无臭气体。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7938" w:type="dxa"/>
            <w:gridSpan w:val="5"/>
            <w:vAlign w:val="center"/>
          </w:tcPr>
          <w:p>
            <w:pPr>
              <w:pStyle w:val="39"/>
              <w:rPr>
                <w:rFonts w:ascii="Times New Roman" w:hAnsi="Times New Roman"/>
              </w:rPr>
            </w:pPr>
            <w:r>
              <w:rPr>
                <w:rFonts w:ascii="Times New Roman" w:hAnsi="Times New Roman"/>
              </w:rPr>
              <w:t>溶解性：微溶于水，溶于醇、乙醚。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2268" w:type="dxa"/>
            <w:vAlign w:val="center"/>
          </w:tcPr>
          <w:p>
            <w:pPr>
              <w:pStyle w:val="39"/>
              <w:rPr>
                <w:rFonts w:ascii="Times New Roman" w:hAnsi="Times New Roman"/>
              </w:rPr>
            </w:pPr>
            <w:r>
              <w:rPr>
                <w:rFonts w:ascii="Times New Roman" w:hAnsi="Times New Roman"/>
              </w:rPr>
              <w:t>熔点℃：-182.5</w:t>
            </w:r>
          </w:p>
        </w:tc>
        <w:tc>
          <w:tcPr>
            <w:tcW w:w="2218" w:type="dxa"/>
            <w:gridSpan w:val="3"/>
            <w:vAlign w:val="center"/>
          </w:tcPr>
          <w:p>
            <w:pPr>
              <w:pStyle w:val="39"/>
              <w:rPr>
                <w:rFonts w:ascii="Times New Roman" w:hAnsi="Times New Roman"/>
              </w:rPr>
            </w:pPr>
            <w:r>
              <w:rPr>
                <w:rFonts w:ascii="Times New Roman" w:hAnsi="Times New Roman"/>
              </w:rPr>
              <w:t>沸点℃：-161.5</w:t>
            </w:r>
          </w:p>
        </w:tc>
        <w:tc>
          <w:tcPr>
            <w:tcW w:w="3452" w:type="dxa"/>
            <w:vAlign w:val="center"/>
          </w:tcPr>
          <w:p>
            <w:pPr>
              <w:pStyle w:val="39"/>
              <w:rPr>
                <w:rFonts w:ascii="Times New Roman" w:hAnsi="Times New Roman"/>
              </w:rPr>
            </w:pPr>
            <w:r>
              <w:rPr>
                <w:rFonts w:ascii="Times New Roman" w:hAnsi="Times New Roman"/>
              </w:rPr>
              <w:t>相对密度（水=1）：0.42 (-164℃)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2268" w:type="dxa"/>
            <w:vAlign w:val="center"/>
          </w:tcPr>
          <w:p>
            <w:pPr>
              <w:pStyle w:val="39"/>
              <w:rPr>
                <w:rFonts w:ascii="Times New Roman" w:hAnsi="Times New Roman"/>
              </w:rPr>
            </w:pPr>
            <w:r>
              <w:rPr>
                <w:rFonts w:ascii="Times New Roman" w:hAnsi="Times New Roman"/>
              </w:rPr>
              <w:t>临界温度℃：-82.6</w:t>
            </w:r>
          </w:p>
        </w:tc>
        <w:tc>
          <w:tcPr>
            <w:tcW w:w="2218" w:type="dxa"/>
            <w:gridSpan w:val="3"/>
            <w:vAlign w:val="center"/>
          </w:tcPr>
          <w:p>
            <w:pPr>
              <w:pStyle w:val="39"/>
              <w:rPr>
                <w:rFonts w:ascii="Times New Roman" w:hAnsi="Times New Roman"/>
              </w:rPr>
            </w:pPr>
            <w:r>
              <w:rPr>
                <w:rFonts w:ascii="Times New Roman" w:hAnsi="Times New Roman"/>
              </w:rPr>
              <w:t>临界压力MPa：4.59</w:t>
            </w:r>
          </w:p>
        </w:tc>
        <w:tc>
          <w:tcPr>
            <w:tcW w:w="3452" w:type="dxa"/>
            <w:vAlign w:val="center"/>
          </w:tcPr>
          <w:p>
            <w:pPr>
              <w:pStyle w:val="39"/>
              <w:rPr>
                <w:rFonts w:ascii="Times New Roman" w:hAnsi="Times New Roman"/>
              </w:rPr>
            </w:pPr>
            <w:r>
              <w:rPr>
                <w:rFonts w:ascii="Times New Roman" w:hAnsi="Times New Roman"/>
              </w:rPr>
              <w:t>相对密度（空气=1）：0.55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2268" w:type="dxa"/>
            <w:vAlign w:val="center"/>
          </w:tcPr>
          <w:p>
            <w:pPr>
              <w:pStyle w:val="39"/>
              <w:rPr>
                <w:rFonts w:ascii="Times New Roman" w:hAnsi="Times New Roman"/>
              </w:rPr>
            </w:pPr>
            <w:r>
              <w:rPr>
                <w:rFonts w:ascii="Times New Roman" w:hAnsi="Times New Roman"/>
              </w:rPr>
              <w:t>燃烧热KJ/mol：889.5</w:t>
            </w:r>
          </w:p>
        </w:tc>
        <w:tc>
          <w:tcPr>
            <w:tcW w:w="2218" w:type="dxa"/>
            <w:gridSpan w:val="3"/>
            <w:vAlign w:val="center"/>
          </w:tcPr>
          <w:p>
            <w:pPr>
              <w:pStyle w:val="39"/>
              <w:rPr>
                <w:rFonts w:ascii="Times New Roman" w:hAnsi="Times New Roman"/>
              </w:rPr>
            </w:pPr>
            <w:r>
              <w:rPr>
                <w:rFonts w:ascii="Times New Roman" w:hAnsi="Times New Roman"/>
              </w:rPr>
              <w:t>最小点火能mJ：0.28</w:t>
            </w:r>
          </w:p>
        </w:tc>
        <w:tc>
          <w:tcPr>
            <w:tcW w:w="3452" w:type="dxa"/>
            <w:vAlign w:val="center"/>
          </w:tcPr>
          <w:p>
            <w:pPr>
              <w:pStyle w:val="39"/>
              <w:rPr>
                <w:rFonts w:ascii="Times New Roman" w:hAnsi="Times New Roman"/>
              </w:rPr>
            </w:pPr>
            <w:r>
              <w:rPr>
                <w:rFonts w:ascii="Times New Roman" w:hAnsi="Times New Roman"/>
              </w:rPr>
              <w:t>饱和蒸汽压KPa：53.32 (-168.8℃)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restart"/>
            <w:vAlign w:val="center"/>
          </w:tcPr>
          <w:p>
            <w:pPr>
              <w:pStyle w:val="39"/>
              <w:rPr>
                <w:rFonts w:ascii="Times New Roman" w:hAnsi="Times New Roman"/>
              </w:rPr>
            </w:pPr>
            <w:r>
              <w:rPr>
                <w:rFonts w:ascii="Times New Roman" w:hAnsi="Times New Roman"/>
              </w:rPr>
              <w:t>燃烧爆炸危险性</w:t>
            </w:r>
          </w:p>
        </w:tc>
        <w:tc>
          <w:tcPr>
            <w:tcW w:w="3914" w:type="dxa"/>
            <w:gridSpan w:val="2"/>
            <w:vAlign w:val="center"/>
          </w:tcPr>
          <w:p>
            <w:pPr>
              <w:pStyle w:val="39"/>
              <w:rPr>
                <w:rFonts w:ascii="Times New Roman" w:hAnsi="Times New Roman"/>
              </w:rPr>
            </w:pPr>
            <w:r>
              <w:rPr>
                <w:rFonts w:ascii="Times New Roman" w:hAnsi="Times New Roman"/>
              </w:rPr>
              <w:t>燃烧性：易燃</w:t>
            </w:r>
          </w:p>
        </w:tc>
        <w:tc>
          <w:tcPr>
            <w:tcW w:w="4024" w:type="dxa"/>
            <w:gridSpan w:val="3"/>
            <w:vAlign w:val="center"/>
          </w:tcPr>
          <w:p>
            <w:pPr>
              <w:pStyle w:val="39"/>
              <w:rPr>
                <w:rFonts w:ascii="Times New Roman" w:hAnsi="Times New Roman"/>
              </w:rPr>
            </w:pPr>
            <w:r>
              <w:rPr>
                <w:rFonts w:ascii="Times New Roman" w:hAnsi="Times New Roman"/>
              </w:rPr>
              <w:t>燃烧分解产物：一氧化碳、二氧化碳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3914" w:type="dxa"/>
            <w:gridSpan w:val="2"/>
            <w:vAlign w:val="center"/>
          </w:tcPr>
          <w:p>
            <w:pPr>
              <w:pStyle w:val="39"/>
              <w:rPr>
                <w:rFonts w:ascii="Times New Roman" w:hAnsi="Times New Roman"/>
              </w:rPr>
            </w:pPr>
            <w:r>
              <w:rPr>
                <w:rFonts w:ascii="Times New Roman" w:hAnsi="Times New Roman"/>
              </w:rPr>
              <w:t>闪点（℃）：-118</w:t>
            </w:r>
          </w:p>
        </w:tc>
        <w:tc>
          <w:tcPr>
            <w:tcW w:w="4024" w:type="dxa"/>
            <w:gridSpan w:val="3"/>
            <w:vAlign w:val="center"/>
          </w:tcPr>
          <w:p>
            <w:pPr>
              <w:pStyle w:val="39"/>
              <w:rPr>
                <w:rFonts w:ascii="Times New Roman" w:hAnsi="Times New Roman"/>
              </w:rPr>
            </w:pPr>
            <w:r>
              <w:rPr>
                <w:rFonts w:ascii="Times New Roman" w:hAnsi="Times New Roman"/>
              </w:rPr>
              <w:t>聚合危害：不聚合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3914" w:type="dxa"/>
            <w:gridSpan w:val="2"/>
            <w:vAlign w:val="center"/>
          </w:tcPr>
          <w:p>
            <w:pPr>
              <w:pStyle w:val="39"/>
              <w:rPr>
                <w:rFonts w:ascii="Times New Roman" w:hAnsi="Times New Roman"/>
              </w:rPr>
            </w:pPr>
            <w:r>
              <w:rPr>
                <w:rFonts w:ascii="Times New Roman" w:hAnsi="Times New Roman"/>
              </w:rPr>
              <w:t>爆炸下限[%(v/v)]：5.3</w:t>
            </w:r>
          </w:p>
        </w:tc>
        <w:tc>
          <w:tcPr>
            <w:tcW w:w="4024" w:type="dxa"/>
            <w:gridSpan w:val="3"/>
            <w:vAlign w:val="center"/>
          </w:tcPr>
          <w:p>
            <w:pPr>
              <w:pStyle w:val="39"/>
              <w:rPr>
                <w:rFonts w:ascii="Times New Roman" w:hAnsi="Times New Roman"/>
              </w:rPr>
            </w:pPr>
            <w:r>
              <w:rPr>
                <w:rFonts w:ascii="Times New Roman" w:hAnsi="Times New Roman"/>
              </w:rPr>
              <w:t>稳定性：稳定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3914" w:type="dxa"/>
            <w:gridSpan w:val="2"/>
            <w:vAlign w:val="center"/>
          </w:tcPr>
          <w:p>
            <w:pPr>
              <w:pStyle w:val="39"/>
              <w:rPr>
                <w:rFonts w:ascii="Times New Roman" w:hAnsi="Times New Roman"/>
              </w:rPr>
            </w:pPr>
            <w:r>
              <w:rPr>
                <w:rFonts w:ascii="Times New Roman" w:hAnsi="Times New Roman"/>
              </w:rPr>
              <w:t>爆炸上限[%(v/v)]：15</w:t>
            </w:r>
          </w:p>
        </w:tc>
        <w:tc>
          <w:tcPr>
            <w:tcW w:w="4024" w:type="dxa"/>
            <w:gridSpan w:val="3"/>
            <w:vAlign w:val="center"/>
          </w:tcPr>
          <w:p>
            <w:pPr>
              <w:pStyle w:val="39"/>
              <w:rPr>
                <w:rFonts w:ascii="Times New Roman" w:hAnsi="Times New Roman"/>
              </w:rPr>
            </w:pPr>
            <w:r>
              <w:rPr>
                <w:rFonts w:ascii="Times New Roman" w:hAnsi="Times New Roman"/>
              </w:rPr>
              <w:t>最大爆炸压力（MPa）：0.717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3914" w:type="dxa"/>
            <w:gridSpan w:val="2"/>
            <w:vAlign w:val="center"/>
          </w:tcPr>
          <w:p>
            <w:pPr>
              <w:pStyle w:val="39"/>
              <w:rPr>
                <w:rFonts w:ascii="Times New Roman" w:hAnsi="Times New Roman"/>
              </w:rPr>
            </w:pPr>
            <w:r>
              <w:rPr>
                <w:rFonts w:ascii="Times New Roman" w:hAnsi="Times New Roman"/>
              </w:rPr>
              <w:t>引燃温度（℃）：538</w:t>
            </w:r>
          </w:p>
        </w:tc>
        <w:tc>
          <w:tcPr>
            <w:tcW w:w="4024" w:type="dxa"/>
            <w:gridSpan w:val="3"/>
            <w:vAlign w:val="center"/>
          </w:tcPr>
          <w:p>
            <w:pPr>
              <w:pStyle w:val="39"/>
              <w:rPr>
                <w:rFonts w:ascii="Times New Roman" w:hAnsi="Times New Roman"/>
              </w:rPr>
            </w:pPr>
            <w:r>
              <w:rPr>
                <w:rFonts w:ascii="Times New Roman" w:hAnsi="Times New Roman"/>
              </w:rPr>
              <w:t>禁忌物：强氧化剂、氟氯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7938" w:type="dxa"/>
            <w:gridSpan w:val="5"/>
            <w:vAlign w:val="center"/>
          </w:tcPr>
          <w:p>
            <w:pPr>
              <w:pStyle w:val="39"/>
              <w:rPr>
                <w:rFonts w:ascii="Times New Roman" w:hAnsi="Times New Roman"/>
              </w:rPr>
            </w:pPr>
            <w:r>
              <w:rPr>
                <w:rFonts w:ascii="Times New Roman" w:hAnsi="Times New Roman"/>
              </w:rPr>
              <w:t>危险特性：易燃，与空气混合能形成爆炸性混合物，遇热源和明火有燃烧爆炸的危险。与五氧化溴、氯气、次氯酸、三氟化氮、液氧、二氟化氧及其它强氧化剂接触剧烈反应。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7938" w:type="dxa"/>
            <w:gridSpan w:val="5"/>
            <w:vAlign w:val="center"/>
          </w:tcPr>
          <w:p>
            <w:pPr>
              <w:pStyle w:val="39"/>
              <w:rPr>
                <w:rFonts w:ascii="Times New Roman" w:hAnsi="Times New Roman"/>
              </w:rPr>
            </w:pPr>
            <w:r>
              <w:rPr>
                <w:rFonts w:ascii="Times New Roman" w:hAnsi="Times New Roman"/>
              </w:rPr>
              <w:t>消防措施：切断气源。若不能立即切断气源，则不允许熄灭正在燃烧的气体。喷水冷却容器，可能的话将容器从火场移至空旷处。灭火剂：雾状水、泡沫、二氧化碳、干粉。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Align w:val="center"/>
          </w:tcPr>
          <w:p>
            <w:pPr>
              <w:pStyle w:val="39"/>
              <w:rPr>
                <w:rFonts w:ascii="Times New Roman" w:hAnsi="Times New Roman"/>
              </w:rPr>
            </w:pPr>
            <w:r>
              <w:rPr>
                <w:rFonts w:ascii="Times New Roman" w:hAnsi="Times New Roman"/>
              </w:rPr>
              <w:t>毒性</w:t>
            </w:r>
          </w:p>
        </w:tc>
        <w:tc>
          <w:tcPr>
            <w:tcW w:w="7938" w:type="dxa"/>
            <w:gridSpan w:val="5"/>
            <w:vAlign w:val="center"/>
          </w:tcPr>
          <w:p>
            <w:pPr>
              <w:pStyle w:val="39"/>
              <w:rPr>
                <w:rFonts w:ascii="Times New Roman" w:hAnsi="Times New Roman"/>
              </w:rPr>
            </w:pPr>
            <w:r>
              <w:rPr>
                <w:rFonts w:ascii="Times New Roman" w:hAnsi="Times New Roman"/>
              </w:rPr>
              <w:t>接触限值：中国MAC（mg/m</w:t>
            </w:r>
            <w:r>
              <w:rPr>
                <w:rFonts w:ascii="Times New Roman" w:hAnsi="Times New Roman"/>
                <w:vertAlign w:val="superscript"/>
              </w:rPr>
              <w:t>3</w:t>
            </w:r>
            <w:r>
              <w:rPr>
                <w:rFonts w:ascii="Times New Roman" w:hAnsi="Times New Roman"/>
              </w:rPr>
              <w:t>）未制定标准 前苏联MAC（mg/m</w:t>
            </w:r>
            <w:r>
              <w:rPr>
                <w:rFonts w:ascii="Times New Roman" w:hAnsi="Times New Roman"/>
                <w:vertAlign w:val="superscript"/>
              </w:rPr>
              <w:t>3</w:t>
            </w:r>
            <w:r>
              <w:rPr>
                <w:rFonts w:ascii="Times New Roman" w:hAnsi="Times New Roman"/>
              </w:rPr>
              <w:t>）300</w:t>
            </w:r>
          </w:p>
          <w:p>
            <w:pPr>
              <w:pStyle w:val="39"/>
              <w:rPr>
                <w:rFonts w:ascii="Times New Roman" w:hAnsi="Times New Roman"/>
              </w:rPr>
            </w:pPr>
            <w:r>
              <w:rPr>
                <w:rFonts w:ascii="Times New Roman" w:hAnsi="Times New Roman"/>
              </w:rPr>
              <w:t>美国TVL-TWA ACGIH窒息性气体  美国TLV-STEL未制定标准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Align w:val="center"/>
          </w:tcPr>
          <w:p>
            <w:pPr>
              <w:pStyle w:val="39"/>
              <w:rPr>
                <w:rFonts w:ascii="Times New Roman" w:hAnsi="Times New Roman"/>
              </w:rPr>
            </w:pPr>
            <w:r>
              <w:rPr>
                <w:rFonts w:ascii="Times New Roman" w:hAnsi="Times New Roman"/>
              </w:rPr>
              <w:t>对人体危害</w:t>
            </w:r>
          </w:p>
        </w:tc>
        <w:tc>
          <w:tcPr>
            <w:tcW w:w="7938" w:type="dxa"/>
            <w:gridSpan w:val="5"/>
            <w:vAlign w:val="center"/>
          </w:tcPr>
          <w:p>
            <w:pPr>
              <w:pStyle w:val="39"/>
              <w:rPr>
                <w:rFonts w:ascii="Times New Roman" w:hAnsi="Times New Roman"/>
              </w:rPr>
            </w:pPr>
            <w:r>
              <w:rPr>
                <w:rFonts w:ascii="Times New Roman" w:hAnsi="Times New Roman"/>
              </w:rPr>
              <w:t>侵入途径：吸入。</w:t>
            </w:r>
          </w:p>
          <w:p>
            <w:pPr>
              <w:pStyle w:val="39"/>
              <w:rPr>
                <w:rFonts w:ascii="Times New Roman" w:hAnsi="Times New Roman"/>
              </w:rPr>
            </w:pPr>
            <w:r>
              <w:rPr>
                <w:rFonts w:ascii="Times New Roman" w:hAnsi="Times New Roman"/>
              </w:rPr>
              <w:t>健康危害：甲烷对人基本无毒，但浓度过高时，使空气中氧含量明显降低，使人窒息。当空气中甲烷达25%-30%时，可引起头痛、头晕、乏力、注意力不集中、呼吸和心跳加速、共济失调。若不及时脱离，可致窒息死亡。皮肤接触液化本品，可致冻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62" w:type="dxa"/>
            <w:vAlign w:val="center"/>
          </w:tcPr>
          <w:p>
            <w:pPr>
              <w:pStyle w:val="39"/>
              <w:rPr>
                <w:rFonts w:ascii="Times New Roman" w:hAnsi="Times New Roman"/>
              </w:rPr>
            </w:pPr>
            <w:r>
              <w:rPr>
                <w:rFonts w:ascii="Times New Roman" w:hAnsi="Times New Roman"/>
              </w:rPr>
              <w:t>急救</w:t>
            </w:r>
          </w:p>
        </w:tc>
        <w:tc>
          <w:tcPr>
            <w:tcW w:w="7938" w:type="dxa"/>
            <w:gridSpan w:val="5"/>
            <w:vAlign w:val="center"/>
          </w:tcPr>
          <w:p>
            <w:pPr>
              <w:pStyle w:val="39"/>
              <w:rPr>
                <w:rFonts w:ascii="Times New Roman" w:hAnsi="Times New Roman"/>
              </w:rPr>
            </w:pPr>
            <w:r>
              <w:rPr>
                <w:rFonts w:ascii="Times New Roman" w:hAnsi="Times New Roman"/>
              </w:rPr>
              <w:t>皮肤冻伤：若有冻伤，就医治疗。</w:t>
            </w:r>
          </w:p>
          <w:p>
            <w:pPr>
              <w:pStyle w:val="39"/>
              <w:rPr>
                <w:rFonts w:ascii="Times New Roman" w:hAnsi="Times New Roman"/>
              </w:rPr>
            </w:pPr>
            <w:r>
              <w:rPr>
                <w:rFonts w:ascii="Times New Roman" w:hAnsi="Times New Roman"/>
              </w:rPr>
              <w:t>吸入：迅速脱离现场至空气新鲜处，保持呼吸道通畅。如呼吸困难，给输氧。如呼吸停止，立即进行人工呼吸。就医。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62" w:type="dxa"/>
            <w:vAlign w:val="center"/>
          </w:tcPr>
          <w:p>
            <w:pPr>
              <w:pStyle w:val="39"/>
              <w:rPr>
                <w:rFonts w:ascii="Times New Roman" w:hAnsi="Times New Roman"/>
              </w:rPr>
            </w:pPr>
            <w:r>
              <w:rPr>
                <w:rFonts w:ascii="Times New Roman" w:hAnsi="Times New Roman"/>
              </w:rPr>
              <w:t>防护</w:t>
            </w:r>
          </w:p>
        </w:tc>
        <w:tc>
          <w:tcPr>
            <w:tcW w:w="7938" w:type="dxa"/>
            <w:gridSpan w:val="5"/>
            <w:vAlign w:val="center"/>
          </w:tcPr>
          <w:p>
            <w:pPr>
              <w:pStyle w:val="39"/>
              <w:rPr>
                <w:rFonts w:ascii="Times New Roman" w:hAnsi="Times New Roman"/>
              </w:rPr>
            </w:pPr>
            <w:r>
              <w:rPr>
                <w:rFonts w:ascii="Times New Roman" w:hAnsi="Times New Roman"/>
              </w:rPr>
              <w:t>工程防护：生产过程密闭，全面通风。</w:t>
            </w:r>
          </w:p>
          <w:p>
            <w:pPr>
              <w:pStyle w:val="39"/>
              <w:rPr>
                <w:rFonts w:ascii="Times New Roman" w:hAnsi="Times New Roman"/>
              </w:rPr>
            </w:pPr>
            <w:r>
              <w:rPr>
                <w:rFonts w:ascii="Times New Roman" w:hAnsi="Times New Roman"/>
              </w:rPr>
              <w:t>个人防护：一般不需要特殊防护，但建议特殊情况下，佩戴自吸过滤式防毒面具（半面罩）。眼睛防护一般不需要特殊防护，高浓度接触时可戴安全防护眼镜，穿防静电工作服。戴一般作业防护手套。工作现场严禁吸烟。避免长期反复接触，进入罐、限制性空间或其他高浓度区作业，须有人监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62" w:type="dxa"/>
            <w:vAlign w:val="center"/>
          </w:tcPr>
          <w:p>
            <w:pPr>
              <w:pStyle w:val="39"/>
              <w:rPr>
                <w:rFonts w:ascii="Times New Roman" w:hAnsi="Times New Roman"/>
              </w:rPr>
            </w:pPr>
            <w:r>
              <w:rPr>
                <w:rFonts w:ascii="Times New Roman" w:hAnsi="Times New Roman"/>
              </w:rPr>
              <w:t>泄漏处理</w:t>
            </w:r>
          </w:p>
        </w:tc>
        <w:tc>
          <w:tcPr>
            <w:tcW w:w="7938" w:type="dxa"/>
            <w:gridSpan w:val="5"/>
            <w:vAlign w:val="center"/>
          </w:tcPr>
          <w:p>
            <w:pPr>
              <w:pStyle w:val="39"/>
              <w:rPr>
                <w:rFonts w:ascii="Times New Roman" w:hAnsi="Times New Roman"/>
              </w:rPr>
            </w:pPr>
            <w:r>
              <w:rPr>
                <w:rFonts w:ascii="Times New Roman" w:hAnsi="Times New Roman"/>
              </w:rPr>
              <w:t>迅速撤离泄漏污染区人员至上风处，并进行隔离，严格限制出入。切断火源。建议应急处理人员戴自给正压式呼吸器，穿消防防护服。尽可能切断泄漏源。合理通风，加速扩散。喷雾状水稀释、溶解。构筑围堤或挖坑收容产生的大量废水。如有可能，将漏出气用排风机送至空旷地方或装设适当喷头烧掉。也可以将漏气的容器移至空旷处，注意通风。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62" w:type="dxa"/>
            <w:vAlign w:val="center"/>
          </w:tcPr>
          <w:p>
            <w:pPr>
              <w:pStyle w:val="39"/>
              <w:rPr>
                <w:rFonts w:ascii="Times New Roman" w:hAnsi="Times New Roman"/>
              </w:rPr>
            </w:pPr>
            <w:r>
              <w:rPr>
                <w:rFonts w:ascii="Times New Roman" w:hAnsi="Times New Roman"/>
              </w:rPr>
              <w:t>贮运</w:t>
            </w:r>
          </w:p>
        </w:tc>
        <w:tc>
          <w:tcPr>
            <w:tcW w:w="7938" w:type="dxa"/>
            <w:gridSpan w:val="5"/>
            <w:vAlign w:val="center"/>
          </w:tcPr>
          <w:p>
            <w:pPr>
              <w:pStyle w:val="39"/>
              <w:rPr>
                <w:rFonts w:ascii="Times New Roman" w:hAnsi="Times New Roman"/>
              </w:rPr>
            </w:pPr>
            <w:r>
              <w:rPr>
                <w:rFonts w:ascii="Times New Roman" w:hAnsi="Times New Roman"/>
              </w:rPr>
              <w:t>包装标志：4   UN编号：1971   包装分类：Ⅱ   包装方法：钢质气瓶</w:t>
            </w:r>
          </w:p>
          <w:p>
            <w:pPr>
              <w:pStyle w:val="39"/>
              <w:rPr>
                <w:rFonts w:ascii="Times New Roman" w:hAnsi="Times New Roman"/>
              </w:rPr>
            </w:pPr>
            <w:r>
              <w:rPr>
                <w:rFonts w:ascii="Times New Roman" w:hAnsi="Times New Roman"/>
              </w:rPr>
              <w:t>储运条件：易燃压缩气体。储存于阴凉、通风仓间内。仓温不宜超过30℃。远离火种、热源。防止阳光直射。应与氧气、压缩空气、卤素（氟、氯、溴）等分开存放。切忌混储混运。储存间的照明、通风等设施应采用防爆型，开关设在仓外。配备相应品种和数量的消防器材。罐储时要有防火防爆技术措施。露天贮罐夏季要有降温措施。禁止使用易产生火花的机械设备和工具。验收时要注意品名，注意验瓶日期，先进仓的先发用。搬运时轻装轻卸，防止钢瓶及附件破损。</w:t>
            </w:r>
          </w:p>
        </w:tc>
      </w:tr>
    </w:tbl>
    <w:p>
      <w:pPr>
        <w:ind w:firstLine="480"/>
        <w:rPr>
          <w:rFonts w:ascii="Times New Roman" w:hAnsi="Times New Roman"/>
        </w:rPr>
      </w:pPr>
    </w:p>
    <w:p>
      <w:pPr>
        <w:pStyle w:val="5"/>
        <w:rPr>
          <w:rFonts w:ascii="Times New Roman" w:hAnsi="Times New Roman"/>
        </w:rPr>
      </w:pPr>
      <w:r>
        <w:rPr>
          <w:rFonts w:ascii="Times New Roman" w:hAnsi="Times New Roman"/>
        </w:rPr>
        <w:t>硫化氢</w:t>
      </w:r>
    </w:p>
    <w:p>
      <w:pPr>
        <w:ind w:firstLine="480"/>
        <w:rPr>
          <w:rFonts w:ascii="Times New Roman" w:hAnsi="Times New Roman"/>
        </w:rPr>
      </w:pPr>
      <w:r>
        <w:rPr>
          <w:rFonts w:ascii="Times New Roman" w:hAnsi="Times New Roman"/>
        </w:rPr>
        <w:t>在含硫化氢气田采气过程中，井口装置、地面工艺设备及管道的硫化物应力腐蚀开裂（SSC）、氢致开裂（HIC）可导致设备、管线腐蚀穿孔，造成含硫天然气泄漏事故。在有二氧化碳存在的情况下会加速金属材料的腐蚀。硫化氢溶于水后形成弱酸，对金属的腐蚀形成有电化学腐蚀、氢脆和硫化物应力腐蚀开裂，以后两者为主。根据美国腐蚀工程师协会MR-01-75和《天然气地面设施抗硫化物应力开裂金属材料要求》（SY/T0599-2018）的说明：如果硫化氢分压等于或大于0.3kPa，就存在硫化物应力腐蚀开裂（SSC）。本项目硫化氢除存在常见的电化学腐蚀外，还存在硫化物应力腐蚀开裂。如果介质中还含有其它腐蚀性组分如CO</w:t>
      </w:r>
      <w:r>
        <w:rPr>
          <w:rFonts w:ascii="Times New Roman" w:hAnsi="Times New Roman"/>
          <w:vertAlign w:val="subscript"/>
        </w:rPr>
        <w:t>2</w:t>
      </w:r>
      <w:r>
        <w:rPr>
          <w:rFonts w:ascii="Times New Roman" w:hAnsi="Times New Roman"/>
        </w:rPr>
        <w:t>、Cl</w:t>
      </w:r>
      <w:r>
        <w:rPr>
          <w:rFonts w:ascii="Times New Roman" w:hAnsi="Times New Roman"/>
          <w:vertAlign w:val="superscript"/>
        </w:rPr>
        <w:t>－</w:t>
      </w:r>
      <w:r>
        <w:rPr>
          <w:rFonts w:ascii="Times New Roman" w:hAnsi="Times New Roman"/>
        </w:rPr>
        <w:t>、元素硫、残酸等时，硫化氢对钢材的腐蚀速率将大幅度增高。</w:t>
      </w:r>
    </w:p>
    <w:p>
      <w:pPr>
        <w:ind w:firstLine="480"/>
        <w:rPr>
          <w:rFonts w:ascii="Times New Roman" w:hAnsi="Times New Roman"/>
        </w:rPr>
      </w:pPr>
      <w:r>
        <w:rPr>
          <w:rFonts w:ascii="Times New Roman" w:hAnsi="Times New Roman"/>
        </w:rPr>
        <w:t>气田开发生产过程中，硫化氢一般主要出现在以下几个环节：</w:t>
      </w:r>
    </w:p>
    <w:p>
      <w:pPr>
        <w:ind w:firstLine="480"/>
        <w:rPr>
          <w:rFonts w:ascii="Times New Roman" w:hAnsi="Times New Roman"/>
        </w:rPr>
      </w:pPr>
      <w:r>
        <w:rPr>
          <w:rFonts w:ascii="Times New Roman" w:hAnsi="Times New Roman"/>
        </w:rPr>
        <w:t>（1）井站内设备、集输管线发生泄漏事故，释放硫化氢。</w:t>
      </w:r>
    </w:p>
    <w:p>
      <w:pPr>
        <w:ind w:firstLine="480"/>
        <w:rPr>
          <w:rFonts w:ascii="Times New Roman" w:hAnsi="Times New Roman"/>
        </w:rPr>
      </w:pPr>
      <w:r>
        <w:rPr>
          <w:rFonts w:ascii="Times New Roman" w:hAnsi="Times New Roman"/>
        </w:rPr>
        <w:t>（2）气田水在输送过程中发生泄漏事故，释放硫化氢。</w:t>
      </w:r>
    </w:p>
    <w:p>
      <w:pPr>
        <w:ind w:firstLine="480"/>
        <w:rPr>
          <w:rFonts w:ascii="Times New Roman" w:hAnsi="Times New Roman"/>
        </w:rPr>
      </w:pPr>
      <w:r>
        <w:rPr>
          <w:rFonts w:ascii="Times New Roman" w:hAnsi="Times New Roman"/>
        </w:rPr>
        <w:t>（3）腐蚀产物FeS遇酸性环境反应分解产生硫化氢。</w:t>
      </w:r>
    </w:p>
    <w:p>
      <w:pPr>
        <w:ind w:firstLine="480"/>
        <w:rPr>
          <w:rFonts w:ascii="Times New Roman" w:hAnsi="Times New Roman"/>
        </w:rPr>
      </w:pPr>
      <w:r>
        <w:rPr>
          <w:rFonts w:ascii="Times New Roman" w:hAnsi="Times New Roman"/>
        </w:rPr>
        <w:t>通常物理状态：无色气体，比空气略重。15℃，0.10133MPa（1atm）下蒸气密度（相对密度）为1.189。</w:t>
      </w:r>
    </w:p>
    <w:p>
      <w:pPr>
        <w:ind w:firstLine="480"/>
        <w:rPr>
          <w:rFonts w:ascii="Times New Roman" w:hAnsi="Times New Roman"/>
        </w:rPr>
      </w:pPr>
      <w:r>
        <w:rPr>
          <w:rFonts w:ascii="Times New Roman" w:hAnsi="Times New Roman"/>
        </w:rPr>
        <w:t>自燃温度：260℃。</w:t>
      </w:r>
    </w:p>
    <w:p>
      <w:pPr>
        <w:ind w:firstLine="480"/>
        <w:rPr>
          <w:rFonts w:ascii="Times New Roman" w:hAnsi="Times New Roman"/>
        </w:rPr>
      </w:pPr>
      <w:r>
        <w:rPr>
          <w:rFonts w:ascii="Times New Roman" w:hAnsi="Times New Roman"/>
        </w:rPr>
        <w:t>爆炸极限：空气中蒸气体积分数在4.3%~46%。</w:t>
      </w:r>
    </w:p>
    <w:p>
      <w:pPr>
        <w:ind w:firstLine="480"/>
        <w:rPr>
          <w:rFonts w:ascii="Times New Roman" w:hAnsi="Times New Roman"/>
        </w:rPr>
      </w:pPr>
      <w:r>
        <w:rPr>
          <w:rFonts w:ascii="Times New Roman" w:hAnsi="Times New Roman"/>
        </w:rPr>
        <w:t>溶解度：溶于水和油，溶解度随溶液温度升高而降低。</w:t>
      </w:r>
    </w:p>
    <w:p>
      <w:pPr>
        <w:ind w:firstLine="480"/>
        <w:rPr>
          <w:rFonts w:ascii="Times New Roman" w:hAnsi="Times New Roman"/>
        </w:rPr>
      </w:pPr>
      <w:r>
        <w:rPr>
          <w:rFonts w:ascii="Times New Roman" w:hAnsi="Times New Roman"/>
        </w:rPr>
        <w:t>可燃性：燃烧时火焰呈蓝色，生成二氧化硫。</w:t>
      </w:r>
    </w:p>
    <w:p>
      <w:pPr>
        <w:ind w:firstLine="480"/>
        <w:rPr>
          <w:rFonts w:ascii="Times New Roman" w:hAnsi="Times New Roman"/>
        </w:rPr>
      </w:pPr>
      <w:r>
        <w:rPr>
          <w:rFonts w:ascii="Times New Roman" w:hAnsi="Times New Roman"/>
        </w:rPr>
        <w:t>气味和警示特性：硫化氢有极难闻的臭鸡蛋味，低浓度时容易辨别出。但由于容易很快造成嗅觉疲劳和麻痹，气味不能用作警示措施。</w:t>
      </w:r>
    </w:p>
    <w:p>
      <w:pPr>
        <w:ind w:firstLine="480"/>
        <w:rPr>
          <w:rFonts w:ascii="Times New Roman" w:hAnsi="Times New Roman"/>
        </w:rPr>
      </w:pPr>
      <w:r>
        <w:rPr>
          <w:rFonts w:ascii="Times New Roman" w:hAnsi="Times New Roman"/>
        </w:rPr>
        <w:t>根据《硫化氢环境人身防护规范》（SY/T6277-2017）规定：</w:t>
      </w:r>
    </w:p>
    <w:p>
      <w:pPr>
        <w:ind w:firstLine="480"/>
        <w:rPr>
          <w:rFonts w:ascii="Times New Roman" w:hAnsi="Times New Roman"/>
        </w:rPr>
      </w:pPr>
      <w:r>
        <w:rPr>
          <w:rFonts w:ascii="Times New Roman" w:hAnsi="Times New Roman"/>
        </w:rPr>
        <w:t>（1）硫化氢阈限值：在硫化氢环境中未采取任何人身防护措施，不会对人身健康产生伤害的空气中硫化氢最大浓度为15mg/m³（10ppm）。</w:t>
      </w:r>
    </w:p>
    <w:p>
      <w:pPr>
        <w:ind w:firstLine="480"/>
        <w:rPr>
          <w:rFonts w:ascii="Times New Roman" w:hAnsi="Times New Roman"/>
        </w:rPr>
      </w:pPr>
      <w:r>
        <w:rPr>
          <w:rFonts w:ascii="Times New Roman" w:hAnsi="Times New Roman"/>
        </w:rPr>
        <w:t>（2）安全临界浓度：在硫化氢环境中8h未采取任何人身防护措施，可接受的空气中硫化氢最大浓度为30mg/m³（20ppm）。</w:t>
      </w:r>
    </w:p>
    <w:p>
      <w:pPr>
        <w:ind w:firstLine="480"/>
        <w:rPr>
          <w:rFonts w:ascii="Times New Roman" w:hAnsi="Times New Roman"/>
        </w:rPr>
      </w:pPr>
      <w:r>
        <w:rPr>
          <w:rFonts w:ascii="Times New Roman" w:hAnsi="Times New Roman"/>
        </w:rPr>
        <w:t>（3）危险临界浓度：在硫化氢环境中未采取任何人身防护措施，对人身健康产生不可逆转的或延迟性影响的空气中硫化氢最小浓度为150mg/m³（100ppm）。</w:t>
      </w:r>
    </w:p>
    <w:p>
      <w:pPr>
        <w:ind w:firstLine="480"/>
        <w:rPr>
          <w:rFonts w:ascii="Times New Roman" w:hAnsi="Times New Roman"/>
        </w:rPr>
      </w:pPr>
      <w:r>
        <w:rPr>
          <w:rFonts w:ascii="Times New Roman" w:hAnsi="Times New Roman"/>
          <w:lang w:val="zh-CN" w:bidi="ar"/>
        </w:rPr>
        <w:t>硫化氢是一种剧毒气体，处于高浓度（超过150mg/</w:t>
      </w:r>
      <w:r>
        <w:rPr>
          <w:rFonts w:ascii="Times New Roman" w:hAnsi="Times New Roman"/>
        </w:rPr>
        <w:t>m³</w:t>
      </w:r>
      <w:r>
        <w:rPr>
          <w:rFonts w:ascii="Times New Roman" w:hAnsi="Times New Roman"/>
          <w:lang w:val="zh-CN" w:bidi="ar"/>
        </w:rPr>
        <w:t>，100ppm）的硫化氢环境中，人会由于觉神经受到麻脾而快速失去嗅觉。长时间处于低硫化氢浓度的大气中也会使嗅觉灵敏度减弱。过多暴露于硫化氢中能毒害呼吸系统的细胞，导致死亡。血液中存在酒精能加剧硫化氢的毒性，即使在低浓度（15mg/</w:t>
      </w:r>
      <w:r>
        <w:rPr>
          <w:rFonts w:ascii="Times New Roman" w:hAnsi="Times New Roman"/>
        </w:rPr>
        <w:t>m³</w:t>
      </w:r>
      <w:r>
        <w:rPr>
          <w:rFonts w:ascii="Times New Roman" w:hAnsi="Times New Roman"/>
          <w:lang w:val="zh-CN" w:bidi="ar"/>
        </w:rPr>
        <w:t>，10ppm~75mg/</w:t>
      </w:r>
      <w:r>
        <w:rPr>
          <w:rFonts w:ascii="Times New Roman" w:hAnsi="Times New Roman"/>
        </w:rPr>
        <w:t>m³</w:t>
      </w:r>
      <w:r>
        <w:rPr>
          <w:rFonts w:ascii="Times New Roman" w:hAnsi="Times New Roman"/>
          <w:lang w:val="zh-CN" w:bidi="ar"/>
        </w:rPr>
        <w:t>，50ppm）时，硫化氢也会刺激眼睛和呼吸道。吸入一定浓度的硫化氢对身体的伤害。</w:t>
      </w:r>
    </w:p>
    <w:p>
      <w:pPr>
        <w:pStyle w:val="37"/>
        <w:rPr>
          <w:rFonts w:ascii="Times New Roman" w:hAnsi="Times New Roman" w:cs="Times New Roman"/>
        </w:rPr>
      </w:pPr>
      <w:bookmarkStart w:id="268" w:name="_Ref15225433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13</w:t>
      </w:r>
      <w:r>
        <w:rPr>
          <w:rFonts w:ascii="Times New Roman" w:hAnsi="Times New Roman" w:cs="Times New Roman"/>
        </w:rPr>
        <w:fldChar w:fldCharType="end"/>
      </w:r>
      <w:bookmarkEnd w:id="268"/>
      <w:r>
        <w:rPr>
          <w:rFonts w:ascii="Times New Roman" w:hAnsi="Times New Roman" w:cs="Times New Roman"/>
        </w:rPr>
        <w:t xml:space="preserve">   硫化氢对人的生理影响及危害</w:t>
      </w:r>
    </w:p>
    <w:tbl>
      <w:tblPr>
        <w:tblStyle w:val="28"/>
        <w:tblW w:w="51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3"/>
        <w:gridCol w:w="947"/>
        <w:gridCol w:w="1236"/>
        <w:gridCol w:w="54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1893" w:type="pct"/>
            <w:gridSpan w:val="3"/>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在空气中的浓度</w:t>
            </w:r>
          </w:p>
        </w:tc>
        <w:tc>
          <w:tcPr>
            <w:tcW w:w="3107" w:type="pct"/>
            <w:vMerge w:val="restar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暴露于硫化氢的典型特性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64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%（V）</w:t>
            </w:r>
          </w:p>
        </w:tc>
        <w:tc>
          <w:tcPr>
            <w:tcW w:w="54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ppm</w:t>
            </w:r>
          </w:p>
        </w:tc>
        <w:tc>
          <w:tcPr>
            <w:tcW w:w="70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mg/m³</w:t>
            </w:r>
          </w:p>
        </w:tc>
        <w:tc>
          <w:tcPr>
            <w:tcW w:w="3107" w:type="pct"/>
            <w:vMerge w:val="continue"/>
            <w:vAlign w:val="center"/>
          </w:tcPr>
          <w:p>
            <w:pPr>
              <w:snapToGrid w:val="0"/>
              <w:spacing w:line="240" w:lineRule="auto"/>
              <w:ind w:firstLine="0" w:firstLineChars="0"/>
              <w:jc w:val="center"/>
              <w:rPr>
                <w:rFonts w:ascii="Times New Roman" w:hAnsi="Times New Roman"/>
                <w:sz w:val="21"/>
                <w:szCs w:val="21"/>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4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0.000013</w:t>
            </w:r>
          </w:p>
        </w:tc>
        <w:tc>
          <w:tcPr>
            <w:tcW w:w="54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0.13</w:t>
            </w:r>
          </w:p>
        </w:tc>
        <w:tc>
          <w:tcPr>
            <w:tcW w:w="70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0.18</w:t>
            </w:r>
          </w:p>
        </w:tc>
        <w:tc>
          <w:tcPr>
            <w:tcW w:w="3107" w:type="pct"/>
            <w:vAlign w:val="center"/>
          </w:tcPr>
          <w:p>
            <w:pPr>
              <w:snapToGrid w:val="0"/>
              <w:spacing w:line="240" w:lineRule="auto"/>
              <w:ind w:firstLine="0" w:firstLineChars="0"/>
              <w:rPr>
                <w:rFonts w:ascii="Times New Roman" w:hAnsi="Times New Roman"/>
                <w:sz w:val="21"/>
                <w:szCs w:val="21"/>
                <w:lang w:val="zh-CN"/>
              </w:rPr>
            </w:pPr>
            <w:r>
              <w:rPr>
                <w:rFonts w:ascii="Times New Roman" w:hAnsi="Times New Roman"/>
                <w:sz w:val="21"/>
                <w:szCs w:val="21"/>
                <w:lang w:val="zh-CN"/>
              </w:rPr>
              <w:t>通常，在大气中含量为0.18mg/m³（0.13ppm）时，有明显和令人讨厌的气味，在大气中含量为6.9mg/m³（4.6ppm）时就相当显而易见。随着浓度的增加，嗅觉就会疲劳，气体不再能通过气味来辨别。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4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0.001</w:t>
            </w:r>
          </w:p>
        </w:tc>
        <w:tc>
          <w:tcPr>
            <w:tcW w:w="54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10</w:t>
            </w:r>
          </w:p>
        </w:tc>
        <w:tc>
          <w:tcPr>
            <w:tcW w:w="70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15</w:t>
            </w:r>
          </w:p>
        </w:tc>
        <w:tc>
          <w:tcPr>
            <w:tcW w:w="3107" w:type="pct"/>
            <w:vAlign w:val="center"/>
          </w:tcPr>
          <w:p>
            <w:pPr>
              <w:snapToGrid w:val="0"/>
              <w:spacing w:line="240" w:lineRule="auto"/>
              <w:ind w:firstLine="0" w:firstLineChars="0"/>
              <w:rPr>
                <w:rFonts w:ascii="Times New Roman" w:hAnsi="Times New Roman"/>
                <w:sz w:val="21"/>
                <w:szCs w:val="21"/>
                <w:lang w:val="zh-CN"/>
              </w:rPr>
            </w:pPr>
            <w:r>
              <w:rPr>
                <w:rFonts w:ascii="Times New Roman" w:hAnsi="Times New Roman"/>
                <w:sz w:val="21"/>
                <w:szCs w:val="21"/>
                <w:lang w:val="zh-CN"/>
              </w:rPr>
              <w:t>有令人讨厌的气味。眼睛可能受刺激，推荐的阈限值（8h加权平均值）。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2" w:hRule="atLeast"/>
          <w:jc w:val="center"/>
        </w:trPr>
        <w:tc>
          <w:tcPr>
            <w:tcW w:w="64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0.0015</w:t>
            </w:r>
          </w:p>
        </w:tc>
        <w:tc>
          <w:tcPr>
            <w:tcW w:w="54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15</w:t>
            </w:r>
          </w:p>
        </w:tc>
        <w:tc>
          <w:tcPr>
            <w:tcW w:w="70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21.61</w:t>
            </w:r>
          </w:p>
        </w:tc>
        <w:tc>
          <w:tcPr>
            <w:tcW w:w="3107" w:type="pct"/>
            <w:vAlign w:val="center"/>
          </w:tcPr>
          <w:p>
            <w:pPr>
              <w:snapToGrid w:val="0"/>
              <w:spacing w:line="240" w:lineRule="auto"/>
              <w:ind w:firstLine="0" w:firstLineChars="0"/>
              <w:rPr>
                <w:rFonts w:ascii="Times New Roman" w:hAnsi="Times New Roman"/>
                <w:sz w:val="21"/>
                <w:szCs w:val="21"/>
                <w:lang w:val="zh-CN"/>
              </w:rPr>
            </w:pPr>
            <w:r>
              <w:rPr>
                <w:rFonts w:ascii="Times New Roman" w:hAnsi="Times New Roman"/>
                <w:sz w:val="21"/>
                <w:szCs w:val="21"/>
                <w:lang w:val="zh-CN"/>
              </w:rPr>
              <w:t>推荐的15min短期暴露范围平均值。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4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0.002</w:t>
            </w:r>
          </w:p>
        </w:tc>
        <w:tc>
          <w:tcPr>
            <w:tcW w:w="54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20</w:t>
            </w:r>
          </w:p>
        </w:tc>
        <w:tc>
          <w:tcPr>
            <w:tcW w:w="70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30</w:t>
            </w:r>
          </w:p>
        </w:tc>
        <w:tc>
          <w:tcPr>
            <w:tcW w:w="3107" w:type="pct"/>
            <w:vAlign w:val="center"/>
          </w:tcPr>
          <w:p>
            <w:pPr>
              <w:snapToGrid w:val="0"/>
              <w:spacing w:line="240" w:lineRule="auto"/>
              <w:ind w:firstLine="0" w:firstLineChars="0"/>
              <w:rPr>
                <w:rFonts w:ascii="Times New Roman" w:hAnsi="Times New Roman"/>
                <w:sz w:val="21"/>
                <w:szCs w:val="21"/>
                <w:lang w:val="zh-CN"/>
              </w:rPr>
            </w:pPr>
            <w:r>
              <w:rPr>
                <w:rFonts w:ascii="Times New Roman" w:hAnsi="Times New Roman"/>
                <w:sz w:val="21"/>
                <w:szCs w:val="21"/>
                <w:lang w:val="zh-CN"/>
              </w:rPr>
              <w:t>在暴露1h或更长时间后，眼睛有烧灼感，呼吸道受到刺激。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4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0.005</w:t>
            </w:r>
          </w:p>
        </w:tc>
        <w:tc>
          <w:tcPr>
            <w:tcW w:w="54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50</w:t>
            </w:r>
          </w:p>
        </w:tc>
        <w:tc>
          <w:tcPr>
            <w:tcW w:w="70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75</w:t>
            </w:r>
          </w:p>
        </w:tc>
        <w:tc>
          <w:tcPr>
            <w:tcW w:w="3107" w:type="pct"/>
            <w:vAlign w:val="center"/>
          </w:tcPr>
          <w:p>
            <w:pPr>
              <w:snapToGrid w:val="0"/>
              <w:spacing w:line="240" w:lineRule="auto"/>
              <w:ind w:firstLine="0" w:firstLineChars="0"/>
              <w:rPr>
                <w:rFonts w:ascii="Times New Roman" w:hAnsi="Times New Roman"/>
                <w:sz w:val="21"/>
                <w:szCs w:val="21"/>
              </w:rPr>
            </w:pPr>
            <w:r>
              <w:rPr>
                <w:rFonts w:ascii="Times New Roman" w:hAnsi="Times New Roman"/>
                <w:sz w:val="21"/>
                <w:szCs w:val="21"/>
                <w:lang w:val="zh-CN"/>
              </w:rPr>
              <w:t>暴露15min或15min以上的时间后嗅觉就会丧失；时间超过1h，可能导致头痛、头晕和（或）摇晃；超过75mg/m³（50ppm）将会出现肺浮肿，也会对人员的眼睛产生严重刺激或伤害。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4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0.01</w:t>
            </w:r>
          </w:p>
        </w:tc>
        <w:tc>
          <w:tcPr>
            <w:tcW w:w="54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100</w:t>
            </w:r>
          </w:p>
        </w:tc>
        <w:tc>
          <w:tcPr>
            <w:tcW w:w="70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150</w:t>
            </w:r>
          </w:p>
        </w:tc>
        <w:tc>
          <w:tcPr>
            <w:tcW w:w="3107" w:type="pct"/>
            <w:vAlign w:val="center"/>
          </w:tcPr>
          <w:p>
            <w:pPr>
              <w:snapToGrid w:val="0"/>
              <w:spacing w:line="240" w:lineRule="auto"/>
              <w:ind w:firstLine="0" w:firstLineChars="0"/>
              <w:rPr>
                <w:rFonts w:ascii="Times New Roman" w:hAnsi="Times New Roman"/>
                <w:sz w:val="21"/>
                <w:szCs w:val="21"/>
                <w:lang w:val="zh-CN"/>
              </w:rPr>
            </w:pPr>
            <w:r>
              <w:rPr>
                <w:rFonts w:ascii="Times New Roman" w:hAnsi="Times New Roman"/>
                <w:sz w:val="21"/>
                <w:szCs w:val="21"/>
                <w:lang w:val="zh-CN"/>
              </w:rPr>
              <w:t>3min～15min就会出现咳嗽、眼睛受刺激和失去嗅觉；在5min～20min过后，呼吸就会变样、眼睛就会疼痛并昏昏欲睡；在1h后就会刺激喉道；延长暴露时间将逐渐加重这些症状。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2" w:hRule="atLeast"/>
          <w:jc w:val="center"/>
        </w:trPr>
        <w:tc>
          <w:tcPr>
            <w:tcW w:w="64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0.03</w:t>
            </w:r>
          </w:p>
        </w:tc>
        <w:tc>
          <w:tcPr>
            <w:tcW w:w="54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300</w:t>
            </w:r>
          </w:p>
        </w:tc>
        <w:tc>
          <w:tcPr>
            <w:tcW w:w="70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432.40</w:t>
            </w:r>
          </w:p>
        </w:tc>
        <w:tc>
          <w:tcPr>
            <w:tcW w:w="3107" w:type="pct"/>
            <w:vAlign w:val="center"/>
          </w:tcPr>
          <w:p>
            <w:pPr>
              <w:snapToGrid w:val="0"/>
              <w:spacing w:line="240" w:lineRule="auto"/>
              <w:ind w:firstLine="0" w:firstLineChars="0"/>
              <w:rPr>
                <w:rFonts w:ascii="Times New Roman" w:hAnsi="Times New Roman"/>
                <w:sz w:val="21"/>
                <w:szCs w:val="21"/>
                <w:lang w:val="zh-CN"/>
              </w:rPr>
            </w:pPr>
            <w:r>
              <w:rPr>
                <w:rFonts w:ascii="Times New Roman" w:hAnsi="Times New Roman"/>
                <w:sz w:val="21"/>
                <w:szCs w:val="21"/>
                <w:lang w:val="zh-CN"/>
              </w:rPr>
              <w:t>明显的结膜炎和呼吸道刺激。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4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0.05</w:t>
            </w:r>
          </w:p>
        </w:tc>
        <w:tc>
          <w:tcPr>
            <w:tcW w:w="54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500</w:t>
            </w:r>
          </w:p>
        </w:tc>
        <w:tc>
          <w:tcPr>
            <w:tcW w:w="70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720.49</w:t>
            </w:r>
          </w:p>
        </w:tc>
        <w:tc>
          <w:tcPr>
            <w:tcW w:w="3107" w:type="pct"/>
            <w:vAlign w:val="center"/>
          </w:tcPr>
          <w:p>
            <w:pPr>
              <w:snapToGrid w:val="0"/>
              <w:spacing w:line="240" w:lineRule="auto"/>
              <w:ind w:firstLine="0" w:firstLineChars="0"/>
              <w:rPr>
                <w:rFonts w:ascii="Times New Roman" w:hAnsi="Times New Roman"/>
                <w:sz w:val="21"/>
                <w:szCs w:val="21"/>
                <w:lang w:val="zh-CN"/>
              </w:rPr>
            </w:pPr>
            <w:r>
              <w:rPr>
                <w:rFonts w:ascii="Times New Roman" w:hAnsi="Times New Roman"/>
                <w:sz w:val="21"/>
                <w:szCs w:val="21"/>
                <w:lang w:val="zh-CN"/>
              </w:rPr>
              <w:t>短期暴露后就会不省人事，不迅速处理就会停止呼吸；头晕、失去理智和平衡感。患者需要迅速进行人工呼吸和（或）心肺复苏技术。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4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0.07</w:t>
            </w:r>
          </w:p>
        </w:tc>
        <w:tc>
          <w:tcPr>
            <w:tcW w:w="54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700</w:t>
            </w:r>
          </w:p>
        </w:tc>
        <w:tc>
          <w:tcPr>
            <w:tcW w:w="70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1008.55</w:t>
            </w:r>
          </w:p>
        </w:tc>
        <w:tc>
          <w:tcPr>
            <w:tcW w:w="3107" w:type="pct"/>
            <w:vAlign w:val="center"/>
          </w:tcPr>
          <w:p>
            <w:pPr>
              <w:snapToGrid w:val="0"/>
              <w:spacing w:line="240" w:lineRule="auto"/>
              <w:ind w:firstLine="0" w:firstLineChars="0"/>
              <w:rPr>
                <w:rFonts w:ascii="Times New Roman" w:hAnsi="Times New Roman"/>
                <w:sz w:val="21"/>
                <w:szCs w:val="21"/>
                <w:lang w:val="zh-CN"/>
              </w:rPr>
            </w:pPr>
            <w:r>
              <w:rPr>
                <w:rFonts w:ascii="Times New Roman" w:hAnsi="Times New Roman"/>
                <w:sz w:val="21"/>
                <w:szCs w:val="21"/>
                <w:lang w:val="zh-CN"/>
              </w:rPr>
              <w:t>意识快速丧失，不迅速营救，呼吸就会停止并导致死亡。必须立即采取人工呼吸和（或）心肺复苏技术。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4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0.10＋</w:t>
            </w:r>
          </w:p>
        </w:tc>
        <w:tc>
          <w:tcPr>
            <w:tcW w:w="54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1000＋</w:t>
            </w:r>
          </w:p>
        </w:tc>
        <w:tc>
          <w:tcPr>
            <w:tcW w:w="70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1440.98＋</w:t>
            </w:r>
          </w:p>
        </w:tc>
        <w:tc>
          <w:tcPr>
            <w:tcW w:w="3107" w:type="pct"/>
            <w:vAlign w:val="center"/>
          </w:tcPr>
          <w:p>
            <w:pPr>
              <w:snapToGrid w:val="0"/>
              <w:spacing w:line="240" w:lineRule="auto"/>
              <w:ind w:firstLine="0" w:firstLineChars="0"/>
              <w:rPr>
                <w:rFonts w:ascii="Times New Roman" w:hAnsi="Times New Roman"/>
                <w:sz w:val="21"/>
                <w:szCs w:val="21"/>
                <w:lang w:val="zh-CN"/>
              </w:rPr>
            </w:pPr>
            <w:r>
              <w:rPr>
                <w:rFonts w:ascii="Times New Roman" w:hAnsi="Times New Roman"/>
                <w:sz w:val="21"/>
                <w:szCs w:val="21"/>
                <w:lang w:val="zh-CN"/>
              </w:rPr>
              <w:t>立即丧失知觉，会产生永久性的脑伤害或脑死亡。必须迅速进行营救，应用人工呼吸和（或）心肺复苏。</w:t>
            </w:r>
          </w:p>
        </w:tc>
      </w:tr>
    </w:tbl>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14</w:t>
      </w:r>
      <w:r>
        <w:rPr>
          <w:rFonts w:ascii="Times New Roman" w:hAnsi="Times New Roman" w:cs="Times New Roman"/>
        </w:rPr>
        <w:fldChar w:fldCharType="end"/>
      </w:r>
      <w:r>
        <w:rPr>
          <w:rFonts w:ascii="Times New Roman" w:hAnsi="Times New Roman" w:cs="Times New Roman"/>
        </w:rPr>
        <w:t xml:space="preserve">   硫化氢危险特性一览表</w:t>
      </w:r>
    </w:p>
    <w:tbl>
      <w:tblPr>
        <w:tblStyle w:val="28"/>
        <w:tblW w:w="85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2268"/>
        <w:gridCol w:w="1646"/>
        <w:gridCol w:w="55"/>
        <w:gridCol w:w="567"/>
        <w:gridCol w:w="3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restart"/>
            <w:vAlign w:val="center"/>
          </w:tcPr>
          <w:p>
            <w:pPr>
              <w:pStyle w:val="39"/>
              <w:rPr>
                <w:rFonts w:ascii="Times New Roman" w:hAnsi="Times New Roman"/>
              </w:rPr>
            </w:pPr>
            <w:r>
              <w:rPr>
                <w:rFonts w:ascii="Times New Roman" w:hAnsi="Times New Roman"/>
              </w:rPr>
              <w:t>标识</w:t>
            </w:r>
          </w:p>
        </w:tc>
        <w:tc>
          <w:tcPr>
            <w:tcW w:w="3969" w:type="dxa"/>
            <w:gridSpan w:val="3"/>
            <w:vAlign w:val="center"/>
          </w:tcPr>
          <w:p>
            <w:pPr>
              <w:pStyle w:val="39"/>
              <w:rPr>
                <w:rFonts w:ascii="Times New Roman" w:hAnsi="Times New Roman"/>
              </w:rPr>
            </w:pPr>
            <w:r>
              <w:rPr>
                <w:rFonts w:ascii="Times New Roman" w:hAnsi="Times New Roman"/>
              </w:rPr>
              <w:t>中文名：硫化氢</w:t>
            </w:r>
          </w:p>
        </w:tc>
        <w:tc>
          <w:tcPr>
            <w:tcW w:w="4020" w:type="dxa"/>
            <w:gridSpan w:val="2"/>
            <w:vAlign w:val="center"/>
          </w:tcPr>
          <w:p>
            <w:pPr>
              <w:pStyle w:val="39"/>
              <w:rPr>
                <w:rFonts w:ascii="Times New Roman" w:hAnsi="Times New Roman"/>
              </w:rPr>
            </w:pPr>
            <w:r>
              <w:rPr>
                <w:rFonts w:ascii="Times New Roman" w:hAnsi="Times New Roman"/>
              </w:rPr>
              <w:t>英文名：hydrogen sulfide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2268" w:type="dxa"/>
            <w:vAlign w:val="center"/>
          </w:tcPr>
          <w:p>
            <w:pPr>
              <w:pStyle w:val="39"/>
              <w:rPr>
                <w:rFonts w:ascii="Times New Roman" w:hAnsi="Times New Roman"/>
              </w:rPr>
            </w:pPr>
            <w:r>
              <w:rPr>
                <w:rFonts w:ascii="Times New Roman" w:hAnsi="Times New Roman"/>
              </w:rPr>
              <w:t>分子式：H</w:t>
            </w:r>
            <w:r>
              <w:rPr>
                <w:rFonts w:ascii="Times New Roman" w:hAnsi="Times New Roman"/>
                <w:vertAlign w:val="subscript"/>
              </w:rPr>
              <w:t>2</w:t>
            </w:r>
            <w:r>
              <w:rPr>
                <w:rFonts w:ascii="Times New Roman" w:hAnsi="Times New Roman"/>
              </w:rPr>
              <w:t>S</w:t>
            </w:r>
          </w:p>
        </w:tc>
        <w:tc>
          <w:tcPr>
            <w:tcW w:w="2268" w:type="dxa"/>
            <w:gridSpan w:val="3"/>
            <w:vAlign w:val="center"/>
          </w:tcPr>
          <w:p>
            <w:pPr>
              <w:pStyle w:val="39"/>
              <w:rPr>
                <w:rFonts w:ascii="Times New Roman" w:hAnsi="Times New Roman"/>
              </w:rPr>
            </w:pPr>
            <w:r>
              <w:rPr>
                <w:rFonts w:ascii="Times New Roman" w:hAnsi="Times New Roman"/>
              </w:rPr>
              <w:t>分子量：34.08</w:t>
            </w:r>
          </w:p>
        </w:tc>
        <w:tc>
          <w:tcPr>
            <w:tcW w:w="3453" w:type="dxa"/>
            <w:vAlign w:val="center"/>
          </w:tcPr>
          <w:p>
            <w:pPr>
              <w:pStyle w:val="39"/>
              <w:rPr>
                <w:rFonts w:ascii="Times New Roman" w:hAnsi="Times New Roman"/>
              </w:rPr>
            </w:pPr>
            <w:r>
              <w:rPr>
                <w:rFonts w:ascii="Times New Roman" w:hAnsi="Times New Roman"/>
              </w:rPr>
              <w:t>CAS号：7783-06-4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7989" w:type="dxa"/>
            <w:gridSpan w:val="5"/>
            <w:vAlign w:val="center"/>
          </w:tcPr>
          <w:p>
            <w:pPr>
              <w:pStyle w:val="39"/>
              <w:rPr>
                <w:rFonts w:ascii="Times New Roman" w:hAnsi="Times New Roman"/>
              </w:rPr>
            </w:pPr>
            <w:r>
              <w:rPr>
                <w:rFonts w:ascii="Times New Roman" w:hAnsi="Times New Roman"/>
              </w:rPr>
              <w:t>危规号：21043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restart"/>
            <w:vAlign w:val="center"/>
          </w:tcPr>
          <w:p>
            <w:pPr>
              <w:pStyle w:val="39"/>
              <w:rPr>
                <w:rFonts w:ascii="Times New Roman" w:hAnsi="Times New Roman"/>
              </w:rPr>
            </w:pPr>
            <w:r>
              <w:rPr>
                <w:rFonts w:ascii="Times New Roman" w:hAnsi="Times New Roman"/>
              </w:rPr>
              <w:t>理化</w:t>
            </w:r>
          </w:p>
          <w:p>
            <w:pPr>
              <w:pStyle w:val="39"/>
              <w:rPr>
                <w:rFonts w:ascii="Times New Roman" w:hAnsi="Times New Roman"/>
              </w:rPr>
            </w:pPr>
            <w:r>
              <w:rPr>
                <w:rFonts w:ascii="Times New Roman" w:hAnsi="Times New Roman"/>
              </w:rPr>
              <w:t>性质</w:t>
            </w:r>
          </w:p>
        </w:tc>
        <w:tc>
          <w:tcPr>
            <w:tcW w:w="7989" w:type="dxa"/>
            <w:gridSpan w:val="5"/>
            <w:vAlign w:val="center"/>
          </w:tcPr>
          <w:p>
            <w:pPr>
              <w:pStyle w:val="39"/>
              <w:rPr>
                <w:rFonts w:ascii="Times New Roman" w:hAnsi="Times New Roman"/>
              </w:rPr>
            </w:pPr>
            <w:r>
              <w:rPr>
                <w:rFonts w:ascii="Times New Roman" w:hAnsi="Times New Roman"/>
              </w:rPr>
              <w:t>性状：无色有恶臭气体。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7989" w:type="dxa"/>
            <w:gridSpan w:val="5"/>
            <w:vAlign w:val="center"/>
          </w:tcPr>
          <w:p>
            <w:pPr>
              <w:pStyle w:val="39"/>
              <w:rPr>
                <w:rFonts w:ascii="Times New Roman" w:hAnsi="Times New Roman"/>
              </w:rPr>
            </w:pPr>
            <w:r>
              <w:rPr>
                <w:rFonts w:ascii="Times New Roman" w:hAnsi="Times New Roman"/>
              </w:rPr>
              <w:t>溶解性：溶于水，乙醇。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2268" w:type="dxa"/>
            <w:vAlign w:val="center"/>
          </w:tcPr>
          <w:p>
            <w:pPr>
              <w:pStyle w:val="39"/>
              <w:rPr>
                <w:rFonts w:ascii="Times New Roman" w:hAnsi="Times New Roman"/>
              </w:rPr>
            </w:pPr>
            <w:r>
              <w:rPr>
                <w:rFonts w:ascii="Times New Roman" w:hAnsi="Times New Roman"/>
              </w:rPr>
              <w:t>熔点℃：-85.5</w:t>
            </w:r>
          </w:p>
        </w:tc>
        <w:tc>
          <w:tcPr>
            <w:tcW w:w="2268" w:type="dxa"/>
            <w:gridSpan w:val="3"/>
            <w:vAlign w:val="center"/>
          </w:tcPr>
          <w:p>
            <w:pPr>
              <w:pStyle w:val="39"/>
              <w:rPr>
                <w:rFonts w:ascii="Times New Roman" w:hAnsi="Times New Roman"/>
              </w:rPr>
            </w:pPr>
            <w:r>
              <w:rPr>
                <w:rFonts w:ascii="Times New Roman" w:hAnsi="Times New Roman"/>
              </w:rPr>
              <w:t>沸点℃：-60.4</w:t>
            </w:r>
          </w:p>
        </w:tc>
        <w:tc>
          <w:tcPr>
            <w:tcW w:w="3453" w:type="dxa"/>
            <w:vAlign w:val="center"/>
          </w:tcPr>
          <w:p>
            <w:pPr>
              <w:pStyle w:val="39"/>
              <w:rPr>
                <w:rFonts w:ascii="Times New Roman" w:hAnsi="Times New Roman"/>
              </w:rPr>
            </w:pPr>
            <w:r>
              <w:rPr>
                <w:rFonts w:ascii="Times New Roman" w:hAnsi="Times New Roman"/>
              </w:rPr>
              <w:t>相对密度（水=1）：/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2268" w:type="dxa"/>
            <w:vAlign w:val="center"/>
          </w:tcPr>
          <w:p>
            <w:pPr>
              <w:pStyle w:val="39"/>
              <w:rPr>
                <w:rFonts w:ascii="Times New Roman" w:hAnsi="Times New Roman"/>
              </w:rPr>
            </w:pPr>
            <w:r>
              <w:rPr>
                <w:rFonts w:ascii="Times New Roman" w:hAnsi="Times New Roman"/>
              </w:rPr>
              <w:t>临界温度℃：100.4</w:t>
            </w:r>
          </w:p>
        </w:tc>
        <w:tc>
          <w:tcPr>
            <w:tcW w:w="2268" w:type="dxa"/>
            <w:gridSpan w:val="3"/>
            <w:vAlign w:val="center"/>
          </w:tcPr>
          <w:p>
            <w:pPr>
              <w:pStyle w:val="39"/>
              <w:rPr>
                <w:rFonts w:ascii="Times New Roman" w:hAnsi="Times New Roman"/>
              </w:rPr>
            </w:pPr>
            <w:r>
              <w:rPr>
                <w:rFonts w:ascii="Times New Roman" w:hAnsi="Times New Roman"/>
              </w:rPr>
              <w:t>临界压力MPa：9.01</w:t>
            </w:r>
          </w:p>
        </w:tc>
        <w:tc>
          <w:tcPr>
            <w:tcW w:w="3453" w:type="dxa"/>
            <w:vAlign w:val="center"/>
          </w:tcPr>
          <w:p>
            <w:pPr>
              <w:pStyle w:val="39"/>
              <w:rPr>
                <w:rFonts w:ascii="Times New Roman" w:hAnsi="Times New Roman"/>
              </w:rPr>
            </w:pPr>
            <w:r>
              <w:rPr>
                <w:rFonts w:ascii="Times New Roman" w:hAnsi="Times New Roman"/>
              </w:rPr>
              <w:t>相对密度（空气=1）：1.19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2268" w:type="dxa"/>
            <w:vAlign w:val="center"/>
          </w:tcPr>
          <w:p>
            <w:pPr>
              <w:pStyle w:val="39"/>
              <w:rPr>
                <w:rFonts w:ascii="Times New Roman" w:hAnsi="Times New Roman"/>
              </w:rPr>
            </w:pPr>
            <w:r>
              <w:rPr>
                <w:rFonts w:ascii="Times New Roman" w:hAnsi="Times New Roman"/>
              </w:rPr>
              <w:t>燃烧热KJ/mol：/</w:t>
            </w:r>
          </w:p>
        </w:tc>
        <w:tc>
          <w:tcPr>
            <w:tcW w:w="2268" w:type="dxa"/>
            <w:gridSpan w:val="3"/>
            <w:vAlign w:val="center"/>
          </w:tcPr>
          <w:p>
            <w:pPr>
              <w:pStyle w:val="39"/>
              <w:rPr>
                <w:rFonts w:ascii="Times New Roman" w:hAnsi="Times New Roman"/>
              </w:rPr>
            </w:pPr>
            <w:r>
              <w:rPr>
                <w:rFonts w:ascii="Times New Roman" w:hAnsi="Times New Roman"/>
              </w:rPr>
              <w:t>最小点火能mJ：0.077</w:t>
            </w:r>
          </w:p>
        </w:tc>
        <w:tc>
          <w:tcPr>
            <w:tcW w:w="3453" w:type="dxa"/>
            <w:vAlign w:val="center"/>
          </w:tcPr>
          <w:p>
            <w:pPr>
              <w:pStyle w:val="39"/>
              <w:rPr>
                <w:rFonts w:ascii="Times New Roman" w:hAnsi="Times New Roman"/>
              </w:rPr>
            </w:pPr>
            <w:r>
              <w:rPr>
                <w:rFonts w:ascii="Times New Roman" w:hAnsi="Times New Roman"/>
              </w:rPr>
              <w:t>饱和蒸汽压KPa：2026.5(25.5℃)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restart"/>
            <w:vAlign w:val="center"/>
          </w:tcPr>
          <w:p>
            <w:pPr>
              <w:pStyle w:val="39"/>
              <w:rPr>
                <w:rFonts w:ascii="Times New Roman" w:hAnsi="Times New Roman"/>
              </w:rPr>
            </w:pPr>
            <w:r>
              <w:rPr>
                <w:rFonts w:ascii="Times New Roman" w:hAnsi="Times New Roman"/>
              </w:rPr>
              <w:t>燃烧爆炸危险性</w:t>
            </w:r>
          </w:p>
        </w:tc>
        <w:tc>
          <w:tcPr>
            <w:tcW w:w="3914" w:type="dxa"/>
            <w:gridSpan w:val="2"/>
            <w:vAlign w:val="center"/>
          </w:tcPr>
          <w:p>
            <w:pPr>
              <w:pStyle w:val="39"/>
              <w:rPr>
                <w:rFonts w:ascii="Times New Roman" w:hAnsi="Times New Roman"/>
              </w:rPr>
            </w:pPr>
            <w:r>
              <w:rPr>
                <w:rFonts w:ascii="Times New Roman" w:hAnsi="Times New Roman"/>
              </w:rPr>
              <w:t>燃烧性：易燃</w:t>
            </w:r>
          </w:p>
        </w:tc>
        <w:tc>
          <w:tcPr>
            <w:tcW w:w="4075" w:type="dxa"/>
            <w:gridSpan w:val="3"/>
            <w:vAlign w:val="center"/>
          </w:tcPr>
          <w:p>
            <w:pPr>
              <w:pStyle w:val="39"/>
              <w:rPr>
                <w:rFonts w:ascii="Times New Roman" w:hAnsi="Times New Roman"/>
              </w:rPr>
            </w:pPr>
            <w:r>
              <w:rPr>
                <w:rFonts w:ascii="Times New Roman" w:hAnsi="Times New Roman"/>
              </w:rPr>
              <w:t>燃烧分解产物：氧化硫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3914" w:type="dxa"/>
            <w:gridSpan w:val="2"/>
            <w:vAlign w:val="center"/>
          </w:tcPr>
          <w:p>
            <w:pPr>
              <w:pStyle w:val="39"/>
              <w:rPr>
                <w:rFonts w:ascii="Times New Roman" w:hAnsi="Times New Roman"/>
              </w:rPr>
            </w:pPr>
            <w:r>
              <w:rPr>
                <w:rFonts w:ascii="Times New Roman" w:hAnsi="Times New Roman"/>
              </w:rPr>
              <w:t>闪点（℃）：/</w:t>
            </w:r>
          </w:p>
        </w:tc>
        <w:tc>
          <w:tcPr>
            <w:tcW w:w="4075" w:type="dxa"/>
            <w:gridSpan w:val="3"/>
            <w:vAlign w:val="center"/>
          </w:tcPr>
          <w:p>
            <w:pPr>
              <w:pStyle w:val="39"/>
              <w:rPr>
                <w:rFonts w:ascii="Times New Roman" w:hAnsi="Times New Roman"/>
              </w:rPr>
            </w:pPr>
            <w:r>
              <w:rPr>
                <w:rFonts w:ascii="Times New Roman" w:hAnsi="Times New Roman"/>
              </w:rPr>
              <w:t>聚合危害：不聚合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3914" w:type="dxa"/>
            <w:gridSpan w:val="2"/>
            <w:vAlign w:val="center"/>
          </w:tcPr>
          <w:p>
            <w:pPr>
              <w:pStyle w:val="39"/>
              <w:rPr>
                <w:rFonts w:ascii="Times New Roman" w:hAnsi="Times New Roman"/>
              </w:rPr>
            </w:pPr>
            <w:r>
              <w:rPr>
                <w:rFonts w:ascii="Times New Roman" w:hAnsi="Times New Roman"/>
              </w:rPr>
              <w:t>爆炸下限[%(v/v)]：4.0</w:t>
            </w:r>
          </w:p>
        </w:tc>
        <w:tc>
          <w:tcPr>
            <w:tcW w:w="4075" w:type="dxa"/>
            <w:gridSpan w:val="3"/>
            <w:vAlign w:val="center"/>
          </w:tcPr>
          <w:p>
            <w:pPr>
              <w:pStyle w:val="39"/>
              <w:rPr>
                <w:rFonts w:ascii="Times New Roman" w:hAnsi="Times New Roman"/>
              </w:rPr>
            </w:pPr>
            <w:r>
              <w:rPr>
                <w:rFonts w:ascii="Times New Roman" w:hAnsi="Times New Roman"/>
              </w:rPr>
              <w:t>稳定性：稳定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3914" w:type="dxa"/>
            <w:gridSpan w:val="2"/>
            <w:vAlign w:val="center"/>
          </w:tcPr>
          <w:p>
            <w:pPr>
              <w:pStyle w:val="39"/>
              <w:rPr>
                <w:rFonts w:ascii="Times New Roman" w:hAnsi="Times New Roman"/>
              </w:rPr>
            </w:pPr>
            <w:r>
              <w:rPr>
                <w:rFonts w:ascii="Times New Roman" w:hAnsi="Times New Roman"/>
              </w:rPr>
              <w:t>爆炸上限[%(v/v)]：46.0</w:t>
            </w:r>
          </w:p>
        </w:tc>
        <w:tc>
          <w:tcPr>
            <w:tcW w:w="4075" w:type="dxa"/>
            <w:gridSpan w:val="3"/>
            <w:vAlign w:val="center"/>
          </w:tcPr>
          <w:p>
            <w:pPr>
              <w:pStyle w:val="39"/>
              <w:rPr>
                <w:rFonts w:ascii="Times New Roman" w:hAnsi="Times New Roman"/>
              </w:rPr>
            </w:pPr>
            <w:r>
              <w:rPr>
                <w:rFonts w:ascii="Times New Roman" w:hAnsi="Times New Roman"/>
              </w:rPr>
              <w:t>最大爆炸压力（MPa）：/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3914" w:type="dxa"/>
            <w:gridSpan w:val="2"/>
            <w:vAlign w:val="center"/>
          </w:tcPr>
          <w:p>
            <w:pPr>
              <w:pStyle w:val="39"/>
              <w:rPr>
                <w:rFonts w:ascii="Times New Roman" w:hAnsi="Times New Roman"/>
              </w:rPr>
            </w:pPr>
            <w:r>
              <w:rPr>
                <w:rFonts w:ascii="Times New Roman" w:hAnsi="Times New Roman"/>
              </w:rPr>
              <w:t>引燃温度（℃）：260</w:t>
            </w:r>
          </w:p>
        </w:tc>
        <w:tc>
          <w:tcPr>
            <w:tcW w:w="4075" w:type="dxa"/>
            <w:gridSpan w:val="3"/>
            <w:vAlign w:val="center"/>
          </w:tcPr>
          <w:p>
            <w:pPr>
              <w:pStyle w:val="39"/>
              <w:rPr>
                <w:rFonts w:ascii="Times New Roman" w:hAnsi="Times New Roman"/>
              </w:rPr>
            </w:pPr>
            <w:r>
              <w:rPr>
                <w:rFonts w:ascii="Times New Roman" w:hAnsi="Times New Roman"/>
              </w:rPr>
              <w:t>禁忌物：强氧化剂、碱类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7989" w:type="dxa"/>
            <w:gridSpan w:val="5"/>
            <w:vAlign w:val="center"/>
          </w:tcPr>
          <w:p>
            <w:pPr>
              <w:pStyle w:val="39"/>
              <w:rPr>
                <w:rFonts w:ascii="Times New Roman" w:hAnsi="Times New Roman"/>
              </w:rPr>
            </w:pPr>
            <w:r>
              <w:rPr>
                <w:rFonts w:ascii="Times New Roman" w:hAnsi="Times New Roman"/>
              </w:rPr>
              <w:t>危险特性：易燃，与空气混合能形成爆炸性混合物，遇明火、高热能引起燃烧爆炸。与浓硝酸、发烟硝酸或其它强氧化剂剧烈反应，发生爆炸。气体比空气重，能在较低处扩散到相当远的地方，遇明火会引起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7989" w:type="dxa"/>
            <w:gridSpan w:val="5"/>
            <w:vAlign w:val="center"/>
          </w:tcPr>
          <w:p>
            <w:pPr>
              <w:pStyle w:val="39"/>
              <w:rPr>
                <w:rFonts w:ascii="Times New Roman" w:hAnsi="Times New Roman"/>
              </w:rPr>
            </w:pPr>
            <w:r>
              <w:rPr>
                <w:rFonts w:ascii="Times New Roman" w:hAnsi="Times New Roman"/>
              </w:rPr>
              <w:t>灭火方法：消防人员须穿戴全身防火防毒服。切断气源。若不能立即切断气源，则不允许熄灭正在燃烧的气体。喷水冷却容器，可能的话将容器从火场移至空旷处。灭火剂：雾状水、抗溶性泡沫、干粉。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Align w:val="center"/>
          </w:tcPr>
          <w:p>
            <w:pPr>
              <w:pStyle w:val="39"/>
              <w:rPr>
                <w:rFonts w:ascii="Times New Roman" w:hAnsi="Times New Roman"/>
              </w:rPr>
            </w:pPr>
            <w:r>
              <w:rPr>
                <w:rFonts w:ascii="Times New Roman" w:hAnsi="Times New Roman"/>
              </w:rPr>
              <w:t>毒性</w:t>
            </w:r>
          </w:p>
        </w:tc>
        <w:tc>
          <w:tcPr>
            <w:tcW w:w="7989" w:type="dxa"/>
            <w:gridSpan w:val="5"/>
            <w:vAlign w:val="center"/>
          </w:tcPr>
          <w:p>
            <w:pPr>
              <w:pStyle w:val="39"/>
              <w:rPr>
                <w:rFonts w:ascii="Times New Roman" w:hAnsi="Times New Roman"/>
              </w:rPr>
            </w:pPr>
            <w:r>
              <w:rPr>
                <w:rFonts w:ascii="Times New Roman" w:hAnsi="Times New Roman"/>
              </w:rPr>
              <w:t>LC</w:t>
            </w:r>
            <w:r>
              <w:rPr>
                <w:rFonts w:ascii="Times New Roman" w:hAnsi="Times New Roman"/>
                <w:vertAlign w:val="subscript"/>
              </w:rPr>
              <w:t>50</w:t>
            </w:r>
            <w:r>
              <w:rPr>
                <w:rFonts w:ascii="Times New Roman" w:hAnsi="Times New Roman"/>
              </w:rPr>
              <w:t>：618mg/m</w:t>
            </w:r>
            <w:r>
              <w:rPr>
                <w:rFonts w:ascii="Times New Roman" w:hAnsi="Times New Roman"/>
                <w:vertAlign w:val="superscript"/>
              </w:rPr>
              <w:t>3</w:t>
            </w:r>
            <w:r>
              <w:rPr>
                <w:rFonts w:ascii="Times New Roman" w:hAnsi="Times New Roman"/>
              </w:rPr>
              <w:t>（大鼠吸入）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Align w:val="center"/>
          </w:tcPr>
          <w:p>
            <w:pPr>
              <w:pStyle w:val="39"/>
              <w:rPr>
                <w:rFonts w:ascii="Times New Roman" w:hAnsi="Times New Roman"/>
              </w:rPr>
            </w:pPr>
            <w:r>
              <w:rPr>
                <w:rFonts w:ascii="Times New Roman" w:hAnsi="Times New Roman"/>
              </w:rPr>
              <w:t>对人体危害</w:t>
            </w:r>
          </w:p>
        </w:tc>
        <w:tc>
          <w:tcPr>
            <w:tcW w:w="7989" w:type="dxa"/>
            <w:gridSpan w:val="5"/>
            <w:vAlign w:val="center"/>
          </w:tcPr>
          <w:p>
            <w:pPr>
              <w:pStyle w:val="39"/>
              <w:rPr>
                <w:rFonts w:ascii="Times New Roman" w:hAnsi="Times New Roman"/>
              </w:rPr>
            </w:pPr>
            <w:r>
              <w:rPr>
                <w:rFonts w:ascii="Times New Roman" w:hAnsi="Times New Roman"/>
              </w:rPr>
              <w:t>侵入途径：吸入。</w:t>
            </w:r>
          </w:p>
          <w:p>
            <w:pPr>
              <w:pStyle w:val="39"/>
              <w:rPr>
                <w:rFonts w:ascii="Times New Roman" w:hAnsi="Times New Roman"/>
              </w:rPr>
            </w:pPr>
            <w:r>
              <w:rPr>
                <w:rFonts w:ascii="Times New Roman" w:hAnsi="Times New Roman"/>
              </w:rPr>
              <w:t>健康危害：本品是强烈的神经毒物，对粘膜有强烈刺激作用。急性中毒：短期内吸入高浓度硫化氢后出现流泪、眼痛、眼内异物感、畏光、视物模糊、流涕、咽喉部灼热感、咳嗽、胸闷、头痛、头晕、乏力、意识模糊等。部分患者可有心肌损害。重者可出现老水肿、肺水肿。极高浓度（1000mg/m</w:t>
            </w:r>
            <w:r>
              <w:rPr>
                <w:rFonts w:ascii="Times New Roman" w:hAnsi="Times New Roman"/>
                <w:vertAlign w:val="superscript"/>
              </w:rPr>
              <w:t>3</w:t>
            </w:r>
            <w:r>
              <w:rPr>
                <w:rFonts w:ascii="Times New Roman" w:hAnsi="Times New Roman"/>
              </w:rPr>
              <w:t>以上）时可在数秒钟内突然昏迷，呼吸和心跳骤停，发生闪电型死亡。高浓度接触眼结膜发生水肿和结膜溃疡。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62" w:type="dxa"/>
            <w:vAlign w:val="center"/>
          </w:tcPr>
          <w:p>
            <w:pPr>
              <w:pStyle w:val="39"/>
              <w:rPr>
                <w:rFonts w:ascii="Times New Roman" w:hAnsi="Times New Roman"/>
              </w:rPr>
            </w:pPr>
            <w:r>
              <w:rPr>
                <w:rFonts w:ascii="Times New Roman" w:hAnsi="Times New Roman"/>
              </w:rPr>
              <w:t>急救</w:t>
            </w:r>
          </w:p>
        </w:tc>
        <w:tc>
          <w:tcPr>
            <w:tcW w:w="7989" w:type="dxa"/>
            <w:gridSpan w:val="5"/>
            <w:vAlign w:val="center"/>
          </w:tcPr>
          <w:p>
            <w:pPr>
              <w:pStyle w:val="39"/>
              <w:rPr>
                <w:rFonts w:ascii="Times New Roman" w:hAnsi="Times New Roman"/>
              </w:rPr>
            </w:pPr>
            <w:r>
              <w:rPr>
                <w:rFonts w:ascii="Times New Roman" w:hAnsi="Times New Roman"/>
              </w:rPr>
              <w:t>眼睛接触：立即提起眼睑，用大量流动清水或生理盐水彻底冲洗至少15分钟。就医。</w:t>
            </w:r>
          </w:p>
          <w:p>
            <w:pPr>
              <w:pStyle w:val="39"/>
              <w:rPr>
                <w:rFonts w:ascii="Times New Roman" w:hAnsi="Times New Roman"/>
              </w:rPr>
            </w:pPr>
            <w:r>
              <w:rPr>
                <w:rFonts w:ascii="Times New Roman" w:hAnsi="Times New Roman"/>
              </w:rPr>
              <w:t>吸入：迅速脱离现场至空气新鲜处，保持呼吸道通畅。如呼吸困难，给输氧。如呼吸停止，立即进行人工呼吸。就医。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62" w:type="dxa"/>
            <w:vAlign w:val="center"/>
          </w:tcPr>
          <w:p>
            <w:pPr>
              <w:pStyle w:val="39"/>
              <w:rPr>
                <w:rFonts w:ascii="Times New Roman" w:hAnsi="Times New Roman"/>
              </w:rPr>
            </w:pPr>
            <w:r>
              <w:rPr>
                <w:rFonts w:ascii="Times New Roman" w:hAnsi="Times New Roman"/>
              </w:rPr>
              <w:t>防护</w:t>
            </w:r>
          </w:p>
        </w:tc>
        <w:tc>
          <w:tcPr>
            <w:tcW w:w="7989" w:type="dxa"/>
            <w:gridSpan w:val="5"/>
            <w:vAlign w:val="center"/>
          </w:tcPr>
          <w:p>
            <w:pPr>
              <w:pStyle w:val="39"/>
              <w:rPr>
                <w:rFonts w:ascii="Times New Roman" w:hAnsi="Times New Roman"/>
              </w:rPr>
            </w:pPr>
            <w:r>
              <w:rPr>
                <w:rFonts w:ascii="Times New Roman" w:hAnsi="Times New Roman"/>
              </w:rPr>
              <w:t>工程防护：严加密闭，提供充分的局部排风和全面通风。提供安全淋浴和洗眼设备。呼吸系统防护：空气中浓度超标时，佩戴过滤式防毒面具（全面罩）。紧急事态抢救或撤离时建议佩戴氧气呼吸器或空气呼吸器。</w:t>
            </w:r>
          </w:p>
          <w:p>
            <w:pPr>
              <w:pStyle w:val="39"/>
              <w:rPr>
                <w:rFonts w:ascii="Times New Roman" w:hAnsi="Times New Roman"/>
              </w:rPr>
            </w:pPr>
            <w:r>
              <w:rPr>
                <w:rFonts w:ascii="Times New Roman" w:hAnsi="Times New Roman"/>
              </w:rPr>
              <w:t>眼睛防护：戴化学安全防护眼镜。</w:t>
            </w:r>
          </w:p>
          <w:p>
            <w:pPr>
              <w:pStyle w:val="39"/>
              <w:rPr>
                <w:rFonts w:ascii="Times New Roman" w:hAnsi="Times New Roman"/>
              </w:rPr>
            </w:pPr>
            <w:r>
              <w:rPr>
                <w:rFonts w:ascii="Times New Roman" w:hAnsi="Times New Roman"/>
              </w:rPr>
              <w:t>身体防护：穿防静电工作服。</w:t>
            </w:r>
          </w:p>
          <w:p>
            <w:pPr>
              <w:pStyle w:val="39"/>
              <w:rPr>
                <w:rFonts w:ascii="Times New Roman" w:hAnsi="Times New Roman"/>
              </w:rPr>
            </w:pPr>
            <w:r>
              <w:rPr>
                <w:rFonts w:ascii="Times New Roman" w:hAnsi="Times New Roman"/>
              </w:rPr>
              <w:t>手防护：戴化学品手套。</w:t>
            </w:r>
          </w:p>
          <w:p>
            <w:pPr>
              <w:pStyle w:val="39"/>
              <w:rPr>
                <w:rFonts w:ascii="Times New Roman" w:hAnsi="Times New Roman"/>
              </w:rPr>
            </w:pPr>
            <w:r>
              <w:rPr>
                <w:rFonts w:ascii="Times New Roman" w:hAnsi="Times New Roman"/>
              </w:rPr>
              <w:t>其它：工作现场严禁吸烟、进食和饮水。工作毕，淋浴更衣。及时换洗工作服。作业人员应学会自救互救。进入罐、限制性空间或其它高浓度区作业，须有人监护。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62" w:type="dxa"/>
            <w:vAlign w:val="center"/>
          </w:tcPr>
          <w:p>
            <w:pPr>
              <w:pStyle w:val="39"/>
              <w:rPr>
                <w:rFonts w:ascii="Times New Roman" w:hAnsi="Times New Roman"/>
              </w:rPr>
            </w:pPr>
            <w:r>
              <w:rPr>
                <w:rFonts w:ascii="Times New Roman" w:hAnsi="Times New Roman"/>
              </w:rPr>
              <w:t>泄漏处理</w:t>
            </w:r>
          </w:p>
        </w:tc>
        <w:tc>
          <w:tcPr>
            <w:tcW w:w="7989" w:type="dxa"/>
            <w:gridSpan w:val="5"/>
            <w:vAlign w:val="center"/>
          </w:tcPr>
          <w:p>
            <w:pPr>
              <w:pStyle w:val="39"/>
              <w:rPr>
                <w:rFonts w:ascii="Times New Roman" w:hAnsi="Times New Roman"/>
              </w:rPr>
            </w:pPr>
            <w:r>
              <w:rPr>
                <w:rFonts w:ascii="Times New Roman" w:hAnsi="Times New Roman"/>
              </w:rPr>
              <w:t>迅速撤离泄漏污染区人员至上风处，并进行隔离，小泄漏时隔离150m，大泄漏时隔离300m，严格限制出入。切断火源。建议应急处理人员戴自给正压式呼吸器，穿防毒服。从上风处进入现场。尽可能切断泄漏源。合理通风，加速扩散。喷雾状水稀释、溶解。构筑围堤或挖坑收容产生的大量废水。如有可能，将残余气或漏出气用排风机送至水洗塔或与塔相连的通风橱内。或使其通过三氯化铁水溶液，管路装止回装置以防溶液吸回。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62" w:type="dxa"/>
            <w:vAlign w:val="center"/>
          </w:tcPr>
          <w:p>
            <w:pPr>
              <w:pStyle w:val="39"/>
              <w:rPr>
                <w:rFonts w:ascii="Times New Roman" w:hAnsi="Times New Roman"/>
              </w:rPr>
            </w:pPr>
            <w:r>
              <w:rPr>
                <w:rFonts w:ascii="Times New Roman" w:hAnsi="Times New Roman"/>
              </w:rPr>
              <w:t>贮运</w:t>
            </w:r>
          </w:p>
        </w:tc>
        <w:tc>
          <w:tcPr>
            <w:tcW w:w="7989" w:type="dxa"/>
            <w:gridSpan w:val="5"/>
            <w:vAlign w:val="center"/>
          </w:tcPr>
          <w:p>
            <w:pPr>
              <w:pStyle w:val="39"/>
              <w:rPr>
                <w:rFonts w:ascii="Times New Roman" w:hAnsi="Times New Roman"/>
              </w:rPr>
            </w:pPr>
            <w:r>
              <w:rPr>
                <w:rFonts w:ascii="Times New Roman" w:hAnsi="Times New Roman"/>
              </w:rPr>
              <w:t>包装标志：4   UN编号：1053   包装分类：Ⅱ   包装方法：钢质气瓶</w:t>
            </w:r>
          </w:p>
          <w:p>
            <w:pPr>
              <w:pStyle w:val="39"/>
              <w:rPr>
                <w:rFonts w:ascii="Times New Roman" w:hAnsi="Times New Roman"/>
              </w:rPr>
            </w:pPr>
            <w:r>
              <w:rPr>
                <w:rFonts w:ascii="Times New Roman" w:hAnsi="Times New Roman"/>
              </w:rPr>
              <w:t>储运条件：易燃有毒的压缩气体。储存于阴凉、通风仓间内。仓内温度不宜超过30℃。远离火种、热源。防止阳光直射。保持容器密封。配备相应品种和数量的消防器材。禁止使用易产生火花的机械设备和工具。验收时要注意品名，注意验瓶日期，先进仓的先发用。平时要注意检查容器是否有泄漏现象。搬运时轻装轻卸，防止钢瓶及附件破损。运输按规定路线行驶，勿在居民区和人口稠密区停留。</w:t>
            </w:r>
          </w:p>
        </w:tc>
      </w:tr>
    </w:tbl>
    <w:p>
      <w:pPr>
        <w:ind w:firstLine="480"/>
        <w:rPr>
          <w:rFonts w:ascii="Times New Roman" w:hAnsi="Times New Roman"/>
        </w:rPr>
      </w:pPr>
    </w:p>
    <w:p>
      <w:pPr>
        <w:pStyle w:val="5"/>
        <w:rPr>
          <w:rFonts w:ascii="Times New Roman" w:hAnsi="Times New Roman"/>
        </w:rPr>
      </w:pPr>
      <w:r>
        <w:rPr>
          <w:rFonts w:ascii="Times New Roman" w:hAnsi="Times New Roman"/>
        </w:rPr>
        <w:t>二氧化硫</w:t>
      </w:r>
    </w:p>
    <w:p>
      <w:pPr>
        <w:ind w:firstLine="480"/>
        <w:rPr>
          <w:rFonts w:ascii="Times New Roman" w:hAnsi="Times New Roman"/>
        </w:rPr>
      </w:pPr>
      <w:r>
        <w:rPr>
          <w:rFonts w:ascii="Times New Roman" w:hAnsi="Times New Roman"/>
        </w:rPr>
        <w:t>通常物理状态：无色气体，比空气重。</w:t>
      </w:r>
    </w:p>
    <w:p>
      <w:pPr>
        <w:ind w:firstLine="480"/>
        <w:rPr>
          <w:rFonts w:ascii="Times New Roman" w:hAnsi="Times New Roman"/>
        </w:rPr>
      </w:pPr>
      <w:r>
        <w:rPr>
          <w:rFonts w:ascii="Times New Roman" w:hAnsi="Times New Roman"/>
        </w:rPr>
        <w:t>可燃性：不可燃，由硫化氢燃烧形成。</w:t>
      </w:r>
    </w:p>
    <w:p>
      <w:pPr>
        <w:ind w:firstLine="480"/>
        <w:rPr>
          <w:rFonts w:ascii="Times New Roman" w:hAnsi="Times New Roman"/>
        </w:rPr>
      </w:pPr>
      <w:r>
        <w:rPr>
          <w:rFonts w:ascii="Times New Roman" w:hAnsi="Times New Roman"/>
        </w:rPr>
        <w:t>溶解性：易溶于水和油，溶解性随溶液温度升高而降低。</w:t>
      </w:r>
    </w:p>
    <w:p>
      <w:pPr>
        <w:ind w:firstLine="480"/>
        <w:rPr>
          <w:rFonts w:ascii="Times New Roman" w:hAnsi="Times New Roman"/>
        </w:rPr>
      </w:pPr>
      <w:r>
        <w:rPr>
          <w:rFonts w:ascii="Times New Roman" w:hAnsi="Times New Roman"/>
        </w:rPr>
        <w:t>气味和警示特性：有硫燃烧的激性气味，具有窒息作用，在鼻和喉黏膜上形成亚硫酸。</w:t>
      </w:r>
    </w:p>
    <w:p>
      <w:pPr>
        <w:ind w:firstLine="480"/>
        <w:rPr>
          <w:rFonts w:ascii="Times New Roman" w:hAnsi="Times New Roman"/>
        </w:rPr>
      </w:pPr>
      <w:r>
        <w:rPr>
          <w:rFonts w:ascii="Times New Roman" w:hAnsi="Times New Roman"/>
        </w:rPr>
        <w:t>根据《硫化氢环境人身防护规范》（SY/T6277-2017）附录B推荐的二氧化硫的阈限值为5.4mg/m³（2ppm），15min短期暴露极限为13.5mg/m³（5ppm）。</w:t>
      </w:r>
    </w:p>
    <w:p>
      <w:pPr>
        <w:ind w:firstLine="480"/>
        <w:rPr>
          <w:rFonts w:ascii="Times New Roman" w:hAnsi="Times New Roman"/>
        </w:rPr>
      </w:pPr>
      <w:r>
        <w:rPr>
          <w:rFonts w:ascii="Times New Roman" w:hAnsi="Times New Roman"/>
        </w:rPr>
        <w:t>急性中毒：吸入一定浓度的二氧化硫会引起人身伤害甚至死亡，参见</w:t>
      </w:r>
      <w:r>
        <w:rPr>
          <w:rFonts w:ascii="Times New Roman" w:hAnsi="Times New Roman"/>
          <w:lang w:val="zh-CN" w:bidi="ar"/>
        </w:rPr>
        <w:fldChar w:fldCharType="begin"/>
      </w:r>
      <w:r>
        <w:rPr>
          <w:rFonts w:ascii="Times New Roman" w:hAnsi="Times New Roman"/>
          <w:lang w:val="zh-CN" w:bidi="ar"/>
        </w:rPr>
        <w:instrText xml:space="preserve"> REF _Ref152258662 \h  \* MERGEFORMAT </w:instrText>
      </w:r>
      <w:r>
        <w:rPr>
          <w:rFonts w:ascii="Times New Roman" w:hAnsi="Times New Roman"/>
          <w:lang w:val="zh-CN" w:bidi="ar"/>
        </w:rPr>
        <w:fldChar w:fldCharType="separate"/>
      </w:r>
      <w:r>
        <w:rPr>
          <w:rFonts w:ascii="Times New Roman" w:hAnsi="Times New Roman"/>
        </w:rPr>
        <w:t>表 7</w:t>
      </w:r>
      <w:r>
        <w:rPr>
          <w:rFonts w:ascii="Times New Roman" w:hAnsi="Times New Roman"/>
        </w:rPr>
        <w:noBreakHyphen/>
      </w:r>
      <w:r>
        <w:rPr>
          <w:rFonts w:ascii="Times New Roman" w:hAnsi="Times New Roman"/>
        </w:rPr>
        <w:t>15</w:t>
      </w:r>
      <w:r>
        <w:rPr>
          <w:rFonts w:ascii="Times New Roman" w:hAnsi="Times New Roman"/>
          <w:lang w:val="zh-CN" w:bidi="ar"/>
        </w:rPr>
        <w:fldChar w:fldCharType="end"/>
      </w:r>
      <w:r>
        <w:rPr>
          <w:rFonts w:ascii="Times New Roman" w:hAnsi="Times New Roman"/>
          <w:lang w:val="zh-CN" w:bidi="ar"/>
        </w:rPr>
        <w:t>。</w:t>
      </w:r>
      <w:r>
        <w:rPr>
          <w:rFonts w:ascii="Times New Roman" w:hAnsi="Times New Roman"/>
        </w:rPr>
        <w:t>暴露浓度低于54mg/m³（20ppm），会引起眼睛、喉、呼吸道的炎症，胸痉挛和恶心。暴露浓度超过54mg/m³（20ppm），可引起明显的咳嗽、打喷嚏、眼部刺激和胸痉挛。暴露浓度超过135 mg/m³（50ppm），会刺激鼻和喉，流鼻涕、咳嗽和反射性支气管缩小，使支气管黏液分泌增加，肺部空气呼吸难度立刻增加（呼吸受阻）。大多数人都不能在这种空气中承受15min以上。暴露于高浓度中产生的剧烈的反应不仅包括眼睛发炎、恶心、呕吐、腹痛和喉咙痛，随后还会发生支气管炎和肺炎，甚至几周内身体都很虚弱。</w:t>
      </w:r>
    </w:p>
    <w:p>
      <w:pPr>
        <w:ind w:firstLine="480"/>
        <w:rPr>
          <w:rFonts w:ascii="Times New Roman" w:hAnsi="Times New Roman"/>
        </w:rPr>
      </w:pPr>
      <w:r>
        <w:rPr>
          <w:rFonts w:ascii="Times New Roman" w:hAnsi="Times New Roman"/>
        </w:rPr>
        <w:t>慢性中毒：长时间暴露于二氧化硫中可能导致鼻咽炎，嗅、味觉的改变，气短和呼吸道感染危险增加。</w:t>
      </w:r>
    </w:p>
    <w:p>
      <w:pPr>
        <w:pStyle w:val="37"/>
        <w:rPr>
          <w:rFonts w:ascii="Times New Roman" w:hAnsi="Times New Roman" w:cs="Times New Roman"/>
        </w:rPr>
      </w:pPr>
      <w:bookmarkStart w:id="269" w:name="_Ref15225866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15</w:t>
      </w:r>
      <w:r>
        <w:rPr>
          <w:rFonts w:ascii="Times New Roman" w:hAnsi="Times New Roman" w:cs="Times New Roman"/>
        </w:rPr>
        <w:fldChar w:fldCharType="end"/>
      </w:r>
      <w:bookmarkEnd w:id="269"/>
      <w:r>
        <w:rPr>
          <w:rFonts w:ascii="Times New Roman" w:hAnsi="Times New Roman" w:cs="Times New Roman"/>
        </w:rPr>
        <w:t xml:space="preserve">   二氧化硫对人的生理影响及危害</w:t>
      </w:r>
    </w:p>
    <w:tbl>
      <w:tblPr>
        <w:tblStyle w:val="28"/>
        <w:tblW w:w="526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7"/>
        <w:gridCol w:w="951"/>
        <w:gridCol w:w="1241"/>
        <w:gridCol w:w="5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839" w:type="pct"/>
            <w:gridSpan w:val="3"/>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在空气中的浓度</w:t>
            </w:r>
          </w:p>
        </w:tc>
        <w:tc>
          <w:tcPr>
            <w:tcW w:w="3161" w:type="pct"/>
            <w:vMerge w:val="restar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暴露于二氧化硫的典型特性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17"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%（V）</w:t>
            </w:r>
          </w:p>
        </w:tc>
        <w:tc>
          <w:tcPr>
            <w:tcW w:w="530"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ppm</w:t>
            </w:r>
          </w:p>
        </w:tc>
        <w:tc>
          <w:tcPr>
            <w:tcW w:w="69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mg/m³</w:t>
            </w:r>
          </w:p>
        </w:tc>
        <w:tc>
          <w:tcPr>
            <w:tcW w:w="3161" w:type="pct"/>
            <w:vMerge w:val="continue"/>
            <w:vAlign w:val="center"/>
          </w:tcPr>
          <w:p>
            <w:pPr>
              <w:snapToGrid w:val="0"/>
              <w:spacing w:line="240" w:lineRule="auto"/>
              <w:ind w:firstLine="0" w:firstLineChars="0"/>
              <w:jc w:val="center"/>
              <w:rPr>
                <w:rFonts w:ascii="Times New Roman" w:hAnsi="Times New Roman"/>
                <w:sz w:val="21"/>
                <w:szCs w:val="21"/>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17"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0.0001</w:t>
            </w:r>
          </w:p>
        </w:tc>
        <w:tc>
          <w:tcPr>
            <w:tcW w:w="530"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w:t>
            </w:r>
          </w:p>
        </w:tc>
        <w:tc>
          <w:tcPr>
            <w:tcW w:w="69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2.71</w:t>
            </w:r>
          </w:p>
        </w:tc>
        <w:tc>
          <w:tcPr>
            <w:tcW w:w="3161" w:type="pct"/>
            <w:vAlign w:val="center"/>
          </w:tcPr>
          <w:p>
            <w:pPr>
              <w:snapToGrid w:val="0"/>
              <w:spacing w:line="240" w:lineRule="auto"/>
              <w:ind w:firstLine="0" w:firstLineChars="0"/>
              <w:rPr>
                <w:rFonts w:ascii="Times New Roman" w:hAnsi="Times New Roman"/>
                <w:sz w:val="21"/>
                <w:szCs w:val="21"/>
                <w:lang w:val="zh-CN"/>
              </w:rPr>
            </w:pPr>
            <w:r>
              <w:rPr>
                <w:rFonts w:ascii="Times New Roman" w:hAnsi="Times New Roman"/>
                <w:sz w:val="21"/>
                <w:szCs w:val="21"/>
                <w:lang w:val="zh-CN"/>
              </w:rPr>
              <w:t>具有刺激性气味，可能引起呼吸改变。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17"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0.0002</w:t>
            </w:r>
          </w:p>
        </w:tc>
        <w:tc>
          <w:tcPr>
            <w:tcW w:w="530"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w:t>
            </w:r>
          </w:p>
        </w:tc>
        <w:tc>
          <w:tcPr>
            <w:tcW w:w="69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5.42</w:t>
            </w:r>
          </w:p>
        </w:tc>
        <w:tc>
          <w:tcPr>
            <w:tcW w:w="3161" w:type="pct"/>
            <w:vAlign w:val="center"/>
          </w:tcPr>
          <w:p>
            <w:pPr>
              <w:snapToGrid w:val="0"/>
              <w:spacing w:line="240" w:lineRule="auto"/>
              <w:ind w:firstLine="0" w:firstLineChars="0"/>
              <w:rPr>
                <w:rFonts w:ascii="Times New Roman" w:hAnsi="Times New Roman"/>
                <w:sz w:val="21"/>
                <w:szCs w:val="21"/>
                <w:lang w:val="zh-CN"/>
              </w:rPr>
            </w:pPr>
            <w:r>
              <w:rPr>
                <w:rFonts w:ascii="Times New Roman" w:hAnsi="Times New Roman"/>
                <w:sz w:val="21"/>
                <w:szCs w:val="21"/>
                <w:lang w:val="zh-CN"/>
              </w:rPr>
              <w:t>阈限值。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3" w:hRule="atLeast"/>
          <w:jc w:val="center"/>
        </w:trPr>
        <w:tc>
          <w:tcPr>
            <w:tcW w:w="617"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0.0005</w:t>
            </w:r>
          </w:p>
        </w:tc>
        <w:tc>
          <w:tcPr>
            <w:tcW w:w="530"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5</w:t>
            </w:r>
          </w:p>
        </w:tc>
        <w:tc>
          <w:tcPr>
            <w:tcW w:w="69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13.50</w:t>
            </w:r>
          </w:p>
        </w:tc>
        <w:tc>
          <w:tcPr>
            <w:tcW w:w="3161" w:type="pct"/>
            <w:vAlign w:val="center"/>
          </w:tcPr>
          <w:p>
            <w:pPr>
              <w:snapToGrid w:val="0"/>
              <w:spacing w:line="240" w:lineRule="auto"/>
              <w:ind w:firstLine="0" w:firstLineChars="0"/>
              <w:rPr>
                <w:rFonts w:ascii="Times New Roman" w:hAnsi="Times New Roman"/>
                <w:sz w:val="21"/>
                <w:szCs w:val="21"/>
                <w:lang w:val="zh-CN"/>
              </w:rPr>
            </w:pPr>
            <w:r>
              <w:rPr>
                <w:rFonts w:ascii="Times New Roman" w:hAnsi="Times New Roman"/>
                <w:sz w:val="21"/>
                <w:szCs w:val="21"/>
                <w:lang w:val="zh-CN"/>
              </w:rPr>
              <w:t>灼伤眼睛，刺激呼吸，对嗓子有较小的刺激。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17"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0.0012</w:t>
            </w:r>
          </w:p>
        </w:tc>
        <w:tc>
          <w:tcPr>
            <w:tcW w:w="530"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12</w:t>
            </w:r>
          </w:p>
        </w:tc>
        <w:tc>
          <w:tcPr>
            <w:tcW w:w="69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32.49</w:t>
            </w:r>
          </w:p>
        </w:tc>
        <w:tc>
          <w:tcPr>
            <w:tcW w:w="3161" w:type="pct"/>
            <w:vAlign w:val="center"/>
          </w:tcPr>
          <w:p>
            <w:pPr>
              <w:snapToGrid w:val="0"/>
              <w:spacing w:line="240" w:lineRule="auto"/>
              <w:ind w:firstLine="0" w:firstLineChars="0"/>
              <w:rPr>
                <w:rFonts w:ascii="Times New Roman" w:hAnsi="Times New Roman"/>
                <w:sz w:val="21"/>
                <w:szCs w:val="21"/>
                <w:lang w:val="zh-CN"/>
              </w:rPr>
            </w:pPr>
            <w:r>
              <w:rPr>
                <w:rFonts w:ascii="Times New Roman" w:hAnsi="Times New Roman"/>
                <w:sz w:val="21"/>
                <w:szCs w:val="21"/>
                <w:lang w:val="zh-CN"/>
              </w:rPr>
              <w:t>刺激嗓子咳嗽，胸腔收缩，流眼泪和恶心。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17"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0.010</w:t>
            </w:r>
          </w:p>
        </w:tc>
        <w:tc>
          <w:tcPr>
            <w:tcW w:w="530"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100</w:t>
            </w:r>
          </w:p>
        </w:tc>
        <w:tc>
          <w:tcPr>
            <w:tcW w:w="69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271.00</w:t>
            </w:r>
          </w:p>
        </w:tc>
        <w:tc>
          <w:tcPr>
            <w:tcW w:w="3161" w:type="pct"/>
            <w:vAlign w:val="center"/>
          </w:tcPr>
          <w:p>
            <w:pPr>
              <w:snapToGrid w:val="0"/>
              <w:spacing w:line="240" w:lineRule="auto"/>
              <w:ind w:firstLine="0" w:firstLineChars="0"/>
              <w:rPr>
                <w:rFonts w:ascii="Times New Roman" w:hAnsi="Times New Roman"/>
                <w:sz w:val="21"/>
                <w:szCs w:val="21"/>
              </w:rPr>
            </w:pPr>
            <w:r>
              <w:rPr>
                <w:rFonts w:ascii="Times New Roman" w:hAnsi="Times New Roman"/>
                <w:sz w:val="21"/>
                <w:szCs w:val="21"/>
              </w:rPr>
              <w:t>立即对生命和健康产生危险的浓度。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17"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0.015</w:t>
            </w:r>
          </w:p>
        </w:tc>
        <w:tc>
          <w:tcPr>
            <w:tcW w:w="530"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150</w:t>
            </w:r>
          </w:p>
        </w:tc>
        <w:tc>
          <w:tcPr>
            <w:tcW w:w="69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406.35</w:t>
            </w:r>
          </w:p>
        </w:tc>
        <w:tc>
          <w:tcPr>
            <w:tcW w:w="3161" w:type="pct"/>
            <w:vAlign w:val="center"/>
          </w:tcPr>
          <w:p>
            <w:pPr>
              <w:snapToGrid w:val="0"/>
              <w:spacing w:line="240" w:lineRule="auto"/>
              <w:ind w:firstLine="0" w:firstLineChars="0"/>
              <w:rPr>
                <w:rFonts w:ascii="Times New Roman" w:hAnsi="Times New Roman"/>
                <w:sz w:val="21"/>
                <w:szCs w:val="21"/>
                <w:lang w:val="zh-CN"/>
              </w:rPr>
            </w:pPr>
            <w:r>
              <w:rPr>
                <w:rFonts w:ascii="Times New Roman" w:hAnsi="Times New Roman"/>
                <w:sz w:val="21"/>
                <w:szCs w:val="21"/>
                <w:lang w:val="zh-CN"/>
              </w:rPr>
              <w:t>产生强烈的刺激，只能忍受几分钟。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2" w:hRule="atLeast"/>
          <w:jc w:val="center"/>
        </w:trPr>
        <w:tc>
          <w:tcPr>
            <w:tcW w:w="617"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0.05</w:t>
            </w:r>
          </w:p>
        </w:tc>
        <w:tc>
          <w:tcPr>
            <w:tcW w:w="530"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500</w:t>
            </w:r>
          </w:p>
        </w:tc>
        <w:tc>
          <w:tcPr>
            <w:tcW w:w="69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1354.50</w:t>
            </w:r>
          </w:p>
        </w:tc>
        <w:tc>
          <w:tcPr>
            <w:tcW w:w="3161" w:type="pct"/>
            <w:vAlign w:val="center"/>
          </w:tcPr>
          <w:p>
            <w:pPr>
              <w:snapToGrid w:val="0"/>
              <w:spacing w:line="240" w:lineRule="auto"/>
              <w:ind w:firstLine="0" w:firstLineChars="0"/>
              <w:rPr>
                <w:rFonts w:ascii="Times New Roman" w:hAnsi="Times New Roman"/>
                <w:sz w:val="21"/>
                <w:szCs w:val="21"/>
                <w:lang w:val="zh-CN"/>
              </w:rPr>
            </w:pPr>
            <w:r>
              <w:rPr>
                <w:rFonts w:ascii="Times New Roman" w:hAnsi="Times New Roman"/>
                <w:sz w:val="21"/>
                <w:szCs w:val="21"/>
                <w:lang w:val="zh-CN"/>
              </w:rPr>
              <w:t>吸入一口，就产生窒息感，应立即救治，提供人工呼吸或心肺复苏技术（CPR）。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17"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0.10</w:t>
            </w:r>
          </w:p>
        </w:tc>
        <w:tc>
          <w:tcPr>
            <w:tcW w:w="530"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1000</w:t>
            </w:r>
          </w:p>
        </w:tc>
        <w:tc>
          <w:tcPr>
            <w:tcW w:w="69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2708.99</w:t>
            </w:r>
          </w:p>
        </w:tc>
        <w:tc>
          <w:tcPr>
            <w:tcW w:w="3161" w:type="pct"/>
            <w:vAlign w:val="center"/>
          </w:tcPr>
          <w:p>
            <w:pPr>
              <w:snapToGrid w:val="0"/>
              <w:spacing w:line="240" w:lineRule="auto"/>
              <w:ind w:firstLine="0" w:firstLineChars="0"/>
              <w:rPr>
                <w:rFonts w:ascii="Times New Roman" w:hAnsi="Times New Roman"/>
                <w:sz w:val="21"/>
                <w:szCs w:val="21"/>
                <w:lang w:val="zh-CN"/>
              </w:rPr>
            </w:pPr>
            <w:r>
              <w:rPr>
                <w:rFonts w:ascii="Times New Roman" w:hAnsi="Times New Roman"/>
                <w:sz w:val="21"/>
                <w:szCs w:val="21"/>
                <w:lang w:val="zh-CN"/>
              </w:rPr>
              <w:t>不立即救治会导致死亡，应马上进行人工呼吸或心肺复苏（CPR）。</w:t>
            </w:r>
          </w:p>
        </w:tc>
      </w:tr>
    </w:tbl>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16</w:t>
      </w:r>
      <w:r>
        <w:rPr>
          <w:rFonts w:ascii="Times New Roman" w:hAnsi="Times New Roman" w:cs="Times New Roman"/>
        </w:rPr>
        <w:fldChar w:fldCharType="end"/>
      </w:r>
      <w:r>
        <w:rPr>
          <w:rFonts w:ascii="Times New Roman" w:hAnsi="Times New Roman" w:cs="Times New Roman"/>
        </w:rPr>
        <w:t xml:space="preserve">   二氧化硫危险特性一览表</w:t>
      </w:r>
    </w:p>
    <w:tbl>
      <w:tblPr>
        <w:tblStyle w:val="28"/>
        <w:tblW w:w="8725"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61"/>
        <w:gridCol w:w="1561"/>
        <w:gridCol w:w="618"/>
        <w:gridCol w:w="1470"/>
        <w:gridCol w:w="801"/>
        <w:gridCol w:w="1649"/>
        <w:gridCol w:w="206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Borders>
              <w:top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标识</w:t>
            </w:r>
          </w:p>
        </w:tc>
        <w:tc>
          <w:tcPr>
            <w:tcW w:w="3649" w:type="dxa"/>
            <w:gridSpan w:val="3"/>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英文名：sulfur dioxide</w:t>
            </w:r>
          </w:p>
        </w:tc>
        <w:tc>
          <w:tcPr>
            <w:tcW w:w="2450" w:type="dxa"/>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分子式：SO</w:t>
            </w:r>
            <w:r>
              <w:rPr>
                <w:rFonts w:ascii="Times New Roman" w:hAnsi="Times New Roman"/>
                <w:vertAlign w:val="subscript"/>
              </w:rPr>
              <w:t>2</w:t>
            </w:r>
          </w:p>
        </w:tc>
        <w:tc>
          <w:tcPr>
            <w:tcW w:w="2064" w:type="dxa"/>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分子量：64.06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3649" w:type="dxa"/>
            <w:gridSpan w:val="3"/>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危险货物编号：23013</w:t>
            </w:r>
          </w:p>
        </w:tc>
        <w:tc>
          <w:tcPr>
            <w:tcW w:w="4514" w:type="dxa"/>
            <w:gridSpan w:val="3"/>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CAS号：7446-09-5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3649" w:type="dxa"/>
            <w:gridSpan w:val="3"/>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RTECS号：WS4550000</w:t>
            </w:r>
          </w:p>
        </w:tc>
        <w:tc>
          <w:tcPr>
            <w:tcW w:w="2450" w:type="dxa"/>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IMDG规则页码：/</w:t>
            </w:r>
          </w:p>
        </w:tc>
        <w:tc>
          <w:tcPr>
            <w:tcW w:w="2064" w:type="dxa"/>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UN编号：1079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Borders>
              <w:top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理化性质</w:t>
            </w:r>
          </w:p>
        </w:tc>
        <w:tc>
          <w:tcPr>
            <w:tcW w:w="2179" w:type="dxa"/>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外观与形状</w:t>
            </w:r>
          </w:p>
        </w:tc>
        <w:tc>
          <w:tcPr>
            <w:tcW w:w="5984" w:type="dxa"/>
            <w:gridSpan w:val="4"/>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无色气体，特臭。</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2179" w:type="dxa"/>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熔点(</w:t>
            </w:r>
            <w:r>
              <w:rPr>
                <w:rFonts w:ascii="Times New Roman" w:hAnsi="Times New Roman" w:eastAsia="微软雅黑"/>
              </w:rPr>
              <w:t>℃</w:t>
            </w:r>
            <w:r>
              <w:rPr>
                <w:rFonts w:ascii="Times New Roman" w:hAnsi="Times New Roman"/>
              </w:rPr>
              <w:t>)</w:t>
            </w:r>
          </w:p>
        </w:tc>
        <w:tc>
          <w:tcPr>
            <w:tcW w:w="1470" w:type="dxa"/>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-75.5</w:t>
            </w:r>
          </w:p>
        </w:tc>
        <w:tc>
          <w:tcPr>
            <w:tcW w:w="2450" w:type="dxa"/>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闪点(</w:t>
            </w:r>
            <w:r>
              <w:rPr>
                <w:rFonts w:ascii="Times New Roman" w:hAnsi="Times New Roman" w:eastAsia="微软雅黑"/>
              </w:rPr>
              <w:t>℃</w:t>
            </w:r>
            <w:r>
              <w:rPr>
                <w:rFonts w:ascii="Times New Roman" w:hAnsi="Times New Roman"/>
              </w:rPr>
              <w:t>)</w:t>
            </w:r>
          </w:p>
        </w:tc>
        <w:tc>
          <w:tcPr>
            <w:tcW w:w="2064" w:type="dxa"/>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-6.67~32.2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70" w:hRule="atLeas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2179" w:type="dxa"/>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沸点(</w:t>
            </w:r>
            <w:r>
              <w:rPr>
                <w:rFonts w:ascii="Times New Roman" w:hAnsi="Times New Roman" w:eastAsia="微软雅黑"/>
              </w:rPr>
              <w:t>℃</w:t>
            </w:r>
            <w:r>
              <w:rPr>
                <w:rFonts w:ascii="Times New Roman" w:hAnsi="Times New Roman"/>
              </w:rPr>
              <w:t>)</w:t>
            </w:r>
          </w:p>
        </w:tc>
        <w:tc>
          <w:tcPr>
            <w:tcW w:w="1470" w:type="dxa"/>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-10</w:t>
            </w:r>
          </w:p>
        </w:tc>
        <w:tc>
          <w:tcPr>
            <w:tcW w:w="2450" w:type="dxa"/>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临界压力(MPa)</w:t>
            </w:r>
          </w:p>
        </w:tc>
        <w:tc>
          <w:tcPr>
            <w:tcW w:w="2064" w:type="dxa"/>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7.87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2179" w:type="dxa"/>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相对密度(水=1)</w:t>
            </w:r>
          </w:p>
        </w:tc>
        <w:tc>
          <w:tcPr>
            <w:tcW w:w="1470" w:type="dxa"/>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1.43</w:t>
            </w:r>
          </w:p>
        </w:tc>
        <w:tc>
          <w:tcPr>
            <w:tcW w:w="2450" w:type="dxa"/>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饱和蒸汽压(kPa)</w:t>
            </w:r>
          </w:p>
        </w:tc>
        <w:tc>
          <w:tcPr>
            <w:tcW w:w="2064" w:type="dxa"/>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338.42(21.1</w:t>
            </w:r>
            <w:r>
              <w:rPr>
                <w:rFonts w:ascii="Times New Roman" w:hAnsi="Times New Roman" w:eastAsia="微软雅黑"/>
              </w:rPr>
              <w:t>℃</w:t>
            </w: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2179" w:type="dxa"/>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相对密度(空气=1)</w:t>
            </w:r>
          </w:p>
        </w:tc>
        <w:tc>
          <w:tcPr>
            <w:tcW w:w="1470" w:type="dxa"/>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2.26</w:t>
            </w:r>
          </w:p>
        </w:tc>
        <w:tc>
          <w:tcPr>
            <w:tcW w:w="2450" w:type="dxa"/>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爆炸下限(V%)</w:t>
            </w:r>
          </w:p>
        </w:tc>
        <w:tc>
          <w:tcPr>
            <w:tcW w:w="2064" w:type="dxa"/>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2179" w:type="dxa"/>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燃烧热(kcal/kg)</w:t>
            </w:r>
          </w:p>
        </w:tc>
        <w:tc>
          <w:tcPr>
            <w:tcW w:w="1470" w:type="dxa"/>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w:t>
            </w:r>
          </w:p>
        </w:tc>
        <w:tc>
          <w:tcPr>
            <w:tcW w:w="2450" w:type="dxa"/>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爆炸上限(V%)</w:t>
            </w:r>
          </w:p>
        </w:tc>
        <w:tc>
          <w:tcPr>
            <w:tcW w:w="2064" w:type="dxa"/>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2179" w:type="dxa"/>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临界温度(</w:t>
            </w:r>
            <w:r>
              <w:rPr>
                <w:rFonts w:ascii="Times New Roman" w:hAnsi="Times New Roman" w:eastAsia="微软雅黑"/>
              </w:rPr>
              <w:t>℃</w:t>
            </w:r>
            <w:r>
              <w:rPr>
                <w:rFonts w:ascii="Times New Roman" w:hAnsi="Times New Roman"/>
              </w:rPr>
              <w:t>)</w:t>
            </w:r>
          </w:p>
        </w:tc>
        <w:tc>
          <w:tcPr>
            <w:tcW w:w="1470" w:type="dxa"/>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157.8</w:t>
            </w:r>
          </w:p>
        </w:tc>
        <w:tc>
          <w:tcPr>
            <w:tcW w:w="2450" w:type="dxa"/>
            <w:gridSpan w:val="2"/>
            <w:tcBorders>
              <w:top w:val="single" w:color="auto" w:sz="4" w:space="0"/>
              <w:left w:val="single" w:color="auto" w:sz="4" w:space="0"/>
              <w:bottom w:val="single" w:color="auto" w:sz="4" w:space="0"/>
            </w:tcBorders>
            <w:vAlign w:val="center"/>
          </w:tcPr>
          <w:p>
            <w:pPr>
              <w:snapToGrid w:val="0"/>
              <w:spacing w:line="240" w:lineRule="auto"/>
              <w:ind w:firstLine="0" w:firstLineChars="0"/>
              <w:rPr>
                <w:rFonts w:ascii="Times New Roman" w:hAnsi="Times New Roman"/>
                <w:sz w:val="21"/>
                <w:szCs w:val="21"/>
              </w:rPr>
            </w:pPr>
          </w:p>
        </w:tc>
        <w:tc>
          <w:tcPr>
            <w:tcW w:w="2064" w:type="dxa"/>
            <w:tcBorders>
              <w:top w:val="single" w:color="auto" w:sz="4" w:space="0"/>
              <w:bottom w:val="single" w:color="auto" w:sz="4" w:space="0"/>
            </w:tcBorders>
            <w:vAlign w:val="center"/>
          </w:tcPr>
          <w:p>
            <w:pPr>
              <w:snapToGrid w:val="0"/>
              <w:spacing w:line="240" w:lineRule="auto"/>
              <w:ind w:firstLine="0" w:firstLineChars="0"/>
              <w:rPr>
                <w:rFonts w:ascii="Times New Roman" w:hAnsi="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2179" w:type="dxa"/>
            <w:gridSpan w:val="2"/>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溶解性</w:t>
            </w:r>
          </w:p>
        </w:tc>
        <w:tc>
          <w:tcPr>
            <w:tcW w:w="5984" w:type="dxa"/>
            <w:gridSpan w:val="4"/>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不溶于水，溶于多数有机溶剂。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Borders>
              <w:top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毒性及健康危害</w:t>
            </w:r>
          </w:p>
        </w:tc>
        <w:tc>
          <w:tcPr>
            <w:tcW w:w="1560" w:type="dxa"/>
            <w:vMerge w:val="restart"/>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接触限值</w:t>
            </w:r>
          </w:p>
        </w:tc>
        <w:tc>
          <w:tcPr>
            <w:tcW w:w="2889" w:type="dxa"/>
            <w:gridSpan w:val="3"/>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LC</w:t>
            </w:r>
            <w:r>
              <w:rPr>
                <w:rFonts w:ascii="Times New Roman" w:hAnsi="Times New Roman"/>
                <w:vertAlign w:val="subscript"/>
              </w:rPr>
              <w:t>50</w:t>
            </w:r>
          </w:p>
        </w:tc>
        <w:tc>
          <w:tcPr>
            <w:tcW w:w="3714" w:type="dxa"/>
            <w:gridSpan w:val="2"/>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6600 mg/m</w:t>
            </w:r>
            <w:r>
              <w:rPr>
                <w:rFonts w:ascii="Times New Roman" w:hAnsi="Times New Roman"/>
                <w:vertAlign w:val="superscript"/>
              </w:rPr>
              <w:t>3</w:t>
            </w:r>
            <w:r>
              <w:rPr>
                <w:rFonts w:ascii="Times New Roman" w:hAnsi="Times New Roman"/>
              </w:rPr>
              <w:t xml:space="preserve"> (1小时，大鼠吸入)</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45" w:hRule="atLeas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1560" w:type="dxa"/>
            <w:vMerge w:val="continue"/>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2889" w:type="dxa"/>
            <w:gridSpan w:val="3"/>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短时间接触容许浓（mg/m</w:t>
            </w:r>
            <w:r>
              <w:rPr>
                <w:rFonts w:ascii="Times New Roman" w:hAnsi="Times New Roman"/>
                <w:vertAlign w:val="superscript"/>
              </w:rPr>
              <w:t>3</w:t>
            </w:r>
            <w:r>
              <w:rPr>
                <w:rFonts w:ascii="Times New Roman" w:hAnsi="Times New Roman"/>
              </w:rPr>
              <w:t>）</w:t>
            </w:r>
          </w:p>
        </w:tc>
        <w:tc>
          <w:tcPr>
            <w:tcW w:w="3714" w:type="dxa"/>
            <w:gridSpan w:val="2"/>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10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65" w:hRule="atLeas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1560" w:type="dxa"/>
            <w:vMerge w:val="continue"/>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2889" w:type="dxa"/>
            <w:gridSpan w:val="3"/>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IDLH（mg/m</w:t>
            </w:r>
            <w:r>
              <w:rPr>
                <w:rFonts w:ascii="Times New Roman" w:hAnsi="Times New Roman"/>
                <w:vertAlign w:val="superscript"/>
              </w:rPr>
              <w:t>3</w:t>
            </w:r>
            <w:r>
              <w:rPr>
                <w:rFonts w:ascii="Times New Roman" w:hAnsi="Times New Roman"/>
              </w:rPr>
              <w:t>）</w:t>
            </w:r>
          </w:p>
        </w:tc>
        <w:tc>
          <w:tcPr>
            <w:tcW w:w="3714" w:type="dxa"/>
            <w:gridSpan w:val="2"/>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270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1560" w:type="dxa"/>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侵入途径</w:t>
            </w:r>
          </w:p>
        </w:tc>
        <w:tc>
          <w:tcPr>
            <w:tcW w:w="6603" w:type="dxa"/>
            <w:gridSpan w:val="5"/>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吸入</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1560" w:type="dxa"/>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毒性</w:t>
            </w:r>
          </w:p>
        </w:tc>
        <w:tc>
          <w:tcPr>
            <w:tcW w:w="6603" w:type="dxa"/>
            <w:gridSpan w:val="5"/>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轻度中毒时，发生流泪、畏光、咳嗽，咽喉灼痛等；严重中毒可在数小时内发生肺水肿；极高浓度吸入可引起反射性声门痉挛而致窒息。皮肤或眼接触发生炎症或灼伤。</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1560" w:type="dxa"/>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健康危害</w:t>
            </w:r>
          </w:p>
        </w:tc>
        <w:tc>
          <w:tcPr>
            <w:tcW w:w="6603" w:type="dxa"/>
            <w:gridSpan w:val="5"/>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易被湿润的粘膜表面吸收生成亚硫酸、硫酸。对眼及呼吸道粘膜有强烈的刺激作用。大量吸入可引起肺水肿、喉水肿、声带痉挛而致窒息。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restart"/>
            <w:tcBorders>
              <w:top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燃烧爆炸危险性</w:t>
            </w:r>
          </w:p>
        </w:tc>
        <w:tc>
          <w:tcPr>
            <w:tcW w:w="1560" w:type="dxa"/>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燃烧性：不燃</w:t>
            </w:r>
          </w:p>
        </w:tc>
        <w:tc>
          <w:tcPr>
            <w:tcW w:w="6603" w:type="dxa"/>
            <w:gridSpan w:val="5"/>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建规火险分级：</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1561" w:type="dxa"/>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危险特性</w:t>
            </w:r>
          </w:p>
        </w:tc>
        <w:tc>
          <w:tcPr>
            <w:tcW w:w="6602" w:type="dxa"/>
            <w:gridSpan w:val="5"/>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1561" w:type="dxa"/>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稳定性</w:t>
            </w:r>
          </w:p>
        </w:tc>
        <w:tc>
          <w:tcPr>
            <w:tcW w:w="6602" w:type="dxa"/>
            <w:gridSpan w:val="5"/>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燃烧(分解)产物：氧化硫。</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1561" w:type="dxa"/>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聚合危害</w:t>
            </w:r>
          </w:p>
        </w:tc>
        <w:tc>
          <w:tcPr>
            <w:tcW w:w="6602" w:type="dxa"/>
            <w:gridSpan w:val="5"/>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不能出现</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1561" w:type="dxa"/>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禁忌物</w:t>
            </w:r>
          </w:p>
        </w:tc>
        <w:tc>
          <w:tcPr>
            <w:tcW w:w="6602" w:type="dxa"/>
            <w:gridSpan w:val="5"/>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强还原剂、强氧化剂、易燃或可燃物。</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562" w:type="dxa"/>
            <w:vMerge w:val="continue"/>
            <w:tcBorders>
              <w:top w:val="single" w:color="auto" w:sz="4" w:space="0"/>
              <w:bottom w:val="single" w:color="auto" w:sz="4" w:space="0"/>
              <w:right w:val="single" w:color="auto" w:sz="4" w:space="0"/>
            </w:tcBorders>
            <w:vAlign w:val="center"/>
          </w:tcPr>
          <w:p>
            <w:pPr>
              <w:snapToGrid w:val="0"/>
              <w:spacing w:line="240" w:lineRule="auto"/>
              <w:ind w:firstLine="0" w:firstLineChars="0"/>
              <w:rPr>
                <w:rFonts w:ascii="Times New Roman" w:hAnsi="Times New Roman"/>
                <w:sz w:val="21"/>
                <w:szCs w:val="21"/>
              </w:rPr>
            </w:pPr>
          </w:p>
        </w:tc>
        <w:tc>
          <w:tcPr>
            <w:tcW w:w="1561" w:type="dxa"/>
            <w:tcBorders>
              <w:top w:val="single" w:color="auto" w:sz="4" w:space="0"/>
              <w:left w:val="single" w:color="auto" w:sz="4" w:space="0"/>
              <w:bottom w:val="single" w:color="auto" w:sz="4" w:space="0"/>
              <w:right w:val="single" w:color="auto" w:sz="4" w:space="0"/>
            </w:tcBorders>
            <w:vAlign w:val="center"/>
          </w:tcPr>
          <w:p>
            <w:pPr>
              <w:pStyle w:val="39"/>
              <w:rPr>
                <w:rFonts w:ascii="Times New Roman" w:hAnsi="Times New Roman"/>
              </w:rPr>
            </w:pPr>
            <w:r>
              <w:rPr>
                <w:rFonts w:ascii="Times New Roman" w:hAnsi="Times New Roman"/>
              </w:rPr>
              <w:t>灭火方法</w:t>
            </w:r>
          </w:p>
        </w:tc>
        <w:tc>
          <w:tcPr>
            <w:tcW w:w="6602" w:type="dxa"/>
            <w:gridSpan w:val="5"/>
            <w:tcBorders>
              <w:top w:val="single" w:color="auto" w:sz="4" w:space="0"/>
              <w:left w:val="single" w:color="auto" w:sz="4" w:space="0"/>
              <w:bottom w:val="single" w:color="auto" w:sz="4" w:space="0"/>
            </w:tcBorders>
            <w:vAlign w:val="center"/>
          </w:tcPr>
          <w:p>
            <w:pPr>
              <w:pStyle w:val="39"/>
              <w:rPr>
                <w:rFonts w:ascii="Times New Roman" w:hAnsi="Times New Roman"/>
              </w:rPr>
            </w:pPr>
            <w:r>
              <w:rPr>
                <w:rFonts w:ascii="Times New Roman" w:hAnsi="Times New Roman"/>
              </w:rPr>
              <w:t>灭火剂：雾状水、泡沫、二氧化碳。</w:t>
            </w:r>
          </w:p>
        </w:tc>
      </w:tr>
    </w:tbl>
    <w:p>
      <w:pPr>
        <w:pStyle w:val="5"/>
        <w:rPr>
          <w:rFonts w:ascii="Times New Roman" w:hAnsi="Times New Roman"/>
        </w:rPr>
      </w:pPr>
      <w:r>
        <w:rPr>
          <w:rFonts w:ascii="Times New Roman" w:hAnsi="Times New Roman"/>
        </w:rPr>
        <w:t>二氧化碳</w:t>
      </w:r>
    </w:p>
    <w:p>
      <w:pPr>
        <w:ind w:firstLine="480"/>
        <w:rPr>
          <w:rFonts w:ascii="Times New Roman" w:hAnsi="Times New Roman"/>
        </w:rPr>
      </w:pPr>
      <w:r>
        <w:rPr>
          <w:rFonts w:ascii="Times New Roman" w:hAnsi="Times New Roman"/>
        </w:rPr>
        <w:t>二氧化碳可以溶解在水中，生成碳酸，引起电化学腐蚀。钢材中二氧化碳腐蚀的产物都是易溶的，不易形成保护膜，特别是随二氧化碳浓度的增加，腐蚀速度增加很快。</w:t>
      </w:r>
    </w:p>
    <w:p>
      <w:pPr>
        <w:ind w:firstLine="480"/>
        <w:rPr>
          <w:rFonts w:ascii="Times New Roman" w:hAnsi="Times New Roman"/>
        </w:rPr>
      </w:pPr>
      <w:r>
        <w:rPr>
          <w:rFonts w:ascii="Times New Roman" w:hAnsi="Times New Roman"/>
        </w:rPr>
        <w:t>根据NACE（美国腐蚀工程师协会）有关二氧化碳分压腐蚀的标准，二氧化碳分压大于0.2MPa就属于严重腐蚀区。二氧化碳腐蚀的主要形态为点蚀、台地状腐蚀、环状腐蚀和冲刷腐蚀等，且腐蚀穿孔的速度很快。在影响二氧化碳腐蚀速率的各个因素中，二氧化碳分压和温度是最重要的两个参数。二氧化碳分压越高，其腐蚀产物FeCO</w:t>
      </w:r>
      <w:r>
        <w:rPr>
          <w:rFonts w:ascii="Times New Roman" w:hAnsi="Times New Roman"/>
          <w:vertAlign w:val="subscript"/>
        </w:rPr>
        <w:t>3</w:t>
      </w:r>
      <w:r>
        <w:rPr>
          <w:rFonts w:ascii="Times New Roman" w:hAnsi="Times New Roman"/>
        </w:rPr>
        <w:t>膜的保护性越差，且二氧化碳的腐蚀速度随温度升高而增加，60℃～110℃为二氧化碳腐蚀的敏感区域。</w:t>
      </w:r>
    </w:p>
    <w:p>
      <w:pPr>
        <w:ind w:firstLine="480"/>
        <w:rPr>
          <w:rFonts w:ascii="Times New Roman" w:hAnsi="Times New Roman"/>
        </w:rPr>
      </w:pPr>
      <w:r>
        <w:rPr>
          <w:rFonts w:ascii="Times New Roman" w:hAnsi="Times New Roman"/>
        </w:rPr>
        <w:t>二氧化碳是一种窒息性气体，对人的最低毒性浓度体积分数为2%，超过此浓度可引起呼吸器官的损害，达到10%会使人窒息。</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17</w:t>
      </w:r>
      <w:r>
        <w:rPr>
          <w:rFonts w:ascii="Times New Roman" w:hAnsi="Times New Roman" w:cs="Times New Roman"/>
        </w:rPr>
        <w:fldChar w:fldCharType="end"/>
      </w:r>
      <w:r>
        <w:rPr>
          <w:rFonts w:ascii="Times New Roman" w:hAnsi="Times New Roman" w:cs="Times New Roman"/>
        </w:rPr>
        <w:t xml:space="preserve">   二氧化碳危险特性一览表</w:t>
      </w:r>
    </w:p>
    <w:tbl>
      <w:tblPr>
        <w:tblStyle w:val="28"/>
        <w:tblW w:w="87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2410"/>
        <w:gridCol w:w="1656"/>
        <w:gridCol w:w="55"/>
        <w:gridCol w:w="557"/>
        <w:gridCol w:w="3453"/>
        <w:gridCol w:w="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restart"/>
            <w:vAlign w:val="center"/>
          </w:tcPr>
          <w:p>
            <w:pPr>
              <w:pStyle w:val="39"/>
              <w:rPr>
                <w:rFonts w:ascii="Times New Roman" w:hAnsi="Times New Roman"/>
              </w:rPr>
            </w:pPr>
            <w:r>
              <w:rPr>
                <w:rFonts w:ascii="Times New Roman" w:hAnsi="Times New Roman"/>
              </w:rPr>
              <w:t>标识</w:t>
            </w:r>
          </w:p>
        </w:tc>
        <w:tc>
          <w:tcPr>
            <w:tcW w:w="4121" w:type="dxa"/>
            <w:gridSpan w:val="3"/>
            <w:vAlign w:val="center"/>
          </w:tcPr>
          <w:p>
            <w:pPr>
              <w:pStyle w:val="39"/>
              <w:rPr>
                <w:rFonts w:ascii="Times New Roman" w:hAnsi="Times New Roman"/>
              </w:rPr>
            </w:pPr>
            <w:r>
              <w:rPr>
                <w:rFonts w:ascii="Times New Roman" w:hAnsi="Times New Roman"/>
              </w:rPr>
              <w:t>中文名：二氧化碳、碳酸酐</w:t>
            </w:r>
          </w:p>
        </w:tc>
        <w:tc>
          <w:tcPr>
            <w:tcW w:w="4020" w:type="dxa"/>
            <w:gridSpan w:val="3"/>
            <w:vAlign w:val="center"/>
          </w:tcPr>
          <w:p>
            <w:pPr>
              <w:pStyle w:val="39"/>
              <w:rPr>
                <w:rFonts w:ascii="Times New Roman" w:hAnsi="Times New Roman"/>
              </w:rPr>
            </w:pPr>
            <w:r>
              <w:rPr>
                <w:rFonts w:ascii="Times New Roman" w:hAnsi="Times New Roman"/>
              </w:rPr>
              <w:t>英文名：carbon dioxide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2410" w:type="dxa"/>
            <w:vAlign w:val="center"/>
          </w:tcPr>
          <w:p>
            <w:pPr>
              <w:pStyle w:val="39"/>
              <w:rPr>
                <w:rFonts w:ascii="Times New Roman" w:hAnsi="Times New Roman"/>
              </w:rPr>
            </w:pPr>
            <w:r>
              <w:rPr>
                <w:rFonts w:ascii="Times New Roman" w:hAnsi="Times New Roman"/>
              </w:rPr>
              <w:t>分子式：CO</w:t>
            </w:r>
            <w:r>
              <w:rPr>
                <w:rFonts w:ascii="Times New Roman" w:hAnsi="Times New Roman"/>
                <w:vertAlign w:val="subscript"/>
              </w:rPr>
              <w:t>2</w:t>
            </w:r>
          </w:p>
        </w:tc>
        <w:tc>
          <w:tcPr>
            <w:tcW w:w="2268" w:type="dxa"/>
            <w:gridSpan w:val="3"/>
            <w:vAlign w:val="center"/>
          </w:tcPr>
          <w:p>
            <w:pPr>
              <w:pStyle w:val="39"/>
              <w:rPr>
                <w:rFonts w:ascii="Times New Roman" w:hAnsi="Times New Roman"/>
              </w:rPr>
            </w:pPr>
            <w:r>
              <w:rPr>
                <w:rFonts w:ascii="Times New Roman" w:hAnsi="Times New Roman"/>
              </w:rPr>
              <w:t>分子量：44.01</w:t>
            </w:r>
          </w:p>
        </w:tc>
        <w:tc>
          <w:tcPr>
            <w:tcW w:w="3453" w:type="dxa"/>
            <w:vAlign w:val="center"/>
          </w:tcPr>
          <w:p>
            <w:pPr>
              <w:pStyle w:val="39"/>
              <w:rPr>
                <w:rFonts w:ascii="Times New Roman" w:hAnsi="Times New Roman"/>
              </w:rPr>
            </w:pPr>
            <w:r>
              <w:rPr>
                <w:rFonts w:ascii="Times New Roman" w:hAnsi="Times New Roman"/>
              </w:rPr>
              <w:t>CAS号：124-38-9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8141" w:type="dxa"/>
            <w:gridSpan w:val="6"/>
            <w:vAlign w:val="center"/>
          </w:tcPr>
          <w:p>
            <w:pPr>
              <w:pStyle w:val="39"/>
              <w:rPr>
                <w:rFonts w:ascii="Times New Roman" w:hAnsi="Times New Roman"/>
              </w:rPr>
            </w:pPr>
            <w:r>
              <w:rPr>
                <w:rFonts w:ascii="Times New Roman" w:hAnsi="Times New Roman"/>
              </w:rPr>
              <w:t>危规号：22019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restart"/>
            <w:vAlign w:val="center"/>
          </w:tcPr>
          <w:p>
            <w:pPr>
              <w:pStyle w:val="39"/>
              <w:rPr>
                <w:rFonts w:ascii="Times New Roman" w:hAnsi="Times New Roman"/>
              </w:rPr>
            </w:pPr>
            <w:r>
              <w:rPr>
                <w:rFonts w:ascii="Times New Roman" w:hAnsi="Times New Roman"/>
              </w:rPr>
              <w:t>理化</w:t>
            </w:r>
          </w:p>
          <w:p>
            <w:pPr>
              <w:pStyle w:val="39"/>
              <w:rPr>
                <w:rFonts w:ascii="Times New Roman" w:hAnsi="Times New Roman"/>
              </w:rPr>
            </w:pPr>
            <w:r>
              <w:rPr>
                <w:rFonts w:ascii="Times New Roman" w:hAnsi="Times New Roman"/>
              </w:rPr>
              <w:t>性质</w:t>
            </w:r>
          </w:p>
        </w:tc>
        <w:tc>
          <w:tcPr>
            <w:tcW w:w="8141" w:type="dxa"/>
            <w:gridSpan w:val="6"/>
            <w:vAlign w:val="center"/>
          </w:tcPr>
          <w:p>
            <w:pPr>
              <w:pStyle w:val="39"/>
              <w:rPr>
                <w:rFonts w:ascii="Times New Roman" w:hAnsi="Times New Roman"/>
              </w:rPr>
            </w:pPr>
            <w:r>
              <w:rPr>
                <w:rFonts w:ascii="Times New Roman" w:hAnsi="Times New Roman"/>
              </w:rPr>
              <w:t>性状：无色无臭气体。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8141" w:type="dxa"/>
            <w:gridSpan w:val="6"/>
            <w:vAlign w:val="center"/>
          </w:tcPr>
          <w:p>
            <w:pPr>
              <w:pStyle w:val="39"/>
              <w:rPr>
                <w:rFonts w:ascii="Times New Roman" w:hAnsi="Times New Roman"/>
              </w:rPr>
            </w:pPr>
            <w:r>
              <w:rPr>
                <w:rFonts w:ascii="Times New Roman" w:hAnsi="Times New Roman"/>
              </w:rPr>
              <w:t>溶解性：溶于水，烃类等多数有机溶剂。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2410" w:type="dxa"/>
            <w:vAlign w:val="center"/>
          </w:tcPr>
          <w:p>
            <w:pPr>
              <w:pStyle w:val="39"/>
              <w:rPr>
                <w:rFonts w:ascii="Times New Roman" w:hAnsi="Times New Roman"/>
              </w:rPr>
            </w:pPr>
            <w:r>
              <w:rPr>
                <w:rFonts w:ascii="Times New Roman" w:hAnsi="Times New Roman"/>
              </w:rPr>
              <w:t>熔点℃：-56.6(527kPa)</w:t>
            </w:r>
          </w:p>
        </w:tc>
        <w:tc>
          <w:tcPr>
            <w:tcW w:w="2268" w:type="dxa"/>
            <w:gridSpan w:val="3"/>
            <w:vAlign w:val="center"/>
          </w:tcPr>
          <w:p>
            <w:pPr>
              <w:pStyle w:val="39"/>
              <w:rPr>
                <w:rFonts w:ascii="Times New Roman" w:hAnsi="Times New Roman"/>
              </w:rPr>
            </w:pPr>
            <w:r>
              <w:rPr>
                <w:rFonts w:ascii="Times New Roman" w:hAnsi="Times New Roman"/>
              </w:rPr>
              <w:t>沸点℃：-78.5(升华)</w:t>
            </w:r>
          </w:p>
        </w:tc>
        <w:tc>
          <w:tcPr>
            <w:tcW w:w="3453" w:type="dxa"/>
            <w:vAlign w:val="center"/>
          </w:tcPr>
          <w:p>
            <w:pPr>
              <w:pStyle w:val="39"/>
              <w:rPr>
                <w:rFonts w:ascii="Times New Roman" w:hAnsi="Times New Roman"/>
              </w:rPr>
            </w:pPr>
            <w:r>
              <w:rPr>
                <w:rFonts w:ascii="Times New Roman" w:hAnsi="Times New Roman"/>
              </w:rPr>
              <w:t>相对密度（水=1）：1.56(-79℃)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2410" w:type="dxa"/>
            <w:vAlign w:val="center"/>
          </w:tcPr>
          <w:p>
            <w:pPr>
              <w:pStyle w:val="39"/>
              <w:rPr>
                <w:rFonts w:ascii="Times New Roman" w:hAnsi="Times New Roman"/>
              </w:rPr>
            </w:pPr>
            <w:r>
              <w:rPr>
                <w:rFonts w:ascii="Times New Roman" w:hAnsi="Times New Roman"/>
              </w:rPr>
              <w:t>临界温度℃：31</w:t>
            </w:r>
          </w:p>
        </w:tc>
        <w:tc>
          <w:tcPr>
            <w:tcW w:w="2268" w:type="dxa"/>
            <w:gridSpan w:val="3"/>
            <w:vAlign w:val="center"/>
          </w:tcPr>
          <w:p>
            <w:pPr>
              <w:pStyle w:val="39"/>
              <w:rPr>
                <w:rFonts w:ascii="Times New Roman" w:hAnsi="Times New Roman"/>
              </w:rPr>
            </w:pPr>
            <w:r>
              <w:rPr>
                <w:rFonts w:ascii="Times New Roman" w:hAnsi="Times New Roman"/>
              </w:rPr>
              <w:t>临界压力MPa：7.39</w:t>
            </w:r>
          </w:p>
        </w:tc>
        <w:tc>
          <w:tcPr>
            <w:tcW w:w="3453" w:type="dxa"/>
            <w:vAlign w:val="center"/>
          </w:tcPr>
          <w:p>
            <w:pPr>
              <w:pStyle w:val="39"/>
              <w:rPr>
                <w:rFonts w:ascii="Times New Roman" w:hAnsi="Times New Roman"/>
              </w:rPr>
            </w:pPr>
            <w:r>
              <w:rPr>
                <w:rFonts w:ascii="Times New Roman" w:hAnsi="Times New Roman"/>
              </w:rPr>
              <w:t>相对密度（空气=1）：1.53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12"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2410" w:type="dxa"/>
            <w:vAlign w:val="center"/>
          </w:tcPr>
          <w:p>
            <w:pPr>
              <w:pStyle w:val="39"/>
              <w:rPr>
                <w:rFonts w:ascii="Times New Roman" w:hAnsi="Times New Roman"/>
              </w:rPr>
            </w:pPr>
            <w:r>
              <w:rPr>
                <w:rFonts w:ascii="Times New Roman" w:hAnsi="Times New Roman"/>
              </w:rPr>
              <w:t>燃烧热KJ/mol：无意义</w:t>
            </w:r>
          </w:p>
        </w:tc>
        <w:tc>
          <w:tcPr>
            <w:tcW w:w="2268" w:type="dxa"/>
            <w:gridSpan w:val="3"/>
            <w:vAlign w:val="center"/>
          </w:tcPr>
          <w:p>
            <w:pPr>
              <w:pStyle w:val="39"/>
              <w:rPr>
                <w:rFonts w:ascii="Times New Roman" w:hAnsi="Times New Roman"/>
              </w:rPr>
            </w:pPr>
            <w:r>
              <w:rPr>
                <w:rFonts w:ascii="Times New Roman" w:hAnsi="Times New Roman"/>
              </w:rPr>
              <w:t>最小点火能mJ：/</w:t>
            </w:r>
          </w:p>
        </w:tc>
        <w:tc>
          <w:tcPr>
            <w:tcW w:w="3453" w:type="dxa"/>
            <w:vAlign w:val="center"/>
          </w:tcPr>
          <w:p>
            <w:pPr>
              <w:pStyle w:val="39"/>
              <w:rPr>
                <w:rFonts w:ascii="Times New Roman" w:hAnsi="Times New Roman"/>
              </w:rPr>
            </w:pPr>
            <w:r>
              <w:rPr>
                <w:rFonts w:ascii="Times New Roman" w:hAnsi="Times New Roman"/>
              </w:rPr>
              <w:t>饱和蒸汽压KPa：1013.25(-39℃)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restart"/>
            <w:vAlign w:val="center"/>
          </w:tcPr>
          <w:p>
            <w:pPr>
              <w:pStyle w:val="39"/>
              <w:rPr>
                <w:rFonts w:ascii="Times New Roman" w:hAnsi="Times New Roman"/>
              </w:rPr>
            </w:pPr>
            <w:r>
              <w:rPr>
                <w:rFonts w:ascii="Times New Roman" w:hAnsi="Times New Roman"/>
              </w:rPr>
              <w:t>燃烧爆炸危险性</w:t>
            </w:r>
          </w:p>
        </w:tc>
        <w:tc>
          <w:tcPr>
            <w:tcW w:w="4066" w:type="dxa"/>
            <w:gridSpan w:val="2"/>
            <w:vAlign w:val="center"/>
          </w:tcPr>
          <w:p>
            <w:pPr>
              <w:pStyle w:val="39"/>
              <w:rPr>
                <w:rFonts w:ascii="Times New Roman" w:hAnsi="Times New Roman"/>
              </w:rPr>
            </w:pPr>
            <w:r>
              <w:rPr>
                <w:rFonts w:ascii="Times New Roman" w:hAnsi="Times New Roman"/>
              </w:rPr>
              <w:t>燃烧性：不燃</w:t>
            </w:r>
          </w:p>
        </w:tc>
        <w:tc>
          <w:tcPr>
            <w:tcW w:w="4075" w:type="dxa"/>
            <w:gridSpan w:val="4"/>
            <w:vAlign w:val="center"/>
          </w:tcPr>
          <w:p>
            <w:pPr>
              <w:pStyle w:val="39"/>
              <w:rPr>
                <w:rFonts w:ascii="Times New Roman" w:hAnsi="Times New Roman"/>
              </w:rPr>
            </w:pPr>
            <w:r>
              <w:rPr>
                <w:rFonts w:ascii="Times New Roman" w:hAnsi="Times New Roman"/>
              </w:rPr>
              <w:t>燃烧分解产物：/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4066" w:type="dxa"/>
            <w:gridSpan w:val="2"/>
            <w:vAlign w:val="center"/>
          </w:tcPr>
          <w:p>
            <w:pPr>
              <w:pStyle w:val="39"/>
              <w:rPr>
                <w:rFonts w:ascii="Times New Roman" w:hAnsi="Times New Roman"/>
              </w:rPr>
            </w:pPr>
            <w:r>
              <w:rPr>
                <w:rFonts w:ascii="Times New Roman" w:hAnsi="Times New Roman"/>
              </w:rPr>
              <w:t>闪点（℃）：无意义</w:t>
            </w:r>
          </w:p>
        </w:tc>
        <w:tc>
          <w:tcPr>
            <w:tcW w:w="4075" w:type="dxa"/>
            <w:gridSpan w:val="4"/>
            <w:vAlign w:val="center"/>
          </w:tcPr>
          <w:p>
            <w:pPr>
              <w:pStyle w:val="39"/>
              <w:rPr>
                <w:rFonts w:ascii="Times New Roman" w:hAnsi="Times New Roman"/>
              </w:rPr>
            </w:pPr>
            <w:r>
              <w:rPr>
                <w:rFonts w:ascii="Times New Roman" w:hAnsi="Times New Roman"/>
              </w:rPr>
              <w:t>聚合危害：不聚合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4066" w:type="dxa"/>
            <w:gridSpan w:val="2"/>
            <w:vAlign w:val="center"/>
          </w:tcPr>
          <w:p>
            <w:pPr>
              <w:pStyle w:val="39"/>
              <w:rPr>
                <w:rFonts w:ascii="Times New Roman" w:hAnsi="Times New Roman"/>
              </w:rPr>
            </w:pPr>
            <w:r>
              <w:rPr>
                <w:rFonts w:ascii="Times New Roman" w:hAnsi="Times New Roman"/>
              </w:rPr>
              <w:t>爆炸极限[%(v/v)]：无意义</w:t>
            </w:r>
          </w:p>
        </w:tc>
        <w:tc>
          <w:tcPr>
            <w:tcW w:w="4075" w:type="dxa"/>
            <w:gridSpan w:val="4"/>
            <w:vAlign w:val="center"/>
          </w:tcPr>
          <w:p>
            <w:pPr>
              <w:pStyle w:val="39"/>
              <w:rPr>
                <w:rFonts w:ascii="Times New Roman" w:hAnsi="Times New Roman"/>
              </w:rPr>
            </w:pPr>
            <w:r>
              <w:rPr>
                <w:rFonts w:ascii="Times New Roman" w:hAnsi="Times New Roman"/>
              </w:rPr>
              <w:t>稳定性：稳定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8141" w:type="dxa"/>
            <w:gridSpan w:val="6"/>
            <w:vAlign w:val="center"/>
          </w:tcPr>
          <w:p>
            <w:pPr>
              <w:pStyle w:val="39"/>
              <w:rPr>
                <w:rFonts w:ascii="Times New Roman" w:hAnsi="Times New Roman"/>
              </w:rPr>
            </w:pPr>
            <w:r>
              <w:rPr>
                <w:rFonts w:ascii="Times New Roman" w:hAnsi="Times New Roman"/>
              </w:rPr>
              <w:t>危险特性：若遇高热，容器内压增大，有开裂和爆炸的危险。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Merge w:val="continue"/>
            <w:vAlign w:val="center"/>
          </w:tcPr>
          <w:p>
            <w:pPr>
              <w:adjustRightInd w:val="0"/>
              <w:spacing w:line="240" w:lineRule="auto"/>
              <w:ind w:firstLine="480"/>
              <w:rPr>
                <w:rFonts w:ascii="Times New Roman" w:hAnsi="Times New Roman"/>
              </w:rPr>
            </w:pPr>
          </w:p>
        </w:tc>
        <w:tc>
          <w:tcPr>
            <w:tcW w:w="8141" w:type="dxa"/>
            <w:gridSpan w:val="6"/>
            <w:vAlign w:val="center"/>
          </w:tcPr>
          <w:p>
            <w:pPr>
              <w:pStyle w:val="39"/>
              <w:rPr>
                <w:rFonts w:ascii="Times New Roman" w:hAnsi="Times New Roman"/>
              </w:rPr>
            </w:pPr>
            <w:r>
              <w:rPr>
                <w:rFonts w:ascii="Times New Roman" w:hAnsi="Times New Roman"/>
              </w:rPr>
              <w:t>消防措施：本品不燃。切断气源。喷水冷却容器，可能的话将容器从火场移至空旷处。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Align w:val="center"/>
          </w:tcPr>
          <w:p>
            <w:pPr>
              <w:pStyle w:val="39"/>
              <w:rPr>
                <w:rFonts w:ascii="Times New Roman" w:hAnsi="Times New Roman"/>
              </w:rPr>
            </w:pPr>
            <w:r>
              <w:rPr>
                <w:rFonts w:ascii="Times New Roman" w:hAnsi="Times New Roman"/>
              </w:rPr>
              <w:t>毒性</w:t>
            </w:r>
          </w:p>
        </w:tc>
        <w:tc>
          <w:tcPr>
            <w:tcW w:w="8141" w:type="dxa"/>
            <w:gridSpan w:val="6"/>
            <w:vAlign w:val="center"/>
          </w:tcPr>
          <w:p>
            <w:pPr>
              <w:pStyle w:val="39"/>
              <w:rPr>
                <w:rFonts w:ascii="Times New Roman" w:hAnsi="Times New Roman"/>
              </w:rPr>
            </w:pPr>
            <w:r>
              <w:rPr>
                <w:rFonts w:ascii="Times New Roman" w:hAnsi="Times New Roman"/>
              </w:rPr>
              <w:t>接触限值：/</w:t>
            </w:r>
          </w:p>
          <w:p>
            <w:pPr>
              <w:pStyle w:val="39"/>
              <w:rPr>
                <w:rFonts w:ascii="Times New Roman" w:hAnsi="Times New Roman"/>
              </w:rPr>
            </w:pPr>
            <w:r>
              <w:rPr>
                <w:rFonts w:ascii="Times New Roman" w:hAnsi="Times New Roman"/>
              </w:rPr>
              <w:t>独立资料：/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2" w:type="dxa"/>
            <w:vAlign w:val="center"/>
          </w:tcPr>
          <w:p>
            <w:pPr>
              <w:pStyle w:val="39"/>
              <w:rPr>
                <w:rFonts w:ascii="Times New Roman" w:hAnsi="Times New Roman"/>
              </w:rPr>
            </w:pPr>
            <w:r>
              <w:rPr>
                <w:rFonts w:ascii="Times New Roman" w:hAnsi="Times New Roman"/>
              </w:rPr>
              <w:t>对人体危害</w:t>
            </w:r>
          </w:p>
        </w:tc>
        <w:tc>
          <w:tcPr>
            <w:tcW w:w="8141" w:type="dxa"/>
            <w:gridSpan w:val="6"/>
            <w:vAlign w:val="center"/>
          </w:tcPr>
          <w:p>
            <w:pPr>
              <w:pStyle w:val="39"/>
              <w:rPr>
                <w:rFonts w:ascii="Times New Roman" w:hAnsi="Times New Roman"/>
              </w:rPr>
            </w:pPr>
            <w:r>
              <w:rPr>
                <w:rFonts w:ascii="Times New Roman" w:hAnsi="Times New Roman"/>
              </w:rPr>
              <w:t>侵入途径：吸入。</w:t>
            </w:r>
          </w:p>
          <w:p>
            <w:pPr>
              <w:pStyle w:val="39"/>
              <w:rPr>
                <w:rFonts w:ascii="Times New Roman" w:hAnsi="Times New Roman"/>
              </w:rPr>
            </w:pPr>
            <w:r>
              <w:rPr>
                <w:rFonts w:ascii="Times New Roman" w:hAnsi="Times New Roman"/>
              </w:rPr>
              <w:t>健康危害：在低浓度时，对呼吸中枢呈兴奋作用，高浓度时则产生抑制甚至麻痹作用。中毒机制中还兼有缺氧的因素。急性中毒：人进入高浓度二氧化碳环境在几秒钟内迅速昏迷倒下，反射消失、瞳孔扩大或缩小、大小便失禁、呕吐等，更严重者出现呼吸停止及休克，甚至死亡。固态（干冰）和液态二氧化碳在常压下迅速汽化，能造成-80~-43℃低温，引起皮肤和眼睛严重的冻伤。慢性影响：经常接触较高浓度的二氧化碳者，可有头晕、头痛、失眠、易兴奋、无力等神经功能素乱等主诉。但在生产中是否存在慢性中毒国内外均未见病例报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62" w:type="dxa"/>
            <w:vAlign w:val="center"/>
          </w:tcPr>
          <w:p>
            <w:pPr>
              <w:pStyle w:val="39"/>
              <w:rPr>
                <w:rFonts w:ascii="Times New Roman" w:hAnsi="Times New Roman"/>
              </w:rPr>
            </w:pPr>
            <w:r>
              <w:rPr>
                <w:rFonts w:ascii="Times New Roman" w:hAnsi="Times New Roman"/>
              </w:rPr>
              <w:t>急救</w:t>
            </w:r>
          </w:p>
        </w:tc>
        <w:tc>
          <w:tcPr>
            <w:tcW w:w="8141" w:type="dxa"/>
            <w:gridSpan w:val="6"/>
            <w:vAlign w:val="center"/>
          </w:tcPr>
          <w:p>
            <w:pPr>
              <w:pStyle w:val="39"/>
              <w:rPr>
                <w:rFonts w:ascii="Times New Roman" w:hAnsi="Times New Roman"/>
              </w:rPr>
            </w:pPr>
            <w:r>
              <w:rPr>
                <w:rFonts w:ascii="Times New Roman" w:hAnsi="Times New Roman"/>
              </w:rPr>
              <w:t>眼：若有冻伤，就医治疗。</w:t>
            </w:r>
          </w:p>
          <w:p>
            <w:pPr>
              <w:pStyle w:val="39"/>
              <w:rPr>
                <w:rFonts w:ascii="Times New Roman" w:hAnsi="Times New Roman"/>
              </w:rPr>
            </w:pPr>
            <w:r>
              <w:rPr>
                <w:rFonts w:ascii="Times New Roman" w:hAnsi="Times New Roman"/>
              </w:rPr>
              <w:t>皮肤：若有冻伤，就医治疗。</w:t>
            </w:r>
          </w:p>
          <w:p>
            <w:pPr>
              <w:pStyle w:val="39"/>
              <w:rPr>
                <w:rFonts w:ascii="Times New Roman" w:hAnsi="Times New Roman"/>
              </w:rPr>
            </w:pPr>
            <w:r>
              <w:rPr>
                <w:rFonts w:ascii="Times New Roman" w:hAnsi="Times New Roman"/>
              </w:rPr>
              <w:t>吸入：迅速脱离现场至空气新鲜处。保持呼吸道通畅。如呼吸困难，给输氧。如呼吸停止，立即进行人工呼吸。就医。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62" w:type="dxa"/>
            <w:vAlign w:val="center"/>
          </w:tcPr>
          <w:p>
            <w:pPr>
              <w:pStyle w:val="39"/>
              <w:rPr>
                <w:rFonts w:ascii="Times New Roman" w:hAnsi="Times New Roman"/>
              </w:rPr>
            </w:pPr>
            <w:r>
              <w:rPr>
                <w:rFonts w:ascii="Times New Roman" w:hAnsi="Times New Roman"/>
              </w:rPr>
              <w:t>防护</w:t>
            </w:r>
          </w:p>
        </w:tc>
        <w:tc>
          <w:tcPr>
            <w:tcW w:w="8141" w:type="dxa"/>
            <w:gridSpan w:val="6"/>
            <w:vAlign w:val="center"/>
          </w:tcPr>
          <w:p>
            <w:pPr>
              <w:pStyle w:val="39"/>
              <w:rPr>
                <w:rFonts w:ascii="Times New Roman" w:hAnsi="Times New Roman"/>
              </w:rPr>
            </w:pPr>
            <w:r>
              <w:rPr>
                <w:rFonts w:ascii="Times New Roman" w:hAnsi="Times New Roman"/>
              </w:rPr>
              <w:t>工程防护：密闭操作，提供良好的自然通风条件。</w:t>
            </w:r>
          </w:p>
          <w:p>
            <w:pPr>
              <w:pStyle w:val="39"/>
              <w:rPr>
                <w:rFonts w:ascii="Times New Roman" w:hAnsi="Times New Roman"/>
              </w:rPr>
            </w:pPr>
            <w:r>
              <w:rPr>
                <w:rFonts w:ascii="Times New Roman" w:hAnsi="Times New Roman"/>
              </w:rPr>
              <w:t>呼吸系统防护：一般不需要特殊防护，高浓度接触时可佩戴空气呼吸器。</w:t>
            </w:r>
          </w:p>
          <w:p>
            <w:pPr>
              <w:pStyle w:val="39"/>
              <w:rPr>
                <w:rFonts w:ascii="Times New Roman" w:hAnsi="Times New Roman"/>
              </w:rPr>
            </w:pPr>
            <w:r>
              <w:rPr>
                <w:rFonts w:ascii="Times New Roman" w:hAnsi="Times New Roman"/>
              </w:rPr>
              <w:t>眼睛防护：一般不需要特殊防护。</w:t>
            </w:r>
          </w:p>
          <w:p>
            <w:pPr>
              <w:pStyle w:val="39"/>
              <w:rPr>
                <w:rFonts w:ascii="Times New Roman" w:hAnsi="Times New Roman"/>
              </w:rPr>
            </w:pPr>
            <w:r>
              <w:rPr>
                <w:rFonts w:ascii="Times New Roman" w:hAnsi="Times New Roman"/>
              </w:rPr>
              <w:t>身体防护：穿一般作业工作服。</w:t>
            </w:r>
          </w:p>
          <w:p>
            <w:pPr>
              <w:pStyle w:val="39"/>
              <w:rPr>
                <w:rFonts w:ascii="Times New Roman" w:hAnsi="Times New Roman"/>
              </w:rPr>
            </w:pPr>
            <w:r>
              <w:rPr>
                <w:rFonts w:ascii="Times New Roman" w:hAnsi="Times New Roman"/>
              </w:rPr>
              <w:t>手防护：戴一般作业防护手套</w:t>
            </w:r>
          </w:p>
          <w:p>
            <w:pPr>
              <w:pStyle w:val="39"/>
              <w:rPr>
                <w:rFonts w:ascii="Times New Roman" w:hAnsi="Times New Roman"/>
              </w:rPr>
            </w:pPr>
            <w:r>
              <w:rPr>
                <w:rFonts w:ascii="Times New Roman" w:hAnsi="Times New Roman"/>
              </w:rPr>
              <w:t>其他：避免高浓度吸入。进入罐、限制性空间或其它高浓度区作业，须有人监护。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62" w:type="dxa"/>
            <w:vAlign w:val="center"/>
          </w:tcPr>
          <w:p>
            <w:pPr>
              <w:pStyle w:val="39"/>
              <w:rPr>
                <w:rFonts w:ascii="Times New Roman" w:hAnsi="Times New Roman"/>
              </w:rPr>
            </w:pPr>
            <w:r>
              <w:rPr>
                <w:rFonts w:ascii="Times New Roman" w:hAnsi="Times New Roman"/>
              </w:rPr>
              <w:t>泄漏处理</w:t>
            </w:r>
          </w:p>
        </w:tc>
        <w:tc>
          <w:tcPr>
            <w:tcW w:w="8141" w:type="dxa"/>
            <w:gridSpan w:val="6"/>
            <w:vAlign w:val="center"/>
          </w:tcPr>
          <w:p>
            <w:pPr>
              <w:pStyle w:val="39"/>
              <w:rPr>
                <w:rFonts w:ascii="Times New Roman" w:hAnsi="Times New Roman"/>
              </w:rPr>
            </w:pPr>
            <w:r>
              <w:rPr>
                <w:rFonts w:ascii="Times New Roman" w:hAnsi="Times New Roman"/>
              </w:rPr>
              <w:t>迅速撤离泄漏污染区人员至上风处，并进行隔离，严格限制出入。建议应急处理人员戴自给正压式呼吸器，穿一般作业工作服。尽可能切断泄漏源。合理通风，加速扩散。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62" w:type="dxa"/>
            <w:vAlign w:val="center"/>
          </w:tcPr>
          <w:p>
            <w:pPr>
              <w:pStyle w:val="39"/>
              <w:rPr>
                <w:rFonts w:ascii="Times New Roman" w:hAnsi="Times New Roman"/>
              </w:rPr>
            </w:pPr>
            <w:r>
              <w:rPr>
                <w:rFonts w:ascii="Times New Roman" w:hAnsi="Times New Roman"/>
              </w:rPr>
              <w:t>贮运</w:t>
            </w:r>
          </w:p>
        </w:tc>
        <w:tc>
          <w:tcPr>
            <w:tcW w:w="8141" w:type="dxa"/>
            <w:gridSpan w:val="6"/>
            <w:vAlign w:val="center"/>
          </w:tcPr>
          <w:p>
            <w:pPr>
              <w:pStyle w:val="39"/>
              <w:rPr>
                <w:rFonts w:ascii="Times New Roman" w:hAnsi="Times New Roman"/>
              </w:rPr>
            </w:pPr>
            <w:r>
              <w:rPr>
                <w:rFonts w:ascii="Times New Roman" w:hAnsi="Times New Roman"/>
              </w:rPr>
              <w:t>包装标志：4   UN编号：1053   包装分类：Ⅱ   包装方法：钢质气瓶</w:t>
            </w:r>
          </w:p>
          <w:p>
            <w:pPr>
              <w:pStyle w:val="39"/>
              <w:rPr>
                <w:rFonts w:ascii="Times New Roman" w:hAnsi="Times New Roman"/>
              </w:rPr>
            </w:pPr>
            <w:r>
              <w:rPr>
                <w:rFonts w:ascii="Times New Roman" w:hAnsi="Times New Roman"/>
              </w:rPr>
              <w:t>储运条件：不燃性压缩气体。储存于阴凉、通风仓间内。仓内温度不宜超过30℃。远离火种、热源。防止阳光直射。应与易燃或可燃物分开存放。验收时要注意品名，注意验瓶日期，先进仓的先发用。搬运时轻装轻卸，防止钢瓶及附件破损。</w:t>
            </w:r>
          </w:p>
        </w:tc>
      </w:tr>
    </w:tbl>
    <w:p>
      <w:pPr>
        <w:pStyle w:val="5"/>
        <w:rPr>
          <w:rFonts w:ascii="Times New Roman" w:hAnsi="Times New Roman"/>
        </w:rPr>
      </w:pPr>
      <w:r>
        <w:rPr>
          <w:rFonts w:ascii="Times New Roman" w:hAnsi="Times New Roman"/>
        </w:rPr>
        <w:t>一氧化碳</w:t>
      </w:r>
    </w:p>
    <w:p>
      <w:pPr>
        <w:ind w:firstLine="480"/>
        <w:rPr>
          <w:rFonts w:ascii="Times New Roman" w:hAnsi="Times New Roman"/>
        </w:rPr>
      </w:pPr>
      <w:r>
        <w:rPr>
          <w:rFonts w:ascii="Times New Roman" w:hAnsi="Times New Roman"/>
        </w:rPr>
        <w:t>危险特性：一氧化碳是一种易燃易爆气体，与空气混合可形成爆炸性混合物。遇明火、高热能燃烧爆炸。</w:t>
      </w:r>
    </w:p>
    <w:p>
      <w:pPr>
        <w:ind w:firstLine="480"/>
        <w:rPr>
          <w:rFonts w:ascii="Times New Roman" w:hAnsi="Times New Roman"/>
        </w:rPr>
      </w:pPr>
      <w:r>
        <w:rPr>
          <w:rFonts w:ascii="Times New Roman" w:hAnsi="Times New Roman"/>
        </w:rPr>
        <w:t>灭火方法：切断气源。若不能切断气源，则不允许熄灭泄漏处的火焰。喷水冷却器，可能的话将容器从火场移至空旷处。灭火剂：干粉、泡沫、CO</w:t>
      </w:r>
      <w:r>
        <w:rPr>
          <w:rFonts w:ascii="Times New Roman" w:hAnsi="Times New Roman"/>
          <w:vertAlign w:val="subscript"/>
        </w:rPr>
        <w:t>2</w:t>
      </w:r>
      <w:r>
        <w:rPr>
          <w:rFonts w:ascii="Times New Roman" w:hAnsi="Times New Roman"/>
        </w:rPr>
        <w:t>、雾状水。</w:t>
      </w:r>
    </w:p>
    <w:p>
      <w:pPr>
        <w:ind w:firstLine="480"/>
        <w:rPr>
          <w:rFonts w:ascii="Times New Roman" w:hAnsi="Times New Roman"/>
        </w:rPr>
      </w:pPr>
      <w:r>
        <w:rPr>
          <w:rFonts w:ascii="Times New Roman" w:hAnsi="Times New Roman"/>
        </w:rPr>
        <w:t>稳定性：稳定。聚合危害：不聚合。禁忌物：强氧化剂，碱类。燃烧分解产物：CO</w:t>
      </w:r>
      <w:r>
        <w:rPr>
          <w:rFonts w:ascii="Times New Roman" w:hAnsi="Times New Roman"/>
          <w:vertAlign w:val="subscript"/>
        </w:rPr>
        <w:t>2</w:t>
      </w:r>
      <w:r>
        <w:rPr>
          <w:rFonts w:ascii="Times New Roman" w:hAnsi="Times New Roman"/>
        </w:rPr>
        <w:t>。</w:t>
      </w:r>
    </w:p>
    <w:p>
      <w:pPr>
        <w:ind w:firstLine="480"/>
        <w:rPr>
          <w:rFonts w:ascii="Times New Roman" w:hAnsi="Times New Roman"/>
        </w:rPr>
      </w:pPr>
      <w:r>
        <w:rPr>
          <w:rFonts w:ascii="Times New Roman" w:hAnsi="Times New Roman"/>
        </w:rPr>
        <w:t>健康危害：侵入途径：吸入；一氧化碳在血中与血红蛋白结合而造成组织缺氧。</w:t>
      </w:r>
    </w:p>
    <w:p>
      <w:pPr>
        <w:ind w:firstLine="480"/>
        <w:rPr>
          <w:rFonts w:ascii="Times New Roman" w:hAnsi="Times New Roman"/>
        </w:rPr>
      </w:pPr>
      <w:r>
        <w:rPr>
          <w:rFonts w:ascii="Times New Roman" w:hAnsi="Times New Roman"/>
        </w:rPr>
        <w:t>急救措施：迅速脱离现场至空气新鲜处。保持呼吸道畅通。如呼吸困难，给输氧。呼吸心跳停止时，立即进行人工呼吸和胸外心脏按压术。就医。</w:t>
      </w:r>
    </w:p>
    <w:p>
      <w:pPr>
        <w:ind w:firstLine="480"/>
        <w:rPr>
          <w:rFonts w:ascii="Times New Roman" w:hAnsi="Times New Roman"/>
        </w:rPr>
      </w:pPr>
      <w:r>
        <w:rPr>
          <w:rFonts w:ascii="Times New Roman" w:hAnsi="Times New Roman"/>
        </w:rPr>
        <w:t>泄漏应急处理：迅速撤离泄漏污染区人员至上风处，并立即隔离150m，严格限制出入。切断火源。建议应急处理人员戴自给正压式呼吸器，穿防静电工作服。尽可能切断泄漏源。合理通风，加速扩散。喷雾状水稀释、溶解。构筑围堤或挖坑收容产生的大量废水。如有可能，将漏出气用排风机送至空旷地方或装设适当喷头烧掉。也可以用管路导至炉中、凹地焚之。漏气容器要妥善处理，修复、检验后再用。</w:t>
      </w:r>
    </w:p>
    <w:p>
      <w:pPr>
        <w:ind w:firstLine="480"/>
        <w:rPr>
          <w:rFonts w:ascii="Times New Roman" w:hAnsi="Times New Roman"/>
        </w:rPr>
      </w:pPr>
      <w:r>
        <w:rPr>
          <w:rFonts w:ascii="Times New Roman" w:hAnsi="Times New Roman"/>
        </w:rPr>
        <w:t>储运注意事项：储存于阴凉、通风的库房。远离火种、热源。库温不宜超过30℃。应与氧化剂、碱类、食用化学品分开存放，切忌混储。采用防爆型照明、通风设施。禁止使用易产生火花的机械设备和工具。储区应备有泄漏应急处理设备。严禁与氧化剂、碱类、食用化学品等混装混运。夏季应早晚运输，防止日光曝晒。中途停留时应远离火种、热源。公路运输时要按规定路线行驶，禁止在居民区和人口稠密区停留。铁路运输时要禁止溜放。</w:t>
      </w:r>
    </w:p>
    <w:p>
      <w:pPr>
        <w:ind w:firstLine="480"/>
        <w:rPr>
          <w:rFonts w:ascii="Times New Roman" w:hAnsi="Times New Roman"/>
        </w:rPr>
      </w:pPr>
      <w:r>
        <w:rPr>
          <w:rFonts w:ascii="Times New Roman" w:hAnsi="Times New Roman"/>
        </w:rPr>
        <w:t>环境资料：该物质对环境危害，应特别注意对地表水、土壤、大气和饮用水的污染。</w:t>
      </w:r>
    </w:p>
    <w:p>
      <w:pPr>
        <w:pStyle w:val="37"/>
        <w:rPr>
          <w:rFonts w:ascii="Times New Roman" w:hAnsi="Times New Roman" w:cs="Times New Roman"/>
        </w:rPr>
      </w:pPr>
      <w:bookmarkStart w:id="270" w:name="_Ref822586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18</w:t>
      </w:r>
      <w:r>
        <w:rPr>
          <w:rFonts w:ascii="Times New Roman" w:hAnsi="Times New Roman" w:cs="Times New Roman"/>
        </w:rPr>
        <w:fldChar w:fldCharType="end"/>
      </w:r>
      <w:bookmarkEnd w:id="270"/>
      <w:r>
        <w:rPr>
          <w:rFonts w:ascii="Times New Roman" w:hAnsi="Times New Roman" w:cs="Times New Roman"/>
        </w:rPr>
        <w:t xml:space="preserve">   一氧化碳危险特性</w:t>
      </w:r>
    </w:p>
    <w:tbl>
      <w:tblPr>
        <w:tblStyle w:val="28"/>
        <w:tblpPr w:leftFromText="180" w:rightFromText="180" w:vertAnchor="text" w:tblpXSpec="center" w:tblpY="1"/>
        <w:tblOverlap w:val="never"/>
        <w:tblW w:w="5209" w:type="pct"/>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autofit"/>
        <w:tblCellMar>
          <w:top w:w="0" w:type="dxa"/>
          <w:left w:w="108" w:type="dxa"/>
          <w:bottom w:w="0" w:type="dxa"/>
          <w:right w:w="108" w:type="dxa"/>
        </w:tblCellMar>
      </w:tblPr>
      <w:tblGrid>
        <w:gridCol w:w="566"/>
        <w:gridCol w:w="1709"/>
        <w:gridCol w:w="1978"/>
        <w:gridCol w:w="1234"/>
        <w:gridCol w:w="885"/>
        <w:gridCol w:w="71"/>
        <w:gridCol w:w="2269"/>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1306" w:type="pct"/>
            <w:gridSpan w:val="2"/>
            <w:tcMar>
              <w:left w:w="28" w:type="dxa"/>
              <w:right w:w="28" w:type="dxa"/>
            </w:tcMar>
            <w:vAlign w:val="center"/>
          </w:tcPr>
          <w:p>
            <w:pPr>
              <w:pStyle w:val="39"/>
              <w:adjustRightInd w:val="0"/>
              <w:snapToGrid w:val="0"/>
              <w:rPr>
                <w:rFonts w:ascii="Times New Roman" w:hAnsi="Times New Roman"/>
              </w:rPr>
            </w:pPr>
            <w:r>
              <w:rPr>
                <w:rFonts w:ascii="Times New Roman" w:hAnsi="Times New Roman"/>
              </w:rPr>
              <w:t>中文名称</w:t>
            </w:r>
          </w:p>
        </w:tc>
        <w:tc>
          <w:tcPr>
            <w:tcW w:w="1135"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一氧化碳</w:t>
            </w:r>
          </w:p>
        </w:tc>
        <w:tc>
          <w:tcPr>
            <w:tcW w:w="1216" w:type="pct"/>
            <w:gridSpan w:val="2"/>
            <w:tcMar>
              <w:left w:w="28" w:type="dxa"/>
              <w:right w:w="28" w:type="dxa"/>
            </w:tcMar>
            <w:vAlign w:val="center"/>
          </w:tcPr>
          <w:p>
            <w:pPr>
              <w:pStyle w:val="39"/>
              <w:adjustRightInd w:val="0"/>
              <w:snapToGrid w:val="0"/>
              <w:rPr>
                <w:rFonts w:ascii="Times New Roman" w:hAnsi="Times New Roman"/>
              </w:rPr>
            </w:pPr>
            <w:r>
              <w:rPr>
                <w:rFonts w:ascii="Times New Roman" w:hAnsi="Times New Roman"/>
              </w:rPr>
              <w:t>英文名称</w:t>
            </w:r>
          </w:p>
        </w:tc>
        <w:tc>
          <w:tcPr>
            <w:tcW w:w="1343" w:type="pct"/>
            <w:gridSpan w:val="2"/>
            <w:tcMar>
              <w:left w:w="28" w:type="dxa"/>
              <w:right w:w="28" w:type="dxa"/>
            </w:tcMar>
            <w:vAlign w:val="center"/>
          </w:tcPr>
          <w:p>
            <w:pPr>
              <w:pStyle w:val="39"/>
              <w:adjustRightInd w:val="0"/>
              <w:snapToGrid w:val="0"/>
              <w:rPr>
                <w:rFonts w:ascii="Times New Roman" w:hAnsi="Times New Roman"/>
              </w:rPr>
            </w:pPr>
            <w:r>
              <w:rPr>
                <w:rFonts w:ascii="Times New Roman" w:hAnsi="Times New Roman"/>
              </w:rPr>
              <w:t>carbon monoxide</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1306" w:type="pct"/>
            <w:gridSpan w:val="2"/>
            <w:tcMar>
              <w:left w:w="28" w:type="dxa"/>
              <w:right w:w="28" w:type="dxa"/>
            </w:tcMar>
            <w:vAlign w:val="center"/>
          </w:tcPr>
          <w:p>
            <w:pPr>
              <w:pStyle w:val="39"/>
              <w:adjustRightInd w:val="0"/>
              <w:snapToGrid w:val="0"/>
              <w:rPr>
                <w:rFonts w:ascii="Times New Roman" w:hAnsi="Times New Roman"/>
              </w:rPr>
            </w:pPr>
            <w:r>
              <w:rPr>
                <w:rFonts w:ascii="Times New Roman" w:hAnsi="Times New Roman"/>
              </w:rPr>
              <w:t>分子式</w:t>
            </w:r>
          </w:p>
        </w:tc>
        <w:tc>
          <w:tcPr>
            <w:tcW w:w="1135"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CO</w:t>
            </w:r>
          </w:p>
        </w:tc>
        <w:tc>
          <w:tcPr>
            <w:tcW w:w="1216" w:type="pct"/>
            <w:gridSpan w:val="2"/>
            <w:tcMar>
              <w:left w:w="28" w:type="dxa"/>
              <w:right w:w="28" w:type="dxa"/>
            </w:tcMar>
            <w:vAlign w:val="center"/>
          </w:tcPr>
          <w:p>
            <w:pPr>
              <w:pStyle w:val="39"/>
              <w:adjustRightInd w:val="0"/>
              <w:snapToGrid w:val="0"/>
              <w:rPr>
                <w:rFonts w:ascii="Times New Roman" w:hAnsi="Times New Roman"/>
              </w:rPr>
            </w:pPr>
            <w:r>
              <w:rPr>
                <w:rFonts w:ascii="Times New Roman" w:hAnsi="Times New Roman"/>
              </w:rPr>
              <w:t>分子量</w:t>
            </w:r>
          </w:p>
        </w:tc>
        <w:tc>
          <w:tcPr>
            <w:tcW w:w="1343" w:type="pct"/>
            <w:gridSpan w:val="2"/>
            <w:tcMar>
              <w:left w:w="28" w:type="dxa"/>
              <w:right w:w="28" w:type="dxa"/>
            </w:tcMar>
            <w:vAlign w:val="center"/>
          </w:tcPr>
          <w:p>
            <w:pPr>
              <w:pStyle w:val="39"/>
              <w:adjustRightInd w:val="0"/>
              <w:snapToGrid w:val="0"/>
              <w:rPr>
                <w:rFonts w:ascii="Times New Roman" w:hAnsi="Times New Roman"/>
              </w:rPr>
            </w:pPr>
            <w:r>
              <w:rPr>
                <w:rFonts w:ascii="Times New Roman" w:hAnsi="Times New Roman"/>
              </w:rPr>
              <w:t>28</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1306" w:type="pct"/>
            <w:gridSpan w:val="2"/>
            <w:tcMar>
              <w:left w:w="28" w:type="dxa"/>
              <w:right w:w="28" w:type="dxa"/>
            </w:tcMar>
            <w:vAlign w:val="center"/>
          </w:tcPr>
          <w:p>
            <w:pPr>
              <w:pStyle w:val="39"/>
              <w:adjustRightInd w:val="0"/>
              <w:snapToGrid w:val="0"/>
              <w:rPr>
                <w:rFonts w:ascii="Times New Roman" w:hAnsi="Times New Roman"/>
              </w:rPr>
            </w:pPr>
            <w:r>
              <w:rPr>
                <w:rFonts w:ascii="Times New Roman" w:hAnsi="Times New Roman"/>
              </w:rPr>
              <w:t>CAS号：630-08-0</w:t>
            </w:r>
          </w:p>
        </w:tc>
        <w:tc>
          <w:tcPr>
            <w:tcW w:w="2350" w:type="pct"/>
            <w:gridSpan w:val="3"/>
            <w:vAlign w:val="center"/>
          </w:tcPr>
          <w:p>
            <w:pPr>
              <w:pStyle w:val="39"/>
              <w:adjustRightInd w:val="0"/>
              <w:snapToGrid w:val="0"/>
              <w:rPr>
                <w:rFonts w:ascii="Times New Roman" w:hAnsi="Times New Roman"/>
              </w:rPr>
            </w:pPr>
            <w:r>
              <w:rPr>
                <w:rFonts w:ascii="Times New Roman" w:hAnsi="Times New Roman"/>
              </w:rPr>
              <w:t>UN编码：1016</w:t>
            </w:r>
          </w:p>
        </w:tc>
        <w:tc>
          <w:tcPr>
            <w:tcW w:w="1343" w:type="pct"/>
            <w:gridSpan w:val="2"/>
            <w:vAlign w:val="center"/>
          </w:tcPr>
          <w:p>
            <w:pPr>
              <w:pStyle w:val="39"/>
              <w:adjustRightInd w:val="0"/>
              <w:snapToGrid w:val="0"/>
              <w:rPr>
                <w:rFonts w:ascii="Times New Roman" w:hAnsi="Times New Roman"/>
              </w:rPr>
            </w:pPr>
            <w:r>
              <w:rPr>
                <w:rFonts w:ascii="Times New Roman" w:hAnsi="Times New Roman"/>
              </w:rPr>
              <w:t>危险货物编码：21005</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restart"/>
            <w:tcMar>
              <w:left w:w="28" w:type="dxa"/>
              <w:right w:w="28" w:type="dxa"/>
            </w:tcMar>
            <w:vAlign w:val="center"/>
          </w:tcPr>
          <w:p>
            <w:pPr>
              <w:pStyle w:val="39"/>
              <w:adjustRightInd w:val="0"/>
              <w:snapToGrid w:val="0"/>
              <w:rPr>
                <w:rFonts w:ascii="Times New Roman" w:hAnsi="Times New Roman"/>
              </w:rPr>
            </w:pPr>
            <w:r>
              <w:rPr>
                <w:rFonts w:ascii="Times New Roman" w:hAnsi="Times New Roman"/>
              </w:rPr>
              <w:t>危险性</w:t>
            </w: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危险性类别</w:t>
            </w:r>
          </w:p>
        </w:tc>
        <w:tc>
          <w:tcPr>
            <w:tcW w:w="3694" w:type="pct"/>
            <w:gridSpan w:val="5"/>
            <w:tcMar>
              <w:left w:w="28" w:type="dxa"/>
              <w:right w:w="28" w:type="dxa"/>
            </w:tcMar>
            <w:vAlign w:val="center"/>
          </w:tcPr>
          <w:p>
            <w:pPr>
              <w:pStyle w:val="39"/>
              <w:adjustRightInd w:val="0"/>
              <w:snapToGrid w:val="0"/>
              <w:rPr>
                <w:rFonts w:ascii="Times New Roman" w:hAnsi="Times New Roman"/>
              </w:rPr>
            </w:pPr>
            <w:r>
              <w:rPr>
                <w:rFonts w:ascii="Times New Roman" w:hAnsi="Times New Roman"/>
              </w:rPr>
              <w:t>第2.3类毒性气体</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侵入途径</w:t>
            </w:r>
          </w:p>
        </w:tc>
        <w:tc>
          <w:tcPr>
            <w:tcW w:w="3694" w:type="pct"/>
            <w:gridSpan w:val="5"/>
            <w:tcMar>
              <w:left w:w="28" w:type="dxa"/>
              <w:right w:w="28" w:type="dxa"/>
            </w:tcMar>
            <w:vAlign w:val="center"/>
          </w:tcPr>
          <w:p>
            <w:pPr>
              <w:pStyle w:val="39"/>
              <w:adjustRightInd w:val="0"/>
              <w:snapToGrid w:val="0"/>
              <w:rPr>
                <w:rFonts w:ascii="Times New Roman" w:hAnsi="Times New Roman"/>
              </w:rPr>
            </w:pPr>
            <w:r>
              <w:rPr>
                <w:rFonts w:ascii="Times New Roman" w:hAnsi="Times New Roman"/>
              </w:rPr>
              <w:t>吸入，吸入后头痛，意识模糊，头晕恶心，神志不清。</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环境危害</w:t>
            </w:r>
          </w:p>
        </w:tc>
        <w:tc>
          <w:tcPr>
            <w:tcW w:w="3694" w:type="pct"/>
            <w:gridSpan w:val="5"/>
            <w:tcMar>
              <w:left w:w="28" w:type="dxa"/>
              <w:right w:w="28" w:type="dxa"/>
            </w:tcMar>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燃爆危险</w:t>
            </w:r>
          </w:p>
        </w:tc>
        <w:tc>
          <w:tcPr>
            <w:tcW w:w="3694" w:type="pct"/>
            <w:gridSpan w:val="5"/>
            <w:tcMar>
              <w:left w:w="28" w:type="dxa"/>
              <w:right w:w="28" w:type="dxa"/>
            </w:tcMar>
            <w:vAlign w:val="center"/>
          </w:tcPr>
          <w:p>
            <w:pPr>
              <w:pStyle w:val="39"/>
              <w:adjustRightInd w:val="0"/>
              <w:snapToGrid w:val="0"/>
              <w:rPr>
                <w:rFonts w:ascii="Times New Roman" w:hAnsi="Times New Roman"/>
              </w:rPr>
            </w:pPr>
            <w:r>
              <w:rPr>
                <w:rFonts w:ascii="Times New Roman" w:hAnsi="Times New Roman"/>
              </w:rPr>
              <w:t>本品极易燃。</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restart"/>
            <w:tcMar>
              <w:left w:w="28" w:type="dxa"/>
              <w:right w:w="28" w:type="dxa"/>
            </w:tcMar>
            <w:vAlign w:val="center"/>
          </w:tcPr>
          <w:p>
            <w:pPr>
              <w:pStyle w:val="39"/>
              <w:adjustRightInd w:val="0"/>
              <w:snapToGrid w:val="0"/>
              <w:rPr>
                <w:rFonts w:ascii="Times New Roman" w:hAnsi="Times New Roman"/>
              </w:rPr>
            </w:pPr>
            <w:r>
              <w:rPr>
                <w:rFonts w:ascii="Times New Roman" w:hAnsi="Times New Roman"/>
              </w:rPr>
              <w:t>急救措施</w:t>
            </w: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皮肤接触</w:t>
            </w:r>
          </w:p>
        </w:tc>
        <w:tc>
          <w:tcPr>
            <w:tcW w:w="3694" w:type="pct"/>
            <w:gridSpan w:val="5"/>
            <w:tcMar>
              <w:left w:w="28" w:type="dxa"/>
              <w:right w:w="28" w:type="dxa"/>
            </w:tcMar>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眼睛接触</w:t>
            </w:r>
          </w:p>
        </w:tc>
        <w:tc>
          <w:tcPr>
            <w:tcW w:w="3694" w:type="pct"/>
            <w:gridSpan w:val="5"/>
            <w:tcMar>
              <w:left w:w="28" w:type="dxa"/>
              <w:right w:w="28" w:type="dxa"/>
            </w:tcMar>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吸入</w:t>
            </w:r>
          </w:p>
        </w:tc>
        <w:tc>
          <w:tcPr>
            <w:tcW w:w="3694" w:type="pct"/>
            <w:gridSpan w:val="5"/>
            <w:tcMar>
              <w:left w:w="28" w:type="dxa"/>
              <w:right w:w="28" w:type="dxa"/>
            </w:tcMar>
            <w:vAlign w:val="center"/>
          </w:tcPr>
          <w:p>
            <w:pPr>
              <w:pStyle w:val="39"/>
              <w:adjustRightInd w:val="0"/>
              <w:snapToGrid w:val="0"/>
              <w:rPr>
                <w:rFonts w:ascii="Times New Roman" w:hAnsi="Times New Roman"/>
              </w:rPr>
            </w:pPr>
            <w:r>
              <w:rPr>
                <w:rFonts w:ascii="Times New Roman" w:hAnsi="Times New Roman"/>
              </w:rPr>
              <w:t>新鲜空气，休息。必要时进行人工呼吸，给与医疗护理。</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食入</w:t>
            </w:r>
          </w:p>
        </w:tc>
        <w:tc>
          <w:tcPr>
            <w:tcW w:w="3694" w:type="pct"/>
            <w:gridSpan w:val="5"/>
            <w:tcMar>
              <w:left w:w="28" w:type="dxa"/>
              <w:right w:w="28" w:type="dxa"/>
            </w:tcMar>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1306" w:type="pct"/>
            <w:gridSpan w:val="2"/>
            <w:tcMar>
              <w:left w:w="28" w:type="dxa"/>
              <w:right w:w="28" w:type="dxa"/>
            </w:tcMar>
            <w:vAlign w:val="center"/>
          </w:tcPr>
          <w:p>
            <w:pPr>
              <w:pStyle w:val="39"/>
              <w:adjustRightInd w:val="0"/>
              <w:snapToGrid w:val="0"/>
              <w:rPr>
                <w:rFonts w:ascii="Times New Roman" w:hAnsi="Times New Roman"/>
              </w:rPr>
            </w:pPr>
            <w:r>
              <w:rPr>
                <w:rFonts w:ascii="Times New Roman" w:hAnsi="Times New Roman"/>
              </w:rPr>
              <w:t>灭火剂</w:t>
            </w:r>
          </w:p>
        </w:tc>
        <w:tc>
          <w:tcPr>
            <w:tcW w:w="3694" w:type="pct"/>
            <w:gridSpan w:val="5"/>
            <w:tcMar>
              <w:left w:w="28" w:type="dxa"/>
              <w:right w:w="28" w:type="dxa"/>
            </w:tcMar>
            <w:vAlign w:val="center"/>
          </w:tcPr>
          <w:p>
            <w:pPr>
              <w:pStyle w:val="39"/>
              <w:adjustRightInd w:val="0"/>
              <w:snapToGrid w:val="0"/>
              <w:rPr>
                <w:rFonts w:ascii="Times New Roman" w:hAnsi="Times New Roman"/>
              </w:rPr>
            </w:pPr>
            <w:r>
              <w:rPr>
                <w:rFonts w:ascii="Times New Roman" w:hAnsi="Times New Roman"/>
              </w:rPr>
              <w:t>二氧化碳、雾状水、干粉。</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1306" w:type="pct"/>
            <w:gridSpan w:val="2"/>
            <w:tcMar>
              <w:left w:w="28" w:type="dxa"/>
              <w:right w:w="28" w:type="dxa"/>
            </w:tcMar>
            <w:vAlign w:val="center"/>
          </w:tcPr>
          <w:p>
            <w:pPr>
              <w:pStyle w:val="39"/>
              <w:adjustRightInd w:val="0"/>
              <w:snapToGrid w:val="0"/>
              <w:rPr>
                <w:rFonts w:ascii="Times New Roman" w:hAnsi="Times New Roman"/>
              </w:rPr>
            </w:pPr>
            <w:r>
              <w:rPr>
                <w:rFonts w:ascii="Times New Roman" w:hAnsi="Times New Roman"/>
              </w:rPr>
              <w:t>泄漏应急处理</w:t>
            </w:r>
          </w:p>
        </w:tc>
        <w:tc>
          <w:tcPr>
            <w:tcW w:w="3694" w:type="pct"/>
            <w:gridSpan w:val="5"/>
            <w:tcMar>
              <w:left w:w="28" w:type="dxa"/>
              <w:right w:w="28" w:type="dxa"/>
            </w:tcMar>
            <w:vAlign w:val="center"/>
          </w:tcPr>
          <w:p>
            <w:pPr>
              <w:pStyle w:val="39"/>
              <w:adjustRightInd w:val="0"/>
              <w:snapToGrid w:val="0"/>
              <w:rPr>
                <w:rFonts w:ascii="Times New Roman" w:hAnsi="Times New Roman"/>
              </w:rPr>
            </w:pPr>
            <w:r>
              <w:rPr>
                <w:rFonts w:ascii="Times New Roman" w:hAnsi="Times New Roman"/>
              </w:rPr>
              <w:t>撤离危险区域，转移全部引燃源，通风。</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restart"/>
            <w:tcMar>
              <w:left w:w="28" w:type="dxa"/>
              <w:right w:w="28" w:type="dxa"/>
            </w:tcMar>
            <w:vAlign w:val="center"/>
          </w:tcPr>
          <w:p>
            <w:pPr>
              <w:pStyle w:val="39"/>
              <w:adjustRightInd w:val="0"/>
              <w:snapToGrid w:val="0"/>
              <w:rPr>
                <w:rFonts w:ascii="Times New Roman" w:hAnsi="Times New Roman"/>
              </w:rPr>
            </w:pPr>
            <w:r>
              <w:rPr>
                <w:rFonts w:ascii="Times New Roman" w:hAnsi="Times New Roman"/>
              </w:rPr>
              <w:t>接触控制与个体防护</w:t>
            </w:r>
          </w:p>
        </w:tc>
        <w:tc>
          <w:tcPr>
            <w:tcW w:w="981" w:type="pct"/>
            <w:vMerge w:val="restart"/>
            <w:tcMar>
              <w:left w:w="28" w:type="dxa"/>
              <w:right w:w="28" w:type="dxa"/>
            </w:tcMar>
            <w:vAlign w:val="center"/>
          </w:tcPr>
          <w:p>
            <w:pPr>
              <w:pStyle w:val="39"/>
              <w:adjustRightInd w:val="0"/>
              <w:snapToGrid w:val="0"/>
              <w:rPr>
                <w:rFonts w:ascii="Times New Roman" w:hAnsi="Times New Roman"/>
              </w:rPr>
            </w:pPr>
            <w:r>
              <w:rPr>
                <w:rFonts w:ascii="Times New Roman" w:hAnsi="Times New Roman"/>
              </w:rPr>
              <w:t>接触限值</w:t>
            </w:r>
          </w:p>
        </w:tc>
        <w:tc>
          <w:tcPr>
            <w:tcW w:w="1843" w:type="pct"/>
            <w:gridSpan w:val="2"/>
            <w:tcMar>
              <w:left w:w="28" w:type="dxa"/>
              <w:right w:w="28" w:type="dxa"/>
            </w:tcMar>
            <w:vAlign w:val="center"/>
          </w:tcPr>
          <w:p>
            <w:pPr>
              <w:pStyle w:val="39"/>
              <w:adjustRightInd w:val="0"/>
              <w:snapToGrid w:val="0"/>
              <w:rPr>
                <w:rFonts w:ascii="Times New Roman" w:hAnsi="Times New Roman"/>
              </w:rPr>
            </w:pPr>
            <w:r>
              <w:rPr>
                <w:rFonts w:ascii="Times New Roman" w:hAnsi="Times New Roman"/>
              </w:rPr>
              <w:t>LC</w:t>
            </w:r>
            <w:r>
              <w:rPr>
                <w:rFonts w:ascii="Times New Roman" w:hAnsi="Times New Roman"/>
                <w:vertAlign w:val="subscript"/>
              </w:rPr>
              <w:t>50</w:t>
            </w:r>
            <w:r>
              <w:rPr>
                <w:rFonts w:ascii="Times New Roman" w:hAnsi="Times New Roman"/>
              </w:rPr>
              <w:t>（mg/m³）</w:t>
            </w:r>
          </w:p>
        </w:tc>
        <w:tc>
          <w:tcPr>
            <w:tcW w:w="1851" w:type="pct"/>
            <w:gridSpan w:val="3"/>
            <w:tcMar>
              <w:left w:w="28" w:type="dxa"/>
              <w:right w:w="28" w:type="dxa"/>
            </w:tcMar>
            <w:vAlign w:val="center"/>
          </w:tcPr>
          <w:p>
            <w:pPr>
              <w:pStyle w:val="39"/>
              <w:adjustRightInd w:val="0"/>
              <w:snapToGrid w:val="0"/>
              <w:rPr>
                <w:rFonts w:ascii="Times New Roman" w:hAnsi="Times New Roman"/>
              </w:rPr>
            </w:pPr>
            <w:r>
              <w:rPr>
                <w:rFonts w:ascii="Times New Roman" w:hAnsi="Times New Roman"/>
              </w:rPr>
              <w:t>2069</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vMerge w:val="continue"/>
            <w:tcMar>
              <w:left w:w="28" w:type="dxa"/>
              <w:right w:w="28" w:type="dxa"/>
            </w:tcMar>
            <w:vAlign w:val="center"/>
          </w:tcPr>
          <w:p>
            <w:pPr>
              <w:pStyle w:val="39"/>
              <w:adjustRightInd w:val="0"/>
              <w:snapToGrid w:val="0"/>
              <w:rPr>
                <w:rFonts w:ascii="Times New Roman" w:hAnsi="Times New Roman"/>
              </w:rPr>
            </w:pPr>
          </w:p>
        </w:tc>
        <w:tc>
          <w:tcPr>
            <w:tcW w:w="1843" w:type="pct"/>
            <w:gridSpan w:val="2"/>
            <w:tcMar>
              <w:left w:w="28" w:type="dxa"/>
              <w:right w:w="28" w:type="dxa"/>
            </w:tcMar>
            <w:vAlign w:val="center"/>
          </w:tcPr>
          <w:p>
            <w:pPr>
              <w:pStyle w:val="39"/>
              <w:adjustRightInd w:val="0"/>
              <w:snapToGrid w:val="0"/>
              <w:rPr>
                <w:rFonts w:ascii="Times New Roman" w:hAnsi="Times New Roman"/>
              </w:rPr>
            </w:pPr>
            <w:r>
              <w:rPr>
                <w:rFonts w:ascii="Times New Roman" w:hAnsi="Times New Roman"/>
              </w:rPr>
              <w:t>最高容许浓度（mg/m³）</w:t>
            </w:r>
          </w:p>
        </w:tc>
        <w:tc>
          <w:tcPr>
            <w:tcW w:w="1851" w:type="pct"/>
            <w:gridSpan w:val="3"/>
            <w:tcMar>
              <w:left w:w="28" w:type="dxa"/>
              <w:right w:w="28" w:type="dxa"/>
            </w:tcMar>
            <w:vAlign w:val="center"/>
          </w:tcPr>
          <w:p>
            <w:pPr>
              <w:pStyle w:val="39"/>
              <w:adjustRightInd w:val="0"/>
              <w:snapToGrid w:val="0"/>
              <w:rPr>
                <w:rFonts w:ascii="Times New Roman" w:hAnsi="Times New Roman"/>
              </w:rPr>
            </w:pPr>
            <w:r>
              <w:rPr>
                <w:rFonts w:ascii="Times New Roman" w:hAnsi="Times New Roman"/>
              </w:rPr>
              <w:t>35</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vMerge w:val="continue"/>
            <w:tcMar>
              <w:left w:w="28" w:type="dxa"/>
              <w:right w:w="28" w:type="dxa"/>
            </w:tcMar>
            <w:vAlign w:val="center"/>
          </w:tcPr>
          <w:p>
            <w:pPr>
              <w:pStyle w:val="39"/>
              <w:adjustRightInd w:val="0"/>
              <w:snapToGrid w:val="0"/>
              <w:rPr>
                <w:rFonts w:ascii="Times New Roman" w:hAnsi="Times New Roman"/>
              </w:rPr>
            </w:pPr>
          </w:p>
        </w:tc>
        <w:tc>
          <w:tcPr>
            <w:tcW w:w="1843" w:type="pct"/>
            <w:gridSpan w:val="2"/>
            <w:tcMar>
              <w:left w:w="28" w:type="dxa"/>
              <w:right w:w="28" w:type="dxa"/>
            </w:tcMar>
            <w:vAlign w:val="center"/>
          </w:tcPr>
          <w:p>
            <w:pPr>
              <w:pStyle w:val="39"/>
              <w:adjustRightInd w:val="0"/>
              <w:snapToGrid w:val="0"/>
              <w:rPr>
                <w:rFonts w:ascii="Times New Roman" w:hAnsi="Times New Roman"/>
              </w:rPr>
            </w:pPr>
            <w:r>
              <w:rPr>
                <w:rFonts w:ascii="Times New Roman" w:hAnsi="Times New Roman"/>
              </w:rPr>
              <w:t>短时间接触容许浓度（mg/m³）</w:t>
            </w:r>
          </w:p>
        </w:tc>
        <w:tc>
          <w:tcPr>
            <w:tcW w:w="1851" w:type="pct"/>
            <w:gridSpan w:val="3"/>
            <w:tcMar>
              <w:left w:w="28" w:type="dxa"/>
              <w:right w:w="28" w:type="dxa"/>
            </w:tcMar>
            <w:vAlign w:val="center"/>
          </w:tcPr>
          <w:p>
            <w:pPr>
              <w:pStyle w:val="39"/>
              <w:adjustRightInd w:val="0"/>
              <w:snapToGrid w:val="0"/>
              <w:rPr>
                <w:rFonts w:ascii="Times New Roman" w:hAnsi="Times New Roman"/>
              </w:rPr>
            </w:pPr>
            <w:r>
              <w:rPr>
                <w:rFonts w:ascii="Times New Roman" w:hAnsi="Times New Roman"/>
              </w:rPr>
              <w:t>30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vMerge w:val="continue"/>
            <w:tcMar>
              <w:left w:w="28" w:type="dxa"/>
              <w:right w:w="28" w:type="dxa"/>
            </w:tcMar>
            <w:vAlign w:val="center"/>
          </w:tcPr>
          <w:p>
            <w:pPr>
              <w:pStyle w:val="39"/>
              <w:adjustRightInd w:val="0"/>
              <w:snapToGrid w:val="0"/>
              <w:rPr>
                <w:rFonts w:ascii="Times New Roman" w:hAnsi="Times New Roman"/>
              </w:rPr>
            </w:pPr>
          </w:p>
        </w:tc>
        <w:tc>
          <w:tcPr>
            <w:tcW w:w="1843" w:type="pct"/>
            <w:gridSpan w:val="2"/>
            <w:tcMar>
              <w:left w:w="28" w:type="dxa"/>
              <w:right w:w="28" w:type="dxa"/>
            </w:tcMar>
            <w:vAlign w:val="center"/>
          </w:tcPr>
          <w:p>
            <w:pPr>
              <w:pStyle w:val="39"/>
              <w:adjustRightInd w:val="0"/>
              <w:snapToGrid w:val="0"/>
              <w:rPr>
                <w:rFonts w:ascii="Times New Roman" w:hAnsi="Times New Roman"/>
              </w:rPr>
            </w:pPr>
            <w:r>
              <w:rPr>
                <w:rFonts w:ascii="Times New Roman" w:hAnsi="Times New Roman"/>
              </w:rPr>
              <w:t>IDLH（mg/m³）</w:t>
            </w:r>
          </w:p>
        </w:tc>
        <w:tc>
          <w:tcPr>
            <w:tcW w:w="1851" w:type="pct"/>
            <w:gridSpan w:val="3"/>
            <w:tcMar>
              <w:left w:w="28" w:type="dxa"/>
              <w:right w:w="28" w:type="dxa"/>
            </w:tcMar>
            <w:vAlign w:val="center"/>
          </w:tcPr>
          <w:p>
            <w:pPr>
              <w:pStyle w:val="39"/>
              <w:adjustRightInd w:val="0"/>
              <w:snapToGrid w:val="0"/>
              <w:rPr>
                <w:rFonts w:ascii="Times New Roman" w:hAnsi="Times New Roman"/>
              </w:rPr>
            </w:pPr>
            <w:r>
              <w:rPr>
                <w:rFonts w:ascii="Times New Roman" w:hAnsi="Times New Roman"/>
              </w:rPr>
              <w:t>1700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呼吸系统防护</w:t>
            </w:r>
          </w:p>
        </w:tc>
        <w:tc>
          <w:tcPr>
            <w:tcW w:w="3694" w:type="pct"/>
            <w:gridSpan w:val="5"/>
            <w:tcMar>
              <w:left w:w="28" w:type="dxa"/>
              <w:right w:w="28" w:type="dxa"/>
            </w:tcMar>
            <w:vAlign w:val="center"/>
          </w:tcPr>
          <w:p>
            <w:pPr>
              <w:pStyle w:val="39"/>
              <w:adjustRightInd w:val="0"/>
              <w:snapToGrid w:val="0"/>
              <w:rPr>
                <w:rFonts w:ascii="Times New Roman" w:hAnsi="Times New Roman"/>
              </w:rPr>
            </w:pPr>
            <w:r>
              <w:rPr>
                <w:rFonts w:ascii="Times New Roman" w:hAnsi="Times New Roman"/>
              </w:rPr>
              <w:t>通风，局部排气通风或个体呼吸防护。</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眼睛防护</w:t>
            </w:r>
          </w:p>
        </w:tc>
        <w:tc>
          <w:tcPr>
            <w:tcW w:w="3694" w:type="pct"/>
            <w:gridSpan w:val="5"/>
            <w:tcMar>
              <w:left w:w="28" w:type="dxa"/>
              <w:right w:w="28" w:type="dxa"/>
            </w:tcMar>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身体防护</w:t>
            </w:r>
          </w:p>
        </w:tc>
        <w:tc>
          <w:tcPr>
            <w:tcW w:w="3694" w:type="pct"/>
            <w:gridSpan w:val="5"/>
            <w:tcMar>
              <w:left w:w="28" w:type="dxa"/>
              <w:right w:w="28" w:type="dxa"/>
            </w:tcMar>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手防护</w:t>
            </w:r>
          </w:p>
        </w:tc>
        <w:tc>
          <w:tcPr>
            <w:tcW w:w="3694" w:type="pct"/>
            <w:gridSpan w:val="5"/>
            <w:tcMar>
              <w:left w:w="28" w:type="dxa"/>
              <w:right w:w="28" w:type="dxa"/>
            </w:tcMar>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其他防护</w:t>
            </w:r>
          </w:p>
        </w:tc>
        <w:tc>
          <w:tcPr>
            <w:tcW w:w="3694" w:type="pct"/>
            <w:gridSpan w:val="5"/>
            <w:tcMar>
              <w:left w:w="28" w:type="dxa"/>
              <w:right w:w="28" w:type="dxa"/>
            </w:tcMar>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restart"/>
            <w:tcMar>
              <w:left w:w="28" w:type="dxa"/>
              <w:right w:w="28" w:type="dxa"/>
            </w:tcMar>
            <w:vAlign w:val="center"/>
          </w:tcPr>
          <w:p>
            <w:pPr>
              <w:pStyle w:val="39"/>
              <w:adjustRightInd w:val="0"/>
              <w:snapToGrid w:val="0"/>
              <w:rPr>
                <w:rFonts w:ascii="Times New Roman" w:hAnsi="Times New Roman"/>
              </w:rPr>
            </w:pPr>
            <w:r>
              <w:rPr>
                <w:rFonts w:ascii="Times New Roman" w:hAnsi="Times New Roman"/>
              </w:rPr>
              <w:t>理化特性</w:t>
            </w: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外观与性状</w:t>
            </w:r>
          </w:p>
        </w:tc>
        <w:tc>
          <w:tcPr>
            <w:tcW w:w="3694" w:type="pct"/>
            <w:gridSpan w:val="5"/>
            <w:tcMar>
              <w:left w:w="28" w:type="dxa"/>
              <w:right w:w="28" w:type="dxa"/>
            </w:tcMar>
            <w:vAlign w:val="center"/>
          </w:tcPr>
          <w:p>
            <w:pPr>
              <w:pStyle w:val="39"/>
              <w:adjustRightInd w:val="0"/>
              <w:snapToGrid w:val="0"/>
              <w:rPr>
                <w:rFonts w:ascii="Times New Roman" w:hAnsi="Times New Roman"/>
              </w:rPr>
            </w:pPr>
            <w:r>
              <w:rPr>
                <w:rFonts w:ascii="Times New Roman" w:hAnsi="Times New Roman"/>
              </w:rPr>
              <w:t>无色无味气体</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92" w:hRule="atLeast"/>
        </w:trPr>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熔点（</w:t>
            </w:r>
            <w:r>
              <w:rPr>
                <w:rFonts w:ascii="Times New Roman" w:hAnsi="Times New Roman" w:eastAsia="微软雅黑"/>
              </w:rPr>
              <w:t>℃</w:t>
            </w:r>
            <w:r>
              <w:rPr>
                <w:rFonts w:ascii="Times New Roman" w:hAnsi="Times New Roman"/>
              </w:rPr>
              <w:t>）</w:t>
            </w:r>
          </w:p>
        </w:tc>
        <w:tc>
          <w:tcPr>
            <w:tcW w:w="1135"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-205</w:t>
            </w:r>
          </w:p>
        </w:tc>
        <w:tc>
          <w:tcPr>
            <w:tcW w:w="1257" w:type="pct"/>
            <w:gridSpan w:val="3"/>
            <w:tcMar>
              <w:left w:w="28" w:type="dxa"/>
              <w:right w:w="28" w:type="dxa"/>
            </w:tcMar>
            <w:vAlign w:val="center"/>
          </w:tcPr>
          <w:p>
            <w:pPr>
              <w:pStyle w:val="39"/>
              <w:adjustRightInd w:val="0"/>
              <w:snapToGrid w:val="0"/>
              <w:rPr>
                <w:rFonts w:ascii="Times New Roman" w:hAnsi="Times New Roman"/>
              </w:rPr>
            </w:pPr>
            <w:r>
              <w:rPr>
                <w:rFonts w:ascii="Times New Roman" w:hAnsi="Times New Roman"/>
              </w:rPr>
              <w:t>沸点（</w:t>
            </w:r>
            <w:r>
              <w:rPr>
                <w:rFonts w:ascii="Times New Roman" w:hAnsi="Times New Roman" w:eastAsia="微软雅黑"/>
              </w:rPr>
              <w:t>℃</w:t>
            </w:r>
            <w:r>
              <w:rPr>
                <w:rFonts w:ascii="Times New Roman" w:hAnsi="Times New Roman"/>
              </w:rPr>
              <w:t>）</w:t>
            </w:r>
          </w:p>
        </w:tc>
        <w:tc>
          <w:tcPr>
            <w:tcW w:w="1302"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-191</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闪点（</w:t>
            </w:r>
            <w:r>
              <w:rPr>
                <w:rFonts w:ascii="Times New Roman" w:hAnsi="Times New Roman" w:eastAsia="微软雅黑"/>
              </w:rPr>
              <w:t>℃</w:t>
            </w:r>
            <w:r>
              <w:rPr>
                <w:rFonts w:ascii="Times New Roman" w:hAnsi="Times New Roman"/>
              </w:rPr>
              <w:t>）</w:t>
            </w:r>
          </w:p>
        </w:tc>
        <w:tc>
          <w:tcPr>
            <w:tcW w:w="1135"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易燃气体</w:t>
            </w:r>
          </w:p>
        </w:tc>
        <w:tc>
          <w:tcPr>
            <w:tcW w:w="1257" w:type="pct"/>
            <w:gridSpan w:val="3"/>
            <w:tcMar>
              <w:left w:w="28" w:type="dxa"/>
              <w:right w:w="28" w:type="dxa"/>
            </w:tcMar>
            <w:vAlign w:val="center"/>
          </w:tcPr>
          <w:p>
            <w:pPr>
              <w:pStyle w:val="39"/>
              <w:adjustRightInd w:val="0"/>
              <w:snapToGrid w:val="0"/>
              <w:rPr>
                <w:rFonts w:ascii="Times New Roman" w:hAnsi="Times New Roman"/>
              </w:rPr>
            </w:pPr>
            <w:r>
              <w:rPr>
                <w:rFonts w:ascii="Times New Roman" w:hAnsi="Times New Roman"/>
              </w:rPr>
              <w:t>引燃温度（</w:t>
            </w:r>
            <w:r>
              <w:rPr>
                <w:rFonts w:ascii="Times New Roman" w:hAnsi="Times New Roman" w:eastAsia="微软雅黑"/>
              </w:rPr>
              <w:t>℃</w:t>
            </w:r>
            <w:r>
              <w:rPr>
                <w:rFonts w:ascii="Times New Roman" w:hAnsi="Times New Roman"/>
              </w:rPr>
              <w:t>）</w:t>
            </w:r>
          </w:p>
        </w:tc>
        <w:tc>
          <w:tcPr>
            <w:tcW w:w="1302"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c>
          <w:tcPr>
            <w:tcW w:w="325" w:type="pct"/>
            <w:vMerge w:val="continue"/>
            <w:tcMar>
              <w:left w:w="28" w:type="dxa"/>
              <w:right w:w="28" w:type="dxa"/>
            </w:tcMar>
            <w:vAlign w:val="center"/>
          </w:tcPr>
          <w:p>
            <w:pPr>
              <w:pStyle w:val="39"/>
              <w:adjustRightInd w:val="0"/>
              <w:snapToGrid w:val="0"/>
              <w:rPr>
                <w:rFonts w:ascii="Times New Roman" w:hAnsi="Times New Roman"/>
              </w:rPr>
            </w:pPr>
          </w:p>
        </w:tc>
        <w:tc>
          <w:tcPr>
            <w:tcW w:w="981"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爆炸上限%（V/V）</w:t>
            </w:r>
          </w:p>
        </w:tc>
        <w:tc>
          <w:tcPr>
            <w:tcW w:w="1135"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12.5</w:t>
            </w:r>
          </w:p>
        </w:tc>
        <w:tc>
          <w:tcPr>
            <w:tcW w:w="1257" w:type="pct"/>
            <w:gridSpan w:val="3"/>
            <w:tcMar>
              <w:left w:w="28" w:type="dxa"/>
              <w:right w:w="28" w:type="dxa"/>
            </w:tcMar>
            <w:vAlign w:val="center"/>
          </w:tcPr>
          <w:p>
            <w:pPr>
              <w:pStyle w:val="39"/>
              <w:adjustRightInd w:val="0"/>
              <w:snapToGrid w:val="0"/>
              <w:rPr>
                <w:rFonts w:ascii="Times New Roman" w:hAnsi="Times New Roman"/>
              </w:rPr>
            </w:pPr>
            <w:r>
              <w:rPr>
                <w:rFonts w:ascii="Times New Roman" w:hAnsi="Times New Roman"/>
              </w:rPr>
              <w:t>爆炸下限%（V/V）</w:t>
            </w:r>
          </w:p>
        </w:tc>
        <w:tc>
          <w:tcPr>
            <w:tcW w:w="1302" w:type="pct"/>
            <w:tcMar>
              <w:left w:w="28" w:type="dxa"/>
              <w:right w:w="28" w:type="dxa"/>
            </w:tcMar>
            <w:vAlign w:val="center"/>
          </w:tcPr>
          <w:p>
            <w:pPr>
              <w:pStyle w:val="39"/>
              <w:adjustRightInd w:val="0"/>
              <w:snapToGrid w:val="0"/>
              <w:rPr>
                <w:rFonts w:ascii="Times New Roman" w:hAnsi="Times New Roman"/>
              </w:rPr>
            </w:pPr>
            <w:r>
              <w:rPr>
                <w:rFonts w:ascii="Times New Roman" w:hAnsi="Times New Roman"/>
              </w:rPr>
              <w:t>74.2</w:t>
            </w:r>
          </w:p>
        </w:tc>
      </w:tr>
    </w:tbl>
    <w:p>
      <w:pPr>
        <w:ind w:firstLine="480"/>
        <w:rPr>
          <w:rFonts w:ascii="Times New Roman" w:hAnsi="Times New Roman"/>
        </w:rPr>
      </w:pPr>
    </w:p>
    <w:p>
      <w:pPr>
        <w:pStyle w:val="5"/>
        <w:rPr>
          <w:rFonts w:ascii="Times New Roman" w:hAnsi="Times New Roman"/>
        </w:rPr>
      </w:pPr>
      <w:r>
        <w:rPr>
          <w:rFonts w:ascii="Times New Roman" w:hAnsi="Times New Roman"/>
        </w:rPr>
        <w:t>硫化亚铁</w:t>
      </w:r>
    </w:p>
    <w:p>
      <w:pPr>
        <w:ind w:firstLine="480"/>
        <w:rPr>
          <w:rFonts w:ascii="Times New Roman" w:hAnsi="Times New Roman"/>
        </w:rPr>
      </w:pPr>
      <w:r>
        <w:rPr>
          <w:rFonts w:ascii="Times New Roman" w:hAnsi="Times New Roman"/>
        </w:rPr>
        <w:t>检修期间从设备或管线清扫出的呈疏松状的硫化亚铁极易自燃，且其自燃属自热氧化自燃类型，自燃的主要原因是常温下的氧化反应：</w:t>
      </w:r>
    </w:p>
    <w:p>
      <w:pPr>
        <w:ind w:firstLine="480"/>
        <w:jc w:val="center"/>
        <w:rPr>
          <w:rFonts w:ascii="Times New Roman" w:hAnsi="Times New Roman"/>
        </w:rPr>
      </w:pPr>
      <w:r>
        <w:rPr>
          <w:rFonts w:ascii="Times New Roman" w:hAnsi="Times New Roman"/>
        </w:rPr>
        <w:t>FeS</w:t>
      </w:r>
      <w:r>
        <w:rPr>
          <w:rFonts w:ascii="Times New Roman" w:hAnsi="Times New Roman"/>
          <w:vertAlign w:val="subscript"/>
        </w:rPr>
        <w:t>2</w:t>
      </w:r>
      <w:r>
        <w:rPr>
          <w:rFonts w:ascii="Times New Roman" w:hAnsi="Times New Roman"/>
        </w:rPr>
        <w:t xml:space="preserve"> + O</w:t>
      </w:r>
      <w:r>
        <w:rPr>
          <w:rFonts w:ascii="Times New Roman" w:hAnsi="Times New Roman"/>
          <w:vertAlign w:val="subscript"/>
        </w:rPr>
        <w:t>2</w:t>
      </w:r>
      <w:r>
        <w:rPr>
          <w:rFonts w:ascii="Times New Roman" w:hAnsi="Times New Roman"/>
        </w:rPr>
        <w:t xml:space="preserve"> → FeS + SO</w:t>
      </w:r>
      <w:r>
        <w:rPr>
          <w:rFonts w:ascii="Times New Roman" w:hAnsi="Times New Roman"/>
          <w:vertAlign w:val="subscript"/>
        </w:rPr>
        <w:t>2</w:t>
      </w:r>
      <w:r>
        <w:rPr>
          <w:rFonts w:ascii="Times New Roman" w:hAnsi="Times New Roman"/>
        </w:rPr>
        <w:t xml:space="preserve"> + 222.32kJ</w:t>
      </w:r>
    </w:p>
    <w:p>
      <w:pPr>
        <w:ind w:firstLine="480"/>
        <w:jc w:val="center"/>
        <w:rPr>
          <w:rFonts w:ascii="Times New Roman" w:hAnsi="Times New Roman"/>
        </w:rPr>
      </w:pPr>
      <w:r>
        <w:rPr>
          <w:rFonts w:ascii="Times New Roman" w:hAnsi="Times New Roman"/>
        </w:rPr>
        <w:t>FeS +1.5O</w:t>
      </w:r>
      <w:r>
        <w:rPr>
          <w:rFonts w:ascii="Times New Roman" w:hAnsi="Times New Roman"/>
          <w:vertAlign w:val="subscript"/>
        </w:rPr>
        <w:t>2</w:t>
      </w:r>
      <w:r>
        <w:rPr>
          <w:rFonts w:ascii="Times New Roman" w:hAnsi="Times New Roman"/>
        </w:rPr>
        <w:t xml:space="preserve"> → FeO + SO</w:t>
      </w:r>
      <w:r>
        <w:rPr>
          <w:rFonts w:ascii="Times New Roman" w:hAnsi="Times New Roman"/>
          <w:vertAlign w:val="subscript"/>
        </w:rPr>
        <w:t>2</w:t>
      </w:r>
      <w:r>
        <w:rPr>
          <w:rFonts w:ascii="Times New Roman" w:hAnsi="Times New Roman"/>
        </w:rPr>
        <w:t xml:space="preserve"> + 48.99kJ</w:t>
      </w:r>
    </w:p>
    <w:p>
      <w:pPr>
        <w:ind w:firstLine="480"/>
        <w:jc w:val="center"/>
        <w:rPr>
          <w:rFonts w:ascii="Times New Roman" w:hAnsi="Times New Roman"/>
        </w:rPr>
      </w:pPr>
      <w:r>
        <w:rPr>
          <w:rFonts w:ascii="Times New Roman" w:hAnsi="Times New Roman"/>
        </w:rPr>
        <w:t>2FeS + 3.5O</w:t>
      </w:r>
      <w:r>
        <w:rPr>
          <w:rFonts w:ascii="Times New Roman" w:hAnsi="Times New Roman"/>
          <w:vertAlign w:val="subscript"/>
        </w:rPr>
        <w:t>2</w:t>
      </w:r>
      <w:r>
        <w:rPr>
          <w:rFonts w:ascii="Times New Roman" w:hAnsi="Times New Roman"/>
        </w:rPr>
        <w:t xml:space="preserve"> → Fe2O3 + 2SO</w:t>
      </w:r>
      <w:r>
        <w:rPr>
          <w:rFonts w:ascii="Times New Roman" w:hAnsi="Times New Roman"/>
          <w:vertAlign w:val="subscript"/>
        </w:rPr>
        <w:t>2</w:t>
      </w:r>
      <w:r>
        <w:rPr>
          <w:rFonts w:ascii="Times New Roman" w:hAnsi="Times New Roman"/>
        </w:rPr>
        <w:t xml:space="preserve"> + 270.89kJ</w:t>
      </w:r>
    </w:p>
    <w:p>
      <w:pPr>
        <w:ind w:firstLine="480"/>
        <w:rPr>
          <w:rFonts w:ascii="Times New Roman" w:hAnsi="Times New Roman"/>
        </w:rPr>
      </w:pPr>
      <w:r>
        <w:rPr>
          <w:rFonts w:ascii="Times New Roman" w:hAnsi="Times New Roman"/>
        </w:rPr>
        <w:t>这些氧化反应所产生的热量如果不能及时散发掉，则将积聚使堆积的硫化亚铁温度上升，达到其自燃点温度及以上，就会剧烈地燃烧，可引燃可燃气体甚至引发爆炸事故。硫化亚铁自燃在清管、硫磺回收装置开、停工和停产检修时容易发生。</w:t>
      </w:r>
    </w:p>
    <w:p>
      <w:pPr>
        <w:ind w:firstLine="480"/>
        <w:rPr>
          <w:rFonts w:ascii="Times New Roman" w:hAnsi="Times New Roman"/>
        </w:rPr>
      </w:pPr>
      <w:r>
        <w:rPr>
          <w:rFonts w:ascii="Times New Roman" w:hAnsi="Times New Roman"/>
        </w:rPr>
        <w:t>另外，硫化亚铁在酸性环境中可能反应释放出硫化氢。</w:t>
      </w:r>
    </w:p>
    <w:p>
      <w:pPr>
        <w:pStyle w:val="5"/>
        <w:rPr>
          <w:rFonts w:ascii="Times New Roman" w:hAnsi="Times New Roman"/>
        </w:rPr>
      </w:pPr>
      <w:r>
        <w:rPr>
          <w:rFonts w:ascii="Times New Roman" w:hAnsi="Times New Roman"/>
        </w:rPr>
        <w:t>气田水</w:t>
      </w:r>
    </w:p>
    <w:p>
      <w:pPr>
        <w:ind w:firstLine="480"/>
        <w:rPr>
          <w:rFonts w:ascii="Times New Roman" w:hAnsi="Times New Roman"/>
        </w:rPr>
      </w:pPr>
      <w:r>
        <w:rPr>
          <w:rFonts w:ascii="Times New Roman" w:hAnsi="Times New Roman"/>
        </w:rPr>
        <w:t>气田水溶有氯离子（来自盐类）、氢离子和其他矿物质，当与金属表面接触时，会发生电化学反应，导致管道、设备腐蚀，丧失承载能力。气田水腐蚀破坏主要表现为裂缝腐蚀，孔蚀，磨损腐蚀，水线腐蚀等形状的局部腐蚀。由于Cl</w:t>
      </w:r>
      <w:r>
        <w:rPr>
          <w:rFonts w:ascii="Times New Roman" w:hAnsi="Times New Roman"/>
          <w:vertAlign w:val="superscript"/>
        </w:rPr>
        <w:t>-</w:t>
      </w:r>
      <w:r>
        <w:rPr>
          <w:rFonts w:ascii="Times New Roman" w:hAnsi="Times New Roman"/>
        </w:rPr>
        <w:t>具有离子半径小、穿透能力强，并且能够被金属表面较强吸附的特点，Cl</w:t>
      </w:r>
      <w:r>
        <w:rPr>
          <w:rFonts w:ascii="Times New Roman" w:hAnsi="Times New Roman"/>
          <w:vertAlign w:val="superscript"/>
        </w:rPr>
        <w:t>-</w:t>
      </w:r>
      <w:r>
        <w:rPr>
          <w:rFonts w:ascii="Times New Roman" w:hAnsi="Times New Roman"/>
        </w:rPr>
        <w:t>浓度越高，水溶液的导电性就越强，电解质的电阻就越低，Cl</w:t>
      </w:r>
      <w:r>
        <w:rPr>
          <w:rFonts w:ascii="Times New Roman" w:hAnsi="Times New Roman"/>
          <w:vertAlign w:val="superscript"/>
        </w:rPr>
        <w:t>-</w:t>
      </w:r>
      <w:r>
        <w:rPr>
          <w:rFonts w:ascii="Times New Roman" w:hAnsi="Times New Roman"/>
        </w:rPr>
        <w:t>就越容易到达金属表面，加快局部腐蚀的进程。同时Cl</w:t>
      </w:r>
      <w:r>
        <w:rPr>
          <w:rFonts w:ascii="Times New Roman" w:hAnsi="Times New Roman"/>
          <w:vertAlign w:val="superscript"/>
        </w:rPr>
        <w:t>-</w:t>
      </w:r>
      <w:r>
        <w:rPr>
          <w:rFonts w:ascii="Times New Roman" w:hAnsi="Times New Roman"/>
        </w:rPr>
        <w:t>对缝隙腐蚀还具有催化作用，从而加剧设备、管道的腐蚀。</w:t>
      </w:r>
    </w:p>
    <w:p>
      <w:pPr>
        <w:ind w:firstLine="480"/>
        <w:rPr>
          <w:rFonts w:ascii="Times New Roman" w:hAnsi="Times New Roman"/>
        </w:rPr>
      </w:pPr>
      <w:r>
        <w:rPr>
          <w:rFonts w:ascii="Times New Roman" w:hAnsi="Times New Roman"/>
        </w:rPr>
        <w:t>气田水在运输过程中，一旦发生泄漏，溶解的硫化氢气体逸散出来或气田水随地表水和地下水渗流至人畜水源地，可能引起中毒和环境污染事故。因此，建议按照《建设项目环境风险评价技术导则》（HJ169-2018）附录B中表B.2中危害水环境物质（急性毒性类别1）进行管理。</w:t>
      </w:r>
    </w:p>
    <w:p>
      <w:pPr>
        <w:pStyle w:val="5"/>
        <w:rPr>
          <w:rFonts w:ascii="Times New Roman" w:hAnsi="Times New Roman"/>
        </w:rPr>
      </w:pPr>
      <w:r>
        <w:rPr>
          <w:rFonts w:ascii="Times New Roman" w:hAnsi="Times New Roman"/>
        </w:rPr>
        <w:t>硫</w:t>
      </w:r>
    </w:p>
    <w:p>
      <w:pPr>
        <w:ind w:firstLine="480"/>
        <w:rPr>
          <w:rFonts w:ascii="Times New Roman" w:hAnsi="Times New Roman"/>
        </w:rPr>
      </w:pPr>
      <w:r>
        <w:rPr>
          <w:rFonts w:ascii="Times New Roman" w:hAnsi="Times New Roman"/>
        </w:rPr>
        <w:t>含硫气井有时会出现元素硫沿着生产管柱沉积的现象。硫沉积形成一般受气质组成、流体物性和流速等因素影响。对于高含硫气田，在井底条件下硫在气体中的溶解度接近或处于饱和状态，由于硫在气体中的溶解度是温度、压力、硫化氢及其它化学成分的函数，在10～60MPa和100～160℃区间，硫在气体中的溶解度只有0～5g/m³。在开采过程中，硫随着天然气从储层进入管道并沿着管道往上流向井口时，由于温度和压力条件的改变，硫在含硫天然气内的溶解度随着局部温度和压力的降低而下降，致使经常发生元素硫及固体的高级多硫化物析出，沉积在井筒及设备表面，导致气井、设备和管道堵塞，增加材料的SSC敏感度，加重气井、设备和管道的腐蚀，严重影响气田的正常生产。</w:t>
      </w:r>
    </w:p>
    <w:p>
      <w:pPr>
        <w:pStyle w:val="4"/>
        <w:rPr>
          <w:rFonts w:ascii="Times New Roman" w:hAnsi="Times New Roman" w:cs="Times New Roman"/>
        </w:rPr>
      </w:pPr>
      <w:r>
        <w:rPr>
          <w:rFonts w:ascii="Times New Roman" w:hAnsi="Times New Roman" w:cs="Times New Roman"/>
        </w:rPr>
        <w:t>生产系统危险性识别</w:t>
      </w:r>
    </w:p>
    <w:p>
      <w:pPr>
        <w:ind w:firstLine="480"/>
        <w:rPr>
          <w:rFonts w:ascii="Times New Roman" w:hAnsi="Times New Roman"/>
        </w:rPr>
      </w:pPr>
      <w:r>
        <w:rPr>
          <w:rFonts w:ascii="Times New Roman" w:hAnsi="Times New Roman"/>
        </w:rPr>
        <w:t>生产系统危险性识别首先参照本项目各井站生产装置、集输管道、公用工程设施以及环境保护措施，由此可识别各工程建设生产过程的风险源。危险单元是由一个或多个风险源构成的具有相对独立功能的单元。一个独立的危险单元在事故状况下应可实现与其他功能单元的分割。根据平面功能区划和集输管道截断阀室，对集输管道进行危险单元的划分。再结合各单元工艺流程，对各危险单元的风险源进行识别，识别结果见</w:t>
      </w:r>
      <w:r>
        <w:rPr>
          <w:rFonts w:ascii="Times New Roman" w:hAnsi="Times New Roman"/>
        </w:rPr>
        <w:fldChar w:fldCharType="begin"/>
      </w:r>
      <w:r>
        <w:rPr>
          <w:rFonts w:ascii="Times New Roman" w:hAnsi="Times New Roman"/>
        </w:rPr>
        <w:instrText xml:space="preserve"> REF _Ref116138136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19</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271" w:name="_Ref11613813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19</w:t>
      </w:r>
      <w:r>
        <w:rPr>
          <w:rFonts w:ascii="Times New Roman" w:hAnsi="Times New Roman" w:cs="Times New Roman"/>
        </w:rPr>
        <w:fldChar w:fldCharType="end"/>
      </w:r>
      <w:bookmarkEnd w:id="271"/>
      <w:r>
        <w:rPr>
          <w:rFonts w:ascii="Times New Roman" w:hAnsi="Times New Roman" w:cs="Times New Roman"/>
        </w:rPr>
        <w:t xml:space="preserve">   本项目主要风险物质及存在单元</w:t>
      </w:r>
    </w:p>
    <w:tbl>
      <w:tblPr>
        <w:tblStyle w:val="28"/>
        <w:tblW w:w="51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7"/>
        <w:gridCol w:w="1747"/>
        <w:gridCol w:w="1746"/>
        <w:gridCol w:w="1746"/>
        <w:gridCol w:w="17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风险物质</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采气井站</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集气管道</w:t>
            </w:r>
          </w:p>
        </w:tc>
        <w:tc>
          <w:tcPr>
            <w:tcW w:w="1700" w:type="dxa"/>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气田水运输</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燃料气管道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甲烷</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tcPr>
          <w:p>
            <w:pPr>
              <w:snapToGrid w:val="0"/>
              <w:spacing w:line="240" w:lineRule="auto"/>
              <w:ind w:firstLine="0" w:firstLineChars="0"/>
              <w:jc w:val="center"/>
              <w:rPr>
                <w:rFonts w:ascii="Times New Roman" w:hAnsi="Times New Roman"/>
                <w:snapToGrid w:val="0"/>
                <w:sz w:val="21"/>
                <w:szCs w:val="21"/>
                <w:lang w:val="zh-CN"/>
              </w:rPr>
            </w:pP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硫化氢</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二氧化碳</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tcPr>
          <w:p>
            <w:pPr>
              <w:snapToGrid w:val="0"/>
              <w:spacing w:line="240" w:lineRule="auto"/>
              <w:ind w:firstLine="0" w:firstLineChars="0"/>
              <w:jc w:val="center"/>
              <w:rPr>
                <w:rFonts w:ascii="Times New Roman" w:hAnsi="Times New Roman"/>
                <w:snapToGrid w:val="0"/>
                <w:sz w:val="21"/>
                <w:szCs w:val="21"/>
                <w:lang w:val="zh-CN"/>
              </w:rPr>
            </w:pP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二氧化硫</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tcPr>
          <w:p>
            <w:pPr>
              <w:snapToGrid w:val="0"/>
              <w:spacing w:line="240" w:lineRule="auto"/>
              <w:ind w:firstLine="0" w:firstLineChars="0"/>
              <w:jc w:val="center"/>
              <w:rPr>
                <w:rFonts w:ascii="Times New Roman" w:hAnsi="Times New Roman"/>
                <w:snapToGrid w:val="0"/>
                <w:sz w:val="21"/>
                <w:szCs w:val="21"/>
                <w:lang w:val="zh-CN"/>
              </w:rPr>
            </w:pP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一氧化碳</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tcPr>
          <w:p>
            <w:pPr>
              <w:snapToGrid w:val="0"/>
              <w:spacing w:line="240" w:lineRule="auto"/>
              <w:ind w:firstLine="0" w:firstLineChars="0"/>
              <w:jc w:val="center"/>
              <w:rPr>
                <w:rFonts w:ascii="Times New Roman" w:hAnsi="Times New Roman"/>
                <w:snapToGrid w:val="0"/>
                <w:sz w:val="21"/>
                <w:szCs w:val="21"/>
                <w:lang w:val="zh-CN"/>
              </w:rPr>
            </w:pP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硫化亚铁</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tcPr>
          <w:p>
            <w:pPr>
              <w:snapToGrid w:val="0"/>
              <w:spacing w:line="240" w:lineRule="auto"/>
              <w:ind w:firstLine="0" w:firstLineChars="0"/>
              <w:jc w:val="center"/>
              <w:rPr>
                <w:rFonts w:ascii="Times New Roman" w:hAnsi="Times New Roman"/>
                <w:snapToGrid w:val="0"/>
                <w:sz w:val="21"/>
                <w:szCs w:val="21"/>
                <w:lang w:val="zh-CN"/>
              </w:rPr>
            </w:pP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气田水</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元素硫</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r>
              <w:rPr>
                <w:rFonts w:ascii="Times New Roman" w:hAnsi="Times New Roman"/>
                <w:snapToGrid w:val="0"/>
                <w:sz w:val="21"/>
                <w:szCs w:val="21"/>
                <w:lang w:val="zh-CN"/>
              </w:rPr>
              <w:t>√</w:t>
            </w:r>
          </w:p>
        </w:tc>
        <w:tc>
          <w:tcPr>
            <w:tcW w:w="1700" w:type="dxa"/>
          </w:tcPr>
          <w:p>
            <w:pPr>
              <w:snapToGrid w:val="0"/>
              <w:spacing w:line="240" w:lineRule="auto"/>
              <w:ind w:firstLine="0" w:firstLineChars="0"/>
              <w:jc w:val="center"/>
              <w:rPr>
                <w:rFonts w:ascii="Times New Roman" w:hAnsi="Times New Roman"/>
                <w:snapToGrid w:val="0"/>
                <w:sz w:val="21"/>
                <w:szCs w:val="21"/>
                <w:lang w:val="zh-CN"/>
              </w:rPr>
            </w:pPr>
          </w:p>
        </w:tc>
        <w:tc>
          <w:tcPr>
            <w:tcW w:w="1700" w:type="dxa"/>
            <w:vAlign w:val="center"/>
          </w:tcPr>
          <w:p>
            <w:pPr>
              <w:snapToGrid w:val="0"/>
              <w:spacing w:line="240" w:lineRule="auto"/>
              <w:ind w:firstLine="0" w:firstLineChars="0"/>
              <w:jc w:val="center"/>
              <w:rPr>
                <w:rFonts w:ascii="Times New Roman" w:hAnsi="Times New Roman"/>
                <w:snapToGrid w:val="0"/>
                <w:sz w:val="21"/>
                <w:szCs w:val="21"/>
                <w:lang w:val="zh-CN"/>
              </w:rPr>
            </w:pPr>
          </w:p>
        </w:tc>
      </w:tr>
    </w:tbl>
    <w:p>
      <w:pPr>
        <w:pStyle w:val="4"/>
        <w:rPr>
          <w:rFonts w:ascii="Times New Roman" w:hAnsi="Times New Roman" w:cs="Times New Roman"/>
        </w:rPr>
      </w:pPr>
      <w:r>
        <w:rPr>
          <w:rFonts w:ascii="Times New Roman" w:hAnsi="Times New Roman" w:cs="Times New Roman"/>
        </w:rPr>
        <w:t>环境风险类型及危害分析</w:t>
      </w:r>
    </w:p>
    <w:p>
      <w:pPr>
        <w:ind w:firstLine="480"/>
        <w:rPr>
          <w:rFonts w:ascii="Times New Roman" w:hAnsi="Times New Roman"/>
        </w:rPr>
      </w:pPr>
      <w:r>
        <w:rPr>
          <w:rFonts w:ascii="Times New Roman" w:hAnsi="Times New Roman"/>
        </w:rPr>
        <w:t>环境风险类型包括危险物质泄漏，火灾、爆炸等引发的伴生/次生污染物排放，同一种危险物质可能有多种环境风险类型。本项目主要环境风险物质为CH</w:t>
      </w:r>
      <w:r>
        <w:rPr>
          <w:rFonts w:ascii="Times New Roman" w:hAnsi="Times New Roman"/>
          <w:vertAlign w:val="subscript"/>
        </w:rPr>
        <w:t>4</w:t>
      </w:r>
      <w:r>
        <w:rPr>
          <w:rFonts w:ascii="Times New Roman" w:hAnsi="Times New Roman"/>
        </w:rPr>
        <w:t>，H</w:t>
      </w:r>
      <w:r>
        <w:rPr>
          <w:rFonts w:ascii="Times New Roman" w:hAnsi="Times New Roman"/>
          <w:vertAlign w:val="subscript"/>
        </w:rPr>
        <w:t>2</w:t>
      </w:r>
      <w:r>
        <w:rPr>
          <w:rFonts w:ascii="Times New Roman" w:hAnsi="Times New Roman"/>
        </w:rPr>
        <w:t>S，气田水等。一般来说，风险事故的触发因素多为设备（包括管线、阀门或其它设施）腐蚀、材质缺陷或操作失误等，有毒有害的危险物质CH</w:t>
      </w:r>
      <w:r>
        <w:rPr>
          <w:rFonts w:ascii="Times New Roman" w:hAnsi="Times New Roman"/>
          <w:vertAlign w:val="subscript"/>
        </w:rPr>
        <w:t>4</w:t>
      </w:r>
      <w:r>
        <w:rPr>
          <w:rFonts w:ascii="Times New Roman" w:hAnsi="Times New Roman"/>
        </w:rPr>
        <w:t>和H</w:t>
      </w:r>
      <w:r>
        <w:rPr>
          <w:rFonts w:ascii="Times New Roman" w:hAnsi="Times New Roman"/>
          <w:vertAlign w:val="subscript"/>
        </w:rPr>
        <w:t>2</w:t>
      </w:r>
      <w:r>
        <w:rPr>
          <w:rFonts w:ascii="Times New Roman" w:hAnsi="Times New Roman"/>
        </w:rPr>
        <w:t>S泄漏至空气中，对周围大气环境造成污染；对于可能引发火灾、爆炸事故的危险物质CH</w:t>
      </w:r>
      <w:r>
        <w:rPr>
          <w:rFonts w:ascii="Times New Roman" w:hAnsi="Times New Roman"/>
          <w:vertAlign w:val="subscript"/>
        </w:rPr>
        <w:t>4</w:t>
      </w:r>
      <w:r>
        <w:rPr>
          <w:rFonts w:ascii="Times New Roman" w:hAnsi="Times New Roman"/>
        </w:rPr>
        <w:t>，还需要考虑到伴生/次生污染物如CO和SO</w:t>
      </w:r>
      <w:r>
        <w:rPr>
          <w:rFonts w:ascii="Times New Roman" w:hAnsi="Times New Roman"/>
          <w:vertAlign w:val="subscript"/>
        </w:rPr>
        <w:t>2</w:t>
      </w:r>
      <w:r>
        <w:rPr>
          <w:rFonts w:ascii="Times New Roman" w:hAnsi="Times New Roman"/>
        </w:rPr>
        <w:t>的排放引发的环境影响。另外，气田水、扑救火灾时产生的消防水及污染雨水等沿地面漫流，可能会对地表水、地下水及土壤环境造成污染。</w:t>
      </w:r>
      <w:r>
        <w:rPr>
          <w:rFonts w:ascii="Times New Roman" w:hAnsi="Times New Roman"/>
        </w:rPr>
        <w:fldChar w:fldCharType="begin"/>
      </w:r>
      <w:r>
        <w:rPr>
          <w:rFonts w:ascii="Times New Roman" w:hAnsi="Times New Roman"/>
        </w:rPr>
        <w:instrText xml:space="preserve"> REF _Ref116138307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20</w:t>
      </w:r>
      <w:r>
        <w:rPr>
          <w:rFonts w:ascii="Times New Roman" w:hAnsi="Times New Roman"/>
        </w:rPr>
        <w:fldChar w:fldCharType="end"/>
      </w:r>
      <w:r>
        <w:rPr>
          <w:rFonts w:ascii="Times New Roman" w:hAnsi="Times New Roman"/>
        </w:rPr>
        <w:t>对本项目涉及的危险物质及每种危险物质涉及的风险类型、扩散途径和可能影响方式进行总结。</w:t>
      </w:r>
    </w:p>
    <w:p>
      <w:pPr>
        <w:pStyle w:val="37"/>
        <w:rPr>
          <w:rFonts w:ascii="Times New Roman" w:hAnsi="Times New Roman" w:cs="Times New Roman"/>
        </w:rPr>
      </w:pPr>
      <w:bookmarkStart w:id="272" w:name="_Ref11613830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20</w:t>
      </w:r>
      <w:r>
        <w:rPr>
          <w:rFonts w:ascii="Times New Roman" w:hAnsi="Times New Roman" w:cs="Times New Roman"/>
        </w:rPr>
        <w:fldChar w:fldCharType="end"/>
      </w:r>
      <w:bookmarkEnd w:id="272"/>
      <w:r>
        <w:rPr>
          <w:rFonts w:ascii="Times New Roman" w:hAnsi="Times New Roman" w:cs="Times New Roman"/>
        </w:rPr>
        <w:t xml:space="preserve">  </w:t>
      </w:r>
      <w:bookmarkStart w:id="273" w:name="_Hlk160637845"/>
      <w:r>
        <w:rPr>
          <w:rFonts w:ascii="Times New Roman" w:hAnsi="Times New Roman" w:cs="Times New Roman"/>
        </w:rPr>
        <w:t xml:space="preserve"> 环境风险类型及危害分析</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755"/>
        <w:gridCol w:w="1142"/>
        <w:gridCol w:w="1395"/>
        <w:gridCol w:w="4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251" w:type="pct"/>
            <w:vAlign w:val="center"/>
          </w:tcPr>
          <w:p>
            <w:pPr>
              <w:pStyle w:val="39"/>
              <w:rPr>
                <w:rFonts w:ascii="Times New Roman" w:hAnsi="Times New Roman"/>
                <w:lang w:val="zh-CN"/>
              </w:rPr>
            </w:pPr>
            <w:r>
              <w:rPr>
                <w:rFonts w:ascii="Times New Roman" w:hAnsi="Times New Roman"/>
                <w:lang w:val="zh-CN"/>
              </w:rPr>
              <w:t>序号</w:t>
            </w:r>
          </w:p>
        </w:tc>
        <w:tc>
          <w:tcPr>
            <w:tcW w:w="443" w:type="pct"/>
            <w:vAlign w:val="center"/>
          </w:tcPr>
          <w:p>
            <w:pPr>
              <w:pStyle w:val="39"/>
              <w:rPr>
                <w:rFonts w:ascii="Times New Roman" w:hAnsi="Times New Roman"/>
                <w:lang w:val="zh-CN"/>
              </w:rPr>
            </w:pPr>
            <w:r>
              <w:rPr>
                <w:rFonts w:ascii="Times New Roman" w:hAnsi="Times New Roman"/>
                <w:lang w:val="zh-CN"/>
              </w:rPr>
              <w:t>危险</w:t>
            </w:r>
          </w:p>
          <w:p>
            <w:pPr>
              <w:pStyle w:val="39"/>
              <w:rPr>
                <w:rFonts w:ascii="Times New Roman" w:hAnsi="Times New Roman"/>
                <w:lang w:val="zh-CN"/>
              </w:rPr>
            </w:pPr>
            <w:r>
              <w:rPr>
                <w:rFonts w:ascii="Times New Roman" w:hAnsi="Times New Roman"/>
                <w:lang w:val="zh-CN"/>
              </w:rPr>
              <w:t>物质</w:t>
            </w:r>
          </w:p>
        </w:tc>
        <w:tc>
          <w:tcPr>
            <w:tcW w:w="670" w:type="pct"/>
            <w:vAlign w:val="center"/>
          </w:tcPr>
          <w:p>
            <w:pPr>
              <w:pStyle w:val="39"/>
              <w:rPr>
                <w:rFonts w:ascii="Times New Roman" w:hAnsi="Times New Roman"/>
                <w:lang w:val="zh-CN"/>
              </w:rPr>
            </w:pPr>
            <w:r>
              <w:rPr>
                <w:rFonts w:ascii="Times New Roman" w:hAnsi="Times New Roman"/>
                <w:lang w:val="zh-CN"/>
              </w:rPr>
              <w:t>环境风险类型</w:t>
            </w:r>
          </w:p>
        </w:tc>
        <w:tc>
          <w:tcPr>
            <w:tcW w:w="819" w:type="pct"/>
            <w:vAlign w:val="center"/>
          </w:tcPr>
          <w:p>
            <w:pPr>
              <w:pStyle w:val="39"/>
              <w:rPr>
                <w:rFonts w:ascii="Times New Roman" w:hAnsi="Times New Roman"/>
                <w:lang w:val="zh-CN"/>
              </w:rPr>
            </w:pPr>
            <w:r>
              <w:rPr>
                <w:rFonts w:ascii="Times New Roman" w:hAnsi="Times New Roman"/>
                <w:lang w:val="zh-CN"/>
              </w:rPr>
              <w:t>类型</w:t>
            </w:r>
          </w:p>
        </w:tc>
        <w:tc>
          <w:tcPr>
            <w:tcW w:w="2817" w:type="pct"/>
            <w:vAlign w:val="center"/>
          </w:tcPr>
          <w:p>
            <w:pPr>
              <w:pStyle w:val="39"/>
              <w:rPr>
                <w:rFonts w:ascii="Times New Roman" w:hAnsi="Times New Roman"/>
                <w:lang w:val="zh-CN"/>
              </w:rPr>
            </w:pPr>
            <w:r>
              <w:rPr>
                <w:rFonts w:ascii="Times New Roman" w:hAnsi="Times New Roman"/>
                <w:lang w:val="zh-CN"/>
              </w:rPr>
              <w:t>扩散途径和可能的影响方式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1" w:type="pct"/>
            <w:vMerge w:val="restart"/>
            <w:vAlign w:val="center"/>
          </w:tcPr>
          <w:p>
            <w:pPr>
              <w:pStyle w:val="39"/>
              <w:rPr>
                <w:rFonts w:ascii="Times New Roman" w:hAnsi="Times New Roman"/>
                <w:lang w:val="zh-CN"/>
              </w:rPr>
            </w:pPr>
            <w:r>
              <w:rPr>
                <w:rFonts w:ascii="Times New Roman" w:hAnsi="Times New Roman"/>
                <w:lang w:val="zh-CN"/>
              </w:rPr>
              <w:t>1</w:t>
            </w:r>
          </w:p>
        </w:tc>
        <w:tc>
          <w:tcPr>
            <w:tcW w:w="443" w:type="pct"/>
            <w:vMerge w:val="restart"/>
            <w:vAlign w:val="center"/>
          </w:tcPr>
          <w:p>
            <w:pPr>
              <w:pStyle w:val="39"/>
              <w:rPr>
                <w:rFonts w:ascii="Times New Roman" w:hAnsi="Times New Roman"/>
                <w:lang w:val="zh-CN"/>
              </w:rPr>
            </w:pPr>
            <w:r>
              <w:rPr>
                <w:rFonts w:ascii="Times New Roman" w:hAnsi="Times New Roman"/>
                <w:lang w:val="zh-CN"/>
              </w:rPr>
              <w:t>天然气</w:t>
            </w:r>
          </w:p>
        </w:tc>
        <w:tc>
          <w:tcPr>
            <w:tcW w:w="670" w:type="pct"/>
            <w:vAlign w:val="center"/>
          </w:tcPr>
          <w:p>
            <w:pPr>
              <w:pStyle w:val="39"/>
              <w:rPr>
                <w:rFonts w:ascii="Times New Roman" w:hAnsi="Times New Roman"/>
                <w:lang w:val="zh-CN"/>
              </w:rPr>
            </w:pPr>
            <w:r>
              <w:rPr>
                <w:rFonts w:ascii="Times New Roman" w:hAnsi="Times New Roman"/>
                <w:lang w:val="zh-CN"/>
              </w:rPr>
              <w:t>危险物质泄漏</w:t>
            </w:r>
          </w:p>
        </w:tc>
        <w:tc>
          <w:tcPr>
            <w:tcW w:w="819" w:type="pct"/>
            <w:vAlign w:val="center"/>
          </w:tcPr>
          <w:p>
            <w:pPr>
              <w:pStyle w:val="39"/>
              <w:rPr>
                <w:rFonts w:ascii="Times New Roman" w:hAnsi="Times New Roman"/>
                <w:lang w:val="zh-CN"/>
              </w:rPr>
            </w:pPr>
            <w:r>
              <w:rPr>
                <w:rFonts w:ascii="Times New Roman" w:hAnsi="Times New Roman"/>
                <w:lang w:val="zh-CN"/>
              </w:rPr>
              <w:t>大气扩散</w:t>
            </w:r>
          </w:p>
        </w:tc>
        <w:tc>
          <w:tcPr>
            <w:tcW w:w="2817" w:type="pct"/>
            <w:vAlign w:val="center"/>
          </w:tcPr>
          <w:p>
            <w:pPr>
              <w:pStyle w:val="39"/>
              <w:rPr>
                <w:rFonts w:ascii="Times New Roman" w:hAnsi="Times New Roman"/>
                <w:lang w:val="zh-CN"/>
              </w:rPr>
            </w:pPr>
            <w:r>
              <w:rPr>
                <w:rFonts w:ascii="Times New Roman" w:hAnsi="Times New Roman"/>
                <w:lang w:val="zh-CN"/>
              </w:rPr>
              <w:t>采气、集输期间，天然气泄漏后直接进入大气环境，通过大气扩散对项目周围环境造成危害，致使居民甲烷窒息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1" w:type="pct"/>
            <w:vMerge w:val="continue"/>
            <w:vAlign w:val="center"/>
          </w:tcPr>
          <w:p>
            <w:pPr>
              <w:pStyle w:val="39"/>
              <w:rPr>
                <w:rFonts w:ascii="Times New Roman" w:hAnsi="Times New Roman"/>
                <w:lang w:val="zh-CN"/>
              </w:rPr>
            </w:pPr>
          </w:p>
        </w:tc>
        <w:tc>
          <w:tcPr>
            <w:tcW w:w="443" w:type="pct"/>
            <w:vMerge w:val="continue"/>
            <w:vAlign w:val="center"/>
          </w:tcPr>
          <w:p>
            <w:pPr>
              <w:pStyle w:val="39"/>
              <w:rPr>
                <w:rFonts w:ascii="Times New Roman" w:hAnsi="Times New Roman"/>
                <w:lang w:val="zh-CN"/>
              </w:rPr>
            </w:pPr>
          </w:p>
        </w:tc>
        <w:tc>
          <w:tcPr>
            <w:tcW w:w="670" w:type="pct"/>
            <w:vAlign w:val="center"/>
          </w:tcPr>
          <w:p>
            <w:pPr>
              <w:pStyle w:val="39"/>
              <w:rPr>
                <w:rFonts w:ascii="Times New Roman" w:hAnsi="Times New Roman"/>
                <w:lang w:val="zh-CN"/>
              </w:rPr>
            </w:pPr>
            <w:r>
              <w:rPr>
                <w:rFonts w:ascii="Times New Roman" w:hAnsi="Times New Roman"/>
                <w:lang w:val="zh-CN"/>
              </w:rPr>
              <w:t>火灾引发的伴生/次生污染物排放</w:t>
            </w:r>
          </w:p>
        </w:tc>
        <w:tc>
          <w:tcPr>
            <w:tcW w:w="819" w:type="pct"/>
            <w:vAlign w:val="center"/>
          </w:tcPr>
          <w:p>
            <w:pPr>
              <w:pStyle w:val="39"/>
              <w:rPr>
                <w:rFonts w:ascii="Times New Roman" w:hAnsi="Times New Roman"/>
                <w:lang w:val="zh-CN"/>
              </w:rPr>
            </w:pPr>
            <w:r>
              <w:rPr>
                <w:rFonts w:ascii="Times New Roman" w:hAnsi="Times New Roman"/>
                <w:lang w:val="zh-CN"/>
              </w:rPr>
              <w:t>大气扩散</w:t>
            </w:r>
          </w:p>
        </w:tc>
        <w:tc>
          <w:tcPr>
            <w:tcW w:w="2817" w:type="pct"/>
            <w:vAlign w:val="center"/>
          </w:tcPr>
          <w:p>
            <w:pPr>
              <w:pStyle w:val="39"/>
              <w:rPr>
                <w:rFonts w:ascii="Times New Roman" w:hAnsi="Times New Roman"/>
                <w:lang w:val="zh-CN"/>
              </w:rPr>
            </w:pPr>
            <w:r>
              <w:rPr>
                <w:rFonts w:ascii="Times New Roman" w:hAnsi="Times New Roman"/>
                <w:lang w:val="zh-CN"/>
              </w:rPr>
              <w:t>采气、集输期间，天然气泄漏发生火灾事故，引发伴生污染物等进入大气环境，对项目周围环境造成危害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1" w:type="pct"/>
            <w:vMerge w:val="continue"/>
            <w:vAlign w:val="center"/>
          </w:tcPr>
          <w:p>
            <w:pPr>
              <w:pStyle w:val="39"/>
              <w:rPr>
                <w:rFonts w:ascii="Times New Roman" w:hAnsi="Times New Roman"/>
                <w:lang w:val="zh-CN"/>
              </w:rPr>
            </w:pPr>
          </w:p>
        </w:tc>
        <w:tc>
          <w:tcPr>
            <w:tcW w:w="443" w:type="pct"/>
            <w:vMerge w:val="continue"/>
            <w:vAlign w:val="center"/>
          </w:tcPr>
          <w:p>
            <w:pPr>
              <w:pStyle w:val="39"/>
              <w:rPr>
                <w:rFonts w:ascii="Times New Roman" w:hAnsi="Times New Roman"/>
                <w:lang w:val="zh-CN"/>
              </w:rPr>
            </w:pPr>
          </w:p>
        </w:tc>
        <w:tc>
          <w:tcPr>
            <w:tcW w:w="670" w:type="pct"/>
            <w:vAlign w:val="center"/>
          </w:tcPr>
          <w:p>
            <w:pPr>
              <w:pStyle w:val="39"/>
              <w:rPr>
                <w:rFonts w:ascii="Times New Roman" w:hAnsi="Times New Roman"/>
                <w:lang w:val="zh-CN"/>
              </w:rPr>
            </w:pPr>
            <w:r>
              <w:rPr>
                <w:rFonts w:ascii="Times New Roman" w:hAnsi="Times New Roman"/>
                <w:lang w:val="zh-CN"/>
              </w:rPr>
              <w:t>火灾引发的伴生/次生污染物排放</w:t>
            </w:r>
          </w:p>
        </w:tc>
        <w:tc>
          <w:tcPr>
            <w:tcW w:w="819" w:type="pct"/>
            <w:vAlign w:val="center"/>
          </w:tcPr>
          <w:p>
            <w:pPr>
              <w:pStyle w:val="39"/>
              <w:rPr>
                <w:rFonts w:ascii="Times New Roman" w:hAnsi="Times New Roman"/>
                <w:lang w:val="zh-CN"/>
              </w:rPr>
            </w:pPr>
            <w:r>
              <w:rPr>
                <w:rFonts w:ascii="Times New Roman" w:hAnsi="Times New Roman"/>
                <w:lang w:val="zh-CN"/>
              </w:rPr>
              <w:t>地表水、地下水环境扩散</w:t>
            </w:r>
          </w:p>
        </w:tc>
        <w:tc>
          <w:tcPr>
            <w:tcW w:w="2817" w:type="pct"/>
            <w:vAlign w:val="center"/>
          </w:tcPr>
          <w:p>
            <w:pPr>
              <w:pStyle w:val="39"/>
              <w:rPr>
                <w:rFonts w:ascii="Times New Roman" w:hAnsi="Times New Roman"/>
                <w:lang w:val="zh-CN"/>
              </w:rPr>
            </w:pPr>
            <w:r>
              <w:rPr>
                <w:rFonts w:ascii="Times New Roman" w:hAnsi="Times New Roman"/>
                <w:lang w:val="zh-CN"/>
              </w:rPr>
              <w:t>采气、集输期间，天然气泄漏发生火灾事故时产生的消防废水或泄漏的液体未能得到有效收集而进入清净下水系统或雨排系统，通过排水系统排入外界水体，引起水环境污染次生事故，对外界水环境造成影响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1" w:type="pct"/>
            <w:vAlign w:val="center"/>
          </w:tcPr>
          <w:p>
            <w:pPr>
              <w:pStyle w:val="39"/>
              <w:rPr>
                <w:rFonts w:ascii="Times New Roman" w:hAnsi="Times New Roman"/>
                <w:lang w:val="zh-CN"/>
              </w:rPr>
            </w:pPr>
            <w:r>
              <w:rPr>
                <w:rFonts w:ascii="Times New Roman" w:hAnsi="Times New Roman"/>
                <w:lang w:val="zh-CN"/>
              </w:rPr>
              <w:t>2</w:t>
            </w:r>
          </w:p>
        </w:tc>
        <w:tc>
          <w:tcPr>
            <w:tcW w:w="443" w:type="pct"/>
            <w:vAlign w:val="center"/>
          </w:tcPr>
          <w:p>
            <w:pPr>
              <w:pStyle w:val="39"/>
              <w:rPr>
                <w:rFonts w:ascii="Times New Roman" w:hAnsi="Times New Roman"/>
                <w:lang w:val="zh-CN"/>
              </w:rPr>
            </w:pPr>
            <w:r>
              <w:rPr>
                <w:rFonts w:ascii="Times New Roman" w:hAnsi="Times New Roman"/>
                <w:lang w:val="zh-CN"/>
              </w:rPr>
              <w:t>硫化氢</w:t>
            </w:r>
          </w:p>
        </w:tc>
        <w:tc>
          <w:tcPr>
            <w:tcW w:w="670" w:type="pct"/>
            <w:vAlign w:val="center"/>
          </w:tcPr>
          <w:p>
            <w:pPr>
              <w:pStyle w:val="39"/>
              <w:rPr>
                <w:rFonts w:ascii="Times New Roman" w:hAnsi="Times New Roman"/>
                <w:lang w:val="zh-CN"/>
              </w:rPr>
            </w:pPr>
            <w:r>
              <w:rPr>
                <w:rFonts w:ascii="Times New Roman" w:hAnsi="Times New Roman"/>
                <w:lang w:val="zh-CN"/>
              </w:rPr>
              <w:t>危险物质泄漏</w:t>
            </w:r>
          </w:p>
        </w:tc>
        <w:tc>
          <w:tcPr>
            <w:tcW w:w="819" w:type="pct"/>
            <w:vAlign w:val="center"/>
          </w:tcPr>
          <w:p>
            <w:pPr>
              <w:pStyle w:val="39"/>
              <w:rPr>
                <w:rFonts w:ascii="Times New Roman" w:hAnsi="Times New Roman"/>
                <w:lang w:val="zh-CN"/>
              </w:rPr>
            </w:pPr>
            <w:r>
              <w:rPr>
                <w:rFonts w:ascii="Times New Roman" w:hAnsi="Times New Roman"/>
                <w:lang w:val="zh-CN"/>
              </w:rPr>
              <w:t>大气扩散</w:t>
            </w:r>
          </w:p>
        </w:tc>
        <w:tc>
          <w:tcPr>
            <w:tcW w:w="2817" w:type="pct"/>
            <w:vAlign w:val="center"/>
          </w:tcPr>
          <w:p>
            <w:pPr>
              <w:pStyle w:val="39"/>
              <w:rPr>
                <w:rFonts w:ascii="Times New Roman" w:hAnsi="Times New Roman"/>
                <w:lang w:val="zh-CN"/>
              </w:rPr>
            </w:pPr>
            <w:r>
              <w:rPr>
                <w:rFonts w:ascii="Times New Roman" w:hAnsi="Times New Roman"/>
                <w:lang w:val="zh-CN"/>
              </w:rPr>
              <w:t>采气、集输期间，硫化氢泄漏后，通过大气扩散，致使周边居民中毒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1" w:type="pct"/>
            <w:vMerge w:val="restart"/>
            <w:vAlign w:val="center"/>
          </w:tcPr>
          <w:p>
            <w:pPr>
              <w:pStyle w:val="39"/>
              <w:rPr>
                <w:rFonts w:ascii="Times New Roman" w:hAnsi="Times New Roman"/>
                <w:lang w:val="zh-CN"/>
              </w:rPr>
            </w:pPr>
            <w:r>
              <w:rPr>
                <w:rFonts w:ascii="Times New Roman" w:hAnsi="Times New Roman"/>
                <w:lang w:val="zh-CN"/>
              </w:rPr>
              <w:t>3</w:t>
            </w:r>
          </w:p>
        </w:tc>
        <w:tc>
          <w:tcPr>
            <w:tcW w:w="443" w:type="pct"/>
            <w:vMerge w:val="restart"/>
            <w:vAlign w:val="center"/>
          </w:tcPr>
          <w:p>
            <w:pPr>
              <w:pStyle w:val="39"/>
              <w:rPr>
                <w:rFonts w:ascii="Times New Roman" w:hAnsi="Times New Roman"/>
                <w:lang w:val="zh-CN"/>
              </w:rPr>
            </w:pPr>
            <w:r>
              <w:rPr>
                <w:rFonts w:ascii="Times New Roman" w:hAnsi="Times New Roman"/>
                <w:lang w:val="zh-CN"/>
              </w:rPr>
              <w:t>气田水</w:t>
            </w:r>
          </w:p>
        </w:tc>
        <w:tc>
          <w:tcPr>
            <w:tcW w:w="670" w:type="pct"/>
            <w:vMerge w:val="restart"/>
            <w:vAlign w:val="center"/>
          </w:tcPr>
          <w:p>
            <w:pPr>
              <w:pStyle w:val="39"/>
              <w:rPr>
                <w:rFonts w:ascii="Times New Roman" w:hAnsi="Times New Roman"/>
                <w:lang w:val="zh-CN"/>
              </w:rPr>
            </w:pPr>
            <w:r>
              <w:rPr>
                <w:rFonts w:ascii="Times New Roman" w:hAnsi="Times New Roman"/>
                <w:lang w:val="zh-CN"/>
              </w:rPr>
              <w:t>渗漏</w:t>
            </w:r>
          </w:p>
        </w:tc>
        <w:tc>
          <w:tcPr>
            <w:tcW w:w="819" w:type="pct"/>
            <w:vAlign w:val="center"/>
          </w:tcPr>
          <w:p>
            <w:pPr>
              <w:pStyle w:val="39"/>
              <w:rPr>
                <w:rFonts w:ascii="Times New Roman" w:hAnsi="Times New Roman"/>
                <w:lang w:val="zh-CN"/>
              </w:rPr>
            </w:pPr>
            <w:r>
              <w:rPr>
                <w:rFonts w:ascii="Times New Roman" w:hAnsi="Times New Roman"/>
                <w:lang w:val="zh-CN"/>
              </w:rPr>
              <w:t>土壤环境、地下水环境</w:t>
            </w:r>
          </w:p>
        </w:tc>
        <w:tc>
          <w:tcPr>
            <w:tcW w:w="2817" w:type="pct"/>
            <w:vAlign w:val="center"/>
          </w:tcPr>
          <w:p>
            <w:pPr>
              <w:pStyle w:val="39"/>
              <w:rPr>
                <w:rFonts w:ascii="Times New Roman" w:hAnsi="Times New Roman"/>
                <w:lang w:val="zh-CN"/>
              </w:rPr>
            </w:pPr>
            <w:r>
              <w:rPr>
                <w:rFonts w:ascii="Times New Roman" w:hAnsi="Times New Roman"/>
                <w:lang w:val="zh-CN"/>
              </w:rPr>
              <w:t>气田水贮存、运输期间，储罐或槽车中的气田水泄漏未能得到有效收集进入土壤，危害土壤环境；通过土壤渗入地下水环境。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1" w:type="pct"/>
            <w:vMerge w:val="continue"/>
            <w:vAlign w:val="center"/>
          </w:tcPr>
          <w:p>
            <w:pPr>
              <w:pStyle w:val="39"/>
              <w:rPr>
                <w:rFonts w:ascii="Times New Roman" w:hAnsi="Times New Roman"/>
                <w:lang w:val="zh-CN"/>
              </w:rPr>
            </w:pPr>
          </w:p>
        </w:tc>
        <w:tc>
          <w:tcPr>
            <w:tcW w:w="443" w:type="pct"/>
            <w:vMerge w:val="continue"/>
            <w:vAlign w:val="center"/>
          </w:tcPr>
          <w:p>
            <w:pPr>
              <w:pStyle w:val="39"/>
              <w:rPr>
                <w:rFonts w:ascii="Times New Roman" w:hAnsi="Times New Roman"/>
                <w:lang w:val="zh-CN"/>
              </w:rPr>
            </w:pPr>
          </w:p>
        </w:tc>
        <w:tc>
          <w:tcPr>
            <w:tcW w:w="670" w:type="pct"/>
            <w:vMerge w:val="continue"/>
            <w:vAlign w:val="center"/>
          </w:tcPr>
          <w:p>
            <w:pPr>
              <w:pStyle w:val="39"/>
              <w:rPr>
                <w:rFonts w:ascii="Times New Roman" w:hAnsi="Times New Roman"/>
                <w:lang w:val="zh-CN"/>
              </w:rPr>
            </w:pPr>
          </w:p>
        </w:tc>
        <w:tc>
          <w:tcPr>
            <w:tcW w:w="819" w:type="pct"/>
            <w:vAlign w:val="center"/>
          </w:tcPr>
          <w:p>
            <w:pPr>
              <w:pStyle w:val="39"/>
              <w:rPr>
                <w:rFonts w:ascii="Times New Roman" w:hAnsi="Times New Roman"/>
                <w:lang w:val="zh-CN"/>
              </w:rPr>
            </w:pPr>
            <w:r>
              <w:rPr>
                <w:rFonts w:ascii="Times New Roman" w:hAnsi="Times New Roman"/>
                <w:lang w:val="zh-CN"/>
              </w:rPr>
              <w:t>地表水环境</w:t>
            </w:r>
          </w:p>
        </w:tc>
        <w:tc>
          <w:tcPr>
            <w:tcW w:w="2817" w:type="pct"/>
            <w:vAlign w:val="center"/>
          </w:tcPr>
          <w:p>
            <w:pPr>
              <w:pStyle w:val="39"/>
              <w:rPr>
                <w:rFonts w:ascii="Times New Roman" w:hAnsi="Times New Roman"/>
                <w:lang w:val="zh-CN"/>
              </w:rPr>
            </w:pPr>
            <w:r>
              <w:rPr>
                <w:rFonts w:ascii="Times New Roman" w:hAnsi="Times New Roman"/>
                <w:lang w:val="zh-CN"/>
              </w:rPr>
              <w:t>气田水贮存、运输期间，泄漏未能得到有效收集进入周边地表水，引起水环境污染事故。</w:t>
            </w:r>
          </w:p>
        </w:tc>
      </w:tr>
      <w:bookmarkEnd w:id="273"/>
    </w:tbl>
    <w:p>
      <w:pPr>
        <w:ind w:firstLine="480"/>
        <w:rPr>
          <w:rFonts w:ascii="Times New Roman" w:hAnsi="Times New Roman"/>
        </w:rPr>
      </w:pPr>
    </w:p>
    <w:p>
      <w:pPr>
        <w:pStyle w:val="4"/>
        <w:rPr>
          <w:rFonts w:ascii="Times New Roman" w:hAnsi="Times New Roman" w:cs="Times New Roman"/>
        </w:rPr>
      </w:pPr>
      <w:r>
        <w:rPr>
          <w:rFonts w:ascii="Times New Roman" w:hAnsi="Times New Roman" w:cs="Times New Roman"/>
        </w:rPr>
        <w:t>危险单元及危险物质扩散途径</w:t>
      </w:r>
    </w:p>
    <w:p>
      <w:pPr>
        <w:ind w:firstLine="480"/>
        <w:rPr>
          <w:rFonts w:ascii="Times New Roman" w:hAnsi="Times New Roman"/>
        </w:rPr>
      </w:pPr>
      <w:r>
        <w:rPr>
          <w:rFonts w:ascii="Times New Roman" w:hAnsi="Times New Roman"/>
        </w:rPr>
        <w:t>根据风险识别，下表给出本项目环境危险单元如下。</w:t>
      </w:r>
    </w:p>
    <w:p>
      <w:pPr>
        <w:pStyle w:val="37"/>
        <w:rPr>
          <w:rFonts w:ascii="Times New Roman" w:hAnsi="Times New Roman" w:cs="Times New Roman"/>
        </w:rPr>
      </w:pPr>
      <w:bookmarkStart w:id="274" w:name="_Hlk16070087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21</w:t>
      </w:r>
      <w:r>
        <w:rPr>
          <w:rFonts w:ascii="Times New Roman" w:hAnsi="Times New Roman" w:cs="Times New Roman"/>
        </w:rPr>
        <w:fldChar w:fldCharType="end"/>
      </w:r>
      <w:r>
        <w:rPr>
          <w:rFonts w:ascii="Times New Roman" w:hAnsi="Times New Roman" w:cs="Times New Roman"/>
        </w:rPr>
        <w:t xml:space="preserve">  本项目环境危险单元及危险物质向环境扩散途径</w:t>
      </w:r>
    </w:p>
    <w:tbl>
      <w:tblPr>
        <w:tblStyle w:val="28"/>
        <w:tblW w:w="528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20"/>
        <w:gridCol w:w="1726"/>
        <w:gridCol w:w="1305"/>
        <w:gridCol w:w="1553"/>
        <w:gridCol w:w="1703"/>
        <w:gridCol w:w="19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8" w:hRule="atLeast"/>
          <w:jc w:val="center"/>
        </w:trPr>
        <w:tc>
          <w:tcPr>
            <w:tcW w:w="296"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序号</w:t>
            </w:r>
          </w:p>
        </w:tc>
        <w:tc>
          <w:tcPr>
            <w:tcW w:w="980"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危险单元</w:t>
            </w:r>
          </w:p>
        </w:tc>
        <w:tc>
          <w:tcPr>
            <w:tcW w:w="741"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风险源</w:t>
            </w:r>
          </w:p>
        </w:tc>
        <w:tc>
          <w:tcPr>
            <w:tcW w:w="882" w:type="pct"/>
            <w:vAlign w:val="center"/>
          </w:tcPr>
          <w:p>
            <w:pPr>
              <w:pStyle w:val="39"/>
              <w:rPr>
                <w:rFonts w:ascii="Times New Roman" w:hAnsi="Times New Roman"/>
                <w:lang w:bidi="ar"/>
              </w:rPr>
            </w:pPr>
            <w:r>
              <w:rPr>
                <w:rFonts w:ascii="Times New Roman" w:hAnsi="Times New Roman"/>
                <w:lang w:bidi="ar"/>
              </w:rPr>
              <w:t>环境风险类型</w:t>
            </w:r>
          </w:p>
        </w:tc>
        <w:tc>
          <w:tcPr>
            <w:tcW w:w="967"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危险物质</w:t>
            </w:r>
          </w:p>
        </w:tc>
        <w:tc>
          <w:tcPr>
            <w:tcW w:w="1134"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环境扩散途径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7" w:hRule="atLeast"/>
          <w:jc w:val="center"/>
        </w:trPr>
        <w:tc>
          <w:tcPr>
            <w:tcW w:w="296" w:type="pct"/>
            <w:tcMar>
              <w:top w:w="15" w:type="dxa"/>
              <w:left w:w="15" w:type="dxa"/>
              <w:right w:w="15" w:type="dxa"/>
            </w:tcMar>
            <w:vAlign w:val="center"/>
          </w:tcPr>
          <w:p>
            <w:pPr>
              <w:pStyle w:val="39"/>
              <w:rPr>
                <w:rFonts w:ascii="Times New Roman" w:hAnsi="Times New Roman"/>
              </w:rPr>
            </w:pPr>
            <w:r>
              <w:rPr>
                <w:rFonts w:ascii="Times New Roman" w:hAnsi="Times New Roman"/>
              </w:rPr>
              <w:t>1</w:t>
            </w:r>
          </w:p>
        </w:tc>
        <w:tc>
          <w:tcPr>
            <w:tcW w:w="980" w:type="pct"/>
            <w:tcMar>
              <w:top w:w="15" w:type="dxa"/>
              <w:left w:w="15" w:type="dxa"/>
              <w:right w:w="15" w:type="dxa"/>
            </w:tcMar>
            <w:vAlign w:val="center"/>
          </w:tcPr>
          <w:p>
            <w:pPr>
              <w:pStyle w:val="39"/>
              <w:rPr>
                <w:rFonts w:ascii="Times New Roman" w:hAnsi="Times New Roman"/>
                <w:lang w:bidi="ar"/>
              </w:rPr>
            </w:pPr>
            <w:r>
              <w:rPr>
                <w:rFonts w:ascii="Times New Roman" w:hAnsi="Times New Roman"/>
              </w:rPr>
              <w:t>宣探1井站</w:t>
            </w:r>
          </w:p>
        </w:tc>
        <w:tc>
          <w:tcPr>
            <w:tcW w:w="741"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站内原料气管道、气田水罐</w:t>
            </w:r>
          </w:p>
        </w:tc>
        <w:tc>
          <w:tcPr>
            <w:tcW w:w="882" w:type="pct"/>
            <w:vAlign w:val="center"/>
          </w:tcPr>
          <w:p>
            <w:pPr>
              <w:pStyle w:val="39"/>
              <w:rPr>
                <w:rFonts w:ascii="Times New Roman" w:hAnsi="Times New Roman"/>
                <w:lang w:bidi="ar"/>
              </w:rPr>
            </w:pPr>
            <w:r>
              <w:rPr>
                <w:rFonts w:ascii="Times New Roman" w:hAnsi="Times New Roman"/>
                <w:lang w:bidi="ar"/>
              </w:rPr>
              <w:t>泄漏、火灾、爆炸</w:t>
            </w:r>
          </w:p>
        </w:tc>
        <w:tc>
          <w:tcPr>
            <w:tcW w:w="967"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气田水、CH</w:t>
            </w:r>
            <w:r>
              <w:rPr>
                <w:rFonts w:ascii="Times New Roman" w:hAnsi="Times New Roman"/>
                <w:vertAlign w:val="subscript"/>
                <w:lang w:bidi="ar"/>
              </w:rPr>
              <w:t>4</w:t>
            </w:r>
            <w:r>
              <w:rPr>
                <w:rFonts w:ascii="Times New Roman" w:hAnsi="Times New Roman"/>
                <w:lang w:bidi="ar"/>
              </w:rPr>
              <w:t>、H</w:t>
            </w:r>
            <w:r>
              <w:rPr>
                <w:rFonts w:ascii="Times New Roman" w:hAnsi="Times New Roman"/>
                <w:vertAlign w:val="subscript"/>
                <w:lang w:bidi="ar"/>
              </w:rPr>
              <w:t>2</w:t>
            </w:r>
            <w:r>
              <w:rPr>
                <w:rFonts w:ascii="Times New Roman" w:hAnsi="Times New Roman"/>
                <w:lang w:bidi="ar"/>
              </w:rPr>
              <w:t>S、SO</w:t>
            </w:r>
            <w:r>
              <w:rPr>
                <w:rFonts w:ascii="Times New Roman" w:hAnsi="Times New Roman"/>
                <w:vertAlign w:val="subscript"/>
                <w:lang w:bidi="ar"/>
              </w:rPr>
              <w:t>2</w:t>
            </w:r>
          </w:p>
        </w:tc>
        <w:tc>
          <w:tcPr>
            <w:tcW w:w="1134"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大气扩散、地表漫流、地下水运移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4" w:hRule="atLeast"/>
          <w:jc w:val="center"/>
        </w:trPr>
        <w:tc>
          <w:tcPr>
            <w:tcW w:w="296" w:type="pct"/>
            <w:tcMar>
              <w:top w:w="15" w:type="dxa"/>
              <w:left w:w="15" w:type="dxa"/>
              <w:right w:w="15" w:type="dxa"/>
            </w:tcMar>
            <w:vAlign w:val="center"/>
          </w:tcPr>
          <w:p>
            <w:pPr>
              <w:pStyle w:val="39"/>
              <w:rPr>
                <w:rFonts w:ascii="Times New Roman" w:hAnsi="Times New Roman"/>
              </w:rPr>
            </w:pPr>
            <w:r>
              <w:rPr>
                <w:rFonts w:ascii="Times New Roman" w:hAnsi="Times New Roman"/>
              </w:rPr>
              <w:t>2</w:t>
            </w:r>
          </w:p>
        </w:tc>
        <w:tc>
          <w:tcPr>
            <w:tcW w:w="980" w:type="pct"/>
            <w:tcMar>
              <w:top w:w="15" w:type="dxa"/>
              <w:left w:w="15" w:type="dxa"/>
              <w:right w:w="15" w:type="dxa"/>
            </w:tcMar>
            <w:vAlign w:val="center"/>
          </w:tcPr>
          <w:p>
            <w:pPr>
              <w:pStyle w:val="39"/>
              <w:rPr>
                <w:rFonts w:ascii="Times New Roman" w:hAnsi="Times New Roman"/>
              </w:rPr>
            </w:pPr>
            <w:r>
              <w:rPr>
                <w:rFonts w:ascii="Times New Roman" w:hAnsi="Times New Roman"/>
              </w:rPr>
              <w:t>宣兴1井站</w:t>
            </w:r>
          </w:p>
        </w:tc>
        <w:tc>
          <w:tcPr>
            <w:tcW w:w="741"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站内原料气管道、气田水罐</w:t>
            </w:r>
          </w:p>
        </w:tc>
        <w:tc>
          <w:tcPr>
            <w:tcW w:w="882" w:type="pct"/>
            <w:vAlign w:val="center"/>
          </w:tcPr>
          <w:p>
            <w:pPr>
              <w:pStyle w:val="39"/>
              <w:rPr>
                <w:rFonts w:ascii="Times New Roman" w:hAnsi="Times New Roman"/>
                <w:lang w:bidi="ar"/>
              </w:rPr>
            </w:pPr>
            <w:r>
              <w:rPr>
                <w:rFonts w:ascii="Times New Roman" w:hAnsi="Times New Roman"/>
                <w:lang w:bidi="ar"/>
              </w:rPr>
              <w:t>泄漏、火灾、爆炸</w:t>
            </w:r>
          </w:p>
        </w:tc>
        <w:tc>
          <w:tcPr>
            <w:tcW w:w="967"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气田水、CH</w:t>
            </w:r>
            <w:r>
              <w:rPr>
                <w:rFonts w:ascii="Times New Roman" w:hAnsi="Times New Roman"/>
                <w:vertAlign w:val="subscript"/>
                <w:lang w:bidi="ar"/>
              </w:rPr>
              <w:t>4</w:t>
            </w:r>
            <w:r>
              <w:rPr>
                <w:rFonts w:ascii="Times New Roman" w:hAnsi="Times New Roman"/>
                <w:lang w:bidi="ar"/>
              </w:rPr>
              <w:t>、H</w:t>
            </w:r>
            <w:r>
              <w:rPr>
                <w:rFonts w:ascii="Times New Roman" w:hAnsi="Times New Roman"/>
                <w:vertAlign w:val="subscript"/>
                <w:lang w:bidi="ar"/>
              </w:rPr>
              <w:t>2</w:t>
            </w:r>
            <w:r>
              <w:rPr>
                <w:rFonts w:ascii="Times New Roman" w:hAnsi="Times New Roman"/>
                <w:lang w:bidi="ar"/>
              </w:rPr>
              <w:t>S、SO</w:t>
            </w:r>
            <w:r>
              <w:rPr>
                <w:rFonts w:ascii="Times New Roman" w:hAnsi="Times New Roman"/>
                <w:vertAlign w:val="subscript"/>
                <w:lang w:bidi="ar"/>
              </w:rPr>
              <w:t>2</w:t>
            </w:r>
          </w:p>
        </w:tc>
        <w:tc>
          <w:tcPr>
            <w:tcW w:w="1134"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大气扩散、地表漫流、地下水运移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96" w:type="pct"/>
            <w:tcMar>
              <w:top w:w="15" w:type="dxa"/>
              <w:left w:w="15" w:type="dxa"/>
              <w:right w:w="15" w:type="dxa"/>
            </w:tcMar>
            <w:vAlign w:val="center"/>
          </w:tcPr>
          <w:p>
            <w:pPr>
              <w:pStyle w:val="39"/>
              <w:rPr>
                <w:rFonts w:ascii="Times New Roman" w:hAnsi="Times New Roman"/>
              </w:rPr>
            </w:pPr>
            <w:r>
              <w:rPr>
                <w:rFonts w:ascii="Times New Roman" w:hAnsi="Times New Roman"/>
                <w:lang w:bidi="ar"/>
              </w:rPr>
              <w:t>3</w:t>
            </w:r>
          </w:p>
        </w:tc>
        <w:tc>
          <w:tcPr>
            <w:tcW w:w="980" w:type="pct"/>
            <w:tcMar>
              <w:top w:w="15" w:type="dxa"/>
              <w:left w:w="15" w:type="dxa"/>
              <w:right w:w="15" w:type="dxa"/>
            </w:tcMar>
            <w:vAlign w:val="center"/>
          </w:tcPr>
          <w:p>
            <w:pPr>
              <w:pStyle w:val="39"/>
              <w:rPr>
                <w:rFonts w:ascii="Times New Roman" w:hAnsi="Times New Roman"/>
              </w:rPr>
            </w:pPr>
            <w:r>
              <w:rPr>
                <w:rFonts w:ascii="Times New Roman" w:hAnsi="Times New Roman"/>
              </w:rPr>
              <w:t>宣探集气干线</w:t>
            </w:r>
          </w:p>
          <w:p>
            <w:pPr>
              <w:pStyle w:val="39"/>
              <w:rPr>
                <w:rFonts w:ascii="Times New Roman" w:hAnsi="Times New Roman"/>
                <w:lang w:bidi="ar"/>
              </w:rPr>
            </w:pPr>
            <w:r>
              <w:rPr>
                <w:rFonts w:ascii="Times New Roman" w:hAnsi="Times New Roman"/>
              </w:rPr>
              <w:t>宣兴1井-宣探阀室</w:t>
            </w:r>
          </w:p>
        </w:tc>
        <w:tc>
          <w:tcPr>
            <w:tcW w:w="741"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集输</w:t>
            </w:r>
          </w:p>
          <w:p>
            <w:pPr>
              <w:pStyle w:val="39"/>
              <w:rPr>
                <w:rFonts w:ascii="Times New Roman" w:hAnsi="Times New Roman"/>
                <w:lang w:bidi="ar"/>
              </w:rPr>
            </w:pPr>
            <w:r>
              <w:rPr>
                <w:rFonts w:ascii="Times New Roman" w:hAnsi="Times New Roman"/>
                <w:lang w:bidi="ar"/>
              </w:rPr>
              <w:t>原料气管道</w:t>
            </w:r>
          </w:p>
        </w:tc>
        <w:tc>
          <w:tcPr>
            <w:tcW w:w="882" w:type="pct"/>
            <w:vAlign w:val="center"/>
          </w:tcPr>
          <w:p>
            <w:pPr>
              <w:pStyle w:val="39"/>
              <w:rPr>
                <w:rFonts w:ascii="Times New Roman" w:hAnsi="Times New Roman"/>
                <w:lang w:bidi="ar"/>
              </w:rPr>
            </w:pPr>
            <w:r>
              <w:rPr>
                <w:rFonts w:ascii="Times New Roman" w:hAnsi="Times New Roman"/>
                <w:lang w:bidi="ar"/>
              </w:rPr>
              <w:t>泄漏、火灾、爆炸</w:t>
            </w:r>
          </w:p>
        </w:tc>
        <w:tc>
          <w:tcPr>
            <w:tcW w:w="967"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CH</w:t>
            </w:r>
            <w:r>
              <w:rPr>
                <w:rFonts w:ascii="Times New Roman" w:hAnsi="Times New Roman"/>
                <w:vertAlign w:val="subscript"/>
                <w:lang w:bidi="ar"/>
              </w:rPr>
              <w:t>4</w:t>
            </w:r>
            <w:r>
              <w:rPr>
                <w:rFonts w:ascii="Times New Roman" w:hAnsi="Times New Roman"/>
                <w:lang w:bidi="ar"/>
              </w:rPr>
              <w:t>、H</w:t>
            </w:r>
            <w:r>
              <w:rPr>
                <w:rFonts w:ascii="Times New Roman" w:hAnsi="Times New Roman"/>
                <w:vertAlign w:val="subscript"/>
                <w:lang w:bidi="ar"/>
              </w:rPr>
              <w:t>2</w:t>
            </w:r>
            <w:r>
              <w:rPr>
                <w:rFonts w:ascii="Times New Roman" w:hAnsi="Times New Roman"/>
                <w:lang w:bidi="ar"/>
              </w:rPr>
              <w:t>S、SO</w:t>
            </w:r>
            <w:r>
              <w:rPr>
                <w:rFonts w:ascii="Times New Roman" w:hAnsi="Times New Roman"/>
                <w:vertAlign w:val="subscript"/>
                <w:lang w:bidi="ar"/>
              </w:rPr>
              <w:t>2</w:t>
            </w:r>
          </w:p>
        </w:tc>
        <w:tc>
          <w:tcPr>
            <w:tcW w:w="1134"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大气扩散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96"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4</w:t>
            </w:r>
          </w:p>
        </w:tc>
        <w:tc>
          <w:tcPr>
            <w:tcW w:w="980" w:type="pct"/>
            <w:tcMar>
              <w:top w:w="15" w:type="dxa"/>
              <w:left w:w="15" w:type="dxa"/>
              <w:right w:w="15" w:type="dxa"/>
            </w:tcMar>
            <w:vAlign w:val="center"/>
          </w:tcPr>
          <w:p>
            <w:pPr>
              <w:pStyle w:val="39"/>
              <w:rPr>
                <w:rFonts w:ascii="Times New Roman" w:hAnsi="Times New Roman"/>
              </w:rPr>
            </w:pPr>
            <w:r>
              <w:rPr>
                <w:rFonts w:ascii="Times New Roman" w:hAnsi="Times New Roman"/>
              </w:rPr>
              <w:t>宣探集气干线</w:t>
            </w:r>
          </w:p>
          <w:p>
            <w:pPr>
              <w:pStyle w:val="39"/>
              <w:rPr>
                <w:rFonts w:ascii="Times New Roman" w:hAnsi="Times New Roman"/>
                <w:lang w:bidi="ar"/>
              </w:rPr>
            </w:pPr>
            <w:r>
              <w:rPr>
                <w:rFonts w:ascii="Times New Roman" w:hAnsi="Times New Roman"/>
              </w:rPr>
              <w:t>宣探阀室-宣探清管站</w:t>
            </w:r>
          </w:p>
        </w:tc>
        <w:tc>
          <w:tcPr>
            <w:tcW w:w="741"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集输</w:t>
            </w:r>
          </w:p>
          <w:p>
            <w:pPr>
              <w:pStyle w:val="39"/>
              <w:rPr>
                <w:rFonts w:ascii="Times New Roman" w:hAnsi="Times New Roman"/>
                <w:lang w:bidi="ar"/>
              </w:rPr>
            </w:pPr>
            <w:r>
              <w:rPr>
                <w:rFonts w:ascii="Times New Roman" w:hAnsi="Times New Roman"/>
                <w:lang w:bidi="ar"/>
              </w:rPr>
              <w:t>原料气管道</w:t>
            </w:r>
          </w:p>
        </w:tc>
        <w:tc>
          <w:tcPr>
            <w:tcW w:w="882" w:type="pct"/>
            <w:vAlign w:val="center"/>
          </w:tcPr>
          <w:p>
            <w:pPr>
              <w:pStyle w:val="39"/>
              <w:rPr>
                <w:rFonts w:ascii="Times New Roman" w:hAnsi="Times New Roman"/>
                <w:lang w:bidi="ar"/>
              </w:rPr>
            </w:pPr>
            <w:r>
              <w:rPr>
                <w:rFonts w:ascii="Times New Roman" w:hAnsi="Times New Roman"/>
                <w:lang w:bidi="ar"/>
              </w:rPr>
              <w:t>泄漏、火灾、爆炸</w:t>
            </w:r>
          </w:p>
        </w:tc>
        <w:tc>
          <w:tcPr>
            <w:tcW w:w="967"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CH</w:t>
            </w:r>
            <w:r>
              <w:rPr>
                <w:rFonts w:ascii="Times New Roman" w:hAnsi="Times New Roman"/>
                <w:vertAlign w:val="subscript"/>
                <w:lang w:bidi="ar"/>
              </w:rPr>
              <w:t>4</w:t>
            </w:r>
            <w:r>
              <w:rPr>
                <w:rFonts w:ascii="Times New Roman" w:hAnsi="Times New Roman"/>
                <w:lang w:bidi="ar"/>
              </w:rPr>
              <w:t>、H</w:t>
            </w:r>
            <w:r>
              <w:rPr>
                <w:rFonts w:ascii="Times New Roman" w:hAnsi="Times New Roman"/>
                <w:vertAlign w:val="subscript"/>
                <w:lang w:bidi="ar"/>
              </w:rPr>
              <w:t>2</w:t>
            </w:r>
            <w:r>
              <w:rPr>
                <w:rFonts w:ascii="Times New Roman" w:hAnsi="Times New Roman"/>
                <w:lang w:bidi="ar"/>
              </w:rPr>
              <w:t>S、SO</w:t>
            </w:r>
            <w:r>
              <w:rPr>
                <w:rFonts w:ascii="Times New Roman" w:hAnsi="Times New Roman"/>
                <w:vertAlign w:val="subscript"/>
                <w:lang w:bidi="ar"/>
              </w:rPr>
              <w:t>2</w:t>
            </w:r>
          </w:p>
        </w:tc>
        <w:tc>
          <w:tcPr>
            <w:tcW w:w="1134"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大气扩散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96"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5</w:t>
            </w:r>
          </w:p>
        </w:tc>
        <w:tc>
          <w:tcPr>
            <w:tcW w:w="980" w:type="pct"/>
            <w:tcMar>
              <w:top w:w="15" w:type="dxa"/>
              <w:left w:w="15" w:type="dxa"/>
              <w:right w:w="15" w:type="dxa"/>
            </w:tcMar>
            <w:vAlign w:val="center"/>
          </w:tcPr>
          <w:p>
            <w:pPr>
              <w:pStyle w:val="39"/>
              <w:rPr>
                <w:rFonts w:ascii="Times New Roman" w:hAnsi="Times New Roman"/>
              </w:rPr>
            </w:pPr>
            <w:r>
              <w:rPr>
                <w:rFonts w:ascii="Times New Roman" w:hAnsi="Times New Roman"/>
              </w:rPr>
              <w:t>宣探联络线</w:t>
            </w:r>
          </w:p>
          <w:p>
            <w:pPr>
              <w:pStyle w:val="39"/>
              <w:rPr>
                <w:rFonts w:ascii="Times New Roman" w:hAnsi="Times New Roman"/>
                <w:lang w:bidi="ar"/>
              </w:rPr>
            </w:pPr>
            <w:r>
              <w:rPr>
                <w:rFonts w:ascii="Times New Roman" w:hAnsi="Times New Roman"/>
              </w:rPr>
              <w:t>宣探清管站-304集气站</w:t>
            </w:r>
          </w:p>
        </w:tc>
        <w:tc>
          <w:tcPr>
            <w:tcW w:w="741"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集输</w:t>
            </w:r>
          </w:p>
          <w:p>
            <w:pPr>
              <w:pStyle w:val="39"/>
              <w:rPr>
                <w:rFonts w:ascii="Times New Roman" w:hAnsi="Times New Roman"/>
                <w:lang w:bidi="ar"/>
              </w:rPr>
            </w:pPr>
            <w:r>
              <w:rPr>
                <w:rFonts w:ascii="Times New Roman" w:hAnsi="Times New Roman"/>
                <w:lang w:bidi="ar"/>
              </w:rPr>
              <w:t>原料气管道</w:t>
            </w:r>
          </w:p>
        </w:tc>
        <w:tc>
          <w:tcPr>
            <w:tcW w:w="882" w:type="pct"/>
            <w:vAlign w:val="center"/>
          </w:tcPr>
          <w:p>
            <w:pPr>
              <w:pStyle w:val="39"/>
              <w:rPr>
                <w:rFonts w:ascii="Times New Roman" w:hAnsi="Times New Roman"/>
                <w:lang w:bidi="ar"/>
              </w:rPr>
            </w:pPr>
            <w:r>
              <w:rPr>
                <w:rFonts w:ascii="Times New Roman" w:hAnsi="Times New Roman"/>
                <w:lang w:bidi="ar"/>
              </w:rPr>
              <w:t>泄漏、火灾、爆炸</w:t>
            </w:r>
          </w:p>
        </w:tc>
        <w:tc>
          <w:tcPr>
            <w:tcW w:w="967"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CH</w:t>
            </w:r>
            <w:r>
              <w:rPr>
                <w:rFonts w:ascii="Times New Roman" w:hAnsi="Times New Roman"/>
                <w:vertAlign w:val="subscript"/>
                <w:lang w:bidi="ar"/>
              </w:rPr>
              <w:t>4</w:t>
            </w:r>
            <w:r>
              <w:rPr>
                <w:rFonts w:ascii="Times New Roman" w:hAnsi="Times New Roman"/>
                <w:lang w:bidi="ar"/>
              </w:rPr>
              <w:t>、H</w:t>
            </w:r>
            <w:r>
              <w:rPr>
                <w:rFonts w:ascii="Times New Roman" w:hAnsi="Times New Roman"/>
                <w:vertAlign w:val="subscript"/>
                <w:lang w:bidi="ar"/>
              </w:rPr>
              <w:t>2</w:t>
            </w:r>
            <w:r>
              <w:rPr>
                <w:rFonts w:ascii="Times New Roman" w:hAnsi="Times New Roman"/>
                <w:lang w:bidi="ar"/>
              </w:rPr>
              <w:t>S、SO</w:t>
            </w:r>
            <w:r>
              <w:rPr>
                <w:rFonts w:ascii="Times New Roman" w:hAnsi="Times New Roman"/>
                <w:vertAlign w:val="subscript"/>
                <w:lang w:bidi="ar"/>
              </w:rPr>
              <w:t>2</w:t>
            </w:r>
          </w:p>
        </w:tc>
        <w:tc>
          <w:tcPr>
            <w:tcW w:w="1134"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大气扩散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96"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6</w:t>
            </w:r>
          </w:p>
        </w:tc>
        <w:tc>
          <w:tcPr>
            <w:tcW w:w="980" w:type="pct"/>
            <w:tcMar>
              <w:top w:w="15" w:type="dxa"/>
              <w:left w:w="15" w:type="dxa"/>
              <w:right w:w="15" w:type="dxa"/>
            </w:tcMar>
            <w:vAlign w:val="center"/>
          </w:tcPr>
          <w:p>
            <w:pPr>
              <w:pStyle w:val="39"/>
              <w:rPr>
                <w:rFonts w:ascii="Times New Roman" w:hAnsi="Times New Roman"/>
              </w:rPr>
            </w:pPr>
            <w:r>
              <w:rPr>
                <w:rFonts w:ascii="Times New Roman" w:hAnsi="Times New Roman"/>
              </w:rPr>
              <w:t>宣探集气支线</w:t>
            </w:r>
          </w:p>
          <w:p>
            <w:pPr>
              <w:pStyle w:val="39"/>
              <w:rPr>
                <w:rFonts w:ascii="Times New Roman" w:hAnsi="Times New Roman"/>
                <w:lang w:bidi="ar"/>
              </w:rPr>
            </w:pPr>
            <w:r>
              <w:rPr>
                <w:rFonts w:ascii="Times New Roman" w:hAnsi="Times New Roman"/>
              </w:rPr>
              <w:t>宣探1井-宣兴1井</w:t>
            </w:r>
          </w:p>
        </w:tc>
        <w:tc>
          <w:tcPr>
            <w:tcW w:w="741"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集输</w:t>
            </w:r>
          </w:p>
          <w:p>
            <w:pPr>
              <w:pStyle w:val="39"/>
              <w:rPr>
                <w:rFonts w:ascii="Times New Roman" w:hAnsi="Times New Roman"/>
                <w:lang w:bidi="ar"/>
              </w:rPr>
            </w:pPr>
            <w:r>
              <w:rPr>
                <w:rFonts w:ascii="Times New Roman" w:hAnsi="Times New Roman"/>
                <w:lang w:bidi="ar"/>
              </w:rPr>
              <w:t>原料气管道</w:t>
            </w:r>
          </w:p>
        </w:tc>
        <w:tc>
          <w:tcPr>
            <w:tcW w:w="882" w:type="pct"/>
            <w:vAlign w:val="center"/>
          </w:tcPr>
          <w:p>
            <w:pPr>
              <w:pStyle w:val="39"/>
              <w:rPr>
                <w:rFonts w:ascii="Times New Roman" w:hAnsi="Times New Roman"/>
                <w:lang w:bidi="ar"/>
              </w:rPr>
            </w:pPr>
            <w:r>
              <w:rPr>
                <w:rFonts w:ascii="Times New Roman" w:hAnsi="Times New Roman"/>
                <w:lang w:bidi="ar"/>
              </w:rPr>
              <w:t>泄漏、火灾、爆炸</w:t>
            </w:r>
          </w:p>
        </w:tc>
        <w:tc>
          <w:tcPr>
            <w:tcW w:w="967"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CH</w:t>
            </w:r>
            <w:r>
              <w:rPr>
                <w:rFonts w:ascii="Times New Roman" w:hAnsi="Times New Roman"/>
                <w:vertAlign w:val="subscript"/>
                <w:lang w:bidi="ar"/>
              </w:rPr>
              <w:t>4</w:t>
            </w:r>
            <w:r>
              <w:rPr>
                <w:rFonts w:ascii="Times New Roman" w:hAnsi="Times New Roman"/>
                <w:lang w:bidi="ar"/>
              </w:rPr>
              <w:t>、H</w:t>
            </w:r>
            <w:r>
              <w:rPr>
                <w:rFonts w:ascii="Times New Roman" w:hAnsi="Times New Roman"/>
                <w:vertAlign w:val="subscript"/>
                <w:lang w:bidi="ar"/>
              </w:rPr>
              <w:t>2</w:t>
            </w:r>
            <w:r>
              <w:rPr>
                <w:rFonts w:ascii="Times New Roman" w:hAnsi="Times New Roman"/>
                <w:lang w:bidi="ar"/>
              </w:rPr>
              <w:t>S、SO</w:t>
            </w:r>
            <w:r>
              <w:rPr>
                <w:rFonts w:ascii="Times New Roman" w:hAnsi="Times New Roman"/>
                <w:vertAlign w:val="subscript"/>
                <w:lang w:bidi="ar"/>
              </w:rPr>
              <w:t>2</w:t>
            </w:r>
          </w:p>
        </w:tc>
        <w:tc>
          <w:tcPr>
            <w:tcW w:w="1134" w:type="pct"/>
            <w:tcMar>
              <w:top w:w="15" w:type="dxa"/>
              <w:left w:w="15" w:type="dxa"/>
              <w:right w:w="15" w:type="dxa"/>
            </w:tcMar>
            <w:vAlign w:val="center"/>
          </w:tcPr>
          <w:p>
            <w:pPr>
              <w:pStyle w:val="39"/>
              <w:rPr>
                <w:rFonts w:ascii="Times New Roman" w:hAnsi="Times New Roman"/>
                <w:lang w:bidi="ar"/>
              </w:rPr>
            </w:pPr>
            <w:r>
              <w:rPr>
                <w:rFonts w:ascii="Times New Roman" w:hAnsi="Times New Roman"/>
                <w:lang w:bidi="ar"/>
              </w:rPr>
              <w:t>大气扩散</w:t>
            </w:r>
          </w:p>
        </w:tc>
      </w:tr>
      <w:bookmarkEnd w:id="274"/>
    </w:tbl>
    <w:p>
      <w:pPr>
        <w:pStyle w:val="3"/>
        <w:rPr>
          <w:rFonts w:ascii="Times New Roman" w:hAnsi="Times New Roman" w:cs="Times New Roman"/>
        </w:rPr>
      </w:pPr>
      <w:bookmarkStart w:id="275" w:name="_Toc162339435"/>
      <w:r>
        <w:rPr>
          <w:rFonts w:ascii="Times New Roman" w:hAnsi="Times New Roman" w:cs="Times New Roman"/>
        </w:rPr>
        <w:t>风险事故情形分析</w:t>
      </w:r>
      <w:bookmarkEnd w:id="275"/>
    </w:p>
    <w:p>
      <w:pPr>
        <w:pStyle w:val="4"/>
        <w:rPr>
          <w:rFonts w:ascii="Times New Roman" w:hAnsi="Times New Roman" w:cs="Times New Roman"/>
        </w:rPr>
      </w:pPr>
      <w:r>
        <w:rPr>
          <w:rFonts w:ascii="Times New Roman" w:hAnsi="Times New Roman" w:cs="Times New Roman"/>
        </w:rPr>
        <w:t>风险事故情形</w:t>
      </w:r>
    </w:p>
    <w:p>
      <w:pPr>
        <w:ind w:firstLine="480"/>
        <w:rPr>
          <w:rFonts w:ascii="Times New Roman" w:hAnsi="Times New Roman"/>
        </w:rPr>
      </w:pPr>
      <w:r>
        <w:rPr>
          <w:rFonts w:ascii="Times New Roman" w:hAnsi="Times New Roman"/>
        </w:rPr>
        <w:t>（1）采气井站、集输管道泄漏风险</w:t>
      </w:r>
    </w:p>
    <w:p>
      <w:pPr>
        <w:ind w:firstLine="480"/>
        <w:rPr>
          <w:rFonts w:ascii="Times New Roman" w:hAnsi="Times New Roman"/>
        </w:rPr>
      </w:pPr>
      <w:r>
        <w:rPr>
          <w:rFonts w:ascii="Times New Roman" w:hAnsi="Times New Roman"/>
        </w:rPr>
        <w:t>井站、集输管道运行过程中，存在有因管道腐蚀、材料和施工缺陷、误操作等因素引发事故的可能性，若集输管道发生破裂，天然气外溢，遇明火易发生火灾，不完全燃烧的一氧化碳进入大气中可能对大气造成污染。</w:t>
      </w:r>
    </w:p>
    <w:p>
      <w:pPr>
        <w:ind w:firstLine="480"/>
        <w:rPr>
          <w:rFonts w:ascii="Times New Roman" w:hAnsi="Times New Roman"/>
        </w:rPr>
      </w:pPr>
      <w:r>
        <w:rPr>
          <w:rFonts w:ascii="Times New Roman" w:hAnsi="Times New Roman"/>
        </w:rPr>
        <w:t>集输管道井站配备压力阀，能够及时发现事故，集输管道各截断阀在事故情况下及时关闭，避免大量天然气外泄。且巡线工能够及时赶赴现场进行处理，降低周边环境的影响。根据调查周边已运行井站和集输管到，通过配备截断阀、定期巡视等，采取设计及规范措施，运行至今未发生大的环境风险事故。</w:t>
      </w:r>
    </w:p>
    <w:p>
      <w:pPr>
        <w:ind w:firstLine="480"/>
        <w:rPr>
          <w:rFonts w:ascii="Times New Roman" w:hAnsi="Times New Roman"/>
        </w:rPr>
      </w:pPr>
      <w:r>
        <w:rPr>
          <w:rFonts w:ascii="Times New Roman" w:hAnsi="Times New Roman"/>
        </w:rPr>
        <w:t>（2）气田水泄漏</w:t>
      </w:r>
    </w:p>
    <w:p>
      <w:pPr>
        <w:ind w:firstLine="480"/>
        <w:rPr>
          <w:rFonts w:ascii="Times New Roman" w:hAnsi="Times New Roman"/>
        </w:rPr>
      </w:pPr>
      <w:r>
        <w:rPr>
          <w:rFonts w:ascii="Times New Roman" w:hAnsi="Times New Roman"/>
        </w:rPr>
        <w:t>本项目在宣探1井站和宣兴1井站分别设置气田水罐，气液分离后的液相在水罐中暂存，按照宣探1井站3天/次、宣兴1井站5天/次的拉运频次进行罐车拉运，拉运至渡口河净化厂处理/黄龙004-X4井/蒲西4井。运输车为密闭罐车，在转运过程中可能出现运输事故，气田水泄漏会对周围土壤的结构造成不利影响，如果下渗会对地下水、土壤造成污染，雨水冲刷进入地表水也会对地表水造成不利影响。</w:t>
      </w:r>
    </w:p>
    <w:p>
      <w:pPr>
        <w:pStyle w:val="4"/>
        <w:rPr>
          <w:rFonts w:ascii="Times New Roman" w:hAnsi="Times New Roman" w:cs="Times New Roman"/>
        </w:rPr>
      </w:pPr>
      <w:r>
        <w:rPr>
          <w:rFonts w:ascii="Times New Roman" w:hAnsi="Times New Roman" w:cs="Times New Roman"/>
        </w:rPr>
        <w:t>风险事故概率</w:t>
      </w:r>
    </w:p>
    <w:p>
      <w:pPr>
        <w:ind w:firstLine="480"/>
        <w:rPr>
          <w:rFonts w:ascii="Times New Roman" w:hAnsi="Times New Roman"/>
        </w:rPr>
      </w:pPr>
      <w:r>
        <w:rPr>
          <w:rFonts w:ascii="Times New Roman" w:hAnsi="Times New Roman"/>
        </w:rPr>
        <w:t>本次评价参考《西南油气田挑花气田宣探1井组飞仙关试采项目定量风险评价报告》中关于井站泄漏概率，井站地面工艺管道完全破裂概率3×10</w:t>
      </w:r>
      <w:r>
        <w:rPr>
          <w:rFonts w:ascii="Times New Roman" w:hAnsi="Times New Roman"/>
          <w:vertAlign w:val="superscript"/>
        </w:rPr>
        <w:t>-7</w:t>
      </w:r>
      <w:r>
        <w:rPr>
          <w:rFonts w:ascii="Times New Roman" w:hAnsi="Times New Roman"/>
        </w:rPr>
        <w:t>/</w:t>
      </w:r>
      <w:r>
        <w:rPr>
          <w:rFonts w:ascii="Times New Roman" w:hAnsi="Times New Roman"/>
          <w:lang w:val="zh-CN"/>
        </w:rPr>
        <w:t>（m·a），井站计量分离撬</w:t>
      </w:r>
      <w:r>
        <w:rPr>
          <w:rFonts w:ascii="Times New Roman" w:hAnsi="Times New Roman"/>
        </w:rPr>
        <w:t>完全破裂概率6×10</w:t>
      </w:r>
      <w:r>
        <w:rPr>
          <w:rFonts w:ascii="Times New Roman" w:hAnsi="Times New Roman"/>
          <w:vertAlign w:val="superscript"/>
        </w:rPr>
        <w:t>-6</w:t>
      </w:r>
      <w:r>
        <w:rPr>
          <w:rFonts w:ascii="Times New Roman" w:hAnsi="Times New Roman"/>
        </w:rPr>
        <w:t>。</w:t>
      </w:r>
    </w:p>
    <w:p>
      <w:pPr>
        <w:ind w:firstLine="480"/>
        <w:rPr>
          <w:rFonts w:ascii="Times New Roman" w:hAnsi="Times New Roman"/>
        </w:rPr>
      </w:pPr>
      <w:r>
        <w:rPr>
          <w:rFonts w:ascii="Times New Roman" w:hAnsi="Times New Roman"/>
        </w:rPr>
        <w:t>本次评价集输管道事故概率参考《建设项目环境风险评价技术导则》（HJ169-2018）附录E的不同管径管道泄漏事故概率（见</w:t>
      </w:r>
      <w:r>
        <w:rPr>
          <w:rFonts w:ascii="Times New Roman" w:hAnsi="Times New Roman"/>
        </w:rPr>
        <w:fldChar w:fldCharType="begin"/>
      </w:r>
      <w:r>
        <w:rPr>
          <w:rFonts w:ascii="Times New Roman" w:hAnsi="Times New Roman"/>
        </w:rPr>
        <w:instrText xml:space="preserve"> REF _Ref108951623 \h  \* MERGEFORMAT </w:instrText>
      </w:r>
      <w:r>
        <w:rPr>
          <w:rFonts w:ascii="Times New Roman" w:hAnsi="Times New Roman"/>
        </w:rPr>
        <w:fldChar w:fldCharType="separate"/>
      </w:r>
      <w:r>
        <w:rPr>
          <w:rFonts w:ascii="Times New Roman" w:hAnsi="Times New Roman"/>
        </w:rPr>
        <w:t>表7</w:t>
      </w:r>
      <w:r>
        <w:rPr>
          <w:rFonts w:ascii="Times New Roman" w:hAnsi="Times New Roman"/>
        </w:rPr>
        <w:noBreakHyphen/>
      </w:r>
      <w:r>
        <w:rPr>
          <w:rFonts w:ascii="Times New Roman" w:hAnsi="Times New Roman"/>
        </w:rPr>
        <w:t>22</w:t>
      </w:r>
      <w:r>
        <w:rPr>
          <w:rFonts w:ascii="Times New Roman" w:hAnsi="Times New Roman"/>
        </w:rPr>
        <w:fldChar w:fldCharType="end"/>
      </w:r>
      <w:r>
        <w:rPr>
          <w:rFonts w:ascii="Times New Roman" w:hAnsi="Times New Roman"/>
        </w:rPr>
        <w:t>）。计算得出本项目事故模式及概率情况如</w:t>
      </w:r>
      <w:r>
        <w:rPr>
          <w:rFonts w:ascii="Times New Roman" w:hAnsi="Times New Roman"/>
        </w:rPr>
        <w:fldChar w:fldCharType="begin"/>
      </w:r>
      <w:r>
        <w:rPr>
          <w:rFonts w:ascii="Times New Roman" w:hAnsi="Times New Roman"/>
        </w:rPr>
        <w:instrText xml:space="preserve"> REF _Ref108951641 \h  \* MERGEFORMAT </w:instrText>
      </w:r>
      <w:r>
        <w:rPr>
          <w:rFonts w:ascii="Times New Roman" w:hAnsi="Times New Roman"/>
        </w:rPr>
        <w:fldChar w:fldCharType="separate"/>
      </w:r>
      <w:r>
        <w:rPr>
          <w:rFonts w:ascii="Times New Roman" w:hAnsi="Times New Roman"/>
        </w:rPr>
        <w:t>表7</w:t>
      </w:r>
      <w:r>
        <w:rPr>
          <w:rFonts w:ascii="Times New Roman" w:hAnsi="Times New Roman"/>
        </w:rPr>
        <w:noBreakHyphen/>
      </w:r>
      <w:r>
        <w:rPr>
          <w:rFonts w:ascii="Times New Roman" w:hAnsi="Times New Roman"/>
        </w:rPr>
        <w:t>23</w:t>
      </w:r>
      <w:r>
        <w:rPr>
          <w:rFonts w:ascii="Times New Roman" w:hAnsi="Times New Roman"/>
        </w:rPr>
        <w:fldChar w:fldCharType="end"/>
      </w:r>
      <w:r>
        <w:rPr>
          <w:rFonts w:ascii="Times New Roman" w:hAnsi="Times New Roman"/>
        </w:rPr>
        <w:t>所示。</w:t>
      </w:r>
    </w:p>
    <w:p>
      <w:pPr>
        <w:pStyle w:val="37"/>
        <w:rPr>
          <w:rFonts w:ascii="Times New Roman" w:hAnsi="Times New Roman" w:cs="Times New Roman"/>
        </w:rPr>
      </w:pPr>
      <w:bookmarkStart w:id="276" w:name="_Ref108951623"/>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22</w:t>
      </w:r>
      <w:r>
        <w:rPr>
          <w:rFonts w:ascii="Times New Roman" w:hAnsi="Times New Roman" w:cs="Times New Roman"/>
        </w:rPr>
        <w:fldChar w:fldCharType="end"/>
      </w:r>
      <w:bookmarkEnd w:id="276"/>
      <w:r>
        <w:rPr>
          <w:rFonts w:ascii="Times New Roman" w:hAnsi="Times New Roman" w:cs="Times New Roman"/>
        </w:rPr>
        <w:t xml:space="preserve"> 不同管径管道泄漏频率表</w:t>
      </w:r>
    </w:p>
    <w:tbl>
      <w:tblPr>
        <w:tblStyle w:val="28"/>
        <w:tblW w:w="495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58"/>
        <w:gridCol w:w="3671"/>
        <w:gridCol w:w="25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2198"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部件类型</w:t>
            </w:r>
          </w:p>
        </w:tc>
        <w:tc>
          <w:tcPr>
            <w:tcW w:w="357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泄漏模式</w:t>
            </w:r>
          </w:p>
        </w:tc>
        <w:tc>
          <w:tcPr>
            <w:tcW w:w="2445"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泄漏频率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98" w:type="dxa"/>
            <w:vMerge w:val="restar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内径≤75mm的管道</w:t>
            </w:r>
          </w:p>
        </w:tc>
        <w:tc>
          <w:tcPr>
            <w:tcW w:w="357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泄漏孔径为10%孔径</w:t>
            </w:r>
          </w:p>
        </w:tc>
        <w:tc>
          <w:tcPr>
            <w:tcW w:w="2445"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5.00×10</w:t>
            </w:r>
            <w:r>
              <w:rPr>
                <w:rFonts w:ascii="Times New Roman" w:hAnsi="Times New Roman"/>
                <w:sz w:val="21"/>
                <w:szCs w:val="21"/>
                <w:vertAlign w:val="superscript"/>
                <w:lang w:val="zh-CN"/>
              </w:rPr>
              <w:t>-6</w:t>
            </w:r>
            <w:r>
              <w:rPr>
                <w:rFonts w:ascii="Times New Roman" w:hAnsi="Times New Roman"/>
                <w:sz w:val="21"/>
                <w:szCs w:val="21"/>
                <w:lang w:val="zh-CN"/>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98" w:type="dxa"/>
            <w:vMerge w:val="continue"/>
            <w:vAlign w:val="center"/>
          </w:tcPr>
          <w:p>
            <w:pPr>
              <w:snapToGrid w:val="0"/>
              <w:spacing w:line="240" w:lineRule="auto"/>
              <w:ind w:firstLine="0" w:firstLineChars="0"/>
              <w:jc w:val="center"/>
              <w:rPr>
                <w:rFonts w:ascii="Times New Roman" w:hAnsi="Times New Roman"/>
                <w:sz w:val="21"/>
                <w:szCs w:val="21"/>
                <w:lang w:val="zh-CN"/>
              </w:rPr>
            </w:pPr>
          </w:p>
        </w:tc>
        <w:tc>
          <w:tcPr>
            <w:tcW w:w="357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全管径泄漏</w:t>
            </w:r>
          </w:p>
        </w:tc>
        <w:tc>
          <w:tcPr>
            <w:tcW w:w="2445"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1.00×10</w:t>
            </w:r>
            <w:r>
              <w:rPr>
                <w:rFonts w:ascii="Times New Roman" w:hAnsi="Times New Roman"/>
                <w:sz w:val="21"/>
                <w:szCs w:val="21"/>
                <w:vertAlign w:val="superscript"/>
                <w:lang w:val="zh-CN"/>
              </w:rPr>
              <w:t>-6</w:t>
            </w:r>
            <w:r>
              <w:rPr>
                <w:rFonts w:ascii="Times New Roman" w:hAnsi="Times New Roman"/>
                <w:sz w:val="21"/>
                <w:szCs w:val="21"/>
                <w:lang w:val="zh-CN"/>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98" w:type="dxa"/>
            <w:vMerge w:val="restar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75mm&lt;内径≤150mm的管道</w:t>
            </w:r>
          </w:p>
        </w:tc>
        <w:tc>
          <w:tcPr>
            <w:tcW w:w="357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泄漏孔径为10%孔径</w:t>
            </w:r>
          </w:p>
        </w:tc>
        <w:tc>
          <w:tcPr>
            <w:tcW w:w="2445"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2.00×10</w:t>
            </w:r>
            <w:r>
              <w:rPr>
                <w:rFonts w:ascii="Times New Roman" w:hAnsi="Times New Roman"/>
                <w:sz w:val="21"/>
                <w:szCs w:val="21"/>
                <w:vertAlign w:val="superscript"/>
                <w:lang w:val="zh-CN"/>
              </w:rPr>
              <w:t>-6</w:t>
            </w:r>
            <w:r>
              <w:rPr>
                <w:rFonts w:ascii="Times New Roman" w:hAnsi="Times New Roman"/>
                <w:sz w:val="21"/>
                <w:szCs w:val="21"/>
                <w:lang w:val="zh-CN"/>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98" w:type="dxa"/>
            <w:vMerge w:val="continue"/>
            <w:vAlign w:val="center"/>
          </w:tcPr>
          <w:p>
            <w:pPr>
              <w:snapToGrid w:val="0"/>
              <w:spacing w:line="240" w:lineRule="auto"/>
              <w:ind w:firstLine="0" w:firstLineChars="0"/>
              <w:jc w:val="center"/>
              <w:rPr>
                <w:rFonts w:ascii="Times New Roman" w:hAnsi="Times New Roman"/>
                <w:sz w:val="21"/>
                <w:szCs w:val="21"/>
                <w:lang w:val="zh-CN"/>
              </w:rPr>
            </w:pPr>
          </w:p>
        </w:tc>
        <w:tc>
          <w:tcPr>
            <w:tcW w:w="357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全管径泄漏</w:t>
            </w:r>
          </w:p>
        </w:tc>
        <w:tc>
          <w:tcPr>
            <w:tcW w:w="2445"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3.00×10</w:t>
            </w:r>
            <w:r>
              <w:rPr>
                <w:rFonts w:ascii="Times New Roman" w:hAnsi="Times New Roman"/>
                <w:sz w:val="21"/>
                <w:szCs w:val="21"/>
                <w:vertAlign w:val="superscript"/>
                <w:lang w:val="zh-CN"/>
              </w:rPr>
              <w:t>-7</w:t>
            </w:r>
            <w:r>
              <w:rPr>
                <w:rFonts w:ascii="Times New Roman" w:hAnsi="Times New Roman"/>
                <w:sz w:val="21"/>
                <w:szCs w:val="21"/>
                <w:lang w:val="zh-CN"/>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98" w:type="dxa"/>
            <w:vMerge w:val="restar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内径&gt;150mm的管道</w:t>
            </w:r>
          </w:p>
        </w:tc>
        <w:tc>
          <w:tcPr>
            <w:tcW w:w="357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泄漏孔径为10%孔径（最大50mm）</w:t>
            </w:r>
          </w:p>
        </w:tc>
        <w:tc>
          <w:tcPr>
            <w:tcW w:w="2445"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2.40×10</w:t>
            </w:r>
            <w:r>
              <w:rPr>
                <w:rFonts w:ascii="Times New Roman" w:hAnsi="Times New Roman"/>
                <w:sz w:val="21"/>
                <w:szCs w:val="21"/>
                <w:vertAlign w:val="superscript"/>
                <w:lang w:val="zh-CN"/>
              </w:rPr>
              <w:t>-6</w:t>
            </w:r>
            <w:r>
              <w:rPr>
                <w:rFonts w:ascii="Times New Roman" w:hAnsi="Times New Roman"/>
                <w:sz w:val="21"/>
                <w:szCs w:val="21"/>
                <w:lang w:val="zh-CN"/>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98" w:type="dxa"/>
            <w:vMerge w:val="continue"/>
            <w:vAlign w:val="center"/>
          </w:tcPr>
          <w:p>
            <w:pPr>
              <w:snapToGrid w:val="0"/>
              <w:spacing w:line="240" w:lineRule="auto"/>
              <w:ind w:firstLine="0" w:firstLineChars="0"/>
              <w:jc w:val="center"/>
              <w:rPr>
                <w:rFonts w:ascii="Times New Roman" w:hAnsi="Times New Roman"/>
                <w:sz w:val="21"/>
                <w:szCs w:val="21"/>
                <w:lang w:val="zh-CN"/>
              </w:rPr>
            </w:pPr>
          </w:p>
        </w:tc>
        <w:tc>
          <w:tcPr>
            <w:tcW w:w="357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全管径泄漏</w:t>
            </w:r>
          </w:p>
        </w:tc>
        <w:tc>
          <w:tcPr>
            <w:tcW w:w="2445"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1.00×10</w:t>
            </w:r>
            <w:r>
              <w:rPr>
                <w:rFonts w:ascii="Times New Roman" w:hAnsi="Times New Roman"/>
                <w:sz w:val="21"/>
                <w:szCs w:val="21"/>
                <w:vertAlign w:val="superscript"/>
                <w:lang w:val="zh-CN"/>
              </w:rPr>
              <w:t>-7</w:t>
            </w:r>
            <w:r>
              <w:rPr>
                <w:rFonts w:ascii="Times New Roman" w:hAnsi="Times New Roman"/>
                <w:sz w:val="21"/>
                <w:szCs w:val="21"/>
                <w:lang w:val="zh-CN"/>
              </w:rPr>
              <w:t>（/m·a）</w:t>
            </w:r>
          </w:p>
        </w:tc>
      </w:tr>
    </w:tbl>
    <w:p>
      <w:pPr>
        <w:pStyle w:val="37"/>
        <w:rPr>
          <w:rFonts w:ascii="Times New Roman" w:hAnsi="Times New Roman" w:cs="Times New Roman"/>
        </w:rPr>
      </w:pPr>
      <w:bookmarkStart w:id="277" w:name="_Ref108951641"/>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23</w:t>
      </w:r>
      <w:r>
        <w:rPr>
          <w:rFonts w:ascii="Times New Roman" w:hAnsi="Times New Roman" w:cs="Times New Roman"/>
        </w:rPr>
        <w:fldChar w:fldCharType="end"/>
      </w:r>
      <w:bookmarkEnd w:id="277"/>
      <w:r>
        <w:rPr>
          <w:rFonts w:ascii="Times New Roman" w:hAnsi="Times New Roman" w:cs="Times New Roman"/>
        </w:rPr>
        <w:t xml:space="preserve"> 泄漏模式及频率筛选结果一览表</w:t>
      </w:r>
    </w:p>
    <w:tbl>
      <w:tblPr>
        <w:tblStyle w:val="28"/>
        <w:tblW w:w="486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27"/>
        <w:gridCol w:w="2434"/>
        <w:gridCol w:w="1186"/>
        <w:gridCol w:w="1131"/>
        <w:gridCol w:w="1414"/>
        <w:gridCol w:w="14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8"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序号</w:t>
            </w:r>
          </w:p>
        </w:tc>
        <w:tc>
          <w:tcPr>
            <w:tcW w:w="2434"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事故情形</w:t>
            </w:r>
          </w:p>
        </w:tc>
        <w:tc>
          <w:tcPr>
            <w:tcW w:w="1186"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泄漏点位置</w:t>
            </w:r>
          </w:p>
        </w:tc>
        <w:tc>
          <w:tcPr>
            <w:tcW w:w="1131"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泄漏模式</w:t>
            </w:r>
          </w:p>
        </w:tc>
        <w:tc>
          <w:tcPr>
            <w:tcW w:w="141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泄漏尺寸/mm</w:t>
            </w:r>
          </w:p>
        </w:tc>
        <w:tc>
          <w:tcPr>
            <w:tcW w:w="141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泄漏频率（/年）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8"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w:t>
            </w:r>
          </w:p>
        </w:tc>
        <w:tc>
          <w:tcPr>
            <w:tcW w:w="2434"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宣探集气干线</w:t>
            </w:r>
          </w:p>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宣兴1井-宣探阀室</w:t>
            </w:r>
          </w:p>
        </w:tc>
        <w:tc>
          <w:tcPr>
            <w:tcW w:w="1186"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管道横切面</w:t>
            </w:r>
          </w:p>
        </w:tc>
        <w:tc>
          <w:tcPr>
            <w:tcW w:w="1131"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全管径泄漏</w:t>
            </w:r>
          </w:p>
        </w:tc>
        <w:tc>
          <w:tcPr>
            <w:tcW w:w="141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200</w:t>
            </w:r>
          </w:p>
        </w:tc>
        <w:tc>
          <w:tcPr>
            <w:tcW w:w="141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4.10×10</w:t>
            </w:r>
            <w:r>
              <w:rPr>
                <w:rFonts w:ascii="Times New Roman" w:hAnsi="Times New Roman"/>
                <w:sz w:val="21"/>
                <w:szCs w:val="21"/>
                <w:vertAlign w:val="superscript"/>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8"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w:t>
            </w:r>
          </w:p>
        </w:tc>
        <w:tc>
          <w:tcPr>
            <w:tcW w:w="2434"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宣探集气干线</w:t>
            </w:r>
          </w:p>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宣探阀室-宣探清管站</w:t>
            </w:r>
          </w:p>
        </w:tc>
        <w:tc>
          <w:tcPr>
            <w:tcW w:w="1186"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管道横切面</w:t>
            </w:r>
          </w:p>
        </w:tc>
        <w:tc>
          <w:tcPr>
            <w:tcW w:w="1131"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全管径泄漏</w:t>
            </w:r>
          </w:p>
        </w:tc>
        <w:tc>
          <w:tcPr>
            <w:tcW w:w="141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200</w:t>
            </w:r>
          </w:p>
        </w:tc>
        <w:tc>
          <w:tcPr>
            <w:tcW w:w="141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1.05×10</w:t>
            </w:r>
            <w:r>
              <w:rPr>
                <w:rFonts w:ascii="Times New Roman" w:hAnsi="Times New Roman"/>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8"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3</w:t>
            </w:r>
          </w:p>
        </w:tc>
        <w:tc>
          <w:tcPr>
            <w:tcW w:w="2434"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宣探联络线</w:t>
            </w:r>
          </w:p>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宣探清管站-304集气站</w:t>
            </w:r>
          </w:p>
        </w:tc>
        <w:tc>
          <w:tcPr>
            <w:tcW w:w="1186"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管道横切面</w:t>
            </w:r>
          </w:p>
        </w:tc>
        <w:tc>
          <w:tcPr>
            <w:tcW w:w="1131"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全管径泄漏</w:t>
            </w:r>
          </w:p>
        </w:tc>
        <w:tc>
          <w:tcPr>
            <w:tcW w:w="141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200</w:t>
            </w:r>
          </w:p>
        </w:tc>
        <w:tc>
          <w:tcPr>
            <w:tcW w:w="141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1.20×10</w:t>
            </w:r>
            <w:r>
              <w:rPr>
                <w:rFonts w:ascii="Times New Roman" w:hAnsi="Times New Roman"/>
                <w:sz w:val="21"/>
                <w:szCs w:val="21"/>
                <w:vertAlign w:val="superscript"/>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8"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4</w:t>
            </w:r>
          </w:p>
        </w:tc>
        <w:tc>
          <w:tcPr>
            <w:tcW w:w="2434"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宣探集气支线</w:t>
            </w:r>
          </w:p>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宣探1井-宣兴1井</w:t>
            </w:r>
          </w:p>
        </w:tc>
        <w:tc>
          <w:tcPr>
            <w:tcW w:w="1186"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管道横切面</w:t>
            </w:r>
          </w:p>
        </w:tc>
        <w:tc>
          <w:tcPr>
            <w:tcW w:w="1131" w:type="dxa"/>
            <w:noWrap/>
            <w:tcMar>
              <w:top w:w="15" w:type="dxa"/>
              <w:left w:w="15" w:type="dxa"/>
              <w:right w:w="15"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全管径泄漏</w:t>
            </w:r>
          </w:p>
        </w:tc>
        <w:tc>
          <w:tcPr>
            <w:tcW w:w="141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150</w:t>
            </w:r>
          </w:p>
        </w:tc>
        <w:tc>
          <w:tcPr>
            <w:tcW w:w="1414" w:type="dxa"/>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1.05×10</w:t>
            </w:r>
            <w:r>
              <w:rPr>
                <w:rFonts w:ascii="Times New Roman" w:hAnsi="Times New Roman"/>
                <w:sz w:val="21"/>
                <w:szCs w:val="21"/>
                <w:vertAlign w:val="superscript"/>
              </w:rPr>
              <w:t>-3</w:t>
            </w:r>
          </w:p>
        </w:tc>
      </w:tr>
    </w:tbl>
    <w:p>
      <w:pPr>
        <w:ind w:firstLine="480"/>
        <w:rPr>
          <w:rFonts w:ascii="Times New Roman" w:hAnsi="Times New Roman"/>
        </w:rPr>
      </w:pPr>
    </w:p>
    <w:p>
      <w:pPr>
        <w:pStyle w:val="4"/>
        <w:rPr>
          <w:rFonts w:ascii="Times New Roman" w:hAnsi="Times New Roman" w:cs="Times New Roman"/>
        </w:rPr>
      </w:pPr>
      <w:r>
        <w:rPr>
          <w:rFonts w:ascii="Times New Roman" w:hAnsi="Times New Roman" w:cs="Times New Roman"/>
        </w:rPr>
        <w:t>源项分析</w:t>
      </w:r>
    </w:p>
    <w:p>
      <w:pPr>
        <w:ind w:firstLine="480"/>
        <w:rPr>
          <w:rFonts w:ascii="Times New Roman" w:hAnsi="Times New Roman"/>
        </w:rPr>
      </w:pPr>
      <w:bookmarkStart w:id="278" w:name="_Ref117547970"/>
      <w:r>
        <w:rPr>
          <w:rFonts w:ascii="Times New Roman" w:hAnsi="Times New Roman"/>
        </w:rPr>
        <w:t>集输管道断裂硫化氢泄漏源强：按照《建设项目环境风险评价技术导则》（HJ 169-2018）8.2.2.3要求，考虑管道截断面100%断裂估算量，即截断阀启动前泄漏量+截断阀启动后管道压力降至环境压力的泄漏量。其中截断阀启动前的泄漏量为实际输送量乘以截断阀响应关闭时间。本评价采用泄漏过程的平均速率,即根据泄漏过程计算硫化氢总泄漏量，根据泄漏过程读取总泄漏时间，用总泄漏量除以总泄漏时间，为泄漏速率。</w:t>
      </w:r>
    </w:p>
    <w:p>
      <w:pPr>
        <w:ind w:firstLine="480"/>
        <w:rPr>
          <w:rFonts w:ascii="Times New Roman" w:hAnsi="Times New Roman"/>
        </w:rPr>
        <w:sectPr>
          <w:pgSz w:w="11906" w:h="16838"/>
          <w:pgMar w:top="1440" w:right="1800" w:bottom="1440" w:left="1800" w:header="851" w:footer="992" w:gutter="0"/>
          <w:cols w:space="425" w:num="1"/>
          <w:docGrid w:type="lines" w:linePitch="312" w:charSpace="0"/>
        </w:sectPr>
      </w:pP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24</w:t>
      </w:r>
      <w:r>
        <w:rPr>
          <w:rFonts w:ascii="Times New Roman" w:hAnsi="Times New Roman" w:cs="Times New Roman"/>
        </w:rPr>
        <w:fldChar w:fldCharType="end"/>
      </w:r>
      <w:bookmarkEnd w:id="278"/>
      <w:r>
        <w:rPr>
          <w:rFonts w:ascii="Times New Roman" w:hAnsi="Times New Roman" w:cs="Times New Roman"/>
        </w:rPr>
        <w:t xml:space="preserve">   大气环境风险评价预测源强</w:t>
      </w:r>
    </w:p>
    <w:tbl>
      <w:tblPr>
        <w:tblStyle w:val="28"/>
        <w:tblW w:w="50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6"/>
        <w:gridCol w:w="2482"/>
        <w:gridCol w:w="1718"/>
        <w:gridCol w:w="1624"/>
        <w:gridCol w:w="667"/>
        <w:gridCol w:w="707"/>
        <w:gridCol w:w="749"/>
        <w:gridCol w:w="872"/>
        <w:gridCol w:w="872"/>
        <w:gridCol w:w="749"/>
        <w:gridCol w:w="1419"/>
        <w:gridCol w:w="1011"/>
        <w:gridCol w:w="10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jc w:val="center"/>
        </w:trPr>
        <w:tc>
          <w:tcPr>
            <w:tcW w:w="132" w:type="pct"/>
            <w:tcMar>
              <w:left w:w="28" w:type="dxa"/>
              <w:right w:w="28" w:type="dxa"/>
            </w:tcMar>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序号</w:t>
            </w:r>
          </w:p>
        </w:tc>
        <w:tc>
          <w:tcPr>
            <w:tcW w:w="871"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风险事故情形描述</w:t>
            </w:r>
          </w:p>
        </w:tc>
        <w:tc>
          <w:tcPr>
            <w:tcW w:w="1173" w:type="pct"/>
            <w:gridSpan w:val="2"/>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泄漏位置/经纬度°</w:t>
            </w:r>
          </w:p>
        </w:tc>
        <w:tc>
          <w:tcPr>
            <w:tcW w:w="234"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危险物质</w:t>
            </w:r>
          </w:p>
        </w:tc>
        <w:tc>
          <w:tcPr>
            <w:tcW w:w="24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影响途径</w:t>
            </w:r>
          </w:p>
        </w:tc>
        <w:tc>
          <w:tcPr>
            <w:tcW w:w="26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操作温度/℃</w:t>
            </w:r>
          </w:p>
        </w:tc>
        <w:tc>
          <w:tcPr>
            <w:tcW w:w="306"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运行压力/MPa</w:t>
            </w:r>
          </w:p>
        </w:tc>
        <w:tc>
          <w:tcPr>
            <w:tcW w:w="306"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泄漏高度/m</w:t>
            </w:r>
          </w:p>
        </w:tc>
        <w:tc>
          <w:tcPr>
            <w:tcW w:w="26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泄漏孔径/m</w:t>
            </w:r>
          </w:p>
        </w:tc>
        <w:tc>
          <w:tcPr>
            <w:tcW w:w="49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释放或泄漏速率/kg/s</w:t>
            </w:r>
          </w:p>
        </w:tc>
        <w:tc>
          <w:tcPr>
            <w:tcW w:w="355"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释放或泄漏时间/min</w:t>
            </w:r>
          </w:p>
        </w:tc>
        <w:tc>
          <w:tcPr>
            <w:tcW w:w="351"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最大释放或泄漏量/kg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3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w:t>
            </w:r>
          </w:p>
        </w:tc>
        <w:tc>
          <w:tcPr>
            <w:tcW w:w="871"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宣探1井站</w:t>
            </w:r>
          </w:p>
        </w:tc>
        <w:tc>
          <w:tcPr>
            <w:tcW w:w="60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E107.84486415</w:t>
            </w:r>
          </w:p>
        </w:tc>
        <w:tc>
          <w:tcPr>
            <w:tcW w:w="570"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N31.43542732</w:t>
            </w:r>
          </w:p>
        </w:tc>
        <w:tc>
          <w:tcPr>
            <w:tcW w:w="234"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H</w:t>
            </w:r>
            <w:r>
              <w:rPr>
                <w:rFonts w:ascii="Times New Roman" w:hAnsi="Times New Roman"/>
                <w:sz w:val="21"/>
                <w:szCs w:val="21"/>
                <w:vertAlign w:val="subscript"/>
                <w:lang w:val="zh-CN"/>
              </w:rPr>
              <w:t>2</w:t>
            </w:r>
            <w:r>
              <w:rPr>
                <w:rFonts w:ascii="Times New Roman" w:hAnsi="Times New Roman"/>
                <w:sz w:val="21"/>
                <w:szCs w:val="21"/>
                <w:lang w:val="zh-CN"/>
              </w:rPr>
              <w:t>S</w:t>
            </w:r>
          </w:p>
        </w:tc>
        <w:tc>
          <w:tcPr>
            <w:tcW w:w="24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大气</w:t>
            </w:r>
          </w:p>
        </w:tc>
        <w:tc>
          <w:tcPr>
            <w:tcW w:w="26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40</w:t>
            </w:r>
          </w:p>
        </w:tc>
        <w:tc>
          <w:tcPr>
            <w:tcW w:w="306"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13</w:t>
            </w:r>
          </w:p>
        </w:tc>
        <w:tc>
          <w:tcPr>
            <w:tcW w:w="306"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w:t>
            </w:r>
          </w:p>
        </w:tc>
        <w:tc>
          <w:tcPr>
            <w:tcW w:w="26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0.168</w:t>
            </w:r>
          </w:p>
        </w:tc>
        <w:tc>
          <w:tcPr>
            <w:tcW w:w="49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2.467</w:t>
            </w:r>
          </w:p>
        </w:tc>
        <w:tc>
          <w:tcPr>
            <w:tcW w:w="355"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w:t>
            </w:r>
          </w:p>
        </w:tc>
        <w:tc>
          <w:tcPr>
            <w:tcW w:w="351"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148.026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3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w:t>
            </w:r>
          </w:p>
        </w:tc>
        <w:tc>
          <w:tcPr>
            <w:tcW w:w="871"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宣兴1井站</w:t>
            </w:r>
          </w:p>
        </w:tc>
        <w:tc>
          <w:tcPr>
            <w:tcW w:w="60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E107.84769636</w:t>
            </w:r>
          </w:p>
        </w:tc>
        <w:tc>
          <w:tcPr>
            <w:tcW w:w="570"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N31.45524297</w:t>
            </w:r>
          </w:p>
        </w:tc>
        <w:tc>
          <w:tcPr>
            <w:tcW w:w="234"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H</w:t>
            </w:r>
            <w:r>
              <w:rPr>
                <w:rFonts w:ascii="Times New Roman" w:hAnsi="Times New Roman"/>
                <w:sz w:val="21"/>
                <w:szCs w:val="21"/>
                <w:vertAlign w:val="subscript"/>
                <w:lang w:val="zh-CN"/>
              </w:rPr>
              <w:t>2</w:t>
            </w:r>
            <w:r>
              <w:rPr>
                <w:rFonts w:ascii="Times New Roman" w:hAnsi="Times New Roman"/>
                <w:sz w:val="21"/>
                <w:szCs w:val="21"/>
                <w:lang w:val="zh-CN"/>
              </w:rPr>
              <w:t>S</w:t>
            </w:r>
          </w:p>
        </w:tc>
        <w:tc>
          <w:tcPr>
            <w:tcW w:w="24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大气</w:t>
            </w:r>
          </w:p>
        </w:tc>
        <w:tc>
          <w:tcPr>
            <w:tcW w:w="26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50</w:t>
            </w:r>
          </w:p>
        </w:tc>
        <w:tc>
          <w:tcPr>
            <w:tcW w:w="306"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13</w:t>
            </w:r>
          </w:p>
        </w:tc>
        <w:tc>
          <w:tcPr>
            <w:tcW w:w="306"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w:t>
            </w:r>
          </w:p>
        </w:tc>
        <w:tc>
          <w:tcPr>
            <w:tcW w:w="26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0.219</w:t>
            </w:r>
          </w:p>
        </w:tc>
        <w:tc>
          <w:tcPr>
            <w:tcW w:w="49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4.106</w:t>
            </w:r>
          </w:p>
        </w:tc>
        <w:tc>
          <w:tcPr>
            <w:tcW w:w="355"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w:t>
            </w:r>
          </w:p>
        </w:tc>
        <w:tc>
          <w:tcPr>
            <w:tcW w:w="351"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246.363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3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3</w:t>
            </w:r>
          </w:p>
        </w:tc>
        <w:tc>
          <w:tcPr>
            <w:tcW w:w="871" w:type="pct"/>
            <w:vAlign w:val="center"/>
          </w:tcPr>
          <w:p>
            <w:pPr>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宣探集气干线</w:t>
            </w:r>
          </w:p>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宣兴1井-宣探阀室</w:t>
            </w:r>
          </w:p>
        </w:tc>
        <w:tc>
          <w:tcPr>
            <w:tcW w:w="60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E107.84306147</w:t>
            </w:r>
          </w:p>
        </w:tc>
        <w:tc>
          <w:tcPr>
            <w:tcW w:w="570"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N 31.4545279</w:t>
            </w:r>
          </w:p>
        </w:tc>
        <w:tc>
          <w:tcPr>
            <w:tcW w:w="234"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H</w:t>
            </w:r>
            <w:r>
              <w:rPr>
                <w:rFonts w:ascii="Times New Roman" w:hAnsi="Times New Roman"/>
                <w:sz w:val="21"/>
                <w:szCs w:val="21"/>
                <w:vertAlign w:val="subscript"/>
                <w:lang w:val="zh-CN"/>
              </w:rPr>
              <w:t>2</w:t>
            </w:r>
            <w:r>
              <w:rPr>
                <w:rFonts w:ascii="Times New Roman" w:hAnsi="Times New Roman"/>
                <w:sz w:val="21"/>
                <w:szCs w:val="21"/>
                <w:lang w:val="zh-CN"/>
              </w:rPr>
              <w:t>S</w:t>
            </w:r>
          </w:p>
        </w:tc>
        <w:tc>
          <w:tcPr>
            <w:tcW w:w="24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大气</w:t>
            </w:r>
          </w:p>
        </w:tc>
        <w:tc>
          <w:tcPr>
            <w:tcW w:w="26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55</w:t>
            </w:r>
          </w:p>
        </w:tc>
        <w:tc>
          <w:tcPr>
            <w:tcW w:w="306"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10.60</w:t>
            </w:r>
          </w:p>
        </w:tc>
        <w:tc>
          <w:tcPr>
            <w:tcW w:w="306"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w:t>
            </w:r>
          </w:p>
        </w:tc>
        <w:tc>
          <w:tcPr>
            <w:tcW w:w="26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0.20</w:t>
            </w:r>
          </w:p>
        </w:tc>
        <w:tc>
          <w:tcPr>
            <w:tcW w:w="49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1.900</w:t>
            </w:r>
          </w:p>
        </w:tc>
        <w:tc>
          <w:tcPr>
            <w:tcW w:w="355"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19.5</w:t>
            </w:r>
          </w:p>
        </w:tc>
        <w:tc>
          <w:tcPr>
            <w:tcW w:w="351"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2223.00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3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4</w:t>
            </w:r>
          </w:p>
        </w:tc>
        <w:tc>
          <w:tcPr>
            <w:tcW w:w="871" w:type="pct"/>
            <w:vAlign w:val="center"/>
          </w:tcPr>
          <w:p>
            <w:pPr>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宣探集气干线</w:t>
            </w:r>
          </w:p>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宣探阀室-宣探清管站</w:t>
            </w:r>
          </w:p>
        </w:tc>
        <w:tc>
          <w:tcPr>
            <w:tcW w:w="60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 xml:space="preserve">E107.82016847 </w:t>
            </w:r>
          </w:p>
        </w:tc>
        <w:tc>
          <w:tcPr>
            <w:tcW w:w="570"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N31.4681784</w:t>
            </w:r>
          </w:p>
        </w:tc>
        <w:tc>
          <w:tcPr>
            <w:tcW w:w="234"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H</w:t>
            </w:r>
            <w:r>
              <w:rPr>
                <w:rFonts w:ascii="Times New Roman" w:hAnsi="Times New Roman"/>
                <w:sz w:val="21"/>
                <w:szCs w:val="21"/>
                <w:vertAlign w:val="subscript"/>
                <w:lang w:val="zh-CN"/>
              </w:rPr>
              <w:t>2</w:t>
            </w:r>
            <w:r>
              <w:rPr>
                <w:rFonts w:ascii="Times New Roman" w:hAnsi="Times New Roman"/>
                <w:sz w:val="21"/>
                <w:szCs w:val="21"/>
                <w:lang w:val="zh-CN"/>
              </w:rPr>
              <w:t>S</w:t>
            </w:r>
          </w:p>
        </w:tc>
        <w:tc>
          <w:tcPr>
            <w:tcW w:w="24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大气</w:t>
            </w:r>
          </w:p>
        </w:tc>
        <w:tc>
          <w:tcPr>
            <w:tcW w:w="26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41</w:t>
            </w:r>
          </w:p>
        </w:tc>
        <w:tc>
          <w:tcPr>
            <w:tcW w:w="306"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10.10</w:t>
            </w:r>
          </w:p>
        </w:tc>
        <w:tc>
          <w:tcPr>
            <w:tcW w:w="306"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w:t>
            </w:r>
          </w:p>
        </w:tc>
        <w:tc>
          <w:tcPr>
            <w:tcW w:w="26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0.20</w:t>
            </w:r>
          </w:p>
        </w:tc>
        <w:tc>
          <w:tcPr>
            <w:tcW w:w="49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1.775</w:t>
            </w:r>
          </w:p>
        </w:tc>
        <w:tc>
          <w:tcPr>
            <w:tcW w:w="355"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60.5</w:t>
            </w:r>
          </w:p>
        </w:tc>
        <w:tc>
          <w:tcPr>
            <w:tcW w:w="351"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6443.25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3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6</w:t>
            </w:r>
          </w:p>
        </w:tc>
        <w:tc>
          <w:tcPr>
            <w:tcW w:w="871" w:type="pct"/>
            <w:vAlign w:val="center"/>
          </w:tcPr>
          <w:p>
            <w:pPr>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宣探联络线</w:t>
            </w:r>
          </w:p>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宣探清管站-304集气站</w:t>
            </w:r>
          </w:p>
        </w:tc>
        <w:tc>
          <w:tcPr>
            <w:tcW w:w="60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E107.79174208</w:t>
            </w:r>
          </w:p>
        </w:tc>
        <w:tc>
          <w:tcPr>
            <w:tcW w:w="570"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N31.50223248</w:t>
            </w:r>
          </w:p>
        </w:tc>
        <w:tc>
          <w:tcPr>
            <w:tcW w:w="234"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H</w:t>
            </w:r>
            <w:r>
              <w:rPr>
                <w:rFonts w:ascii="Times New Roman" w:hAnsi="Times New Roman"/>
                <w:sz w:val="21"/>
                <w:szCs w:val="21"/>
                <w:vertAlign w:val="subscript"/>
                <w:lang w:val="zh-CN"/>
              </w:rPr>
              <w:t>2</w:t>
            </w:r>
            <w:r>
              <w:rPr>
                <w:rFonts w:ascii="Times New Roman" w:hAnsi="Times New Roman"/>
                <w:sz w:val="21"/>
                <w:szCs w:val="21"/>
                <w:lang w:val="zh-CN"/>
              </w:rPr>
              <w:t>S</w:t>
            </w:r>
          </w:p>
        </w:tc>
        <w:tc>
          <w:tcPr>
            <w:tcW w:w="24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大气</w:t>
            </w:r>
          </w:p>
        </w:tc>
        <w:tc>
          <w:tcPr>
            <w:tcW w:w="26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36</w:t>
            </w:r>
          </w:p>
        </w:tc>
        <w:tc>
          <w:tcPr>
            <w:tcW w:w="306"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8.05</w:t>
            </w:r>
          </w:p>
        </w:tc>
        <w:tc>
          <w:tcPr>
            <w:tcW w:w="306"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w:t>
            </w:r>
          </w:p>
        </w:tc>
        <w:tc>
          <w:tcPr>
            <w:tcW w:w="26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0.20</w:t>
            </w:r>
          </w:p>
        </w:tc>
        <w:tc>
          <w:tcPr>
            <w:tcW w:w="49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2.616</w:t>
            </w:r>
          </w:p>
        </w:tc>
        <w:tc>
          <w:tcPr>
            <w:tcW w:w="355"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4.5</w:t>
            </w:r>
          </w:p>
        </w:tc>
        <w:tc>
          <w:tcPr>
            <w:tcW w:w="351"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706.32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32"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7</w:t>
            </w:r>
          </w:p>
        </w:tc>
        <w:tc>
          <w:tcPr>
            <w:tcW w:w="871" w:type="pct"/>
            <w:vAlign w:val="center"/>
          </w:tcPr>
          <w:p>
            <w:pPr>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宣探集气支线</w:t>
            </w:r>
          </w:p>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宣探1井-宣兴1井</w:t>
            </w:r>
          </w:p>
        </w:tc>
        <w:tc>
          <w:tcPr>
            <w:tcW w:w="60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E107.84396001</w:t>
            </w:r>
          </w:p>
        </w:tc>
        <w:tc>
          <w:tcPr>
            <w:tcW w:w="570"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N31.44665047</w:t>
            </w:r>
          </w:p>
        </w:tc>
        <w:tc>
          <w:tcPr>
            <w:tcW w:w="234"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H</w:t>
            </w:r>
            <w:r>
              <w:rPr>
                <w:rFonts w:ascii="Times New Roman" w:hAnsi="Times New Roman"/>
                <w:sz w:val="21"/>
                <w:szCs w:val="21"/>
                <w:vertAlign w:val="subscript"/>
                <w:lang w:val="zh-CN"/>
              </w:rPr>
              <w:t>2</w:t>
            </w:r>
            <w:r>
              <w:rPr>
                <w:rFonts w:ascii="Times New Roman" w:hAnsi="Times New Roman"/>
                <w:sz w:val="21"/>
                <w:szCs w:val="21"/>
                <w:lang w:val="zh-CN"/>
              </w:rPr>
              <w:t>S</w:t>
            </w:r>
          </w:p>
        </w:tc>
        <w:tc>
          <w:tcPr>
            <w:tcW w:w="24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大气</w:t>
            </w:r>
          </w:p>
        </w:tc>
        <w:tc>
          <w:tcPr>
            <w:tcW w:w="26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40</w:t>
            </w:r>
          </w:p>
        </w:tc>
        <w:tc>
          <w:tcPr>
            <w:tcW w:w="306"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11.60</w:t>
            </w:r>
          </w:p>
        </w:tc>
        <w:tc>
          <w:tcPr>
            <w:tcW w:w="306"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w:t>
            </w:r>
          </w:p>
        </w:tc>
        <w:tc>
          <w:tcPr>
            <w:tcW w:w="263"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0.15</w:t>
            </w:r>
          </w:p>
        </w:tc>
        <w:tc>
          <w:tcPr>
            <w:tcW w:w="498"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rPr>
              <w:t>0.987</w:t>
            </w:r>
          </w:p>
        </w:tc>
        <w:tc>
          <w:tcPr>
            <w:tcW w:w="355"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18.5</w:t>
            </w:r>
          </w:p>
        </w:tc>
        <w:tc>
          <w:tcPr>
            <w:tcW w:w="351" w:type="pct"/>
            <w:vAlign w:val="center"/>
          </w:tcPr>
          <w:p>
            <w:pPr>
              <w:snapToGrid w:val="0"/>
              <w:spacing w:line="240" w:lineRule="auto"/>
              <w:ind w:firstLine="0" w:firstLineChars="0"/>
              <w:jc w:val="center"/>
              <w:rPr>
                <w:rFonts w:ascii="Times New Roman" w:hAnsi="Times New Roman"/>
                <w:sz w:val="21"/>
                <w:szCs w:val="21"/>
                <w:lang w:val="zh-CN"/>
              </w:rPr>
            </w:pPr>
            <w:r>
              <w:rPr>
                <w:rFonts w:ascii="Times New Roman" w:hAnsi="Times New Roman"/>
                <w:sz w:val="21"/>
                <w:szCs w:val="21"/>
                <w:lang w:val="zh-CN"/>
              </w:rPr>
              <w:t>1095.57</w:t>
            </w:r>
          </w:p>
        </w:tc>
      </w:tr>
    </w:tbl>
    <w:p>
      <w:pPr>
        <w:ind w:firstLine="480"/>
        <w:rPr>
          <w:rFonts w:ascii="Times New Roman" w:hAnsi="Times New Roman"/>
        </w:rPr>
      </w:pPr>
    </w:p>
    <w:p>
      <w:pPr>
        <w:pStyle w:val="3"/>
        <w:rPr>
          <w:rFonts w:ascii="Times New Roman" w:hAnsi="Times New Roman" w:cs="Times New Roman"/>
        </w:rPr>
        <w:sectPr>
          <w:pgSz w:w="16838" w:h="11906" w:orient="landscape"/>
          <w:pgMar w:top="1797" w:right="1440" w:bottom="1797" w:left="1440" w:header="851" w:footer="992" w:gutter="0"/>
          <w:cols w:space="425" w:num="1"/>
          <w:docGrid w:type="linesAndChars" w:linePitch="312" w:charSpace="0"/>
        </w:sectPr>
      </w:pPr>
    </w:p>
    <w:p>
      <w:pPr>
        <w:pStyle w:val="3"/>
        <w:rPr>
          <w:rFonts w:ascii="Times New Roman" w:hAnsi="Times New Roman" w:cs="Times New Roman"/>
        </w:rPr>
      </w:pPr>
      <w:bookmarkStart w:id="279" w:name="_Toc162339436"/>
      <w:r>
        <w:rPr>
          <w:rFonts w:ascii="Times New Roman" w:hAnsi="Times New Roman" w:cs="Times New Roman"/>
        </w:rPr>
        <w:t>环境风险预测与分析</w:t>
      </w:r>
      <w:bookmarkEnd w:id="279"/>
    </w:p>
    <w:p>
      <w:pPr>
        <w:pStyle w:val="4"/>
        <w:rPr>
          <w:rFonts w:ascii="Times New Roman" w:hAnsi="Times New Roman" w:cs="Times New Roman"/>
        </w:rPr>
      </w:pPr>
      <w:r>
        <w:rPr>
          <w:rFonts w:ascii="Times New Roman" w:hAnsi="Times New Roman" w:cs="Times New Roman"/>
        </w:rPr>
        <w:t>大气环境风险分析</w:t>
      </w:r>
    </w:p>
    <w:p>
      <w:pPr>
        <w:pStyle w:val="5"/>
        <w:rPr>
          <w:rFonts w:ascii="Times New Roman" w:hAnsi="Times New Roman"/>
        </w:rPr>
      </w:pPr>
      <w:r>
        <w:rPr>
          <w:rFonts w:ascii="Times New Roman" w:hAnsi="Times New Roman"/>
        </w:rPr>
        <w:t>预测模型</w:t>
      </w:r>
    </w:p>
    <w:p>
      <w:pPr>
        <w:ind w:firstLine="480"/>
        <w:rPr>
          <w:rFonts w:ascii="Times New Roman" w:hAnsi="Times New Roman"/>
        </w:rPr>
      </w:pPr>
      <w:r>
        <w:rPr>
          <w:rFonts w:ascii="Times New Roman" w:hAnsi="Times New Roman"/>
        </w:rPr>
        <w:t>（1）模型概况</w:t>
      </w:r>
    </w:p>
    <w:p>
      <w:pPr>
        <w:ind w:firstLine="480"/>
        <w:rPr>
          <w:rFonts w:ascii="Times New Roman" w:hAnsi="Times New Roman"/>
        </w:rPr>
      </w:pPr>
      <w:r>
        <w:rPr>
          <w:rFonts w:ascii="Times New Roman" w:hAnsi="Times New Roman"/>
        </w:rPr>
        <w:t>本次评价拟选取CHARM（Complex Hazardous Air Release Model）模型进行预测。CHARM模型为复杂地形下突发性大气污染事故（有毒有害化学品泄漏事故）预测模型，由美国Mark Eltgroth LLC 公司开发，至今已拥有30多年的历史，已被世界范围内几十个国家广泛使用。CHARM模型是一个基于有限差分的三维欧拉网格模型，三维风场采用West Wind Field模型，通过诊断模式，使用一个或多个气象资料用于对整个区域气象场的风速风向进行初猜，然后根据地形数据进行反复迭代计算调整，使得三维辐散达到最小值，以获得风场所受到的地形动力学影响。作为基于有限差分的三维欧拉网格模型，CHARM模型集成了源强计算、扩散模拟、风险值计算等多个模块，可考虑地形、建筑、土地利用/地表覆盖类型对扩散的影响，同时可考虑重气效应，在环境风险预测、应急预案制定、应急救援、安全评估等方面有着广泛用途。</w:t>
      </w:r>
    </w:p>
    <w:p>
      <w:pPr>
        <w:ind w:firstLine="480"/>
        <w:rPr>
          <w:rFonts w:ascii="Times New Roman" w:hAnsi="Times New Roman"/>
        </w:rPr>
      </w:pPr>
      <w:r>
        <w:rPr>
          <w:rFonts w:ascii="Times New Roman" w:hAnsi="Times New Roman"/>
        </w:rPr>
        <w:t>（2）模型功能特点与主要优势</w:t>
      </w:r>
    </w:p>
    <w:p>
      <w:pPr>
        <w:ind w:firstLine="480"/>
        <w:rPr>
          <w:rFonts w:ascii="Times New Roman" w:hAnsi="Times New Roman"/>
        </w:rPr>
      </w:pPr>
      <w:r>
        <w:rPr>
          <w:rFonts w:ascii="Times New Roman" w:hAnsi="Times New Roman"/>
        </w:rPr>
        <w:t>1）风险源处理</w:t>
      </w:r>
    </w:p>
    <w:p>
      <w:pPr>
        <w:ind w:firstLine="480"/>
        <w:rPr>
          <w:rFonts w:ascii="Times New Roman" w:hAnsi="Times New Roman"/>
        </w:rPr>
      </w:pPr>
      <w:r>
        <w:rPr>
          <w:rFonts w:ascii="Times New Roman" w:hAnsi="Times New Roman"/>
        </w:rPr>
        <w:t>内置源强计算模型，输入泄漏口尺寸等数据，即可自动计算随时间变化的泄漏速率、挥发速率、气云密度等参数。</w:t>
      </w:r>
    </w:p>
    <w:p>
      <w:pPr>
        <w:ind w:firstLine="480"/>
        <w:rPr>
          <w:rFonts w:ascii="Times New Roman" w:hAnsi="Times New Roman"/>
        </w:rPr>
      </w:pPr>
      <w:r>
        <w:rPr>
          <w:rFonts w:ascii="Times New Roman" w:hAnsi="Times New Roman"/>
        </w:rPr>
        <w:t>内置上百种化学品理化性质数据库，极大降低用户在使用过程中的数据查找难度，同时可自定义化学品理化性质。</w:t>
      </w:r>
    </w:p>
    <w:p>
      <w:pPr>
        <w:ind w:firstLine="480"/>
        <w:rPr>
          <w:rFonts w:ascii="Times New Roman" w:hAnsi="Times New Roman"/>
        </w:rPr>
      </w:pPr>
      <w:r>
        <w:rPr>
          <w:rFonts w:ascii="Times New Roman" w:hAnsi="Times New Roman"/>
        </w:rPr>
        <w:t>2）模型适用性</w:t>
      </w:r>
    </w:p>
    <w:p>
      <w:pPr>
        <w:ind w:firstLine="480"/>
        <w:rPr>
          <w:rFonts w:ascii="Times New Roman" w:hAnsi="Times New Roman"/>
        </w:rPr>
      </w:pPr>
      <w:r>
        <w:rPr>
          <w:rFonts w:ascii="Times New Roman" w:hAnsi="Times New Roman"/>
        </w:rPr>
        <w:t>可考虑不同设备的泄漏，如立式储罐、卧式储罐、球罐、管道等；</w:t>
      </w:r>
    </w:p>
    <w:p>
      <w:pPr>
        <w:ind w:firstLine="480"/>
        <w:rPr>
          <w:rFonts w:ascii="Times New Roman" w:hAnsi="Times New Roman"/>
        </w:rPr>
      </w:pPr>
      <w:r>
        <w:rPr>
          <w:rFonts w:ascii="Times New Roman" w:hAnsi="Times New Roman"/>
        </w:rPr>
        <w:t>可考虑多种类型的泄漏，如液池挥发、两相流、阻塞流等；</w:t>
      </w:r>
    </w:p>
    <w:p>
      <w:pPr>
        <w:ind w:firstLine="480"/>
        <w:rPr>
          <w:rFonts w:ascii="Times New Roman" w:hAnsi="Times New Roman"/>
        </w:rPr>
      </w:pPr>
      <w:r>
        <w:rPr>
          <w:rFonts w:ascii="Times New Roman" w:hAnsi="Times New Roman"/>
        </w:rPr>
        <w:t>可模拟多处泄漏同时发生的情景；</w:t>
      </w:r>
    </w:p>
    <w:p>
      <w:pPr>
        <w:ind w:firstLine="480"/>
        <w:rPr>
          <w:rFonts w:ascii="Times New Roman" w:hAnsi="Times New Roman"/>
        </w:rPr>
      </w:pPr>
      <w:r>
        <w:rPr>
          <w:rFonts w:ascii="Times New Roman" w:hAnsi="Times New Roman"/>
        </w:rPr>
        <w:t>可模拟火灾、爆炸事故中的热辐射、冲击波影响；</w:t>
      </w:r>
    </w:p>
    <w:p>
      <w:pPr>
        <w:ind w:firstLine="480"/>
        <w:rPr>
          <w:rFonts w:ascii="Times New Roman" w:hAnsi="Times New Roman"/>
        </w:rPr>
      </w:pPr>
      <w:r>
        <w:rPr>
          <w:rFonts w:ascii="Times New Roman" w:hAnsi="Times New Roman"/>
        </w:rPr>
        <w:t>既可以考虑浮力抬升作用，也可以考虑重气下沉影响，适用于轻气体、中性气体和重气体的扩散；</w:t>
      </w:r>
    </w:p>
    <w:p>
      <w:pPr>
        <w:ind w:firstLine="480"/>
        <w:rPr>
          <w:rFonts w:ascii="Times New Roman" w:hAnsi="Times New Roman"/>
        </w:rPr>
      </w:pPr>
      <w:r>
        <w:rPr>
          <w:rFonts w:ascii="Times New Roman" w:hAnsi="Times New Roman"/>
        </w:rPr>
        <w:t>多重嵌套网格，模拟尺度从几米~几十公里均可。</w:t>
      </w:r>
    </w:p>
    <w:p>
      <w:pPr>
        <w:ind w:firstLine="480"/>
        <w:rPr>
          <w:rFonts w:ascii="Times New Roman" w:hAnsi="Times New Roman"/>
        </w:rPr>
      </w:pPr>
      <w:r>
        <w:rPr>
          <w:rFonts w:ascii="Times New Roman" w:hAnsi="Times New Roman"/>
        </w:rPr>
        <w:t>3）结果输出</w:t>
      </w:r>
    </w:p>
    <w:p>
      <w:pPr>
        <w:ind w:firstLine="0" w:firstLineChars="0"/>
        <w:rPr>
          <w:rFonts w:ascii="Times New Roman" w:hAnsi="Times New Roman"/>
        </w:rPr>
      </w:pPr>
      <w:r>
        <w:rPr>
          <w:rFonts w:ascii="Times New Roman" w:hAnsi="Times New Roman"/>
        </w:rPr>
        <w:t></w:t>
      </w:r>
      <w:r>
        <w:rPr>
          <w:rFonts w:ascii="Times New Roman" w:hAnsi="Times New Roman"/>
        </w:rPr>
        <w:tab/>
      </w:r>
      <w:r>
        <w:rPr>
          <w:rFonts w:ascii="Times New Roman" w:hAnsi="Times New Roman"/>
        </w:rPr>
        <w:t>可直接获取预测物质浓度达到评价标准时的最大影响范围（图、数据），可直接获取关心点的预测物质浓度随时间变化情况（图、数据）；</w:t>
      </w:r>
    </w:p>
    <w:p>
      <w:pPr>
        <w:ind w:firstLine="0" w:firstLineChars="0"/>
        <w:rPr>
          <w:rFonts w:ascii="Times New Roman" w:hAnsi="Times New Roman"/>
        </w:rPr>
      </w:pPr>
      <w:r>
        <w:rPr>
          <w:rFonts w:ascii="Times New Roman" w:hAnsi="Times New Roman"/>
        </w:rPr>
        <w:t></w:t>
      </w:r>
      <w:r>
        <w:rPr>
          <w:rFonts w:ascii="Times New Roman" w:hAnsi="Times New Roman"/>
        </w:rPr>
        <w:tab/>
      </w:r>
      <w:r>
        <w:rPr>
          <w:rFonts w:ascii="Times New Roman" w:hAnsi="Times New Roman"/>
        </w:rPr>
        <w:t>可直接获取不同高度、不同平均时间（averaging time）的预测物质浓度值；</w:t>
      </w:r>
    </w:p>
    <w:p>
      <w:pPr>
        <w:ind w:firstLine="0" w:firstLineChars="0"/>
        <w:rPr>
          <w:rFonts w:ascii="Times New Roman" w:hAnsi="Times New Roman"/>
        </w:rPr>
      </w:pPr>
      <w:r>
        <w:rPr>
          <w:rFonts w:ascii="Times New Roman" w:hAnsi="Times New Roman"/>
        </w:rPr>
        <w:t></w:t>
      </w:r>
      <w:r>
        <w:rPr>
          <w:rFonts w:ascii="Times New Roman" w:hAnsi="Times New Roman"/>
        </w:rPr>
        <w:tab/>
      </w:r>
      <w:r>
        <w:rPr>
          <w:rFonts w:ascii="Times New Roman" w:hAnsi="Times New Roman"/>
        </w:rPr>
        <w:t>可直接获取关心点致死概率；</w:t>
      </w:r>
    </w:p>
    <w:p>
      <w:pPr>
        <w:ind w:firstLine="0" w:firstLineChars="0"/>
        <w:rPr>
          <w:rFonts w:ascii="Times New Roman" w:hAnsi="Times New Roman"/>
        </w:rPr>
      </w:pPr>
      <w:r>
        <w:rPr>
          <w:rFonts w:ascii="Times New Roman" w:hAnsi="Times New Roman"/>
        </w:rPr>
        <w:t></w:t>
      </w:r>
      <w:r>
        <w:rPr>
          <w:rFonts w:ascii="Times New Roman" w:hAnsi="Times New Roman"/>
        </w:rPr>
        <w:tab/>
      </w:r>
      <w:r>
        <w:rPr>
          <w:rFonts w:ascii="Times New Roman" w:hAnsi="Times New Roman"/>
        </w:rPr>
        <w:t>预测/模拟结果可导出为多种格式，便于用户后期进行个性化处理；</w:t>
      </w:r>
    </w:p>
    <w:p>
      <w:pPr>
        <w:ind w:firstLine="0" w:firstLineChars="0"/>
        <w:rPr>
          <w:rFonts w:ascii="Times New Roman" w:hAnsi="Times New Roman"/>
        </w:rPr>
      </w:pPr>
      <w:r>
        <w:rPr>
          <w:rFonts w:ascii="Times New Roman" w:hAnsi="Times New Roman"/>
        </w:rPr>
        <w:t></w:t>
      </w:r>
      <w:r>
        <w:rPr>
          <w:rFonts w:ascii="Times New Roman" w:hAnsi="Times New Roman"/>
        </w:rPr>
        <w:tab/>
      </w:r>
      <w:r>
        <w:rPr>
          <w:rFonts w:ascii="Times New Roman" w:hAnsi="Times New Roman"/>
        </w:rPr>
        <w:t>预测/模拟结果可实现三维动态展示。</w:t>
      </w:r>
    </w:p>
    <w:p>
      <w:pPr>
        <w:ind w:firstLine="480"/>
        <w:rPr>
          <w:rFonts w:ascii="Times New Roman" w:hAnsi="Times New Roman"/>
        </w:rPr>
      </w:pPr>
      <w:r>
        <w:rPr>
          <w:rFonts w:ascii="Times New Roman" w:hAnsi="Times New Roman"/>
        </w:rPr>
        <w:t>（3）模型选取可行性</w:t>
      </w:r>
    </w:p>
    <w:p>
      <w:pPr>
        <w:ind w:firstLine="480"/>
        <w:rPr>
          <w:rFonts w:ascii="Times New Roman" w:hAnsi="Times New Roman"/>
        </w:rPr>
      </w:pPr>
      <w:r>
        <w:rPr>
          <w:rFonts w:ascii="Times New Roman" w:hAnsi="Times New Roman"/>
        </w:rPr>
        <w:t>CHARM模型采用固定于地面的坐标系统，利用有限差分法求出各个网格上的浓度，垂直方向速度分量根据空气与网格内污染物密度差异进行调整，因此既可以考虑浮力抬升的作用，也可以考虑重气下沉影响，适用于轻气体、中性气体和重气体的扩散。CHARM模型可用于仿真反应性物质的扩散，此模式考虑垂直温度结构对风及扩散的影响。</w:t>
      </w:r>
    </w:p>
    <w:p>
      <w:pPr>
        <w:ind w:firstLine="480"/>
        <w:rPr>
          <w:rFonts w:ascii="Times New Roman" w:hAnsi="Times New Roman"/>
        </w:rPr>
      </w:pPr>
      <w:r>
        <w:rPr>
          <w:rFonts w:ascii="Times New Roman" w:hAnsi="Times New Roman"/>
        </w:rPr>
        <w:t>在模型准确性方面，CHARM模型对Desert Tortoise、Goldfish、Burro、Lillestrom等多个国际通用的场地验证案例进行模拟时，其模拟值与实际监测值平均百分比偏差（FB）为-4%～23%，根据我国《环境空气质量模型遴选工作指南(试行)》（征求意见稿）、EPA扩散模型验证报告以及国际环境空气质量模型验证通识，当FB在-67%～67%范围内时，即可认为模型准确性可接受。</w:t>
      </w:r>
    </w:p>
    <w:p>
      <w:pPr>
        <w:ind w:firstLine="480"/>
        <w:rPr>
          <w:rFonts w:ascii="Times New Roman" w:hAnsi="Times New Roman"/>
        </w:rPr>
      </w:pPr>
      <w:r>
        <w:rPr>
          <w:rFonts w:ascii="Times New Roman" w:hAnsi="Times New Roman"/>
        </w:rPr>
        <w:t>在模型性能方面，CHARM具有源项计算模块，包含多种常用化学品的数据库，可兼容多种地形数据和地表覆盖/土地利用数据，预测结果可视化处理功能佳，同时计算效率较高。</w:t>
      </w:r>
    </w:p>
    <w:p>
      <w:pPr>
        <w:ind w:firstLine="480"/>
        <w:rPr>
          <w:rFonts w:ascii="Times New Roman" w:hAnsi="Times New Roman"/>
        </w:rPr>
      </w:pPr>
      <w:r>
        <w:rPr>
          <w:rFonts w:ascii="Times New Roman" w:hAnsi="Times New Roman"/>
        </w:rPr>
        <w:t>在模型应用情况方面，CHARM模型至今已拥有30多年的历史，已被世界范围内几十个国家广泛使用。其代表性用户包括美国能源部，纽约环保局，新加坡国防科技研究院，壳牌、康菲、伊士曼、台塑等石油/化工公司，各国环境咨询公司等，在风险评价、应急救援、环境规划等多个领域被广泛应用。</w:t>
      </w:r>
    </w:p>
    <w:p>
      <w:pPr>
        <w:ind w:firstLine="480"/>
        <w:rPr>
          <w:rFonts w:ascii="Times New Roman" w:hAnsi="Times New Roman"/>
        </w:rPr>
      </w:pPr>
      <w:r>
        <w:rPr>
          <w:rFonts w:ascii="Times New Roman" w:hAnsi="Times New Roman"/>
        </w:rPr>
        <w:t>综上，本次评价选取CHARM模型对项目涉及的有毒有害物质泄漏事故影响进行预测，模型版本为CHARM11。</w:t>
      </w:r>
    </w:p>
    <w:p>
      <w:pPr>
        <w:pStyle w:val="5"/>
        <w:rPr>
          <w:rFonts w:ascii="Times New Roman" w:hAnsi="Times New Roman"/>
        </w:rPr>
      </w:pPr>
      <w:r>
        <w:rPr>
          <w:rFonts w:ascii="Times New Roman" w:hAnsi="Times New Roman"/>
        </w:rPr>
        <w:t>地表覆盖数据</w:t>
      </w:r>
    </w:p>
    <w:p>
      <w:pPr>
        <w:ind w:firstLine="480"/>
        <w:rPr>
          <w:rFonts w:ascii="Times New Roman" w:hAnsi="Times New Roman"/>
        </w:rPr>
      </w:pPr>
      <w:r>
        <w:rPr>
          <w:rFonts w:ascii="Times New Roman" w:hAnsi="Times New Roman"/>
        </w:rPr>
        <w:t>土地利用类型数据为我国的GlobeLand30的2020版数据，采用NLCD92地表覆盖分类系统。本次预测范围内土地利用类型包括水体、林地、草地、农用地和商业/工业/运输用地等，其中林地覆盖地居多。</w:t>
      </w:r>
    </w:p>
    <w:p>
      <w:pPr>
        <w:pStyle w:val="5"/>
        <w:rPr>
          <w:rFonts w:ascii="Times New Roman" w:hAnsi="Times New Roman"/>
        </w:rPr>
      </w:pPr>
      <w:r>
        <w:rPr>
          <w:rFonts w:ascii="Times New Roman" w:hAnsi="Times New Roman"/>
        </w:rPr>
        <w:t>预测网格</w:t>
      </w:r>
    </w:p>
    <w:p>
      <w:pPr>
        <w:ind w:firstLine="480"/>
        <w:rPr>
          <w:rFonts w:ascii="Times New Roman" w:hAnsi="Times New Roman"/>
        </w:rPr>
      </w:pPr>
      <w:r>
        <w:rPr>
          <w:rFonts w:ascii="Times New Roman" w:hAnsi="Times New Roman"/>
        </w:rPr>
        <w:t>依据《建设项目环境风险评价技术导则》（HJ169-2018），预测范围内应设置两层嵌套网格，即参照不同事故源的位置，距离事故源500m范围内设置50m精度网格，500m范围以外设置100m精度网格。</w:t>
      </w:r>
    </w:p>
    <w:p>
      <w:pPr>
        <w:pStyle w:val="5"/>
        <w:rPr>
          <w:rFonts w:ascii="Times New Roman" w:hAnsi="Times New Roman"/>
        </w:rPr>
      </w:pPr>
      <w:r>
        <w:rPr>
          <w:rFonts w:ascii="Times New Roman" w:hAnsi="Times New Roman"/>
        </w:rPr>
        <w:t>气象参数</w:t>
      </w:r>
    </w:p>
    <w:p>
      <w:pPr>
        <w:ind w:firstLine="480"/>
        <w:rPr>
          <w:rFonts w:ascii="Times New Roman" w:hAnsi="Times New Roman"/>
        </w:rPr>
      </w:pPr>
      <w:r>
        <w:rPr>
          <w:rFonts w:ascii="Times New Roman" w:hAnsi="Times New Roman"/>
        </w:rPr>
        <w:t>为全面真实了解大气环境风险的影响，本次评价对不同的风险事故情形，选取最不利气象条件进行后果预测。风向选择八个风向。</w:t>
      </w:r>
    </w:p>
    <w:p>
      <w:pPr>
        <w:ind w:firstLine="480"/>
        <w:rPr>
          <w:rFonts w:ascii="Times New Roman" w:hAnsi="Times New Roman"/>
        </w:rPr>
      </w:pPr>
      <w:r>
        <w:rPr>
          <w:rFonts w:ascii="Times New Roman" w:hAnsi="Times New Roman"/>
        </w:rPr>
        <w:t>（1）风向选择</w:t>
      </w:r>
    </w:p>
    <w:p>
      <w:pPr>
        <w:ind w:firstLine="480"/>
        <w:rPr>
          <w:rFonts w:ascii="Times New Roman" w:hAnsi="Times New Roman"/>
        </w:rPr>
      </w:pPr>
      <w:r>
        <w:rPr>
          <w:rFonts w:ascii="Times New Roman" w:hAnsi="Times New Roman"/>
        </w:rPr>
        <w:t>考虑到本项目四周均布有敏感点，为了全面真实了解大气环境风险影响，本次评价开展八风向（N、NE、E、SE、S、SW、W、NW）的大气环境风险预测。</w:t>
      </w:r>
    </w:p>
    <w:p>
      <w:pPr>
        <w:ind w:firstLine="480"/>
        <w:rPr>
          <w:rFonts w:ascii="Times New Roman" w:hAnsi="Times New Roman"/>
        </w:rPr>
      </w:pPr>
      <w:r>
        <w:rPr>
          <w:rFonts w:ascii="Times New Roman" w:hAnsi="Times New Roman"/>
        </w:rPr>
        <w:t>环境敏感点的风向，考虑根据周围敏感点的分布方位，筛选出的对敏感点产生最不利影响的风向。筛选过程如下图所示。</w:t>
      </w:r>
    </w:p>
    <w:p>
      <w:pPr>
        <w:ind w:firstLine="0" w:firstLineChars="0"/>
        <w:jc w:val="center"/>
        <w:rPr>
          <w:rFonts w:ascii="Times New Roman" w:hAnsi="Times New Roman"/>
        </w:rPr>
      </w:pPr>
      <w:r>
        <w:rPr>
          <w:rFonts w:ascii="Times New Roman" w:hAnsi="Times New Roman"/>
        </w:rPr>
        <w:object>
          <v:shape id="_x0000_i1033" o:spt="75" type="#_x0000_t75" style="height:172.5pt;width:267pt;" o:ole="t" filled="f" o:preferrelative="t" stroked="f" coordsize="21600,21600">
            <v:path/>
            <v:fill on="f" focussize="0,0"/>
            <v:stroke on="f" joinstyle="miter"/>
            <v:imagedata r:id="rId141" o:title=""/>
            <o:lock v:ext="edit" aspectratio="t"/>
            <w10:wrap type="none"/>
            <w10:anchorlock/>
          </v:shape>
          <o:OLEObject Type="Embed" ProgID="Visio.Drawing.11" ShapeID="_x0000_i1033" DrawAspect="Content" ObjectID="_1468075732" r:id="rId140">
            <o:LockedField>false</o:LockedField>
          </o:OLEObject>
        </w:object>
      </w:r>
    </w:p>
    <w:p>
      <w:pPr>
        <w:pStyle w:val="37"/>
        <w:rPr>
          <w:rFonts w:ascii="Times New Roman" w:hAnsi="Times New Roman" w:cs="Times New Roman"/>
        </w:rPr>
      </w:pPr>
      <w:bookmarkStart w:id="280" w:name="_Ref67494146"/>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bookmarkEnd w:id="280"/>
      <w:r>
        <w:rPr>
          <w:rFonts w:ascii="Times New Roman" w:hAnsi="Times New Roman" w:cs="Times New Roman"/>
        </w:rPr>
        <w:t xml:space="preserve">   敏感点最不利风向选择流程</w:t>
      </w:r>
    </w:p>
    <w:p>
      <w:pPr>
        <w:ind w:firstLine="480"/>
        <w:rPr>
          <w:rFonts w:ascii="Times New Roman" w:hAnsi="Times New Roman"/>
        </w:rPr>
      </w:pPr>
    </w:p>
    <w:p>
      <w:pPr>
        <w:ind w:firstLine="480"/>
        <w:rPr>
          <w:rFonts w:ascii="Times New Roman" w:hAnsi="Times New Roman"/>
        </w:rPr>
      </w:pPr>
      <w:r>
        <w:rPr>
          <w:rFonts w:ascii="Times New Roman" w:hAnsi="Times New Roman"/>
        </w:rPr>
        <w:t>（2）最不利气象条件</w:t>
      </w:r>
    </w:p>
    <w:p>
      <w:pPr>
        <w:ind w:firstLine="480"/>
        <w:rPr>
          <w:rFonts w:ascii="Times New Roman" w:hAnsi="Times New Roman"/>
        </w:rPr>
      </w:pPr>
      <w:r>
        <w:rPr>
          <w:rFonts w:ascii="Times New Roman" w:hAnsi="Times New Roman"/>
        </w:rPr>
        <w:t>按照</w:t>
      </w:r>
      <w:bookmarkStart w:id="281" w:name="_Hlk114495602"/>
      <w:r>
        <w:rPr>
          <w:rFonts w:ascii="Times New Roman" w:hAnsi="Times New Roman"/>
        </w:rPr>
        <w:t>《建设项目环境风险评价技术导则》(HJ169-2018)</w:t>
      </w:r>
      <w:bookmarkEnd w:id="281"/>
      <w:r>
        <w:rPr>
          <w:rFonts w:ascii="Times New Roman" w:hAnsi="Times New Roman"/>
        </w:rPr>
        <w:t>要求，设置最不利气象条件见</w:t>
      </w:r>
      <w:r>
        <w:rPr>
          <w:rFonts w:ascii="Times New Roman" w:hAnsi="Times New Roman"/>
        </w:rPr>
        <w:fldChar w:fldCharType="begin"/>
      </w:r>
      <w:r>
        <w:rPr>
          <w:rFonts w:ascii="Times New Roman" w:hAnsi="Times New Roman"/>
        </w:rPr>
        <w:instrText xml:space="preserve"> REF _Ref67494131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25</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282" w:name="_Ref6749413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25</w:t>
      </w:r>
      <w:r>
        <w:rPr>
          <w:rFonts w:ascii="Times New Roman" w:hAnsi="Times New Roman" w:cs="Times New Roman"/>
        </w:rPr>
        <w:fldChar w:fldCharType="end"/>
      </w:r>
      <w:bookmarkEnd w:id="282"/>
      <w:r>
        <w:rPr>
          <w:rFonts w:ascii="Times New Roman" w:hAnsi="Times New Roman" w:cs="Times New Roman"/>
        </w:rPr>
        <w:t xml:space="preserve">   大气风险预测气象参数表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1"/>
        <w:gridCol w:w="3849"/>
        <w:gridCol w:w="38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129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参数类型</w:t>
            </w:r>
          </w:p>
        </w:tc>
        <w:tc>
          <w:tcPr>
            <w:tcW w:w="350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选项</w:t>
            </w:r>
          </w:p>
        </w:tc>
        <w:tc>
          <w:tcPr>
            <w:tcW w:w="350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1292" w:type="dxa"/>
            <w:vMerge w:val="restart"/>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气象参数</w:t>
            </w:r>
          </w:p>
        </w:tc>
        <w:tc>
          <w:tcPr>
            <w:tcW w:w="350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气象条件类型</w:t>
            </w:r>
          </w:p>
        </w:tc>
        <w:tc>
          <w:tcPr>
            <w:tcW w:w="350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最不利气象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1292" w:type="dxa"/>
            <w:vMerge w:val="continue"/>
            <w:vAlign w:val="center"/>
          </w:tcPr>
          <w:p>
            <w:pPr>
              <w:adjustRightInd w:val="0"/>
              <w:snapToGrid w:val="0"/>
              <w:spacing w:line="240" w:lineRule="auto"/>
              <w:ind w:firstLine="0" w:firstLineChars="0"/>
              <w:jc w:val="center"/>
              <w:rPr>
                <w:rFonts w:ascii="Times New Roman" w:hAnsi="Times New Roman"/>
                <w:sz w:val="21"/>
                <w:szCs w:val="21"/>
              </w:rPr>
            </w:pPr>
          </w:p>
        </w:tc>
        <w:tc>
          <w:tcPr>
            <w:tcW w:w="350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风速/（m/s）</w:t>
            </w:r>
          </w:p>
        </w:tc>
        <w:tc>
          <w:tcPr>
            <w:tcW w:w="350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1292" w:type="dxa"/>
            <w:vMerge w:val="continue"/>
            <w:vAlign w:val="center"/>
          </w:tcPr>
          <w:p>
            <w:pPr>
              <w:adjustRightInd w:val="0"/>
              <w:snapToGrid w:val="0"/>
              <w:spacing w:line="240" w:lineRule="auto"/>
              <w:ind w:firstLine="0" w:firstLineChars="0"/>
              <w:jc w:val="center"/>
              <w:rPr>
                <w:rFonts w:ascii="Times New Roman" w:hAnsi="Times New Roman"/>
                <w:sz w:val="21"/>
                <w:szCs w:val="21"/>
              </w:rPr>
            </w:pPr>
          </w:p>
        </w:tc>
        <w:tc>
          <w:tcPr>
            <w:tcW w:w="350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环境温度/</w:t>
            </w:r>
            <w:r>
              <w:rPr>
                <w:rFonts w:ascii="Times New Roman" w:hAnsi="Times New Roman"/>
                <w:bCs/>
                <w:sz w:val="21"/>
                <w:szCs w:val="21"/>
              </w:rPr>
              <w:t>℃</w:t>
            </w:r>
          </w:p>
        </w:tc>
        <w:tc>
          <w:tcPr>
            <w:tcW w:w="350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1292" w:type="dxa"/>
            <w:vMerge w:val="continue"/>
            <w:vAlign w:val="center"/>
          </w:tcPr>
          <w:p>
            <w:pPr>
              <w:adjustRightInd w:val="0"/>
              <w:snapToGrid w:val="0"/>
              <w:spacing w:line="240" w:lineRule="auto"/>
              <w:ind w:firstLine="0" w:firstLineChars="0"/>
              <w:jc w:val="center"/>
              <w:rPr>
                <w:rFonts w:ascii="Times New Roman" w:hAnsi="Times New Roman"/>
                <w:sz w:val="21"/>
                <w:szCs w:val="21"/>
              </w:rPr>
            </w:pPr>
          </w:p>
        </w:tc>
        <w:tc>
          <w:tcPr>
            <w:tcW w:w="350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相对湿度/%</w:t>
            </w:r>
          </w:p>
        </w:tc>
        <w:tc>
          <w:tcPr>
            <w:tcW w:w="350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1292" w:type="dxa"/>
            <w:vMerge w:val="continue"/>
            <w:vAlign w:val="center"/>
          </w:tcPr>
          <w:p>
            <w:pPr>
              <w:adjustRightInd w:val="0"/>
              <w:snapToGrid w:val="0"/>
              <w:spacing w:line="240" w:lineRule="auto"/>
              <w:ind w:firstLine="0" w:firstLineChars="0"/>
              <w:jc w:val="center"/>
              <w:rPr>
                <w:rFonts w:ascii="Times New Roman" w:hAnsi="Times New Roman"/>
                <w:sz w:val="21"/>
                <w:szCs w:val="21"/>
              </w:rPr>
            </w:pPr>
          </w:p>
        </w:tc>
        <w:tc>
          <w:tcPr>
            <w:tcW w:w="350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稳定度</w:t>
            </w:r>
          </w:p>
        </w:tc>
        <w:tc>
          <w:tcPr>
            <w:tcW w:w="3502" w:type="dxa"/>
            <w:vAlign w:val="center"/>
          </w:tcPr>
          <w:p>
            <w:pPr>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F</w:t>
            </w:r>
          </w:p>
        </w:tc>
      </w:tr>
    </w:tbl>
    <w:p>
      <w:pPr>
        <w:pStyle w:val="5"/>
        <w:rPr>
          <w:rFonts w:ascii="Times New Roman" w:hAnsi="Times New Roman"/>
        </w:rPr>
      </w:pPr>
      <w:r>
        <w:rPr>
          <w:rFonts w:ascii="Times New Roman" w:hAnsi="Times New Roman"/>
        </w:rPr>
        <w:t>评价标准</w:t>
      </w:r>
    </w:p>
    <w:p>
      <w:pPr>
        <w:ind w:firstLine="480"/>
        <w:rPr>
          <w:rFonts w:ascii="Times New Roman" w:hAnsi="Times New Roman"/>
        </w:rPr>
      </w:pPr>
      <w:r>
        <w:rPr>
          <w:rFonts w:ascii="Times New Roman" w:hAnsi="Times New Roman"/>
        </w:rPr>
        <w:t>本项目环境风险预测评价标准为危险物质的大气毒性终点浓度，大气毒性终点浓度值选取参见《建设项目环境风险评价技术导则》（HJ169-2018）附录H。硫化氢大气毒性终点浓度值见</w:t>
      </w:r>
      <w:r>
        <w:rPr>
          <w:rFonts w:ascii="Times New Roman" w:hAnsi="Times New Roman"/>
        </w:rPr>
        <w:fldChar w:fldCharType="begin"/>
      </w:r>
      <w:r>
        <w:rPr>
          <w:rFonts w:ascii="Times New Roman" w:hAnsi="Times New Roman"/>
        </w:rPr>
        <w:instrText xml:space="preserve"> REF _Ref67500747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26</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283" w:name="_Ref6750074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26</w:t>
      </w:r>
      <w:r>
        <w:rPr>
          <w:rFonts w:ascii="Times New Roman" w:hAnsi="Times New Roman" w:cs="Times New Roman"/>
        </w:rPr>
        <w:fldChar w:fldCharType="end"/>
      </w:r>
      <w:bookmarkEnd w:id="283"/>
      <w:r>
        <w:rPr>
          <w:rFonts w:ascii="Times New Roman" w:hAnsi="Times New Roman" w:cs="Times New Roman"/>
        </w:rPr>
        <w:t xml:space="preserve">   评价因子及评价标准</w:t>
      </w:r>
    </w:p>
    <w:tbl>
      <w:tblPr>
        <w:tblStyle w:val="28"/>
        <w:tblW w:w="83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559"/>
        <w:gridCol w:w="1418"/>
        <w:gridCol w:w="2410"/>
        <w:gridCol w:w="2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序号</w:t>
            </w:r>
          </w:p>
        </w:tc>
        <w:tc>
          <w:tcPr>
            <w:tcW w:w="1559" w:type="dxa"/>
            <w:vAlign w:val="center"/>
          </w:tcPr>
          <w:p>
            <w:pPr>
              <w:pStyle w:val="39"/>
              <w:rPr>
                <w:rFonts w:ascii="Times New Roman" w:hAnsi="Times New Roman"/>
              </w:rPr>
            </w:pPr>
            <w:r>
              <w:rPr>
                <w:rFonts w:ascii="Times New Roman" w:hAnsi="Times New Roman"/>
              </w:rPr>
              <w:t>危险物质名称</w:t>
            </w:r>
          </w:p>
        </w:tc>
        <w:tc>
          <w:tcPr>
            <w:tcW w:w="1418" w:type="dxa"/>
            <w:vAlign w:val="center"/>
          </w:tcPr>
          <w:p>
            <w:pPr>
              <w:pStyle w:val="39"/>
              <w:rPr>
                <w:rFonts w:ascii="Times New Roman" w:hAnsi="Times New Roman"/>
              </w:rPr>
            </w:pPr>
            <w:r>
              <w:rPr>
                <w:rFonts w:ascii="Times New Roman" w:hAnsi="Times New Roman"/>
              </w:rPr>
              <w:t>CAS号</w:t>
            </w:r>
          </w:p>
        </w:tc>
        <w:tc>
          <w:tcPr>
            <w:tcW w:w="2410" w:type="dxa"/>
            <w:vAlign w:val="center"/>
          </w:tcPr>
          <w:p>
            <w:pPr>
              <w:pStyle w:val="39"/>
              <w:rPr>
                <w:rFonts w:ascii="Times New Roman" w:hAnsi="Times New Roman"/>
              </w:rPr>
            </w:pPr>
            <w:r>
              <w:rPr>
                <w:rFonts w:ascii="Times New Roman" w:hAnsi="Times New Roman"/>
              </w:rPr>
              <w:t>毒性终点浓度-1</w:t>
            </w:r>
          </w:p>
          <w:p>
            <w:pPr>
              <w:pStyle w:val="39"/>
              <w:rPr>
                <w:rFonts w:ascii="Times New Roman" w:hAnsi="Times New Roman"/>
              </w:rPr>
            </w:pPr>
            <w:r>
              <w:rPr>
                <w:rFonts w:ascii="Times New Roman" w:hAnsi="Times New Roman"/>
              </w:rPr>
              <w:t>/mg/m</w:t>
            </w:r>
            <w:r>
              <w:rPr>
                <w:rFonts w:ascii="Times New Roman" w:hAnsi="Times New Roman"/>
                <w:vertAlign w:val="superscript"/>
              </w:rPr>
              <w:t>3</w:t>
            </w:r>
          </w:p>
        </w:tc>
        <w:tc>
          <w:tcPr>
            <w:tcW w:w="2268" w:type="dxa"/>
            <w:vAlign w:val="center"/>
          </w:tcPr>
          <w:p>
            <w:pPr>
              <w:pStyle w:val="39"/>
              <w:rPr>
                <w:rFonts w:ascii="Times New Roman" w:hAnsi="Times New Roman"/>
              </w:rPr>
            </w:pPr>
            <w:r>
              <w:rPr>
                <w:rFonts w:ascii="Times New Roman" w:hAnsi="Times New Roman"/>
              </w:rPr>
              <w:t>毒性终点浓度-2</w:t>
            </w:r>
          </w:p>
          <w:p>
            <w:pPr>
              <w:pStyle w:val="39"/>
              <w:rPr>
                <w:rFonts w:ascii="Times New Roman" w:hAnsi="Times New Roman"/>
              </w:rPr>
            </w:pPr>
            <w:r>
              <w:rPr>
                <w:rFonts w:ascii="Times New Roman" w:hAnsi="Times New Roman"/>
              </w:rPr>
              <w:t>/mg/m</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704" w:type="dxa"/>
            <w:vAlign w:val="center"/>
          </w:tcPr>
          <w:p>
            <w:pPr>
              <w:pStyle w:val="39"/>
              <w:rPr>
                <w:rFonts w:ascii="Times New Roman" w:hAnsi="Times New Roman"/>
              </w:rPr>
            </w:pPr>
            <w:r>
              <w:rPr>
                <w:rFonts w:ascii="Times New Roman" w:hAnsi="Times New Roman"/>
              </w:rPr>
              <w:t>1</w:t>
            </w:r>
          </w:p>
        </w:tc>
        <w:tc>
          <w:tcPr>
            <w:tcW w:w="1559" w:type="dxa"/>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1418" w:type="dxa"/>
            <w:vAlign w:val="center"/>
          </w:tcPr>
          <w:p>
            <w:pPr>
              <w:pStyle w:val="39"/>
              <w:rPr>
                <w:rFonts w:ascii="Times New Roman" w:hAnsi="Times New Roman"/>
              </w:rPr>
            </w:pPr>
            <w:r>
              <w:rPr>
                <w:rFonts w:ascii="Times New Roman" w:hAnsi="Times New Roman"/>
              </w:rPr>
              <w:t>7783-06-4</w:t>
            </w:r>
          </w:p>
        </w:tc>
        <w:tc>
          <w:tcPr>
            <w:tcW w:w="2410" w:type="dxa"/>
            <w:vAlign w:val="center"/>
          </w:tcPr>
          <w:p>
            <w:pPr>
              <w:pStyle w:val="39"/>
              <w:rPr>
                <w:rFonts w:ascii="Times New Roman" w:hAnsi="Times New Roman"/>
              </w:rPr>
            </w:pPr>
            <w:r>
              <w:rPr>
                <w:rFonts w:ascii="Times New Roman" w:hAnsi="Times New Roman"/>
              </w:rPr>
              <w:t>70</w:t>
            </w:r>
          </w:p>
        </w:tc>
        <w:tc>
          <w:tcPr>
            <w:tcW w:w="2268" w:type="dxa"/>
            <w:vAlign w:val="center"/>
          </w:tcPr>
          <w:p>
            <w:pPr>
              <w:pStyle w:val="39"/>
              <w:rPr>
                <w:rFonts w:ascii="Times New Roman" w:hAnsi="Times New Roman"/>
              </w:rPr>
            </w:pPr>
            <w:r>
              <w:rPr>
                <w:rFonts w:ascii="Times New Roman" w:hAnsi="Times New Roman"/>
              </w:rPr>
              <w:t>38</w:t>
            </w:r>
          </w:p>
        </w:tc>
      </w:tr>
    </w:tbl>
    <w:p>
      <w:pPr>
        <w:ind w:firstLine="480"/>
        <w:rPr>
          <w:rFonts w:ascii="Times New Roman" w:hAnsi="Times New Roman"/>
        </w:rPr>
      </w:pPr>
    </w:p>
    <w:p>
      <w:pPr>
        <w:pStyle w:val="5"/>
        <w:rPr>
          <w:rFonts w:ascii="Times New Roman" w:hAnsi="Times New Roman"/>
        </w:rPr>
      </w:pPr>
      <w:r>
        <w:rPr>
          <w:rFonts w:ascii="Times New Roman" w:hAnsi="Times New Roman"/>
        </w:rPr>
        <w:t>预测评价</w:t>
      </w:r>
    </w:p>
    <w:p>
      <w:pPr>
        <w:ind w:firstLine="480"/>
        <w:rPr>
          <w:rFonts w:ascii="Times New Roman" w:hAnsi="Times New Roman"/>
        </w:rPr>
      </w:pPr>
      <w:r>
        <w:rPr>
          <w:rFonts w:ascii="Times New Roman" w:hAnsi="Times New Roman"/>
        </w:rPr>
        <w:t>（1）宣探集气干线（宣兴1井站-宣探阀室）</w:t>
      </w:r>
    </w:p>
    <w:p>
      <w:pPr>
        <w:ind w:firstLine="480"/>
        <w:rPr>
          <w:rFonts w:ascii="Times New Roman" w:hAnsi="Times New Roman"/>
        </w:rPr>
      </w:pPr>
      <w:r>
        <w:rPr>
          <w:rFonts w:ascii="Times New Roman" w:hAnsi="Times New Roman"/>
        </w:rPr>
        <w:t>1）预测范围</w:t>
      </w:r>
    </w:p>
    <w:p>
      <w:pPr>
        <w:ind w:right="210" w:firstLine="480"/>
        <w:rPr>
          <w:rFonts w:ascii="Times New Roman" w:hAnsi="Times New Roman"/>
        </w:rPr>
      </w:pPr>
      <w:r>
        <w:rPr>
          <w:rFonts w:ascii="Times New Roman" w:hAnsi="Times New Roman"/>
        </w:rPr>
        <w:t>预测范围考虑以断裂位置为中心各方向外延5km，最终形成10×10km的矩形区域。预测范围及范围内关心点分布情况如</w:t>
      </w:r>
      <w:r>
        <w:rPr>
          <w:rFonts w:ascii="Times New Roman" w:hAnsi="Times New Roman"/>
        </w:rPr>
        <w:fldChar w:fldCharType="begin"/>
      </w:r>
      <w:r>
        <w:rPr>
          <w:rFonts w:ascii="Times New Roman" w:hAnsi="Times New Roman"/>
        </w:rPr>
        <w:instrText xml:space="preserve"> REF _Ref158104544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2</w:t>
      </w:r>
      <w:r>
        <w:rPr>
          <w:rFonts w:ascii="Times New Roman" w:hAnsi="Times New Roman"/>
        </w:rPr>
        <w:fldChar w:fldCharType="end"/>
      </w:r>
      <w:r>
        <w:rPr>
          <w:rFonts w:ascii="Times New Roman" w:hAnsi="Times New Roman"/>
        </w:rPr>
        <w:t>所示。</w:t>
      </w:r>
    </w:p>
    <w:p>
      <w:pPr>
        <w:keepNext/>
        <w:ind w:right="210" w:firstLine="0" w:firstLineChars="0"/>
        <w:jc w:val="center"/>
        <w:rPr>
          <w:rFonts w:ascii="Times New Roman" w:hAnsi="Times New Roman"/>
        </w:rPr>
      </w:pPr>
      <w:r>
        <w:rPr>
          <w:rFonts w:ascii="Times New Roman" w:hAnsi="Times New Roman"/>
          <w14:ligatures w14:val="standardContextual"/>
        </w:rPr>
        <w:drawing>
          <wp:inline distT="0" distB="0" distL="0" distR="0">
            <wp:extent cx="5653405" cy="5653405"/>
            <wp:effectExtent l="0" t="0" r="4445" b="4445"/>
            <wp:docPr id="714458145"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458145" name="图片 1" descr="地图&#10;&#10;描述已自动生成"/>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653405" cy="5653405"/>
                    </a:xfrm>
                    <a:prstGeom prst="rect">
                      <a:avLst/>
                    </a:prstGeom>
                  </pic:spPr>
                </pic:pic>
              </a:graphicData>
            </a:graphic>
          </wp:inline>
        </w:drawing>
      </w:r>
    </w:p>
    <w:p>
      <w:pPr>
        <w:pStyle w:val="37"/>
        <w:rPr>
          <w:rFonts w:ascii="Times New Roman" w:hAnsi="Times New Roman" w:cs="Times New Roman"/>
        </w:rPr>
      </w:pPr>
      <w:bookmarkStart w:id="284" w:name="_Ref158104544"/>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bookmarkEnd w:id="284"/>
      <w:r>
        <w:rPr>
          <w:rFonts w:ascii="Times New Roman" w:hAnsi="Times New Roman" w:cs="Times New Roman"/>
        </w:rPr>
        <w:t xml:space="preserve">   宣兴1井站-宣探阀室段管道断裂大气环境风险预测范围及关心点分布</w:t>
      </w:r>
    </w:p>
    <w:p>
      <w:pPr>
        <w:ind w:firstLine="480"/>
        <w:rPr>
          <w:rFonts w:ascii="Times New Roman" w:hAnsi="Times New Roman"/>
        </w:rPr>
      </w:pPr>
    </w:p>
    <w:p>
      <w:pPr>
        <w:ind w:firstLine="480"/>
        <w:rPr>
          <w:rFonts w:ascii="Times New Roman" w:hAnsi="Times New Roman"/>
        </w:rPr>
      </w:pPr>
      <w:r>
        <w:rPr>
          <w:rFonts w:ascii="Times New Roman" w:hAnsi="Times New Roman"/>
        </w:rPr>
        <w:t>2）预测关心点</w:t>
      </w:r>
    </w:p>
    <w:p>
      <w:pPr>
        <w:ind w:firstLine="480"/>
        <w:rPr>
          <w:rFonts w:ascii="Times New Roman" w:hAnsi="Times New Roman"/>
        </w:rPr>
      </w:pPr>
      <w:r>
        <w:rPr>
          <w:rFonts w:ascii="Times New Roman" w:hAnsi="Times New Roman"/>
        </w:rPr>
        <w:t>宣兴1井站-宣探阀室段管道泄漏的位置以及选取的预测关心点见</w:t>
      </w:r>
      <w:r>
        <w:rPr>
          <w:rFonts w:ascii="Times New Roman" w:hAnsi="Times New Roman"/>
        </w:rPr>
        <w:fldChar w:fldCharType="begin"/>
      </w:r>
      <w:r>
        <w:rPr>
          <w:rFonts w:ascii="Times New Roman" w:hAnsi="Times New Roman"/>
        </w:rPr>
        <w:instrText xml:space="preserve"> REF _Ref158104564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27</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285" w:name="_Ref158104564"/>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27</w:t>
      </w:r>
      <w:r>
        <w:rPr>
          <w:rFonts w:ascii="Times New Roman" w:hAnsi="Times New Roman" w:cs="Times New Roman"/>
        </w:rPr>
        <w:fldChar w:fldCharType="end"/>
      </w:r>
      <w:bookmarkEnd w:id="285"/>
      <w:r>
        <w:rPr>
          <w:rFonts w:ascii="Times New Roman" w:hAnsi="Times New Roman" w:cs="Times New Roman"/>
        </w:rPr>
        <w:t xml:space="preserve">   宣兴1井站-宣探阀室段管道关心点位置</w:t>
      </w:r>
    </w:p>
    <w:tbl>
      <w:tblPr>
        <w:tblStyle w:val="28"/>
        <w:tblW w:w="4991"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65"/>
        <w:gridCol w:w="1868"/>
        <w:gridCol w:w="1254"/>
        <w:gridCol w:w="1318"/>
        <w:gridCol w:w="1817"/>
        <w:gridCol w:w="238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序号</w:t>
            </w:r>
          </w:p>
        </w:tc>
        <w:tc>
          <w:tcPr>
            <w:tcW w:w="1868" w:type="dxa"/>
            <w:vAlign w:val="center"/>
          </w:tcPr>
          <w:p>
            <w:pPr>
              <w:pStyle w:val="39"/>
              <w:rPr>
                <w:rFonts w:ascii="Times New Roman" w:hAnsi="Times New Roman"/>
              </w:rPr>
            </w:pPr>
            <w:r>
              <w:rPr>
                <w:rFonts w:ascii="Times New Roman" w:hAnsi="Times New Roman"/>
              </w:rPr>
              <w:t>泄漏点/关心点</w:t>
            </w:r>
          </w:p>
        </w:tc>
        <w:tc>
          <w:tcPr>
            <w:tcW w:w="1254" w:type="dxa"/>
            <w:vAlign w:val="center"/>
          </w:tcPr>
          <w:p>
            <w:pPr>
              <w:pStyle w:val="39"/>
              <w:rPr>
                <w:rFonts w:ascii="Times New Roman" w:hAnsi="Times New Roman"/>
              </w:rPr>
            </w:pPr>
            <w:r>
              <w:rPr>
                <w:rFonts w:ascii="Times New Roman" w:hAnsi="Times New Roman"/>
              </w:rPr>
              <w:t>相对泄漏点的方位</w:t>
            </w:r>
          </w:p>
        </w:tc>
        <w:tc>
          <w:tcPr>
            <w:tcW w:w="1318" w:type="dxa"/>
            <w:vAlign w:val="center"/>
          </w:tcPr>
          <w:p>
            <w:pPr>
              <w:pStyle w:val="39"/>
              <w:rPr>
                <w:rFonts w:ascii="Times New Roman" w:hAnsi="Times New Roman"/>
              </w:rPr>
            </w:pPr>
            <w:r>
              <w:rPr>
                <w:rFonts w:ascii="Times New Roman" w:hAnsi="Times New Roman"/>
              </w:rPr>
              <w:t>相对泄漏点的距离/m</w:t>
            </w:r>
          </w:p>
        </w:tc>
        <w:tc>
          <w:tcPr>
            <w:tcW w:w="1817" w:type="dxa"/>
            <w:vAlign w:val="center"/>
          </w:tcPr>
          <w:p>
            <w:pPr>
              <w:pStyle w:val="39"/>
              <w:rPr>
                <w:rFonts w:ascii="Times New Roman" w:hAnsi="Times New Roman"/>
              </w:rPr>
            </w:pPr>
            <w:r>
              <w:rPr>
                <w:rFonts w:ascii="Times New Roman" w:hAnsi="Times New Roman"/>
              </w:rPr>
              <w:t>坐标</w:t>
            </w:r>
          </w:p>
        </w:tc>
        <w:tc>
          <w:tcPr>
            <w:tcW w:w="2381" w:type="dxa"/>
            <w:vAlign w:val="center"/>
          </w:tcPr>
          <w:p>
            <w:pPr>
              <w:pStyle w:val="39"/>
              <w:rPr>
                <w:rFonts w:ascii="Times New Roman" w:hAnsi="Times New Roman"/>
              </w:rPr>
            </w:pPr>
            <w:r>
              <w:rPr>
                <w:rFonts w:ascii="Times New Roman" w:hAnsi="Times New Roman"/>
              </w:rPr>
              <w:t>选择原因</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0</w:t>
            </w:r>
          </w:p>
        </w:tc>
        <w:tc>
          <w:tcPr>
            <w:tcW w:w="1868" w:type="dxa"/>
            <w:vAlign w:val="center"/>
          </w:tcPr>
          <w:p>
            <w:pPr>
              <w:pStyle w:val="39"/>
              <w:rPr>
                <w:rFonts w:ascii="Times New Roman" w:hAnsi="Times New Roman"/>
              </w:rPr>
            </w:pPr>
            <w:r>
              <w:rPr>
                <w:rFonts w:ascii="Times New Roman" w:hAnsi="Times New Roman"/>
              </w:rPr>
              <w:t>宣兴1井-宣探阀室管线泄漏点</w:t>
            </w:r>
          </w:p>
        </w:tc>
        <w:tc>
          <w:tcPr>
            <w:tcW w:w="1254" w:type="dxa"/>
            <w:vAlign w:val="center"/>
          </w:tcPr>
          <w:p>
            <w:pPr>
              <w:pStyle w:val="39"/>
              <w:rPr>
                <w:rFonts w:ascii="Times New Roman" w:hAnsi="Times New Roman"/>
              </w:rPr>
            </w:pPr>
            <w:r>
              <w:rPr>
                <w:rFonts w:ascii="Times New Roman" w:hAnsi="Times New Roman"/>
              </w:rPr>
              <w:t>/</w:t>
            </w:r>
          </w:p>
        </w:tc>
        <w:tc>
          <w:tcPr>
            <w:tcW w:w="1318" w:type="dxa"/>
            <w:vAlign w:val="center"/>
          </w:tcPr>
          <w:p>
            <w:pPr>
              <w:pStyle w:val="39"/>
              <w:rPr>
                <w:rFonts w:ascii="Times New Roman" w:hAnsi="Times New Roman"/>
              </w:rPr>
            </w:pPr>
            <w:r>
              <w:rPr>
                <w:rFonts w:ascii="Times New Roman" w:hAnsi="Times New Roman"/>
              </w:rPr>
              <w:t>/</w:t>
            </w:r>
          </w:p>
        </w:tc>
        <w:tc>
          <w:tcPr>
            <w:tcW w:w="1817" w:type="dxa"/>
            <w:vAlign w:val="center"/>
          </w:tcPr>
          <w:p>
            <w:pPr>
              <w:pStyle w:val="39"/>
              <w:rPr>
                <w:rFonts w:ascii="Times New Roman" w:hAnsi="Times New Roman"/>
              </w:rPr>
            </w:pPr>
            <w:r>
              <w:rPr>
                <w:rFonts w:ascii="Times New Roman" w:hAnsi="Times New Roman"/>
              </w:rPr>
              <w:t>E 107.84306147°</w:t>
            </w:r>
          </w:p>
          <w:p>
            <w:pPr>
              <w:pStyle w:val="39"/>
              <w:rPr>
                <w:rFonts w:ascii="Times New Roman" w:hAnsi="Times New Roman"/>
              </w:rPr>
            </w:pPr>
            <w:r>
              <w:rPr>
                <w:rFonts w:ascii="Times New Roman" w:hAnsi="Times New Roman"/>
              </w:rPr>
              <w:t>N 31.4545279°</w:t>
            </w:r>
          </w:p>
        </w:tc>
        <w:tc>
          <w:tcPr>
            <w:tcW w:w="2381" w:type="dxa"/>
            <w:vAlign w:val="center"/>
          </w:tcPr>
          <w:p>
            <w:pPr>
              <w:pStyle w:val="39"/>
              <w:rPr>
                <w:rFonts w:ascii="Times New Roman" w:hAnsi="Times New Roman"/>
              </w:rPr>
            </w:pPr>
            <w:r>
              <w:rPr>
                <w:rFonts w:ascii="Times New Roman" w:hAnsi="Times New Roman"/>
              </w:rPr>
              <w:t>关键生产场所</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1</w:t>
            </w:r>
          </w:p>
        </w:tc>
        <w:tc>
          <w:tcPr>
            <w:tcW w:w="1868" w:type="dxa"/>
            <w:vAlign w:val="center"/>
          </w:tcPr>
          <w:p>
            <w:pPr>
              <w:pStyle w:val="39"/>
              <w:rPr>
                <w:rFonts w:ascii="Times New Roman" w:hAnsi="Times New Roman"/>
              </w:rPr>
            </w:pPr>
            <w:r>
              <w:rPr>
                <w:rFonts w:ascii="Times New Roman" w:hAnsi="Times New Roman"/>
              </w:rPr>
              <w:t>宣兴1井-宣探阀室管线-关心点1</w:t>
            </w:r>
          </w:p>
        </w:tc>
        <w:tc>
          <w:tcPr>
            <w:tcW w:w="1254" w:type="dxa"/>
            <w:vAlign w:val="center"/>
          </w:tcPr>
          <w:p>
            <w:pPr>
              <w:pStyle w:val="39"/>
              <w:rPr>
                <w:rFonts w:ascii="Times New Roman" w:hAnsi="Times New Roman"/>
              </w:rPr>
            </w:pPr>
            <w:r>
              <w:rPr>
                <w:rFonts w:ascii="Times New Roman" w:hAnsi="Times New Roman"/>
              </w:rPr>
              <w:t>SE</w:t>
            </w:r>
          </w:p>
        </w:tc>
        <w:tc>
          <w:tcPr>
            <w:tcW w:w="1318" w:type="dxa"/>
            <w:vAlign w:val="center"/>
          </w:tcPr>
          <w:p>
            <w:pPr>
              <w:pStyle w:val="39"/>
              <w:rPr>
                <w:rFonts w:ascii="Times New Roman" w:hAnsi="Times New Roman"/>
              </w:rPr>
            </w:pPr>
            <w:r>
              <w:rPr>
                <w:rFonts w:ascii="Times New Roman" w:hAnsi="Times New Roman"/>
              </w:rPr>
              <w:t>183</w:t>
            </w:r>
          </w:p>
        </w:tc>
        <w:tc>
          <w:tcPr>
            <w:tcW w:w="1817" w:type="dxa"/>
            <w:vAlign w:val="center"/>
          </w:tcPr>
          <w:p>
            <w:pPr>
              <w:pStyle w:val="39"/>
              <w:rPr>
                <w:rFonts w:ascii="Times New Roman" w:hAnsi="Times New Roman"/>
              </w:rPr>
            </w:pPr>
            <w:r>
              <w:rPr>
                <w:rFonts w:ascii="Times New Roman" w:hAnsi="Times New Roman"/>
              </w:rPr>
              <w:t>E 107.84444347°</w:t>
            </w:r>
          </w:p>
          <w:p>
            <w:pPr>
              <w:pStyle w:val="39"/>
              <w:rPr>
                <w:rFonts w:ascii="Times New Roman" w:hAnsi="Times New Roman"/>
              </w:rPr>
            </w:pPr>
            <w:r>
              <w:rPr>
                <w:rFonts w:ascii="Times New Roman" w:hAnsi="Times New Roman"/>
              </w:rPr>
              <w:t>N 31.45334535°</w:t>
            </w:r>
          </w:p>
        </w:tc>
        <w:tc>
          <w:tcPr>
            <w:tcW w:w="2381" w:type="dxa"/>
            <w:vAlign w:val="center"/>
          </w:tcPr>
          <w:p>
            <w:pPr>
              <w:pStyle w:val="39"/>
              <w:rPr>
                <w:rFonts w:ascii="Times New Roman" w:hAnsi="Times New Roman"/>
              </w:rPr>
            </w:pPr>
            <w:r>
              <w:rPr>
                <w:rFonts w:ascii="Times New Roman" w:hAnsi="Times New Roman"/>
              </w:rPr>
              <w:t>泄漏点距离最近的分散居民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2</w:t>
            </w:r>
          </w:p>
        </w:tc>
        <w:tc>
          <w:tcPr>
            <w:tcW w:w="1868" w:type="dxa"/>
            <w:vAlign w:val="center"/>
          </w:tcPr>
          <w:p>
            <w:pPr>
              <w:pStyle w:val="39"/>
              <w:rPr>
                <w:rFonts w:ascii="Times New Roman" w:hAnsi="Times New Roman"/>
              </w:rPr>
            </w:pPr>
            <w:r>
              <w:rPr>
                <w:rFonts w:ascii="Times New Roman" w:hAnsi="Times New Roman"/>
              </w:rPr>
              <w:t>宣兴1井-宣探阀室管线-关心点2</w:t>
            </w:r>
          </w:p>
        </w:tc>
        <w:tc>
          <w:tcPr>
            <w:tcW w:w="1254" w:type="dxa"/>
            <w:vAlign w:val="center"/>
          </w:tcPr>
          <w:p>
            <w:pPr>
              <w:pStyle w:val="39"/>
              <w:rPr>
                <w:rFonts w:ascii="Times New Roman" w:hAnsi="Times New Roman"/>
              </w:rPr>
            </w:pPr>
            <w:r>
              <w:rPr>
                <w:rFonts w:ascii="Times New Roman" w:hAnsi="Times New Roman"/>
              </w:rPr>
              <w:t>SE</w:t>
            </w:r>
          </w:p>
        </w:tc>
        <w:tc>
          <w:tcPr>
            <w:tcW w:w="1318" w:type="dxa"/>
            <w:vAlign w:val="center"/>
          </w:tcPr>
          <w:p>
            <w:pPr>
              <w:pStyle w:val="39"/>
              <w:rPr>
                <w:rFonts w:ascii="Times New Roman" w:hAnsi="Times New Roman"/>
              </w:rPr>
            </w:pPr>
            <w:r>
              <w:rPr>
                <w:rFonts w:ascii="Times New Roman" w:hAnsi="Times New Roman"/>
              </w:rPr>
              <w:t>296</w:t>
            </w:r>
          </w:p>
        </w:tc>
        <w:tc>
          <w:tcPr>
            <w:tcW w:w="1817" w:type="dxa"/>
            <w:vAlign w:val="center"/>
          </w:tcPr>
          <w:p>
            <w:pPr>
              <w:pStyle w:val="39"/>
              <w:rPr>
                <w:rFonts w:ascii="Times New Roman" w:hAnsi="Times New Roman"/>
              </w:rPr>
            </w:pPr>
            <w:r>
              <w:rPr>
                <w:rFonts w:ascii="Times New Roman" w:hAnsi="Times New Roman"/>
              </w:rPr>
              <w:t>E 107.84497586°</w:t>
            </w:r>
          </w:p>
          <w:p>
            <w:pPr>
              <w:pStyle w:val="39"/>
              <w:rPr>
                <w:rFonts w:ascii="Times New Roman" w:hAnsi="Times New Roman"/>
              </w:rPr>
            </w:pPr>
            <w:r>
              <w:rPr>
                <w:rFonts w:ascii="Times New Roman" w:hAnsi="Times New Roman"/>
              </w:rPr>
              <w:t>N 31.45236029°</w:t>
            </w:r>
          </w:p>
        </w:tc>
        <w:tc>
          <w:tcPr>
            <w:tcW w:w="2381" w:type="dxa"/>
            <w:vAlign w:val="center"/>
          </w:tcPr>
          <w:p>
            <w:pPr>
              <w:pStyle w:val="39"/>
              <w:rPr>
                <w:rFonts w:ascii="Times New Roman" w:hAnsi="Times New Roman"/>
              </w:rPr>
            </w:pPr>
            <w:r>
              <w:rPr>
                <w:rFonts w:ascii="Times New Roman" w:hAnsi="Times New Roman"/>
              </w:rPr>
              <w:t>泄漏点SE方向上距离较近的分散居民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3</w:t>
            </w:r>
          </w:p>
        </w:tc>
        <w:tc>
          <w:tcPr>
            <w:tcW w:w="1868" w:type="dxa"/>
            <w:vAlign w:val="center"/>
          </w:tcPr>
          <w:p>
            <w:pPr>
              <w:pStyle w:val="39"/>
              <w:rPr>
                <w:rFonts w:ascii="Times New Roman" w:hAnsi="Times New Roman"/>
              </w:rPr>
            </w:pPr>
            <w:r>
              <w:rPr>
                <w:rFonts w:ascii="Times New Roman" w:hAnsi="Times New Roman"/>
              </w:rPr>
              <w:t>宣兴1井-宣探阀室管线-关心点3</w:t>
            </w:r>
          </w:p>
        </w:tc>
        <w:tc>
          <w:tcPr>
            <w:tcW w:w="1254" w:type="dxa"/>
            <w:vAlign w:val="center"/>
          </w:tcPr>
          <w:p>
            <w:pPr>
              <w:pStyle w:val="39"/>
              <w:rPr>
                <w:rFonts w:ascii="Times New Roman" w:hAnsi="Times New Roman"/>
              </w:rPr>
            </w:pPr>
            <w:r>
              <w:rPr>
                <w:rFonts w:ascii="Times New Roman" w:hAnsi="Times New Roman"/>
              </w:rPr>
              <w:t>S</w:t>
            </w:r>
          </w:p>
        </w:tc>
        <w:tc>
          <w:tcPr>
            <w:tcW w:w="1318" w:type="dxa"/>
            <w:vAlign w:val="center"/>
          </w:tcPr>
          <w:p>
            <w:pPr>
              <w:pStyle w:val="39"/>
              <w:rPr>
                <w:rFonts w:ascii="Times New Roman" w:hAnsi="Times New Roman"/>
              </w:rPr>
            </w:pPr>
            <w:r>
              <w:rPr>
                <w:rFonts w:ascii="Times New Roman" w:hAnsi="Times New Roman"/>
              </w:rPr>
              <w:t>298</w:t>
            </w:r>
          </w:p>
        </w:tc>
        <w:tc>
          <w:tcPr>
            <w:tcW w:w="1817" w:type="dxa"/>
            <w:vAlign w:val="center"/>
          </w:tcPr>
          <w:p>
            <w:pPr>
              <w:pStyle w:val="39"/>
              <w:rPr>
                <w:rFonts w:ascii="Times New Roman" w:hAnsi="Times New Roman"/>
              </w:rPr>
            </w:pPr>
            <w:r>
              <w:rPr>
                <w:rFonts w:ascii="Times New Roman" w:hAnsi="Times New Roman"/>
              </w:rPr>
              <w:t>E 107.84380639°</w:t>
            </w:r>
          </w:p>
          <w:p>
            <w:pPr>
              <w:pStyle w:val="39"/>
              <w:rPr>
                <w:rFonts w:ascii="Times New Roman" w:hAnsi="Times New Roman"/>
              </w:rPr>
            </w:pPr>
            <w:r>
              <w:rPr>
                <w:rFonts w:ascii="Times New Roman" w:hAnsi="Times New Roman"/>
              </w:rPr>
              <w:t>N 31.45190066°</w:t>
            </w:r>
          </w:p>
        </w:tc>
        <w:tc>
          <w:tcPr>
            <w:tcW w:w="2381" w:type="dxa"/>
            <w:shd w:val="clear" w:color="auto" w:fill="auto"/>
            <w:vAlign w:val="center"/>
          </w:tcPr>
          <w:p>
            <w:pPr>
              <w:pStyle w:val="39"/>
              <w:rPr>
                <w:rFonts w:ascii="Times New Roman" w:hAnsi="Times New Roman"/>
              </w:rPr>
            </w:pPr>
            <w:r>
              <w:rPr>
                <w:rFonts w:ascii="Times New Roman" w:hAnsi="Times New Roman"/>
              </w:rPr>
              <w:t>泄漏点S方向上距离最近的分散居民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4</w:t>
            </w:r>
          </w:p>
        </w:tc>
        <w:tc>
          <w:tcPr>
            <w:tcW w:w="1868" w:type="dxa"/>
            <w:vAlign w:val="center"/>
          </w:tcPr>
          <w:p>
            <w:pPr>
              <w:pStyle w:val="39"/>
              <w:rPr>
                <w:rFonts w:ascii="Times New Roman" w:hAnsi="Times New Roman"/>
              </w:rPr>
            </w:pPr>
            <w:r>
              <w:rPr>
                <w:rFonts w:ascii="Times New Roman" w:hAnsi="Times New Roman"/>
              </w:rPr>
              <w:t>宣兴1井-宣探阀室管线-关心点4</w:t>
            </w:r>
          </w:p>
        </w:tc>
        <w:tc>
          <w:tcPr>
            <w:tcW w:w="1254" w:type="dxa"/>
            <w:vAlign w:val="center"/>
          </w:tcPr>
          <w:p>
            <w:pPr>
              <w:pStyle w:val="39"/>
              <w:rPr>
                <w:rFonts w:ascii="Times New Roman" w:hAnsi="Times New Roman"/>
              </w:rPr>
            </w:pPr>
            <w:r>
              <w:rPr>
                <w:rFonts w:ascii="Times New Roman" w:hAnsi="Times New Roman"/>
              </w:rPr>
              <w:t>SE</w:t>
            </w:r>
          </w:p>
        </w:tc>
        <w:tc>
          <w:tcPr>
            <w:tcW w:w="1318" w:type="dxa"/>
            <w:vAlign w:val="center"/>
          </w:tcPr>
          <w:p>
            <w:pPr>
              <w:pStyle w:val="39"/>
              <w:rPr>
                <w:rFonts w:ascii="Times New Roman" w:hAnsi="Times New Roman"/>
              </w:rPr>
            </w:pPr>
            <w:r>
              <w:rPr>
                <w:rFonts w:ascii="Times New Roman" w:hAnsi="Times New Roman"/>
              </w:rPr>
              <w:t>605</w:t>
            </w:r>
          </w:p>
        </w:tc>
        <w:tc>
          <w:tcPr>
            <w:tcW w:w="1817" w:type="dxa"/>
            <w:vAlign w:val="center"/>
          </w:tcPr>
          <w:p>
            <w:pPr>
              <w:pStyle w:val="39"/>
              <w:rPr>
                <w:rFonts w:ascii="Times New Roman" w:hAnsi="Times New Roman"/>
              </w:rPr>
            </w:pPr>
            <w:r>
              <w:rPr>
                <w:rFonts w:ascii="Times New Roman" w:hAnsi="Times New Roman"/>
              </w:rPr>
              <w:t>E 107.84842786°</w:t>
            </w:r>
          </w:p>
          <w:p>
            <w:pPr>
              <w:pStyle w:val="39"/>
              <w:rPr>
                <w:rFonts w:ascii="Times New Roman" w:hAnsi="Times New Roman"/>
              </w:rPr>
            </w:pPr>
            <w:r>
              <w:rPr>
                <w:rFonts w:ascii="Times New Roman" w:hAnsi="Times New Roman"/>
              </w:rPr>
              <w:t>N 31.45152215°</w:t>
            </w:r>
          </w:p>
        </w:tc>
        <w:tc>
          <w:tcPr>
            <w:tcW w:w="2381" w:type="dxa"/>
            <w:shd w:val="clear" w:color="auto" w:fill="auto"/>
            <w:vAlign w:val="center"/>
          </w:tcPr>
          <w:p>
            <w:pPr>
              <w:pStyle w:val="39"/>
              <w:rPr>
                <w:rFonts w:ascii="Times New Roman" w:hAnsi="Times New Roman"/>
              </w:rPr>
            </w:pPr>
            <w:r>
              <w:rPr>
                <w:rFonts w:ascii="Times New Roman" w:hAnsi="Times New Roman"/>
              </w:rPr>
              <w:t>泄漏点SE方向上距离较近的分散居民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5</w:t>
            </w:r>
          </w:p>
        </w:tc>
        <w:tc>
          <w:tcPr>
            <w:tcW w:w="1868" w:type="dxa"/>
            <w:vAlign w:val="center"/>
          </w:tcPr>
          <w:p>
            <w:pPr>
              <w:pStyle w:val="39"/>
              <w:rPr>
                <w:rFonts w:ascii="Times New Roman" w:hAnsi="Times New Roman"/>
              </w:rPr>
            </w:pPr>
            <w:r>
              <w:rPr>
                <w:rFonts w:ascii="Times New Roman" w:hAnsi="Times New Roman"/>
              </w:rPr>
              <w:t>宣兴1井-宣探阀室管线-关心点5</w:t>
            </w:r>
          </w:p>
        </w:tc>
        <w:tc>
          <w:tcPr>
            <w:tcW w:w="1254" w:type="dxa"/>
            <w:vAlign w:val="center"/>
          </w:tcPr>
          <w:p>
            <w:pPr>
              <w:pStyle w:val="39"/>
              <w:rPr>
                <w:rFonts w:ascii="Times New Roman" w:hAnsi="Times New Roman"/>
              </w:rPr>
            </w:pPr>
            <w:r>
              <w:rPr>
                <w:rFonts w:ascii="Times New Roman" w:hAnsi="Times New Roman"/>
              </w:rPr>
              <w:t>N</w:t>
            </w:r>
          </w:p>
        </w:tc>
        <w:tc>
          <w:tcPr>
            <w:tcW w:w="1318" w:type="dxa"/>
            <w:vAlign w:val="center"/>
          </w:tcPr>
          <w:p>
            <w:pPr>
              <w:pStyle w:val="39"/>
              <w:rPr>
                <w:rFonts w:ascii="Times New Roman" w:hAnsi="Times New Roman"/>
              </w:rPr>
            </w:pPr>
            <w:r>
              <w:rPr>
                <w:rFonts w:ascii="Times New Roman" w:hAnsi="Times New Roman"/>
              </w:rPr>
              <w:t>328</w:t>
            </w:r>
          </w:p>
        </w:tc>
        <w:tc>
          <w:tcPr>
            <w:tcW w:w="1817" w:type="dxa"/>
            <w:vAlign w:val="center"/>
          </w:tcPr>
          <w:p>
            <w:pPr>
              <w:pStyle w:val="39"/>
              <w:rPr>
                <w:rFonts w:ascii="Times New Roman" w:hAnsi="Times New Roman"/>
              </w:rPr>
            </w:pPr>
            <w:r>
              <w:rPr>
                <w:rFonts w:ascii="Times New Roman" w:hAnsi="Times New Roman"/>
              </w:rPr>
              <w:t>E 107.84373341°</w:t>
            </w:r>
          </w:p>
          <w:p>
            <w:pPr>
              <w:pStyle w:val="39"/>
              <w:rPr>
                <w:rFonts w:ascii="Times New Roman" w:hAnsi="Times New Roman"/>
              </w:rPr>
            </w:pPr>
            <w:r>
              <w:rPr>
                <w:rFonts w:ascii="Times New Roman" w:hAnsi="Times New Roman"/>
              </w:rPr>
              <w:t>N 31.45742068°</w:t>
            </w:r>
          </w:p>
        </w:tc>
        <w:tc>
          <w:tcPr>
            <w:tcW w:w="2381" w:type="dxa"/>
            <w:shd w:val="clear" w:color="auto" w:fill="auto"/>
            <w:vAlign w:val="center"/>
          </w:tcPr>
          <w:p>
            <w:pPr>
              <w:pStyle w:val="39"/>
              <w:rPr>
                <w:rFonts w:ascii="Times New Roman" w:hAnsi="Times New Roman"/>
              </w:rPr>
            </w:pPr>
            <w:r>
              <w:rPr>
                <w:rFonts w:ascii="Times New Roman" w:hAnsi="Times New Roman"/>
              </w:rPr>
              <w:t>泄漏点N方向上距离最近、居民较多</w:t>
            </w:r>
          </w:p>
        </w:tc>
      </w:tr>
    </w:tbl>
    <w:p>
      <w:pPr>
        <w:ind w:firstLine="480"/>
        <w:rPr>
          <w:rFonts w:ascii="Times New Roman" w:hAnsi="Times New Roman"/>
        </w:rPr>
      </w:pPr>
    </w:p>
    <w:p>
      <w:pPr>
        <w:ind w:firstLine="480"/>
        <w:rPr>
          <w:rFonts w:ascii="Times New Roman" w:hAnsi="Times New Roman"/>
        </w:rPr>
      </w:pPr>
      <w:r>
        <w:rPr>
          <w:rFonts w:ascii="Times New Roman" w:hAnsi="Times New Roman"/>
        </w:rPr>
        <w:t>3）预测结果</w:t>
      </w:r>
    </w:p>
    <w:p>
      <w:pPr>
        <w:ind w:firstLine="480"/>
        <w:rPr>
          <w:rFonts w:ascii="Times New Roman" w:hAnsi="Times New Roman"/>
        </w:rPr>
      </w:pPr>
      <w:r>
        <w:rPr>
          <w:rFonts w:ascii="Times New Roman" w:hAnsi="Times New Roman"/>
        </w:rPr>
        <w:t>宣兴1井站-宣探阀室段管道泄漏时，根据模拟预测，不同风向下，H</w:t>
      </w:r>
      <w:r>
        <w:rPr>
          <w:rFonts w:ascii="Times New Roman" w:hAnsi="Times New Roman"/>
          <w:vertAlign w:val="subscript"/>
        </w:rPr>
        <w:t>2</w:t>
      </w:r>
      <w:r>
        <w:rPr>
          <w:rFonts w:ascii="Times New Roman" w:hAnsi="Times New Roman"/>
        </w:rPr>
        <w:t>S毒性终点浓度-1、毒性终点浓度-2最大影响范围情况及相应到达时间如</w:t>
      </w:r>
      <w:r>
        <w:rPr>
          <w:rFonts w:ascii="Times New Roman" w:hAnsi="Times New Roman"/>
        </w:rPr>
        <w:fldChar w:fldCharType="begin"/>
      </w:r>
      <w:r>
        <w:rPr>
          <w:rFonts w:ascii="Times New Roman" w:hAnsi="Times New Roman"/>
        </w:rPr>
        <w:instrText xml:space="preserve"> REF _Ref158104586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28</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_Ref158104587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29</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_Ref158104599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3</w:t>
      </w:r>
      <w:r>
        <w:rPr>
          <w:rFonts w:ascii="Times New Roman" w:hAnsi="Times New Roman"/>
        </w:rPr>
        <w:fldChar w:fldCharType="end"/>
      </w:r>
      <w:r>
        <w:rPr>
          <w:rFonts w:ascii="Times New Roman" w:hAnsi="Times New Roman"/>
        </w:rPr>
        <w:t>所示。由表可知，在最不利气象条件下，当风向为西北向时，H</w:t>
      </w:r>
      <w:r>
        <w:rPr>
          <w:rFonts w:ascii="Times New Roman" w:hAnsi="Times New Roman"/>
          <w:vertAlign w:val="subscript"/>
        </w:rPr>
        <w:t>2</w:t>
      </w:r>
      <w:r>
        <w:rPr>
          <w:rFonts w:ascii="Times New Roman" w:hAnsi="Times New Roman"/>
        </w:rPr>
        <w:t>S毒性终点浓度-1影响范围最大，事故发生86min后，达到694m；当风向为南向时，H</w:t>
      </w:r>
      <w:r>
        <w:rPr>
          <w:rFonts w:ascii="Times New Roman" w:hAnsi="Times New Roman"/>
          <w:vertAlign w:val="subscript"/>
        </w:rPr>
        <w:t>2</w:t>
      </w:r>
      <w:r>
        <w:rPr>
          <w:rFonts w:ascii="Times New Roman" w:hAnsi="Times New Roman"/>
        </w:rPr>
        <w:t>S毒性终点浓度2影响范围最大，事故发生83min后，达到840m。具体汇总结果见</w:t>
      </w:r>
      <w:r>
        <w:rPr>
          <w:rFonts w:ascii="Times New Roman" w:hAnsi="Times New Roman"/>
        </w:rPr>
        <w:fldChar w:fldCharType="begin"/>
      </w:r>
      <w:r>
        <w:rPr>
          <w:rFonts w:ascii="Times New Roman" w:hAnsi="Times New Roman"/>
        </w:rPr>
        <w:instrText xml:space="preserve"> REF _Ref158900471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30</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以毒性终点浓度-2影响范围最大的风向为例，当风向为南向时，对应H</w:t>
      </w:r>
      <w:r>
        <w:rPr>
          <w:rFonts w:ascii="Times New Roman" w:hAnsi="Times New Roman"/>
          <w:vertAlign w:val="subscript"/>
        </w:rPr>
        <w:t>2</w:t>
      </w:r>
      <w:r>
        <w:rPr>
          <w:rFonts w:ascii="Times New Roman" w:hAnsi="Times New Roman"/>
        </w:rPr>
        <w:t>S不同时刻最大浓度分布情况见</w:t>
      </w:r>
      <w:r>
        <w:rPr>
          <w:rFonts w:ascii="Times New Roman" w:hAnsi="Times New Roman"/>
        </w:rPr>
        <w:fldChar w:fldCharType="begin"/>
      </w:r>
      <w:r>
        <w:rPr>
          <w:rFonts w:ascii="Times New Roman" w:hAnsi="Times New Roman"/>
        </w:rPr>
        <w:instrText xml:space="preserve"> REF _Ref158104637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31</w:t>
      </w:r>
      <w:r>
        <w:rPr>
          <w:rFonts w:ascii="Times New Roman" w:hAnsi="Times New Roman"/>
        </w:rPr>
        <w:fldChar w:fldCharType="end"/>
      </w:r>
      <w:r>
        <w:rPr>
          <w:rFonts w:ascii="Times New Roman" w:hAnsi="Times New Roman"/>
        </w:rPr>
        <w:t>，H</w:t>
      </w:r>
      <w:r>
        <w:rPr>
          <w:rFonts w:ascii="Times New Roman" w:hAnsi="Times New Roman"/>
          <w:vertAlign w:val="subscript"/>
        </w:rPr>
        <w:t>2</w:t>
      </w:r>
      <w:r>
        <w:rPr>
          <w:rFonts w:ascii="Times New Roman" w:hAnsi="Times New Roman"/>
        </w:rPr>
        <w:t>S不同距离下最大浓度分布情况见</w:t>
      </w:r>
      <w:r>
        <w:rPr>
          <w:rFonts w:ascii="Times New Roman" w:hAnsi="Times New Roman"/>
        </w:rPr>
        <w:fldChar w:fldCharType="begin"/>
      </w:r>
      <w:r>
        <w:rPr>
          <w:rFonts w:ascii="Times New Roman" w:hAnsi="Times New Roman"/>
        </w:rPr>
        <w:instrText xml:space="preserve"> REF _Ref158104643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32</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风险源周边关心点中，以H</w:t>
      </w:r>
      <w:r>
        <w:rPr>
          <w:rFonts w:ascii="Times New Roman" w:hAnsi="Times New Roman"/>
          <w:vertAlign w:val="subscript"/>
        </w:rPr>
        <w:t>2</w:t>
      </w:r>
      <w:r>
        <w:rPr>
          <w:rFonts w:ascii="Times New Roman" w:hAnsi="Times New Roman"/>
        </w:rPr>
        <w:t>S毒性终点浓度-2作为超标参考依据，除关心点5，其他关心点均超标，超标时间出现在泄漏事故发生21-52min后，持续超标时间在54-66min，具体见</w:t>
      </w:r>
      <w:r>
        <w:rPr>
          <w:rFonts w:ascii="Times New Roman" w:hAnsi="Times New Roman"/>
        </w:rPr>
        <w:fldChar w:fldCharType="begin"/>
      </w:r>
      <w:r>
        <w:rPr>
          <w:rFonts w:ascii="Times New Roman" w:hAnsi="Times New Roman"/>
        </w:rPr>
        <w:instrText xml:space="preserve"> REF _Ref158104648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33</w:t>
      </w:r>
      <w:r>
        <w:rPr>
          <w:rFonts w:ascii="Times New Roman" w:hAnsi="Times New Roman"/>
        </w:rPr>
        <w:fldChar w:fldCharType="end"/>
      </w:r>
      <w:r>
        <w:rPr>
          <w:rFonts w:ascii="Times New Roman" w:hAnsi="Times New Roman"/>
        </w:rPr>
        <w:t>，主要受影响关心点处的浓度随时间变化情况如</w:t>
      </w:r>
      <w:r>
        <w:rPr>
          <w:rFonts w:ascii="Times New Roman" w:hAnsi="Times New Roman"/>
        </w:rPr>
        <w:fldChar w:fldCharType="begin"/>
      </w:r>
      <w:r>
        <w:rPr>
          <w:rFonts w:ascii="Times New Roman" w:hAnsi="Times New Roman"/>
        </w:rPr>
        <w:instrText xml:space="preserve"> REF _Ref158104674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4</w:t>
      </w:r>
      <w:r>
        <w:rPr>
          <w:rFonts w:ascii="Times New Roman" w:hAnsi="Times New Roman"/>
        </w:rPr>
        <w:fldChar w:fldCharType="end"/>
      </w:r>
      <w:r>
        <w:rPr>
          <w:rFonts w:ascii="Times New Roman" w:hAnsi="Times New Roman"/>
        </w:rPr>
        <w:t>所示。</w:t>
      </w:r>
    </w:p>
    <w:p>
      <w:pPr>
        <w:pStyle w:val="37"/>
        <w:rPr>
          <w:rFonts w:ascii="Times New Roman" w:hAnsi="Times New Roman" w:cs="Times New Roman"/>
        </w:rPr>
      </w:pPr>
      <w:bookmarkStart w:id="286" w:name="_Ref15810458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28</w:t>
      </w:r>
      <w:r>
        <w:rPr>
          <w:rFonts w:ascii="Times New Roman" w:hAnsi="Times New Roman" w:cs="Times New Roman"/>
        </w:rPr>
        <w:fldChar w:fldCharType="end"/>
      </w:r>
      <w:bookmarkEnd w:id="286"/>
      <w:r>
        <w:rPr>
          <w:rFonts w:ascii="Times New Roman" w:hAnsi="Times New Roman" w:cs="Times New Roman"/>
        </w:rPr>
        <w:t xml:space="preserve">   各风向下H</w:t>
      </w:r>
      <w:r>
        <w:rPr>
          <w:rFonts w:ascii="Times New Roman" w:hAnsi="Times New Roman" w:cs="Times New Roman"/>
          <w:vertAlign w:val="subscript"/>
        </w:rPr>
        <w:t>2</w:t>
      </w:r>
      <w:r>
        <w:rPr>
          <w:rFonts w:ascii="Times New Roman" w:hAnsi="Times New Roman" w:cs="Times New Roman"/>
        </w:rPr>
        <w:t>S毒性终点浓度1最大影响距离</w:t>
      </w:r>
    </w:p>
    <w:tbl>
      <w:tblPr>
        <w:tblStyle w:val="28"/>
        <w:tblW w:w="5123" w:type="pct"/>
        <w:jc w:val="center"/>
        <w:tblLayout w:type="autofit"/>
        <w:tblCellMar>
          <w:top w:w="0" w:type="dxa"/>
          <w:left w:w="108" w:type="dxa"/>
          <w:bottom w:w="0" w:type="dxa"/>
          <w:right w:w="108" w:type="dxa"/>
        </w:tblCellMar>
      </w:tblPr>
      <w:tblGrid>
        <w:gridCol w:w="931"/>
        <w:gridCol w:w="2108"/>
        <w:gridCol w:w="1787"/>
        <w:gridCol w:w="778"/>
        <w:gridCol w:w="1995"/>
        <w:gridCol w:w="1744"/>
      </w:tblGrid>
      <w:tr>
        <w:tblPrEx>
          <w:tblCellMar>
            <w:top w:w="0" w:type="dxa"/>
            <w:left w:w="108" w:type="dxa"/>
            <w:bottom w:w="0" w:type="dxa"/>
            <w:right w:w="108" w:type="dxa"/>
          </w:tblCellMar>
        </w:tblPrEx>
        <w:trPr>
          <w:trHeight w:val="20" w:hRule="atLeast"/>
          <w:jc w:val="center"/>
        </w:trPr>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210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87"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c>
          <w:tcPr>
            <w:tcW w:w="77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1995"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44"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554</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64</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99</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60</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467</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90</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b/>
                <w:bCs/>
              </w:rPr>
            </w:pPr>
            <w:r>
              <w:rPr>
                <w:rFonts w:ascii="Times New Roman" w:hAnsi="Times New Roman"/>
              </w:rPr>
              <w:t>191</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b/>
                <w:bCs/>
              </w:rPr>
            </w:pPr>
            <w:r>
              <w:rPr>
                <w:rFonts w:ascii="Times New Roman" w:hAnsi="Times New Roman"/>
              </w:rPr>
              <w:t>70</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485</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57</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270</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61</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463</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68</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b/>
                <w:bCs/>
              </w:rPr>
            </w:pPr>
            <w:r>
              <w:rPr>
                <w:rFonts w:ascii="Times New Roman" w:hAnsi="Times New Roman"/>
                <w:b/>
                <w:bCs/>
              </w:rPr>
              <w:t>西北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b/>
                <w:bCs/>
              </w:rPr>
            </w:pPr>
            <w:r>
              <w:rPr>
                <w:rFonts w:ascii="Times New Roman" w:hAnsi="Times New Roman"/>
                <w:b/>
                <w:bCs/>
              </w:rPr>
              <w:t>694</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b/>
                <w:bCs/>
              </w:rPr>
            </w:pPr>
            <w:r>
              <w:rPr>
                <w:rFonts w:ascii="Times New Roman" w:hAnsi="Times New Roman"/>
                <w:b/>
                <w:bCs/>
              </w:rPr>
              <w:t>86</w:t>
            </w:r>
          </w:p>
        </w:tc>
      </w:tr>
    </w:tbl>
    <w:p>
      <w:pPr>
        <w:pStyle w:val="37"/>
        <w:rPr>
          <w:rFonts w:ascii="Times New Roman" w:hAnsi="Times New Roman" w:cs="Times New Roman"/>
        </w:rPr>
      </w:pPr>
      <w:bookmarkStart w:id="287" w:name="_Ref15810458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29</w:t>
      </w:r>
      <w:r>
        <w:rPr>
          <w:rFonts w:ascii="Times New Roman" w:hAnsi="Times New Roman" w:cs="Times New Roman"/>
        </w:rPr>
        <w:fldChar w:fldCharType="end"/>
      </w:r>
      <w:bookmarkEnd w:id="287"/>
      <w:r>
        <w:rPr>
          <w:rFonts w:ascii="Times New Roman" w:hAnsi="Times New Roman" w:cs="Times New Roman"/>
        </w:rPr>
        <w:t xml:space="preserve">   各风向下H</w:t>
      </w:r>
      <w:r>
        <w:rPr>
          <w:rFonts w:ascii="Times New Roman" w:hAnsi="Times New Roman" w:cs="Times New Roman"/>
          <w:vertAlign w:val="subscript"/>
        </w:rPr>
        <w:t>2</w:t>
      </w:r>
      <w:r>
        <w:rPr>
          <w:rFonts w:ascii="Times New Roman" w:hAnsi="Times New Roman" w:cs="Times New Roman"/>
        </w:rPr>
        <w:t>S毒性终点浓度2最大影响距离</w:t>
      </w:r>
    </w:p>
    <w:tbl>
      <w:tblPr>
        <w:tblStyle w:val="28"/>
        <w:tblW w:w="5123" w:type="pct"/>
        <w:jc w:val="center"/>
        <w:tblLayout w:type="autofit"/>
        <w:tblCellMar>
          <w:top w:w="0" w:type="dxa"/>
          <w:left w:w="108" w:type="dxa"/>
          <w:bottom w:w="0" w:type="dxa"/>
          <w:right w:w="108" w:type="dxa"/>
        </w:tblCellMar>
      </w:tblPr>
      <w:tblGrid>
        <w:gridCol w:w="931"/>
        <w:gridCol w:w="2108"/>
        <w:gridCol w:w="1787"/>
        <w:gridCol w:w="778"/>
        <w:gridCol w:w="1995"/>
        <w:gridCol w:w="1744"/>
      </w:tblGrid>
      <w:tr>
        <w:tblPrEx>
          <w:tblCellMar>
            <w:top w:w="0" w:type="dxa"/>
            <w:left w:w="108" w:type="dxa"/>
            <w:bottom w:w="0" w:type="dxa"/>
            <w:right w:w="108" w:type="dxa"/>
          </w:tblCellMar>
        </w:tblPrEx>
        <w:trPr>
          <w:trHeight w:val="20" w:hRule="atLeast"/>
          <w:tblHeader/>
          <w:jc w:val="center"/>
        </w:trPr>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210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87"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c>
          <w:tcPr>
            <w:tcW w:w="77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1995"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44"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北</w:t>
            </w:r>
          </w:p>
        </w:tc>
        <w:tc>
          <w:tcPr>
            <w:tcW w:w="2108" w:type="dxa"/>
            <w:tcBorders>
              <w:top w:val="nil"/>
              <w:left w:val="nil"/>
              <w:bottom w:val="single" w:color="auto" w:sz="4" w:space="0"/>
              <w:right w:val="single" w:color="auto" w:sz="4" w:space="0"/>
            </w:tcBorders>
            <w:shd w:val="clear" w:color="auto" w:fill="auto"/>
          </w:tcPr>
          <w:p>
            <w:pPr>
              <w:pStyle w:val="39"/>
              <w:rPr>
                <w:rFonts w:ascii="Times New Roman" w:hAnsi="Times New Roman"/>
              </w:rPr>
            </w:pPr>
            <w:r>
              <w:rPr>
                <w:rFonts w:ascii="Times New Roman" w:hAnsi="Times New Roman"/>
              </w:rPr>
              <w:t>571</w:t>
            </w:r>
          </w:p>
        </w:tc>
        <w:tc>
          <w:tcPr>
            <w:tcW w:w="1787" w:type="dxa"/>
            <w:tcBorders>
              <w:top w:val="nil"/>
              <w:left w:val="nil"/>
              <w:bottom w:val="single" w:color="auto" w:sz="4" w:space="0"/>
              <w:right w:val="single" w:color="auto" w:sz="4" w:space="0"/>
            </w:tcBorders>
            <w:shd w:val="clear" w:color="auto" w:fill="auto"/>
          </w:tcPr>
          <w:p>
            <w:pPr>
              <w:pStyle w:val="39"/>
              <w:rPr>
                <w:rFonts w:ascii="Times New Roman" w:hAnsi="Times New Roman"/>
              </w:rPr>
            </w:pPr>
            <w:r>
              <w:rPr>
                <w:rFonts w:ascii="Times New Roman" w:hAnsi="Times New Roman"/>
              </w:rPr>
              <w:t>68</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b/>
                <w:bCs/>
              </w:rPr>
            </w:pPr>
            <w:r>
              <w:rPr>
                <w:rFonts w:ascii="Times New Roman" w:hAnsi="Times New Roman"/>
                <w:b/>
                <w:bCs/>
              </w:rPr>
              <w:t>南</w:t>
            </w:r>
          </w:p>
        </w:tc>
        <w:tc>
          <w:tcPr>
            <w:tcW w:w="1995" w:type="dxa"/>
            <w:tcBorders>
              <w:top w:val="nil"/>
              <w:left w:val="nil"/>
              <w:bottom w:val="single" w:color="auto" w:sz="4" w:space="0"/>
              <w:right w:val="single" w:color="auto" w:sz="4" w:space="0"/>
            </w:tcBorders>
            <w:shd w:val="clear" w:color="auto" w:fill="auto"/>
          </w:tcPr>
          <w:p>
            <w:pPr>
              <w:pStyle w:val="39"/>
              <w:rPr>
                <w:rFonts w:ascii="Times New Roman" w:hAnsi="Times New Roman"/>
                <w:b/>
                <w:bCs/>
              </w:rPr>
            </w:pPr>
            <w:r>
              <w:rPr>
                <w:rFonts w:ascii="Times New Roman" w:hAnsi="Times New Roman"/>
                <w:b/>
                <w:bCs/>
              </w:rPr>
              <w:t>840</w:t>
            </w:r>
          </w:p>
        </w:tc>
        <w:tc>
          <w:tcPr>
            <w:tcW w:w="1744" w:type="dxa"/>
            <w:tcBorders>
              <w:top w:val="nil"/>
              <w:left w:val="nil"/>
              <w:bottom w:val="single" w:color="auto" w:sz="4" w:space="0"/>
              <w:right w:val="single" w:color="auto" w:sz="4" w:space="0"/>
            </w:tcBorders>
            <w:shd w:val="clear" w:color="auto" w:fill="auto"/>
          </w:tcPr>
          <w:p>
            <w:pPr>
              <w:pStyle w:val="39"/>
              <w:rPr>
                <w:rFonts w:ascii="Times New Roman" w:hAnsi="Times New Roman"/>
                <w:b/>
                <w:bCs/>
              </w:rPr>
            </w:pPr>
            <w:r>
              <w:rPr>
                <w:rFonts w:ascii="Times New Roman" w:hAnsi="Times New Roman"/>
                <w:b/>
                <w:bCs/>
              </w:rPr>
              <w:t>83</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东北</w:t>
            </w:r>
          </w:p>
        </w:tc>
        <w:tc>
          <w:tcPr>
            <w:tcW w:w="2108" w:type="dxa"/>
            <w:tcBorders>
              <w:top w:val="nil"/>
              <w:left w:val="nil"/>
              <w:bottom w:val="single" w:color="auto" w:sz="4" w:space="0"/>
              <w:right w:val="single" w:color="auto" w:sz="4" w:space="0"/>
            </w:tcBorders>
            <w:shd w:val="clear" w:color="auto" w:fill="auto"/>
          </w:tcPr>
          <w:p>
            <w:pPr>
              <w:pStyle w:val="39"/>
              <w:rPr>
                <w:rFonts w:ascii="Times New Roman" w:hAnsi="Times New Roman"/>
              </w:rPr>
            </w:pPr>
            <w:r>
              <w:rPr>
                <w:rFonts w:ascii="Times New Roman" w:hAnsi="Times New Roman"/>
              </w:rPr>
              <w:t>536</w:t>
            </w:r>
          </w:p>
        </w:tc>
        <w:tc>
          <w:tcPr>
            <w:tcW w:w="1787" w:type="dxa"/>
            <w:tcBorders>
              <w:top w:val="nil"/>
              <w:left w:val="nil"/>
              <w:bottom w:val="single" w:color="auto" w:sz="4" w:space="0"/>
              <w:right w:val="single" w:color="auto" w:sz="4" w:space="0"/>
            </w:tcBorders>
            <w:shd w:val="clear" w:color="auto" w:fill="auto"/>
          </w:tcPr>
          <w:p>
            <w:pPr>
              <w:pStyle w:val="39"/>
              <w:rPr>
                <w:rFonts w:ascii="Times New Roman" w:hAnsi="Times New Roman"/>
              </w:rPr>
            </w:pPr>
            <w:r>
              <w:rPr>
                <w:rFonts w:ascii="Times New Roman" w:hAnsi="Times New Roman"/>
              </w:rPr>
              <w:t>81</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西南</w:t>
            </w:r>
          </w:p>
        </w:tc>
        <w:tc>
          <w:tcPr>
            <w:tcW w:w="1995" w:type="dxa"/>
            <w:tcBorders>
              <w:top w:val="nil"/>
              <w:left w:val="nil"/>
              <w:bottom w:val="single" w:color="auto" w:sz="4" w:space="0"/>
              <w:right w:val="single" w:color="auto" w:sz="4" w:space="0"/>
            </w:tcBorders>
            <w:shd w:val="clear" w:color="auto" w:fill="auto"/>
          </w:tcPr>
          <w:p>
            <w:pPr>
              <w:pStyle w:val="39"/>
              <w:rPr>
                <w:rFonts w:ascii="Times New Roman" w:hAnsi="Times New Roman"/>
                <w:b/>
                <w:bCs/>
              </w:rPr>
            </w:pPr>
            <w:r>
              <w:rPr>
                <w:rFonts w:ascii="Times New Roman" w:hAnsi="Times New Roman"/>
              </w:rPr>
              <w:t>440</w:t>
            </w:r>
          </w:p>
        </w:tc>
        <w:tc>
          <w:tcPr>
            <w:tcW w:w="1744" w:type="dxa"/>
            <w:tcBorders>
              <w:top w:val="nil"/>
              <w:left w:val="nil"/>
              <w:bottom w:val="single" w:color="auto" w:sz="4" w:space="0"/>
              <w:right w:val="single" w:color="auto" w:sz="4" w:space="0"/>
            </w:tcBorders>
            <w:shd w:val="clear" w:color="auto" w:fill="auto"/>
          </w:tcPr>
          <w:p>
            <w:pPr>
              <w:pStyle w:val="39"/>
              <w:rPr>
                <w:rFonts w:ascii="Times New Roman" w:hAnsi="Times New Roman"/>
                <w:b/>
                <w:bCs/>
              </w:rPr>
            </w:pPr>
            <w:r>
              <w:rPr>
                <w:rFonts w:ascii="Times New Roman" w:hAnsi="Times New Roman"/>
              </w:rPr>
              <w:t>78</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w:t>
            </w:r>
          </w:p>
        </w:tc>
        <w:tc>
          <w:tcPr>
            <w:tcW w:w="2108" w:type="dxa"/>
            <w:tcBorders>
              <w:top w:val="nil"/>
              <w:left w:val="nil"/>
              <w:bottom w:val="single" w:color="auto" w:sz="4" w:space="0"/>
              <w:right w:val="single" w:color="auto" w:sz="4" w:space="0"/>
            </w:tcBorders>
            <w:shd w:val="clear" w:color="auto" w:fill="auto"/>
          </w:tcPr>
          <w:p>
            <w:pPr>
              <w:pStyle w:val="39"/>
              <w:rPr>
                <w:rFonts w:ascii="Times New Roman" w:hAnsi="Times New Roman"/>
              </w:rPr>
            </w:pPr>
            <w:r>
              <w:rPr>
                <w:rFonts w:ascii="Times New Roman" w:hAnsi="Times New Roman"/>
              </w:rPr>
              <w:t>499</w:t>
            </w:r>
          </w:p>
        </w:tc>
        <w:tc>
          <w:tcPr>
            <w:tcW w:w="1787" w:type="dxa"/>
            <w:tcBorders>
              <w:top w:val="nil"/>
              <w:left w:val="nil"/>
              <w:bottom w:val="single" w:color="auto" w:sz="4" w:space="0"/>
              <w:right w:val="single" w:color="auto" w:sz="4" w:space="0"/>
            </w:tcBorders>
            <w:shd w:val="clear" w:color="auto" w:fill="auto"/>
          </w:tcPr>
          <w:p>
            <w:pPr>
              <w:pStyle w:val="39"/>
              <w:rPr>
                <w:rFonts w:ascii="Times New Roman" w:hAnsi="Times New Roman"/>
              </w:rPr>
            </w:pPr>
            <w:r>
              <w:rPr>
                <w:rFonts w:ascii="Times New Roman" w:hAnsi="Times New Roman"/>
              </w:rPr>
              <w:t>59</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w:t>
            </w:r>
          </w:p>
        </w:tc>
        <w:tc>
          <w:tcPr>
            <w:tcW w:w="1995" w:type="dxa"/>
            <w:tcBorders>
              <w:top w:val="nil"/>
              <w:left w:val="nil"/>
              <w:bottom w:val="single" w:color="auto" w:sz="4" w:space="0"/>
              <w:right w:val="single" w:color="auto" w:sz="4" w:space="0"/>
            </w:tcBorders>
            <w:shd w:val="clear" w:color="auto" w:fill="auto"/>
          </w:tcPr>
          <w:p>
            <w:pPr>
              <w:pStyle w:val="39"/>
              <w:rPr>
                <w:rFonts w:ascii="Times New Roman" w:hAnsi="Times New Roman"/>
              </w:rPr>
            </w:pPr>
            <w:r>
              <w:rPr>
                <w:rFonts w:ascii="Times New Roman" w:hAnsi="Times New Roman"/>
              </w:rPr>
              <w:t>279</w:t>
            </w:r>
          </w:p>
        </w:tc>
        <w:tc>
          <w:tcPr>
            <w:tcW w:w="1744" w:type="dxa"/>
            <w:tcBorders>
              <w:top w:val="nil"/>
              <w:left w:val="nil"/>
              <w:bottom w:val="single" w:color="auto" w:sz="4" w:space="0"/>
              <w:right w:val="single" w:color="auto" w:sz="4" w:space="0"/>
            </w:tcBorders>
            <w:shd w:val="clear" w:color="auto" w:fill="auto"/>
          </w:tcPr>
          <w:p>
            <w:pPr>
              <w:pStyle w:val="39"/>
              <w:rPr>
                <w:rFonts w:ascii="Times New Roman" w:hAnsi="Times New Roman"/>
              </w:rPr>
            </w:pPr>
            <w:r>
              <w:rPr>
                <w:rFonts w:ascii="Times New Roman" w:hAnsi="Times New Roman"/>
              </w:rPr>
              <w:t>36</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东南</w:t>
            </w:r>
          </w:p>
        </w:tc>
        <w:tc>
          <w:tcPr>
            <w:tcW w:w="2108" w:type="dxa"/>
            <w:tcBorders>
              <w:top w:val="nil"/>
              <w:left w:val="nil"/>
              <w:bottom w:val="single" w:color="auto" w:sz="4" w:space="0"/>
              <w:right w:val="single" w:color="auto" w:sz="4" w:space="0"/>
            </w:tcBorders>
            <w:shd w:val="clear" w:color="auto" w:fill="auto"/>
          </w:tcPr>
          <w:p>
            <w:pPr>
              <w:pStyle w:val="39"/>
              <w:rPr>
                <w:rFonts w:ascii="Times New Roman" w:hAnsi="Times New Roman"/>
              </w:rPr>
            </w:pPr>
            <w:r>
              <w:rPr>
                <w:rFonts w:ascii="Times New Roman" w:hAnsi="Times New Roman"/>
              </w:rPr>
              <w:t>626</w:t>
            </w:r>
          </w:p>
        </w:tc>
        <w:tc>
          <w:tcPr>
            <w:tcW w:w="1787" w:type="dxa"/>
            <w:tcBorders>
              <w:top w:val="nil"/>
              <w:left w:val="nil"/>
              <w:bottom w:val="single" w:color="auto" w:sz="4" w:space="0"/>
              <w:right w:val="single" w:color="auto" w:sz="4" w:space="0"/>
            </w:tcBorders>
            <w:shd w:val="clear" w:color="auto" w:fill="auto"/>
          </w:tcPr>
          <w:p>
            <w:pPr>
              <w:pStyle w:val="39"/>
              <w:rPr>
                <w:rFonts w:ascii="Times New Roman" w:hAnsi="Times New Roman"/>
              </w:rPr>
            </w:pPr>
            <w:r>
              <w:rPr>
                <w:rFonts w:ascii="Times New Roman" w:hAnsi="Times New Roman"/>
              </w:rPr>
              <w:t>74</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西北</w:t>
            </w:r>
          </w:p>
        </w:tc>
        <w:tc>
          <w:tcPr>
            <w:tcW w:w="1995" w:type="dxa"/>
            <w:tcBorders>
              <w:top w:val="nil"/>
              <w:left w:val="nil"/>
              <w:bottom w:val="single" w:color="auto" w:sz="4" w:space="0"/>
              <w:right w:val="single" w:color="auto" w:sz="4" w:space="0"/>
            </w:tcBorders>
            <w:shd w:val="clear" w:color="auto" w:fill="auto"/>
          </w:tcPr>
          <w:p>
            <w:pPr>
              <w:pStyle w:val="39"/>
              <w:rPr>
                <w:rFonts w:ascii="Times New Roman" w:hAnsi="Times New Roman"/>
              </w:rPr>
            </w:pPr>
            <w:r>
              <w:rPr>
                <w:rFonts w:ascii="Times New Roman" w:hAnsi="Times New Roman"/>
              </w:rPr>
              <w:t>807</w:t>
            </w:r>
          </w:p>
        </w:tc>
        <w:tc>
          <w:tcPr>
            <w:tcW w:w="1744" w:type="dxa"/>
            <w:tcBorders>
              <w:top w:val="nil"/>
              <w:left w:val="nil"/>
              <w:bottom w:val="single" w:color="auto" w:sz="4" w:space="0"/>
              <w:right w:val="single" w:color="auto" w:sz="4" w:space="0"/>
            </w:tcBorders>
            <w:shd w:val="clear" w:color="auto" w:fill="auto"/>
          </w:tcPr>
          <w:p>
            <w:pPr>
              <w:pStyle w:val="39"/>
              <w:rPr>
                <w:rFonts w:ascii="Times New Roman" w:hAnsi="Times New Roman"/>
              </w:rPr>
            </w:pPr>
            <w:r>
              <w:rPr>
                <w:rFonts w:ascii="Times New Roman" w:hAnsi="Times New Roman"/>
              </w:rPr>
              <w:t>85</w:t>
            </w:r>
          </w:p>
        </w:tc>
      </w:tr>
    </w:tbl>
    <w:p>
      <w:pPr>
        <w:pStyle w:val="37"/>
        <w:rPr>
          <w:rFonts w:ascii="Times New Roman" w:hAnsi="Times New Roman" w:cs="Times New Roman"/>
        </w:rPr>
      </w:pPr>
      <w:bookmarkStart w:id="288" w:name="_Ref15890047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30</w:t>
      </w:r>
      <w:r>
        <w:rPr>
          <w:rFonts w:ascii="Times New Roman" w:hAnsi="Times New Roman" w:cs="Times New Roman"/>
        </w:rPr>
        <w:fldChar w:fldCharType="end"/>
      </w:r>
      <w:bookmarkEnd w:id="288"/>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S扩散后果预测统计表</w:t>
      </w:r>
    </w:p>
    <w:tbl>
      <w:tblPr>
        <w:tblStyle w:val="28"/>
        <w:tblW w:w="53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6"/>
        <w:gridCol w:w="2126"/>
        <w:gridCol w:w="933"/>
        <w:gridCol w:w="1168"/>
        <w:gridCol w:w="902"/>
        <w:gridCol w:w="2000"/>
        <w:gridCol w:w="1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vMerge w:val="restart"/>
            <w:shd w:val="clear" w:color="auto" w:fill="auto"/>
            <w:vAlign w:val="center"/>
          </w:tcPr>
          <w:p>
            <w:pPr>
              <w:pStyle w:val="39"/>
              <w:rPr>
                <w:rFonts w:ascii="Times New Roman" w:hAnsi="Times New Roman"/>
              </w:rPr>
            </w:pPr>
            <w:r>
              <w:rPr>
                <w:rFonts w:ascii="Times New Roman" w:hAnsi="Times New Roman"/>
              </w:rPr>
              <w:t>序号</w:t>
            </w:r>
          </w:p>
        </w:tc>
        <w:tc>
          <w:tcPr>
            <w:tcW w:w="2126" w:type="dxa"/>
            <w:vMerge w:val="restart"/>
            <w:shd w:val="clear" w:color="auto" w:fill="auto"/>
            <w:vAlign w:val="center"/>
          </w:tcPr>
          <w:p>
            <w:pPr>
              <w:pStyle w:val="39"/>
              <w:rPr>
                <w:rFonts w:ascii="Times New Roman" w:hAnsi="Times New Roman"/>
              </w:rPr>
            </w:pPr>
            <w:r>
              <w:rPr>
                <w:rFonts w:ascii="Times New Roman" w:hAnsi="Times New Roman"/>
              </w:rPr>
              <w:t>项目内容</w:t>
            </w:r>
          </w:p>
        </w:tc>
        <w:tc>
          <w:tcPr>
            <w:tcW w:w="933" w:type="dxa"/>
            <w:vMerge w:val="restart"/>
            <w:shd w:val="clear" w:color="auto" w:fill="auto"/>
            <w:vAlign w:val="center"/>
          </w:tcPr>
          <w:p>
            <w:pPr>
              <w:pStyle w:val="39"/>
              <w:rPr>
                <w:rFonts w:ascii="Times New Roman" w:hAnsi="Times New Roman"/>
              </w:rPr>
            </w:pPr>
            <w:r>
              <w:rPr>
                <w:rFonts w:ascii="Times New Roman" w:hAnsi="Times New Roman"/>
              </w:rPr>
              <w:t>浓度值/mg/m</w:t>
            </w:r>
            <w:r>
              <w:rPr>
                <w:rFonts w:ascii="Times New Roman" w:hAnsi="Times New Roman"/>
                <w:vertAlign w:val="superscript"/>
              </w:rPr>
              <w:t>3</w:t>
            </w:r>
          </w:p>
        </w:tc>
        <w:tc>
          <w:tcPr>
            <w:tcW w:w="1168" w:type="dxa"/>
            <w:vMerge w:val="restart"/>
            <w:shd w:val="clear" w:color="auto" w:fill="auto"/>
            <w:vAlign w:val="center"/>
          </w:tcPr>
          <w:p>
            <w:pPr>
              <w:pStyle w:val="39"/>
              <w:rPr>
                <w:rFonts w:ascii="Times New Roman" w:hAnsi="Times New Roman"/>
              </w:rPr>
            </w:pPr>
            <w:r>
              <w:rPr>
                <w:rFonts w:ascii="Times New Roman" w:hAnsi="Times New Roman"/>
              </w:rPr>
              <w:t>最远影响距离/m</w:t>
            </w:r>
          </w:p>
        </w:tc>
        <w:tc>
          <w:tcPr>
            <w:tcW w:w="902" w:type="dxa"/>
            <w:vMerge w:val="restart"/>
            <w:shd w:val="clear" w:color="auto" w:fill="auto"/>
            <w:vAlign w:val="center"/>
          </w:tcPr>
          <w:p>
            <w:pPr>
              <w:pStyle w:val="39"/>
              <w:rPr>
                <w:rFonts w:ascii="Times New Roman" w:hAnsi="Times New Roman"/>
              </w:rPr>
            </w:pPr>
            <w:r>
              <w:rPr>
                <w:rFonts w:ascii="Times New Roman" w:hAnsi="Times New Roman"/>
              </w:rPr>
              <w:t>到达时间/min</w:t>
            </w:r>
          </w:p>
        </w:tc>
        <w:tc>
          <w:tcPr>
            <w:tcW w:w="3981" w:type="dxa"/>
            <w:gridSpan w:val="2"/>
            <w:vAlign w:val="center"/>
          </w:tcPr>
          <w:p>
            <w:pPr>
              <w:pStyle w:val="39"/>
              <w:rPr>
                <w:rFonts w:ascii="Times New Roman" w:hAnsi="Times New Roman"/>
              </w:rPr>
            </w:pPr>
            <w:r>
              <w:rPr>
                <w:rFonts w:ascii="Times New Roman" w:hAnsi="Times New Roman"/>
                <w:vertAlign w:val="superscript"/>
              </w:rPr>
              <w:t>*</w:t>
            </w:r>
            <w:r>
              <w:rPr>
                <w:rFonts w:ascii="Times New Roman" w:hAnsi="Times New Roman"/>
              </w:rPr>
              <w:t>最长持续超标时间对应点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vMerge w:val="continue"/>
            <w:shd w:val="clear" w:color="auto" w:fill="auto"/>
            <w:vAlign w:val="center"/>
          </w:tcPr>
          <w:p>
            <w:pPr>
              <w:adjustRightInd w:val="0"/>
              <w:spacing w:line="240" w:lineRule="auto"/>
              <w:ind w:firstLine="480"/>
              <w:rPr>
                <w:rFonts w:ascii="Times New Roman" w:hAnsi="Times New Roman"/>
              </w:rPr>
            </w:pPr>
          </w:p>
        </w:tc>
        <w:tc>
          <w:tcPr>
            <w:tcW w:w="2126" w:type="dxa"/>
            <w:vMerge w:val="continue"/>
            <w:shd w:val="clear" w:color="auto" w:fill="auto"/>
            <w:vAlign w:val="center"/>
          </w:tcPr>
          <w:p>
            <w:pPr>
              <w:adjustRightInd w:val="0"/>
              <w:spacing w:line="240" w:lineRule="auto"/>
              <w:ind w:firstLine="480"/>
              <w:rPr>
                <w:rFonts w:ascii="Times New Roman" w:hAnsi="Times New Roman"/>
              </w:rPr>
            </w:pPr>
          </w:p>
        </w:tc>
        <w:tc>
          <w:tcPr>
            <w:tcW w:w="933" w:type="dxa"/>
            <w:vMerge w:val="continue"/>
            <w:shd w:val="clear" w:color="auto" w:fill="auto"/>
            <w:vAlign w:val="center"/>
          </w:tcPr>
          <w:p>
            <w:pPr>
              <w:adjustRightInd w:val="0"/>
              <w:spacing w:line="240" w:lineRule="auto"/>
              <w:ind w:firstLine="480"/>
              <w:rPr>
                <w:rFonts w:ascii="Times New Roman" w:hAnsi="Times New Roman"/>
              </w:rPr>
            </w:pPr>
          </w:p>
        </w:tc>
        <w:tc>
          <w:tcPr>
            <w:tcW w:w="1168" w:type="dxa"/>
            <w:vMerge w:val="continue"/>
            <w:shd w:val="clear" w:color="auto" w:fill="auto"/>
            <w:vAlign w:val="center"/>
          </w:tcPr>
          <w:p>
            <w:pPr>
              <w:adjustRightInd w:val="0"/>
              <w:spacing w:line="240" w:lineRule="auto"/>
              <w:ind w:firstLine="480"/>
              <w:rPr>
                <w:rFonts w:ascii="Times New Roman" w:hAnsi="Times New Roman"/>
              </w:rPr>
            </w:pPr>
          </w:p>
        </w:tc>
        <w:tc>
          <w:tcPr>
            <w:tcW w:w="902" w:type="dxa"/>
            <w:vMerge w:val="continue"/>
            <w:shd w:val="clear" w:color="auto" w:fill="auto"/>
            <w:vAlign w:val="center"/>
          </w:tcPr>
          <w:p>
            <w:pPr>
              <w:adjustRightInd w:val="0"/>
              <w:spacing w:line="240" w:lineRule="auto"/>
              <w:ind w:firstLine="480"/>
              <w:rPr>
                <w:rFonts w:ascii="Times New Roman" w:hAnsi="Times New Roman"/>
              </w:rPr>
            </w:pPr>
          </w:p>
        </w:tc>
        <w:tc>
          <w:tcPr>
            <w:tcW w:w="2000" w:type="dxa"/>
            <w:vAlign w:val="center"/>
          </w:tcPr>
          <w:p>
            <w:pPr>
              <w:pStyle w:val="39"/>
              <w:rPr>
                <w:rFonts w:ascii="Times New Roman" w:hAnsi="Times New Roman"/>
              </w:rPr>
            </w:pPr>
            <w:r>
              <w:rPr>
                <w:rFonts w:ascii="Times New Roman" w:hAnsi="Times New Roman"/>
              </w:rPr>
              <w:t>超标持续时间/min</w:t>
            </w:r>
          </w:p>
        </w:tc>
        <w:tc>
          <w:tcPr>
            <w:tcW w:w="1981" w:type="dxa"/>
            <w:vAlign w:val="center"/>
          </w:tcPr>
          <w:p>
            <w:pPr>
              <w:pStyle w:val="39"/>
              <w:rPr>
                <w:rFonts w:ascii="Times New Roman" w:hAnsi="Times New Roman"/>
              </w:rPr>
            </w:pPr>
            <w:r>
              <w:rPr>
                <w:rFonts w:ascii="Times New Roman" w:hAnsi="Times New Roman"/>
              </w:rPr>
              <w:t>相对风险源距离/m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shd w:val="clear" w:color="auto" w:fill="auto"/>
            <w:vAlign w:val="center"/>
          </w:tcPr>
          <w:p>
            <w:pPr>
              <w:pStyle w:val="39"/>
              <w:rPr>
                <w:rFonts w:ascii="Times New Roman" w:hAnsi="Times New Roman"/>
              </w:rPr>
            </w:pPr>
            <w:r>
              <w:rPr>
                <w:rFonts w:ascii="Times New Roman" w:hAnsi="Times New Roman"/>
              </w:rPr>
              <w:t>1</w:t>
            </w:r>
          </w:p>
        </w:tc>
        <w:tc>
          <w:tcPr>
            <w:tcW w:w="2126" w:type="dxa"/>
            <w:shd w:val="clear" w:color="auto" w:fill="auto"/>
            <w:vAlign w:val="center"/>
          </w:tcPr>
          <w:p>
            <w:pPr>
              <w:pStyle w:val="39"/>
              <w:rPr>
                <w:rFonts w:ascii="Times New Roman" w:hAnsi="Times New Roman"/>
              </w:rPr>
            </w:pPr>
            <w:r>
              <w:rPr>
                <w:rFonts w:ascii="Times New Roman" w:hAnsi="Times New Roman"/>
              </w:rPr>
              <w:t>大气毒性终点浓度-1</w:t>
            </w:r>
          </w:p>
        </w:tc>
        <w:tc>
          <w:tcPr>
            <w:tcW w:w="933" w:type="dxa"/>
            <w:shd w:val="clear" w:color="auto" w:fill="auto"/>
            <w:vAlign w:val="center"/>
          </w:tcPr>
          <w:p>
            <w:pPr>
              <w:pStyle w:val="39"/>
              <w:rPr>
                <w:rFonts w:ascii="Times New Roman" w:hAnsi="Times New Roman"/>
              </w:rPr>
            </w:pPr>
            <w:r>
              <w:rPr>
                <w:rFonts w:ascii="Times New Roman" w:hAnsi="Times New Roman" w:eastAsia="等线"/>
              </w:rPr>
              <w:t>70</w:t>
            </w:r>
          </w:p>
        </w:tc>
        <w:tc>
          <w:tcPr>
            <w:tcW w:w="1168" w:type="dxa"/>
            <w:shd w:val="clear" w:color="auto" w:fill="auto"/>
          </w:tcPr>
          <w:p>
            <w:pPr>
              <w:pStyle w:val="39"/>
              <w:rPr>
                <w:rFonts w:ascii="Times New Roman" w:hAnsi="Times New Roman"/>
              </w:rPr>
            </w:pPr>
            <w:r>
              <w:rPr>
                <w:rFonts w:ascii="Times New Roman" w:hAnsi="Times New Roman"/>
              </w:rPr>
              <w:t>694</w:t>
            </w:r>
          </w:p>
        </w:tc>
        <w:tc>
          <w:tcPr>
            <w:tcW w:w="902" w:type="dxa"/>
            <w:shd w:val="clear" w:color="auto" w:fill="auto"/>
          </w:tcPr>
          <w:p>
            <w:pPr>
              <w:pStyle w:val="39"/>
              <w:rPr>
                <w:rFonts w:ascii="Times New Roman" w:hAnsi="Times New Roman"/>
              </w:rPr>
            </w:pPr>
            <w:r>
              <w:rPr>
                <w:rFonts w:ascii="Times New Roman" w:hAnsi="Times New Roman"/>
              </w:rPr>
              <w:t>86</w:t>
            </w:r>
          </w:p>
        </w:tc>
        <w:tc>
          <w:tcPr>
            <w:tcW w:w="2000" w:type="dxa"/>
          </w:tcPr>
          <w:p>
            <w:pPr>
              <w:pStyle w:val="39"/>
              <w:rPr>
                <w:rFonts w:ascii="Times New Roman" w:hAnsi="Times New Roman"/>
              </w:rPr>
            </w:pPr>
            <w:r>
              <w:rPr>
                <w:rFonts w:ascii="Times New Roman" w:hAnsi="Times New Roman"/>
              </w:rPr>
              <w:t>53</w:t>
            </w:r>
          </w:p>
        </w:tc>
        <w:tc>
          <w:tcPr>
            <w:tcW w:w="1981" w:type="dxa"/>
            <w:shd w:val="clear" w:color="auto" w:fill="auto"/>
          </w:tcPr>
          <w:p>
            <w:pPr>
              <w:pStyle w:val="39"/>
              <w:rPr>
                <w:rFonts w:ascii="Times New Roman" w:hAnsi="Times New Roman"/>
              </w:rPr>
            </w:pPr>
            <w:r>
              <w:rPr>
                <w:rFonts w:ascii="Times New Roman" w:hAnsi="Times New Roma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shd w:val="clear" w:color="auto" w:fill="auto"/>
            <w:vAlign w:val="center"/>
          </w:tcPr>
          <w:p>
            <w:pPr>
              <w:pStyle w:val="39"/>
              <w:rPr>
                <w:rFonts w:ascii="Times New Roman" w:hAnsi="Times New Roman"/>
              </w:rPr>
            </w:pPr>
            <w:r>
              <w:rPr>
                <w:rFonts w:ascii="Times New Roman" w:hAnsi="Times New Roman"/>
              </w:rPr>
              <w:t>2</w:t>
            </w:r>
          </w:p>
        </w:tc>
        <w:tc>
          <w:tcPr>
            <w:tcW w:w="2126" w:type="dxa"/>
            <w:shd w:val="clear" w:color="auto" w:fill="auto"/>
            <w:vAlign w:val="center"/>
          </w:tcPr>
          <w:p>
            <w:pPr>
              <w:pStyle w:val="39"/>
              <w:rPr>
                <w:rFonts w:ascii="Times New Roman" w:hAnsi="Times New Roman"/>
              </w:rPr>
            </w:pPr>
            <w:r>
              <w:rPr>
                <w:rFonts w:ascii="Times New Roman" w:hAnsi="Times New Roman"/>
              </w:rPr>
              <w:t>大气毒性终点浓度-2</w:t>
            </w:r>
          </w:p>
        </w:tc>
        <w:tc>
          <w:tcPr>
            <w:tcW w:w="933" w:type="dxa"/>
            <w:shd w:val="clear" w:color="auto" w:fill="auto"/>
            <w:vAlign w:val="center"/>
          </w:tcPr>
          <w:p>
            <w:pPr>
              <w:pStyle w:val="39"/>
              <w:rPr>
                <w:rFonts w:ascii="Times New Roman" w:hAnsi="Times New Roman"/>
              </w:rPr>
            </w:pPr>
            <w:r>
              <w:rPr>
                <w:rFonts w:ascii="Times New Roman" w:hAnsi="Times New Roman" w:eastAsia="等线"/>
              </w:rPr>
              <w:t>38</w:t>
            </w:r>
          </w:p>
        </w:tc>
        <w:tc>
          <w:tcPr>
            <w:tcW w:w="1168" w:type="dxa"/>
            <w:shd w:val="clear" w:color="auto" w:fill="auto"/>
          </w:tcPr>
          <w:p>
            <w:pPr>
              <w:pStyle w:val="39"/>
              <w:rPr>
                <w:rFonts w:ascii="Times New Roman" w:hAnsi="Times New Roman"/>
              </w:rPr>
            </w:pPr>
            <w:r>
              <w:rPr>
                <w:rFonts w:ascii="Times New Roman" w:hAnsi="Times New Roman"/>
              </w:rPr>
              <w:t>840</w:t>
            </w:r>
          </w:p>
        </w:tc>
        <w:tc>
          <w:tcPr>
            <w:tcW w:w="902" w:type="dxa"/>
            <w:shd w:val="clear" w:color="auto" w:fill="auto"/>
          </w:tcPr>
          <w:p>
            <w:pPr>
              <w:pStyle w:val="39"/>
              <w:rPr>
                <w:rFonts w:ascii="Times New Roman" w:hAnsi="Times New Roman"/>
              </w:rPr>
            </w:pPr>
            <w:r>
              <w:rPr>
                <w:rFonts w:ascii="Times New Roman" w:hAnsi="Times New Roman"/>
              </w:rPr>
              <w:t>83</w:t>
            </w:r>
          </w:p>
        </w:tc>
        <w:tc>
          <w:tcPr>
            <w:tcW w:w="2000" w:type="dxa"/>
          </w:tcPr>
          <w:p>
            <w:pPr>
              <w:pStyle w:val="39"/>
              <w:rPr>
                <w:rFonts w:ascii="Times New Roman" w:hAnsi="Times New Roman"/>
              </w:rPr>
            </w:pPr>
            <w:r>
              <w:rPr>
                <w:rFonts w:ascii="Times New Roman" w:hAnsi="Times New Roman"/>
              </w:rPr>
              <w:t>56</w:t>
            </w:r>
          </w:p>
        </w:tc>
        <w:tc>
          <w:tcPr>
            <w:tcW w:w="1981" w:type="dxa"/>
            <w:shd w:val="clear" w:color="auto" w:fill="auto"/>
          </w:tcPr>
          <w:p>
            <w:pPr>
              <w:pStyle w:val="39"/>
              <w:rPr>
                <w:rFonts w:ascii="Times New Roman" w:hAnsi="Times New Roman"/>
              </w:rPr>
            </w:pPr>
            <w:r>
              <w:rPr>
                <w:rFonts w:ascii="Times New Roman" w:hAnsi="Times New Roman"/>
              </w:rPr>
              <w:t>42</w:t>
            </w:r>
          </w:p>
        </w:tc>
      </w:tr>
    </w:tbl>
    <w:p>
      <w:pPr>
        <w:snapToGrid w:val="0"/>
        <w:spacing w:line="240" w:lineRule="auto"/>
        <w:ind w:firstLine="0" w:firstLineChars="0"/>
        <w:rPr>
          <w:rFonts w:ascii="Times New Roman" w:hAnsi="Times New Roman"/>
          <w:sz w:val="18"/>
          <w:szCs w:val="18"/>
        </w:rPr>
      </w:pPr>
      <w:r>
        <w:rPr>
          <w:rFonts w:ascii="Times New Roman" w:hAnsi="Times New Roman"/>
          <w:sz w:val="18"/>
          <w:szCs w:val="18"/>
        </w:rPr>
        <w:t>*注：最长持续时间指在最大浓度出现位置（含敏感目标位置）保持不变的前提下，该位置浓度持续超过大气毒性终点浓度1或大气毒性终点浓度2的时间。</w:t>
      </w:r>
    </w:p>
    <w:p>
      <w:pPr>
        <w:pStyle w:val="37"/>
        <w:rPr>
          <w:rFonts w:ascii="Times New Roman" w:hAnsi="Times New Roman" w:cs="Times New Roman"/>
        </w:rPr>
      </w:pPr>
      <w:bookmarkStart w:id="289" w:name="_Ref15810463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31</w:t>
      </w:r>
      <w:r>
        <w:rPr>
          <w:rFonts w:ascii="Times New Roman" w:hAnsi="Times New Roman" w:cs="Times New Roman"/>
        </w:rPr>
        <w:fldChar w:fldCharType="end"/>
      </w:r>
      <w:bookmarkEnd w:id="289"/>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S扩散不同时刻最大浓度出现时间和距离（部分结果，南风向）</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38"/>
        <w:gridCol w:w="3040"/>
        <w:gridCol w:w="3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释放后时刻/min</w:t>
            </w:r>
          </w:p>
        </w:tc>
        <w:tc>
          <w:tcPr>
            <w:tcW w:w="1667" w:type="pct"/>
            <w:vAlign w:val="center"/>
          </w:tcPr>
          <w:p>
            <w:pPr>
              <w:pStyle w:val="39"/>
              <w:rPr>
                <w:rFonts w:ascii="Times New Roman" w:hAnsi="Times New Roman"/>
              </w:rPr>
            </w:pPr>
            <w:r>
              <w:rPr>
                <w:rFonts w:ascii="Times New Roman" w:hAnsi="Times New Roman"/>
              </w:rPr>
              <w:t>距源点距离/m</w:t>
            </w:r>
          </w:p>
        </w:tc>
        <w:tc>
          <w:tcPr>
            <w:tcW w:w="1667" w:type="pct"/>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kern w:val="0"/>
              </w:rPr>
              <w:t>1</w:t>
            </w:r>
          </w:p>
        </w:tc>
        <w:tc>
          <w:tcPr>
            <w:tcW w:w="1667" w:type="pct"/>
            <w:vAlign w:val="bottom"/>
          </w:tcPr>
          <w:p>
            <w:pPr>
              <w:pStyle w:val="39"/>
              <w:rPr>
                <w:rFonts w:ascii="Times New Roman" w:hAnsi="Times New Roman"/>
              </w:rPr>
            </w:pPr>
            <w:r>
              <w:rPr>
                <w:rFonts w:ascii="Times New Roman" w:hAnsi="Times New Roman" w:eastAsia="等线"/>
              </w:rPr>
              <w:t>0</w:t>
            </w:r>
          </w:p>
        </w:tc>
        <w:tc>
          <w:tcPr>
            <w:tcW w:w="1667" w:type="pct"/>
            <w:vAlign w:val="bottom"/>
          </w:tcPr>
          <w:p>
            <w:pPr>
              <w:pStyle w:val="39"/>
              <w:rPr>
                <w:rFonts w:ascii="Times New Roman" w:hAnsi="Times New Roman"/>
              </w:rPr>
            </w:pPr>
            <w:r>
              <w:rPr>
                <w:rFonts w:ascii="Times New Roman" w:hAnsi="Times New Roman" w:eastAsia="等线"/>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kern w:val="0"/>
              </w:rPr>
              <w:t>5</w:t>
            </w:r>
          </w:p>
        </w:tc>
        <w:tc>
          <w:tcPr>
            <w:tcW w:w="1667" w:type="pct"/>
            <w:vAlign w:val="bottom"/>
          </w:tcPr>
          <w:p>
            <w:pPr>
              <w:pStyle w:val="39"/>
              <w:rPr>
                <w:rFonts w:ascii="Times New Roman" w:hAnsi="Times New Roman"/>
              </w:rPr>
            </w:pPr>
            <w:r>
              <w:rPr>
                <w:rFonts w:ascii="Times New Roman" w:hAnsi="Times New Roman" w:eastAsia="等线"/>
              </w:rPr>
              <w:t>42</w:t>
            </w:r>
          </w:p>
        </w:tc>
        <w:tc>
          <w:tcPr>
            <w:tcW w:w="1667" w:type="pct"/>
            <w:vAlign w:val="bottom"/>
          </w:tcPr>
          <w:p>
            <w:pPr>
              <w:pStyle w:val="39"/>
              <w:rPr>
                <w:rFonts w:ascii="Times New Roman" w:hAnsi="Times New Roman"/>
              </w:rPr>
            </w:pPr>
            <w:r>
              <w:rPr>
                <w:rFonts w:ascii="Times New Roman" w:hAnsi="Times New Roman" w:eastAsia="等线"/>
              </w:rPr>
              <w:t>27.4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kern w:val="0"/>
              </w:rPr>
              <w:t>10</w:t>
            </w:r>
          </w:p>
        </w:tc>
        <w:tc>
          <w:tcPr>
            <w:tcW w:w="1667" w:type="pct"/>
            <w:vAlign w:val="bottom"/>
          </w:tcPr>
          <w:p>
            <w:pPr>
              <w:pStyle w:val="39"/>
              <w:rPr>
                <w:rFonts w:ascii="Times New Roman" w:hAnsi="Times New Roman"/>
              </w:rPr>
            </w:pPr>
            <w:r>
              <w:rPr>
                <w:rFonts w:ascii="Times New Roman" w:hAnsi="Times New Roman" w:eastAsia="等线"/>
              </w:rPr>
              <w:t>42</w:t>
            </w:r>
          </w:p>
        </w:tc>
        <w:tc>
          <w:tcPr>
            <w:tcW w:w="1667" w:type="pct"/>
            <w:vAlign w:val="bottom"/>
          </w:tcPr>
          <w:p>
            <w:pPr>
              <w:pStyle w:val="39"/>
              <w:rPr>
                <w:rFonts w:ascii="Times New Roman" w:hAnsi="Times New Roman"/>
              </w:rPr>
            </w:pPr>
            <w:r>
              <w:rPr>
                <w:rFonts w:ascii="Times New Roman" w:hAnsi="Times New Roman" w:eastAsia="等线"/>
              </w:rPr>
              <w:t>83.6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kern w:val="0"/>
              </w:rPr>
              <w:t>15</w:t>
            </w:r>
          </w:p>
        </w:tc>
        <w:tc>
          <w:tcPr>
            <w:tcW w:w="1667" w:type="pct"/>
            <w:vAlign w:val="bottom"/>
          </w:tcPr>
          <w:p>
            <w:pPr>
              <w:pStyle w:val="39"/>
              <w:rPr>
                <w:rFonts w:ascii="Times New Roman" w:hAnsi="Times New Roman"/>
              </w:rPr>
            </w:pPr>
            <w:r>
              <w:rPr>
                <w:rFonts w:ascii="Times New Roman" w:hAnsi="Times New Roman" w:eastAsia="等线"/>
              </w:rPr>
              <w:t>42</w:t>
            </w:r>
          </w:p>
        </w:tc>
        <w:tc>
          <w:tcPr>
            <w:tcW w:w="1667" w:type="pct"/>
            <w:vAlign w:val="bottom"/>
          </w:tcPr>
          <w:p>
            <w:pPr>
              <w:pStyle w:val="39"/>
              <w:rPr>
                <w:rFonts w:ascii="Times New Roman" w:hAnsi="Times New Roman"/>
              </w:rPr>
            </w:pPr>
            <w:r>
              <w:rPr>
                <w:rFonts w:ascii="Times New Roman" w:hAnsi="Times New Roman" w:eastAsia="等线"/>
              </w:rPr>
              <w:t>134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kern w:val="0"/>
              </w:rPr>
              <w:t>20</w:t>
            </w:r>
          </w:p>
        </w:tc>
        <w:tc>
          <w:tcPr>
            <w:tcW w:w="1667" w:type="pct"/>
            <w:vAlign w:val="bottom"/>
          </w:tcPr>
          <w:p>
            <w:pPr>
              <w:pStyle w:val="39"/>
              <w:rPr>
                <w:rFonts w:ascii="Times New Roman" w:hAnsi="Times New Roman"/>
              </w:rPr>
            </w:pPr>
            <w:r>
              <w:rPr>
                <w:rFonts w:ascii="Times New Roman" w:hAnsi="Times New Roman" w:eastAsia="等线"/>
              </w:rPr>
              <w:t>42</w:t>
            </w:r>
          </w:p>
        </w:tc>
        <w:tc>
          <w:tcPr>
            <w:tcW w:w="1667" w:type="pct"/>
            <w:vAlign w:val="bottom"/>
          </w:tcPr>
          <w:p>
            <w:pPr>
              <w:pStyle w:val="39"/>
              <w:rPr>
                <w:rFonts w:ascii="Times New Roman" w:hAnsi="Times New Roman"/>
              </w:rPr>
            </w:pPr>
            <w:r>
              <w:rPr>
                <w:rFonts w:ascii="Times New Roman" w:hAnsi="Times New Roman" w:eastAsia="等线"/>
              </w:rPr>
              <w:t>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kern w:val="0"/>
              </w:rPr>
              <w:t>25</w:t>
            </w:r>
          </w:p>
        </w:tc>
        <w:tc>
          <w:tcPr>
            <w:tcW w:w="1667" w:type="pct"/>
            <w:vAlign w:val="bottom"/>
          </w:tcPr>
          <w:p>
            <w:pPr>
              <w:pStyle w:val="39"/>
              <w:rPr>
                <w:rFonts w:ascii="Times New Roman" w:hAnsi="Times New Roman"/>
              </w:rPr>
            </w:pPr>
            <w:r>
              <w:rPr>
                <w:rFonts w:ascii="Times New Roman" w:hAnsi="Times New Roman" w:eastAsia="等线"/>
              </w:rPr>
              <w:t>42</w:t>
            </w:r>
          </w:p>
        </w:tc>
        <w:tc>
          <w:tcPr>
            <w:tcW w:w="1667" w:type="pct"/>
            <w:vAlign w:val="bottom"/>
          </w:tcPr>
          <w:p>
            <w:pPr>
              <w:pStyle w:val="39"/>
              <w:rPr>
                <w:rFonts w:ascii="Times New Roman" w:hAnsi="Times New Roman"/>
              </w:rPr>
            </w:pPr>
            <w:r>
              <w:rPr>
                <w:rFonts w:ascii="Times New Roman" w:hAnsi="Times New Roman" w:eastAsia="等线"/>
              </w:rPr>
              <w:t>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kern w:val="0"/>
              </w:rPr>
              <w:t>30</w:t>
            </w:r>
          </w:p>
        </w:tc>
        <w:tc>
          <w:tcPr>
            <w:tcW w:w="1667" w:type="pct"/>
            <w:vAlign w:val="bottom"/>
          </w:tcPr>
          <w:p>
            <w:pPr>
              <w:pStyle w:val="39"/>
              <w:rPr>
                <w:rFonts w:ascii="Times New Roman" w:hAnsi="Times New Roman"/>
              </w:rPr>
            </w:pPr>
            <w:r>
              <w:rPr>
                <w:rFonts w:ascii="Times New Roman" w:hAnsi="Times New Roman" w:eastAsia="等线"/>
              </w:rPr>
              <w:t>42</w:t>
            </w:r>
          </w:p>
        </w:tc>
        <w:tc>
          <w:tcPr>
            <w:tcW w:w="1667" w:type="pct"/>
            <w:vAlign w:val="bottom"/>
          </w:tcPr>
          <w:p>
            <w:pPr>
              <w:pStyle w:val="39"/>
              <w:rPr>
                <w:rFonts w:ascii="Times New Roman" w:hAnsi="Times New Roman"/>
              </w:rPr>
            </w:pPr>
            <w:r>
              <w:rPr>
                <w:rFonts w:ascii="Times New Roman" w:hAnsi="Times New Roman" w:eastAsia="等线"/>
              </w:rPr>
              <w:t>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kern w:val="0"/>
              </w:rPr>
              <w:t>35</w:t>
            </w:r>
          </w:p>
        </w:tc>
        <w:tc>
          <w:tcPr>
            <w:tcW w:w="1667" w:type="pct"/>
            <w:vAlign w:val="bottom"/>
          </w:tcPr>
          <w:p>
            <w:pPr>
              <w:pStyle w:val="39"/>
              <w:rPr>
                <w:rFonts w:ascii="Times New Roman" w:hAnsi="Times New Roman"/>
              </w:rPr>
            </w:pPr>
            <w:r>
              <w:rPr>
                <w:rFonts w:ascii="Times New Roman" w:hAnsi="Times New Roman" w:eastAsia="等线"/>
              </w:rPr>
              <w:t>42</w:t>
            </w:r>
          </w:p>
        </w:tc>
        <w:tc>
          <w:tcPr>
            <w:tcW w:w="1667" w:type="pct"/>
            <w:vAlign w:val="bottom"/>
          </w:tcPr>
          <w:p>
            <w:pPr>
              <w:pStyle w:val="39"/>
              <w:rPr>
                <w:rFonts w:ascii="Times New Roman" w:hAnsi="Times New Roman"/>
              </w:rPr>
            </w:pPr>
            <w:r>
              <w:rPr>
                <w:rFonts w:ascii="Times New Roman" w:hAnsi="Times New Roman" w:eastAsia="等线"/>
              </w:rPr>
              <w:t>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kern w:val="0"/>
              </w:rPr>
              <w:t>40</w:t>
            </w:r>
          </w:p>
        </w:tc>
        <w:tc>
          <w:tcPr>
            <w:tcW w:w="1667" w:type="pct"/>
            <w:vAlign w:val="bottom"/>
          </w:tcPr>
          <w:p>
            <w:pPr>
              <w:pStyle w:val="39"/>
              <w:rPr>
                <w:rFonts w:ascii="Times New Roman" w:hAnsi="Times New Roman"/>
              </w:rPr>
            </w:pPr>
            <w:r>
              <w:rPr>
                <w:rFonts w:ascii="Times New Roman" w:hAnsi="Times New Roman" w:eastAsia="等线"/>
              </w:rPr>
              <w:t>42</w:t>
            </w:r>
          </w:p>
        </w:tc>
        <w:tc>
          <w:tcPr>
            <w:tcW w:w="1667" w:type="pct"/>
            <w:vAlign w:val="bottom"/>
          </w:tcPr>
          <w:p>
            <w:pPr>
              <w:pStyle w:val="39"/>
              <w:rPr>
                <w:rFonts w:ascii="Times New Roman" w:hAnsi="Times New Roman"/>
              </w:rPr>
            </w:pPr>
            <w:r>
              <w:rPr>
                <w:rFonts w:ascii="Times New Roman" w:hAnsi="Times New Roman" w:eastAsia="等线"/>
              </w:rPr>
              <w:t>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66" w:type="pct"/>
            <w:vAlign w:val="center"/>
          </w:tcPr>
          <w:p>
            <w:pPr>
              <w:pStyle w:val="39"/>
              <w:rPr>
                <w:rFonts w:ascii="Times New Roman" w:hAnsi="Times New Roman"/>
              </w:rPr>
            </w:pPr>
            <w:r>
              <w:rPr>
                <w:rFonts w:ascii="Times New Roman" w:hAnsi="Times New Roman"/>
                <w:kern w:val="0"/>
              </w:rPr>
              <w:t>45</w:t>
            </w:r>
          </w:p>
        </w:tc>
        <w:tc>
          <w:tcPr>
            <w:tcW w:w="1667" w:type="pct"/>
            <w:vAlign w:val="bottom"/>
          </w:tcPr>
          <w:p>
            <w:pPr>
              <w:pStyle w:val="39"/>
              <w:rPr>
                <w:rFonts w:ascii="Times New Roman" w:hAnsi="Times New Roman"/>
              </w:rPr>
            </w:pPr>
            <w:r>
              <w:rPr>
                <w:rFonts w:ascii="Times New Roman" w:hAnsi="Times New Roman" w:eastAsia="等线"/>
              </w:rPr>
              <w:t>42</w:t>
            </w:r>
          </w:p>
        </w:tc>
        <w:tc>
          <w:tcPr>
            <w:tcW w:w="1667" w:type="pct"/>
            <w:vAlign w:val="bottom"/>
          </w:tcPr>
          <w:p>
            <w:pPr>
              <w:pStyle w:val="39"/>
              <w:rPr>
                <w:rFonts w:ascii="Times New Roman" w:hAnsi="Times New Roman"/>
              </w:rPr>
            </w:pPr>
            <w:r>
              <w:rPr>
                <w:rFonts w:ascii="Times New Roman" w:hAnsi="Times New Roman" w:eastAsia="等线"/>
              </w:rPr>
              <w:t>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kern w:val="0"/>
              </w:rPr>
              <w:t>50</w:t>
            </w:r>
          </w:p>
        </w:tc>
        <w:tc>
          <w:tcPr>
            <w:tcW w:w="1667" w:type="pct"/>
            <w:vAlign w:val="bottom"/>
          </w:tcPr>
          <w:p>
            <w:pPr>
              <w:pStyle w:val="39"/>
              <w:rPr>
                <w:rFonts w:ascii="Times New Roman" w:hAnsi="Times New Roman"/>
              </w:rPr>
            </w:pPr>
            <w:r>
              <w:rPr>
                <w:rFonts w:ascii="Times New Roman" w:hAnsi="Times New Roman" w:eastAsia="等线"/>
              </w:rPr>
              <w:t>42</w:t>
            </w:r>
          </w:p>
        </w:tc>
        <w:tc>
          <w:tcPr>
            <w:tcW w:w="1667" w:type="pct"/>
            <w:vAlign w:val="bottom"/>
          </w:tcPr>
          <w:p>
            <w:pPr>
              <w:pStyle w:val="39"/>
              <w:rPr>
                <w:rFonts w:ascii="Times New Roman" w:hAnsi="Times New Roman"/>
              </w:rPr>
            </w:pPr>
            <w:r>
              <w:rPr>
                <w:rFonts w:ascii="Times New Roman" w:hAnsi="Times New Roman" w:eastAsia="等线"/>
              </w:rPr>
              <w:t>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kern w:val="0"/>
              </w:rPr>
              <w:t>60</w:t>
            </w:r>
          </w:p>
        </w:tc>
        <w:tc>
          <w:tcPr>
            <w:tcW w:w="1667" w:type="pct"/>
            <w:vAlign w:val="bottom"/>
          </w:tcPr>
          <w:p>
            <w:pPr>
              <w:pStyle w:val="39"/>
              <w:rPr>
                <w:rFonts w:ascii="Times New Roman" w:hAnsi="Times New Roman"/>
              </w:rPr>
            </w:pPr>
            <w:r>
              <w:rPr>
                <w:rFonts w:ascii="Times New Roman" w:hAnsi="Times New Roman" w:eastAsia="等线"/>
              </w:rPr>
              <w:t>42</w:t>
            </w:r>
          </w:p>
        </w:tc>
        <w:tc>
          <w:tcPr>
            <w:tcW w:w="1667" w:type="pct"/>
            <w:vAlign w:val="bottom"/>
          </w:tcPr>
          <w:p>
            <w:pPr>
              <w:pStyle w:val="39"/>
              <w:rPr>
                <w:rFonts w:ascii="Times New Roman" w:hAnsi="Times New Roman"/>
              </w:rPr>
            </w:pPr>
            <w:r>
              <w:rPr>
                <w:rFonts w:ascii="Times New Roman" w:hAnsi="Times New Roman" w:eastAsia="等线"/>
              </w:rPr>
              <w:t>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kern w:val="0"/>
              </w:rPr>
              <w:t>70</w:t>
            </w:r>
          </w:p>
        </w:tc>
        <w:tc>
          <w:tcPr>
            <w:tcW w:w="1667" w:type="pct"/>
            <w:vAlign w:val="bottom"/>
          </w:tcPr>
          <w:p>
            <w:pPr>
              <w:pStyle w:val="39"/>
              <w:rPr>
                <w:rFonts w:ascii="Times New Roman" w:hAnsi="Times New Roman"/>
              </w:rPr>
            </w:pPr>
            <w:r>
              <w:rPr>
                <w:rFonts w:ascii="Times New Roman" w:hAnsi="Times New Roman" w:eastAsia="等线"/>
              </w:rPr>
              <w:t>91</w:t>
            </w:r>
          </w:p>
        </w:tc>
        <w:tc>
          <w:tcPr>
            <w:tcW w:w="1667" w:type="pct"/>
            <w:vAlign w:val="bottom"/>
          </w:tcPr>
          <w:p>
            <w:pPr>
              <w:pStyle w:val="39"/>
              <w:rPr>
                <w:rFonts w:ascii="Times New Roman" w:hAnsi="Times New Roman"/>
              </w:rPr>
            </w:pPr>
            <w:r>
              <w:rPr>
                <w:rFonts w:ascii="Times New Roman" w:hAnsi="Times New Roman" w:eastAsia="等线"/>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kern w:val="0"/>
              </w:rPr>
              <w:t>80</w:t>
            </w:r>
          </w:p>
        </w:tc>
        <w:tc>
          <w:tcPr>
            <w:tcW w:w="1667" w:type="pct"/>
            <w:vAlign w:val="bottom"/>
          </w:tcPr>
          <w:p>
            <w:pPr>
              <w:pStyle w:val="39"/>
              <w:rPr>
                <w:rFonts w:ascii="Times New Roman" w:hAnsi="Times New Roman"/>
              </w:rPr>
            </w:pPr>
            <w:r>
              <w:rPr>
                <w:rFonts w:ascii="Times New Roman" w:hAnsi="Times New Roman" w:eastAsia="等线"/>
              </w:rPr>
              <w:t>193</w:t>
            </w:r>
          </w:p>
        </w:tc>
        <w:tc>
          <w:tcPr>
            <w:tcW w:w="1667" w:type="pct"/>
            <w:vAlign w:val="bottom"/>
          </w:tcPr>
          <w:p>
            <w:pPr>
              <w:pStyle w:val="39"/>
              <w:rPr>
                <w:rFonts w:ascii="Times New Roman" w:hAnsi="Times New Roman"/>
              </w:rPr>
            </w:pPr>
            <w:r>
              <w:rPr>
                <w:rFonts w:ascii="Times New Roman" w:hAnsi="Times New Roman" w:eastAsia="等线"/>
              </w:rPr>
              <w:t>43.7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eastAsia="等线"/>
                <w:kern w:val="0"/>
                <w:lang w:bidi="ar"/>
              </w:rPr>
              <w:t>90</w:t>
            </w:r>
          </w:p>
        </w:tc>
        <w:tc>
          <w:tcPr>
            <w:tcW w:w="1667" w:type="pct"/>
            <w:vAlign w:val="bottom"/>
          </w:tcPr>
          <w:p>
            <w:pPr>
              <w:pStyle w:val="39"/>
              <w:rPr>
                <w:rFonts w:ascii="Times New Roman" w:hAnsi="Times New Roman"/>
              </w:rPr>
            </w:pPr>
            <w:r>
              <w:rPr>
                <w:rFonts w:ascii="Times New Roman" w:hAnsi="Times New Roman" w:eastAsia="等线"/>
              </w:rPr>
              <w:t>840</w:t>
            </w:r>
          </w:p>
        </w:tc>
        <w:tc>
          <w:tcPr>
            <w:tcW w:w="1667" w:type="pct"/>
            <w:vAlign w:val="bottom"/>
          </w:tcPr>
          <w:p>
            <w:pPr>
              <w:pStyle w:val="39"/>
              <w:rPr>
                <w:rFonts w:ascii="Times New Roman" w:hAnsi="Times New Roman"/>
              </w:rPr>
            </w:pPr>
            <w:r>
              <w:rPr>
                <w:rFonts w:ascii="Times New Roman" w:hAnsi="Times New Roman" w:eastAsia="等线"/>
              </w:rPr>
              <w:t>39.3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eastAsia="等线"/>
                <w:kern w:val="0"/>
                <w:lang w:bidi="ar"/>
              </w:rPr>
              <w:t>100</w:t>
            </w:r>
          </w:p>
        </w:tc>
        <w:tc>
          <w:tcPr>
            <w:tcW w:w="1667" w:type="pct"/>
            <w:vAlign w:val="bottom"/>
          </w:tcPr>
          <w:p>
            <w:pPr>
              <w:pStyle w:val="39"/>
              <w:rPr>
                <w:rFonts w:ascii="Times New Roman" w:hAnsi="Times New Roman"/>
              </w:rPr>
            </w:pPr>
            <w:r>
              <w:rPr>
                <w:rFonts w:ascii="Times New Roman" w:hAnsi="Times New Roman" w:eastAsia="等线"/>
              </w:rPr>
              <w:t>890</w:t>
            </w:r>
          </w:p>
        </w:tc>
        <w:tc>
          <w:tcPr>
            <w:tcW w:w="1667" w:type="pct"/>
            <w:vAlign w:val="bottom"/>
          </w:tcPr>
          <w:p>
            <w:pPr>
              <w:pStyle w:val="39"/>
              <w:rPr>
                <w:rFonts w:ascii="Times New Roman" w:hAnsi="Times New Roman"/>
              </w:rPr>
            </w:pPr>
            <w:r>
              <w:rPr>
                <w:rFonts w:ascii="Times New Roman" w:hAnsi="Times New Roman" w:eastAsia="等线"/>
              </w:rPr>
              <w:t>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eastAsia="等线"/>
                <w:kern w:val="0"/>
                <w:lang w:bidi="ar"/>
              </w:rPr>
              <w:t>110</w:t>
            </w:r>
          </w:p>
        </w:tc>
        <w:tc>
          <w:tcPr>
            <w:tcW w:w="1667" w:type="pct"/>
            <w:vAlign w:val="bottom"/>
          </w:tcPr>
          <w:p>
            <w:pPr>
              <w:pStyle w:val="39"/>
              <w:rPr>
                <w:rFonts w:ascii="Times New Roman" w:hAnsi="Times New Roman"/>
              </w:rPr>
            </w:pPr>
            <w:r>
              <w:rPr>
                <w:rFonts w:ascii="Times New Roman" w:hAnsi="Times New Roman" w:eastAsia="等线"/>
              </w:rPr>
              <w:t>1290</w:t>
            </w:r>
          </w:p>
        </w:tc>
        <w:tc>
          <w:tcPr>
            <w:tcW w:w="1667" w:type="pct"/>
            <w:vAlign w:val="bottom"/>
          </w:tcPr>
          <w:p>
            <w:pPr>
              <w:pStyle w:val="39"/>
              <w:rPr>
                <w:rFonts w:ascii="Times New Roman" w:hAnsi="Times New Roman"/>
              </w:rPr>
            </w:pPr>
            <w:r>
              <w:rPr>
                <w:rFonts w:ascii="Times New Roman" w:hAnsi="Times New Roman" w:eastAsia="等线"/>
              </w:rPr>
              <w:t>33.2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eastAsia="等线"/>
                <w:kern w:val="0"/>
                <w:lang w:bidi="ar"/>
              </w:rPr>
              <w:t>120</w:t>
            </w:r>
          </w:p>
        </w:tc>
        <w:tc>
          <w:tcPr>
            <w:tcW w:w="1667" w:type="pct"/>
            <w:vAlign w:val="bottom"/>
          </w:tcPr>
          <w:p>
            <w:pPr>
              <w:pStyle w:val="39"/>
              <w:rPr>
                <w:rFonts w:ascii="Times New Roman" w:hAnsi="Times New Roman"/>
              </w:rPr>
            </w:pPr>
            <w:r>
              <w:rPr>
                <w:rFonts w:ascii="Times New Roman" w:hAnsi="Times New Roman" w:eastAsia="等线"/>
              </w:rPr>
              <w:t>1290</w:t>
            </w:r>
          </w:p>
        </w:tc>
        <w:tc>
          <w:tcPr>
            <w:tcW w:w="1667" w:type="pct"/>
            <w:vAlign w:val="bottom"/>
          </w:tcPr>
          <w:p>
            <w:pPr>
              <w:pStyle w:val="39"/>
              <w:rPr>
                <w:rFonts w:ascii="Times New Roman" w:hAnsi="Times New Roman"/>
              </w:rPr>
            </w:pPr>
            <w:r>
              <w:rPr>
                <w:rFonts w:ascii="Times New Roman" w:hAnsi="Times New Roman" w:eastAsia="等线"/>
              </w:rPr>
              <w:t>33.8</w:t>
            </w:r>
          </w:p>
        </w:tc>
      </w:tr>
    </w:tbl>
    <w:p>
      <w:pPr>
        <w:pStyle w:val="37"/>
        <w:rPr>
          <w:rFonts w:ascii="Times New Roman" w:hAnsi="Times New Roman" w:cs="Times New Roman"/>
        </w:rPr>
      </w:pPr>
      <w:bookmarkStart w:id="290" w:name="_Ref15810464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32</w:t>
      </w:r>
      <w:r>
        <w:rPr>
          <w:rFonts w:ascii="Times New Roman" w:hAnsi="Times New Roman" w:cs="Times New Roman"/>
        </w:rPr>
        <w:fldChar w:fldCharType="end"/>
      </w:r>
      <w:bookmarkEnd w:id="290"/>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S扩散不同距离下的最大浓度及到达时间（部分结果，南风向）</w:t>
      </w:r>
    </w:p>
    <w:tbl>
      <w:tblPr>
        <w:tblStyle w:val="28"/>
        <w:tblW w:w="90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24"/>
        <w:gridCol w:w="3058"/>
        <w:gridCol w:w="30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距离/m</w:t>
            </w:r>
          </w:p>
        </w:tc>
        <w:tc>
          <w:tcPr>
            <w:tcW w:w="3058" w:type="dxa"/>
            <w:noWrap/>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p>
        </w:tc>
        <w:tc>
          <w:tcPr>
            <w:tcW w:w="3003" w:type="dxa"/>
            <w:noWrap/>
            <w:vAlign w:val="center"/>
          </w:tcPr>
          <w:p>
            <w:pPr>
              <w:pStyle w:val="39"/>
              <w:rPr>
                <w:rFonts w:ascii="Times New Roman" w:hAnsi="Times New Roman"/>
              </w:rPr>
            </w:pPr>
            <w:r>
              <w:rPr>
                <w:rFonts w:ascii="Times New Roman" w:hAnsi="Times New Roman"/>
              </w:rPr>
              <w:t>到达时间/min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10</w:t>
            </w:r>
          </w:p>
        </w:tc>
        <w:tc>
          <w:tcPr>
            <w:tcW w:w="3058" w:type="dxa"/>
            <w:noWrap/>
            <w:vAlign w:val="center"/>
          </w:tcPr>
          <w:p>
            <w:pPr>
              <w:pStyle w:val="39"/>
              <w:rPr>
                <w:rFonts w:ascii="Times New Roman" w:hAnsi="Times New Roman"/>
              </w:rPr>
            </w:pPr>
            <w:r>
              <w:rPr>
                <w:rFonts w:ascii="Times New Roman" w:hAnsi="Times New Roman"/>
              </w:rPr>
              <w:t>159</w:t>
            </w:r>
          </w:p>
        </w:tc>
        <w:tc>
          <w:tcPr>
            <w:tcW w:w="3003" w:type="dxa"/>
            <w:noWrap/>
            <w:vAlign w:val="center"/>
          </w:tcPr>
          <w:p>
            <w:pPr>
              <w:pStyle w:val="39"/>
              <w:rPr>
                <w:rFonts w:ascii="Times New Roman" w:hAnsi="Times New Roman"/>
              </w:rPr>
            </w:pPr>
            <w:r>
              <w:rPr>
                <w:rFonts w:ascii="Times New Roman" w:hAnsi="Times New Roma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50</w:t>
            </w:r>
          </w:p>
        </w:tc>
        <w:tc>
          <w:tcPr>
            <w:tcW w:w="3058" w:type="dxa"/>
            <w:noWrap/>
            <w:vAlign w:val="center"/>
          </w:tcPr>
          <w:p>
            <w:pPr>
              <w:pStyle w:val="39"/>
              <w:rPr>
                <w:rFonts w:ascii="Times New Roman" w:hAnsi="Times New Roman"/>
              </w:rPr>
            </w:pPr>
            <w:r>
              <w:rPr>
                <w:rFonts w:ascii="Times New Roman" w:hAnsi="Times New Roman"/>
              </w:rPr>
              <w:t>111</w:t>
            </w:r>
          </w:p>
        </w:tc>
        <w:tc>
          <w:tcPr>
            <w:tcW w:w="3003" w:type="dxa"/>
            <w:noWrap/>
            <w:vAlign w:val="center"/>
          </w:tcPr>
          <w:p>
            <w:pPr>
              <w:pStyle w:val="39"/>
              <w:rPr>
                <w:rFonts w:ascii="Times New Roman" w:hAnsi="Times New Roman"/>
              </w:rPr>
            </w:pPr>
            <w:r>
              <w:rPr>
                <w:rFonts w:ascii="Times New Roman" w:hAnsi="Times New Roma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100</w:t>
            </w:r>
          </w:p>
        </w:tc>
        <w:tc>
          <w:tcPr>
            <w:tcW w:w="3058" w:type="dxa"/>
            <w:noWrap/>
            <w:vAlign w:val="center"/>
          </w:tcPr>
          <w:p>
            <w:pPr>
              <w:pStyle w:val="39"/>
              <w:rPr>
                <w:rFonts w:ascii="Times New Roman" w:hAnsi="Times New Roman"/>
              </w:rPr>
            </w:pPr>
            <w:r>
              <w:rPr>
                <w:rFonts w:ascii="Times New Roman" w:hAnsi="Times New Roman"/>
              </w:rPr>
              <w:t>4.15</w:t>
            </w:r>
          </w:p>
        </w:tc>
        <w:tc>
          <w:tcPr>
            <w:tcW w:w="3003" w:type="dxa"/>
            <w:noWrap/>
            <w:vAlign w:val="center"/>
          </w:tcPr>
          <w:p>
            <w:pPr>
              <w:pStyle w:val="39"/>
              <w:rPr>
                <w:rFonts w:ascii="Times New Roman" w:hAnsi="Times New Roman"/>
              </w:rPr>
            </w:pPr>
            <w:r>
              <w:rPr>
                <w:rFonts w:ascii="Times New Roman" w:hAnsi="Times New Roma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300</w:t>
            </w:r>
          </w:p>
        </w:tc>
        <w:tc>
          <w:tcPr>
            <w:tcW w:w="3058" w:type="dxa"/>
            <w:noWrap/>
            <w:vAlign w:val="center"/>
          </w:tcPr>
          <w:p>
            <w:pPr>
              <w:pStyle w:val="39"/>
              <w:rPr>
                <w:rFonts w:ascii="Times New Roman" w:hAnsi="Times New Roman"/>
              </w:rPr>
            </w:pPr>
            <w:r>
              <w:rPr>
                <w:rFonts w:ascii="Times New Roman" w:hAnsi="Times New Roman"/>
              </w:rPr>
              <w:t>2.14E-05</w:t>
            </w:r>
          </w:p>
        </w:tc>
        <w:tc>
          <w:tcPr>
            <w:tcW w:w="3003" w:type="dxa"/>
            <w:noWrap/>
            <w:vAlign w:val="center"/>
          </w:tcPr>
          <w:p>
            <w:pPr>
              <w:pStyle w:val="39"/>
              <w:rPr>
                <w:rFonts w:ascii="Times New Roman" w:hAnsi="Times New Roman"/>
              </w:rPr>
            </w:pPr>
            <w:r>
              <w:rPr>
                <w:rFonts w:ascii="Times New Roman" w:hAnsi="Times New Roma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600</w:t>
            </w:r>
          </w:p>
        </w:tc>
        <w:tc>
          <w:tcPr>
            <w:tcW w:w="3058" w:type="dxa"/>
            <w:noWrap/>
            <w:vAlign w:val="center"/>
          </w:tcPr>
          <w:p>
            <w:pPr>
              <w:pStyle w:val="39"/>
              <w:rPr>
                <w:rFonts w:ascii="Times New Roman" w:hAnsi="Times New Roman"/>
              </w:rPr>
            </w:pPr>
            <w:r>
              <w:rPr>
                <w:rFonts w:ascii="Times New Roman" w:hAnsi="Times New Roman"/>
              </w:rPr>
              <w:t>1.21E-06</w:t>
            </w:r>
          </w:p>
        </w:tc>
        <w:tc>
          <w:tcPr>
            <w:tcW w:w="3003" w:type="dxa"/>
            <w:noWrap/>
            <w:vAlign w:val="center"/>
          </w:tcPr>
          <w:p>
            <w:pPr>
              <w:pStyle w:val="39"/>
              <w:rPr>
                <w:rFonts w:ascii="Times New Roman" w:hAnsi="Times New Roman"/>
              </w:rPr>
            </w:pPr>
            <w:r>
              <w:rPr>
                <w:rFonts w:ascii="Times New Roman" w:hAnsi="Times New Roman"/>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1000</w:t>
            </w:r>
          </w:p>
        </w:tc>
        <w:tc>
          <w:tcPr>
            <w:tcW w:w="3058" w:type="dxa"/>
            <w:noWrap/>
            <w:vAlign w:val="center"/>
          </w:tcPr>
          <w:p>
            <w:pPr>
              <w:pStyle w:val="39"/>
              <w:rPr>
                <w:rFonts w:ascii="Times New Roman" w:hAnsi="Times New Roman"/>
              </w:rPr>
            </w:pPr>
            <w:r>
              <w:rPr>
                <w:rFonts w:ascii="Times New Roman" w:hAnsi="Times New Roman"/>
              </w:rPr>
              <w:t>5.08E-02</w:t>
            </w:r>
          </w:p>
        </w:tc>
        <w:tc>
          <w:tcPr>
            <w:tcW w:w="3003" w:type="dxa"/>
            <w:noWrap/>
            <w:vAlign w:val="center"/>
          </w:tcPr>
          <w:p>
            <w:pPr>
              <w:pStyle w:val="39"/>
              <w:rPr>
                <w:rFonts w:ascii="Times New Roman" w:hAnsi="Times New Roman"/>
              </w:rPr>
            </w:pPr>
            <w:r>
              <w:rPr>
                <w:rFonts w:ascii="Times New Roman" w:hAnsi="Times New Roman"/>
              </w:rPr>
              <w:t>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1500</w:t>
            </w:r>
          </w:p>
        </w:tc>
        <w:tc>
          <w:tcPr>
            <w:tcW w:w="3058" w:type="dxa"/>
            <w:noWrap/>
            <w:vAlign w:val="center"/>
          </w:tcPr>
          <w:p>
            <w:pPr>
              <w:pStyle w:val="39"/>
              <w:rPr>
                <w:rFonts w:ascii="Times New Roman" w:hAnsi="Times New Roman"/>
              </w:rPr>
            </w:pPr>
            <w:r>
              <w:rPr>
                <w:rFonts w:ascii="Times New Roman" w:hAnsi="Times New Roman"/>
              </w:rPr>
              <w:t>0</w:t>
            </w:r>
          </w:p>
        </w:tc>
        <w:tc>
          <w:tcPr>
            <w:tcW w:w="3003" w:type="dxa"/>
            <w:noWrap/>
            <w:vAlign w:val="center"/>
          </w:tcPr>
          <w:p>
            <w:pPr>
              <w:pStyle w:val="39"/>
              <w:rPr>
                <w:rFonts w:ascii="Times New Roman" w:hAnsi="Times New Roman"/>
              </w:rPr>
            </w:pPr>
            <w:r>
              <w:rPr>
                <w:rFonts w:ascii="Times New Roman" w:hAnsi="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2100</w:t>
            </w:r>
          </w:p>
        </w:tc>
        <w:tc>
          <w:tcPr>
            <w:tcW w:w="3058" w:type="dxa"/>
            <w:noWrap/>
            <w:vAlign w:val="center"/>
          </w:tcPr>
          <w:p>
            <w:pPr>
              <w:pStyle w:val="39"/>
              <w:rPr>
                <w:rFonts w:ascii="Times New Roman" w:hAnsi="Times New Roman"/>
              </w:rPr>
            </w:pPr>
            <w:r>
              <w:rPr>
                <w:rFonts w:ascii="Times New Roman" w:hAnsi="Times New Roman"/>
              </w:rPr>
              <w:t>0</w:t>
            </w:r>
          </w:p>
        </w:tc>
        <w:tc>
          <w:tcPr>
            <w:tcW w:w="3003" w:type="dxa"/>
            <w:noWrap/>
            <w:vAlign w:val="center"/>
          </w:tcPr>
          <w:p>
            <w:pPr>
              <w:pStyle w:val="39"/>
              <w:rPr>
                <w:rFonts w:ascii="Times New Roman" w:hAnsi="Times New Roman"/>
              </w:rPr>
            </w:pPr>
            <w:r>
              <w:rPr>
                <w:rFonts w:ascii="Times New Roman" w:hAnsi="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3000</w:t>
            </w:r>
          </w:p>
        </w:tc>
        <w:tc>
          <w:tcPr>
            <w:tcW w:w="3058" w:type="dxa"/>
            <w:noWrap/>
            <w:vAlign w:val="center"/>
          </w:tcPr>
          <w:p>
            <w:pPr>
              <w:pStyle w:val="39"/>
              <w:rPr>
                <w:rFonts w:ascii="Times New Roman" w:hAnsi="Times New Roman"/>
              </w:rPr>
            </w:pPr>
            <w:r>
              <w:rPr>
                <w:rFonts w:ascii="Times New Roman" w:hAnsi="Times New Roman"/>
              </w:rPr>
              <w:t>0.78</w:t>
            </w:r>
          </w:p>
        </w:tc>
        <w:tc>
          <w:tcPr>
            <w:tcW w:w="3003" w:type="dxa"/>
            <w:noWrap/>
            <w:vAlign w:val="center"/>
          </w:tcPr>
          <w:p>
            <w:pPr>
              <w:pStyle w:val="39"/>
              <w:rPr>
                <w:rFonts w:ascii="Times New Roman" w:hAnsi="Times New Roman"/>
              </w:rPr>
            </w:pPr>
            <w:r>
              <w:rPr>
                <w:rFonts w:ascii="Times New Roman" w:hAnsi="Times New Roma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4000</w:t>
            </w:r>
          </w:p>
        </w:tc>
        <w:tc>
          <w:tcPr>
            <w:tcW w:w="3058" w:type="dxa"/>
            <w:noWrap/>
            <w:vAlign w:val="center"/>
          </w:tcPr>
          <w:p>
            <w:pPr>
              <w:pStyle w:val="39"/>
              <w:rPr>
                <w:rFonts w:ascii="Times New Roman" w:hAnsi="Times New Roman"/>
              </w:rPr>
            </w:pPr>
            <w:r>
              <w:rPr>
                <w:rFonts w:ascii="Times New Roman" w:hAnsi="Times New Roman"/>
              </w:rPr>
              <w:t>1.90E-04</w:t>
            </w:r>
          </w:p>
        </w:tc>
        <w:tc>
          <w:tcPr>
            <w:tcW w:w="3003" w:type="dxa"/>
            <w:noWrap/>
            <w:vAlign w:val="center"/>
          </w:tcPr>
          <w:p>
            <w:pPr>
              <w:pStyle w:val="39"/>
              <w:rPr>
                <w:rFonts w:ascii="Times New Roman" w:hAnsi="Times New Roman"/>
              </w:rPr>
            </w:pPr>
            <w:r>
              <w:rPr>
                <w:rFonts w:ascii="Times New Roman" w:hAnsi="Times New Roman"/>
              </w:rPr>
              <w:t>210</w:t>
            </w:r>
          </w:p>
        </w:tc>
      </w:tr>
    </w:tbl>
    <w:p>
      <w:pPr>
        <w:ind w:firstLine="480"/>
        <w:rPr>
          <w:rFonts w:ascii="Times New Roman" w:hAnsi="Times New Roman"/>
        </w:rPr>
      </w:pPr>
    </w:p>
    <w:p>
      <w:pPr>
        <w:ind w:firstLine="480"/>
        <w:rPr>
          <w:rFonts w:ascii="Times New Roman" w:hAnsi="Times New Roman"/>
        </w:rPr>
      </w:pPr>
    </w:p>
    <w:p>
      <w:pPr>
        <w:keepNext/>
        <w:ind w:firstLine="0" w:firstLineChars="0"/>
        <w:jc w:val="center"/>
        <w:rPr>
          <w:rFonts w:ascii="Times New Roman" w:hAnsi="Times New Roman"/>
        </w:rPr>
        <w:sectPr>
          <w:headerReference r:id="rId23" w:type="first"/>
          <w:footerReference r:id="rId25" w:type="first"/>
          <w:headerReference r:id="rId22" w:type="even"/>
          <w:footerReference r:id="rId24" w:type="even"/>
          <w:pgSz w:w="11907" w:h="16840"/>
          <w:pgMar w:top="1417" w:right="1417" w:bottom="1417" w:left="1587" w:header="851" w:footer="992" w:gutter="0"/>
          <w:cols w:space="720" w:num="1"/>
          <w:docGrid w:linePitch="312" w:charSpace="0"/>
        </w:sectPr>
      </w:pPr>
    </w:p>
    <w:p>
      <w:pPr>
        <w:keepNext/>
        <w:ind w:firstLine="0" w:firstLineChars="0"/>
        <w:jc w:val="center"/>
        <w:rPr>
          <w:rFonts w:ascii="Times New Roman" w:hAnsi="Times New Roman"/>
        </w:rPr>
      </w:pPr>
      <w:r>
        <w:rPr>
          <w:rFonts w:ascii="Times New Roman" w:hAnsi="Times New Roman"/>
        </w:rPr>
        <w:drawing>
          <wp:inline distT="0" distB="0" distL="0" distR="0">
            <wp:extent cx="5181600" cy="4080510"/>
            <wp:effectExtent l="0" t="0" r="0" b="0"/>
            <wp:docPr id="13593633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363372" name="图片 2"/>
                    <pic:cNvPicPr>
                      <a:picLocks noChangeAspect="1" noChangeArrowheads="1"/>
                    </pic:cNvPicPr>
                  </pic:nvPicPr>
                  <pic:blipFill>
                    <a:blip r:embed="rId143" cstate="print">
                      <a:extLst>
                        <a:ext uri="{28A0092B-C50C-407E-A947-70E740481C1C}">
                          <a14:useLocalDpi xmlns:a14="http://schemas.microsoft.com/office/drawing/2010/main" val="0"/>
                        </a:ext>
                      </a:extLst>
                    </a:blip>
                    <a:srcRect r="8338" b="2994"/>
                    <a:stretch>
                      <a:fillRect/>
                    </a:stretch>
                  </pic:blipFill>
                  <pic:spPr>
                    <a:xfrm>
                      <a:off x="0" y="0"/>
                      <a:ext cx="5182046" cy="4081284"/>
                    </a:xfrm>
                    <a:prstGeom prst="rect">
                      <a:avLst/>
                    </a:prstGeom>
                    <a:noFill/>
                    <a:ln>
                      <a:noFill/>
                    </a:ln>
                  </pic:spPr>
                </pic:pic>
              </a:graphicData>
            </a:graphic>
          </wp:inline>
        </w:drawing>
      </w:r>
    </w:p>
    <w:p>
      <w:pPr>
        <w:pStyle w:val="37"/>
        <w:rPr>
          <w:rFonts w:ascii="Times New Roman" w:hAnsi="Times New Roman" w:cs="Times New Roman"/>
        </w:rPr>
      </w:pPr>
      <w:bookmarkStart w:id="291" w:name="_Ref158104599"/>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bookmarkEnd w:id="291"/>
      <w:r>
        <w:rPr>
          <w:rFonts w:ascii="Times New Roman" w:hAnsi="Times New Roman" w:cs="Times New Roman"/>
        </w:rPr>
        <w:t xml:space="preserve">   天然气泄漏H</w:t>
      </w:r>
      <w:r>
        <w:rPr>
          <w:rFonts w:ascii="Times New Roman" w:hAnsi="Times New Roman" w:cs="Times New Roman"/>
          <w:vertAlign w:val="subscript"/>
        </w:rPr>
        <w:t>2</w:t>
      </w:r>
      <w:r>
        <w:rPr>
          <w:rFonts w:ascii="Times New Roman" w:hAnsi="Times New Roman" w:cs="Times New Roman"/>
        </w:rPr>
        <w:t>S在南风向下最大影响范围平面示意图</w:t>
      </w:r>
    </w:p>
    <w:p>
      <w:pPr>
        <w:pStyle w:val="37"/>
        <w:rPr>
          <w:rFonts w:ascii="Times New Roman" w:hAnsi="Times New Roman" w:cs="Times New Roman"/>
        </w:rPr>
      </w:pPr>
      <w:bookmarkStart w:id="292" w:name="_Ref158104648"/>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33</w:t>
      </w:r>
      <w:r>
        <w:rPr>
          <w:rFonts w:ascii="Times New Roman" w:hAnsi="Times New Roman" w:cs="Times New Roman"/>
        </w:rPr>
        <w:fldChar w:fldCharType="end"/>
      </w:r>
      <w:bookmarkEnd w:id="292"/>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S扩散对关心点的预测统计表</w:t>
      </w:r>
    </w:p>
    <w:tbl>
      <w:tblPr>
        <w:tblStyle w:val="28"/>
        <w:tblW w:w="516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2100"/>
        <w:gridCol w:w="2384"/>
        <w:gridCol w:w="2178"/>
        <w:gridCol w:w="19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dxa"/>
            <w:shd w:val="clear" w:color="auto" w:fill="auto"/>
            <w:vAlign w:val="center"/>
          </w:tcPr>
          <w:p>
            <w:pPr>
              <w:pStyle w:val="39"/>
              <w:rPr>
                <w:rFonts w:ascii="Times New Roman" w:hAnsi="Times New Roman"/>
              </w:rPr>
            </w:pPr>
            <w:r>
              <w:rPr>
                <w:rFonts w:ascii="Times New Roman" w:hAnsi="Times New Roman"/>
              </w:rPr>
              <w:t>序号</w:t>
            </w:r>
          </w:p>
        </w:tc>
        <w:tc>
          <w:tcPr>
            <w:tcW w:w="2100" w:type="dxa"/>
            <w:shd w:val="clear" w:color="auto" w:fill="auto"/>
            <w:vAlign w:val="center"/>
          </w:tcPr>
          <w:p>
            <w:pPr>
              <w:pStyle w:val="39"/>
              <w:rPr>
                <w:rFonts w:ascii="Times New Roman" w:hAnsi="Times New Roman"/>
              </w:rPr>
            </w:pPr>
            <w:r>
              <w:rPr>
                <w:rFonts w:ascii="Times New Roman" w:hAnsi="Times New Roman"/>
              </w:rPr>
              <w:t>敏感目标名称</w:t>
            </w:r>
          </w:p>
        </w:tc>
        <w:tc>
          <w:tcPr>
            <w:tcW w:w="2384" w:type="dxa"/>
            <w:shd w:val="clear" w:color="auto" w:fill="auto"/>
            <w:vAlign w:val="center"/>
          </w:tcPr>
          <w:p>
            <w:pPr>
              <w:pStyle w:val="39"/>
              <w:rPr>
                <w:rFonts w:ascii="Times New Roman" w:hAnsi="Times New Roman"/>
              </w:rPr>
            </w:pPr>
            <w:r>
              <w:rPr>
                <w:rFonts w:ascii="Times New Roman" w:hAnsi="Times New Roman"/>
              </w:rPr>
              <w:t>*超标出现时间/min</w:t>
            </w:r>
          </w:p>
        </w:tc>
        <w:tc>
          <w:tcPr>
            <w:tcW w:w="2178" w:type="dxa"/>
            <w:shd w:val="clear" w:color="auto" w:fill="auto"/>
            <w:vAlign w:val="center"/>
          </w:tcPr>
          <w:p>
            <w:pPr>
              <w:pStyle w:val="39"/>
              <w:rPr>
                <w:rFonts w:ascii="Times New Roman" w:hAnsi="Times New Roman"/>
              </w:rPr>
            </w:pPr>
            <w:r>
              <w:rPr>
                <w:rFonts w:ascii="Times New Roman" w:hAnsi="Times New Roman"/>
              </w:rPr>
              <w:t>超标持续时间/min</w:t>
            </w:r>
          </w:p>
        </w:tc>
        <w:tc>
          <w:tcPr>
            <w:tcW w:w="1986" w:type="dxa"/>
            <w:shd w:val="clear" w:color="auto" w:fill="auto"/>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dxa"/>
            <w:shd w:val="clear" w:color="auto" w:fill="auto"/>
            <w:vAlign w:val="center"/>
          </w:tcPr>
          <w:p>
            <w:pPr>
              <w:pStyle w:val="39"/>
              <w:rPr>
                <w:rFonts w:ascii="Times New Roman" w:hAnsi="Times New Roman"/>
              </w:rPr>
            </w:pPr>
            <w:r>
              <w:rPr>
                <w:rFonts w:ascii="Times New Roman" w:hAnsi="Times New Roman"/>
              </w:rPr>
              <w:t>1</w:t>
            </w:r>
          </w:p>
        </w:tc>
        <w:tc>
          <w:tcPr>
            <w:tcW w:w="2100" w:type="dxa"/>
            <w:shd w:val="clear" w:color="auto" w:fill="auto"/>
            <w:vAlign w:val="center"/>
          </w:tcPr>
          <w:p>
            <w:pPr>
              <w:pStyle w:val="39"/>
              <w:rPr>
                <w:rFonts w:ascii="Times New Roman" w:hAnsi="Times New Roman"/>
              </w:rPr>
            </w:pPr>
            <w:r>
              <w:rPr>
                <w:rFonts w:ascii="Times New Roman" w:hAnsi="Times New Roman"/>
              </w:rPr>
              <w:t>关心点1</w:t>
            </w:r>
          </w:p>
        </w:tc>
        <w:tc>
          <w:tcPr>
            <w:tcW w:w="2384" w:type="dxa"/>
            <w:shd w:val="clear" w:color="auto" w:fill="auto"/>
          </w:tcPr>
          <w:p>
            <w:pPr>
              <w:pStyle w:val="39"/>
              <w:rPr>
                <w:rFonts w:ascii="Times New Roman" w:hAnsi="Times New Roman"/>
              </w:rPr>
            </w:pPr>
            <w:r>
              <w:rPr>
                <w:rFonts w:ascii="Times New Roman" w:hAnsi="Times New Roman"/>
              </w:rPr>
              <w:t>21</w:t>
            </w:r>
          </w:p>
        </w:tc>
        <w:tc>
          <w:tcPr>
            <w:tcW w:w="2178" w:type="dxa"/>
            <w:shd w:val="clear" w:color="auto" w:fill="auto"/>
          </w:tcPr>
          <w:p>
            <w:pPr>
              <w:pStyle w:val="39"/>
              <w:rPr>
                <w:rFonts w:ascii="Times New Roman" w:hAnsi="Times New Roman"/>
              </w:rPr>
            </w:pPr>
            <w:r>
              <w:rPr>
                <w:rFonts w:ascii="Times New Roman" w:hAnsi="Times New Roman"/>
              </w:rPr>
              <w:t>63</w:t>
            </w:r>
          </w:p>
        </w:tc>
        <w:tc>
          <w:tcPr>
            <w:tcW w:w="1986" w:type="dxa"/>
            <w:shd w:val="clear" w:color="auto" w:fill="auto"/>
          </w:tcPr>
          <w:p>
            <w:pPr>
              <w:pStyle w:val="39"/>
              <w:rPr>
                <w:rFonts w:ascii="Times New Roman" w:hAnsi="Times New Roman"/>
              </w:rPr>
            </w:pPr>
            <w:r>
              <w:rPr>
                <w:rFonts w:ascii="Times New Roman" w:hAnsi="Times New Roman"/>
              </w:rPr>
              <w:t>86.3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dxa"/>
            <w:shd w:val="clear" w:color="auto" w:fill="auto"/>
            <w:vAlign w:val="center"/>
          </w:tcPr>
          <w:p>
            <w:pPr>
              <w:pStyle w:val="39"/>
              <w:rPr>
                <w:rFonts w:ascii="Times New Roman" w:hAnsi="Times New Roman"/>
              </w:rPr>
            </w:pPr>
            <w:r>
              <w:rPr>
                <w:rFonts w:ascii="Times New Roman" w:hAnsi="Times New Roman"/>
              </w:rPr>
              <w:t>2</w:t>
            </w:r>
          </w:p>
        </w:tc>
        <w:tc>
          <w:tcPr>
            <w:tcW w:w="2100" w:type="dxa"/>
            <w:shd w:val="clear" w:color="auto" w:fill="auto"/>
            <w:vAlign w:val="center"/>
          </w:tcPr>
          <w:p>
            <w:pPr>
              <w:pStyle w:val="39"/>
              <w:rPr>
                <w:rFonts w:ascii="Times New Roman" w:hAnsi="Times New Roman"/>
              </w:rPr>
            </w:pPr>
            <w:r>
              <w:rPr>
                <w:rFonts w:ascii="Times New Roman" w:hAnsi="Times New Roman"/>
              </w:rPr>
              <w:t>关心点2</w:t>
            </w:r>
          </w:p>
        </w:tc>
        <w:tc>
          <w:tcPr>
            <w:tcW w:w="2384" w:type="dxa"/>
            <w:shd w:val="clear" w:color="auto" w:fill="auto"/>
          </w:tcPr>
          <w:p>
            <w:pPr>
              <w:pStyle w:val="39"/>
              <w:rPr>
                <w:rFonts w:ascii="Times New Roman" w:hAnsi="Times New Roman"/>
              </w:rPr>
            </w:pPr>
            <w:r>
              <w:rPr>
                <w:rFonts w:ascii="Times New Roman" w:hAnsi="Times New Roman"/>
              </w:rPr>
              <w:t>28</w:t>
            </w:r>
          </w:p>
        </w:tc>
        <w:tc>
          <w:tcPr>
            <w:tcW w:w="2178" w:type="dxa"/>
            <w:shd w:val="clear" w:color="auto" w:fill="auto"/>
          </w:tcPr>
          <w:p>
            <w:pPr>
              <w:pStyle w:val="39"/>
              <w:rPr>
                <w:rFonts w:ascii="Times New Roman" w:hAnsi="Times New Roman"/>
              </w:rPr>
            </w:pPr>
            <w:r>
              <w:rPr>
                <w:rFonts w:ascii="Times New Roman" w:hAnsi="Times New Roman"/>
              </w:rPr>
              <w:t>59</w:t>
            </w:r>
          </w:p>
        </w:tc>
        <w:tc>
          <w:tcPr>
            <w:tcW w:w="1986" w:type="dxa"/>
            <w:shd w:val="clear" w:color="auto" w:fill="auto"/>
          </w:tcPr>
          <w:p>
            <w:pPr>
              <w:pStyle w:val="39"/>
              <w:rPr>
                <w:rFonts w:ascii="Times New Roman" w:hAnsi="Times New Roman"/>
              </w:rPr>
            </w:pPr>
            <w:r>
              <w:rPr>
                <w:rFonts w:ascii="Times New Roman" w:hAnsi="Times New Roman"/>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dxa"/>
            <w:shd w:val="clear" w:color="auto" w:fill="auto"/>
            <w:vAlign w:val="center"/>
          </w:tcPr>
          <w:p>
            <w:pPr>
              <w:pStyle w:val="39"/>
              <w:rPr>
                <w:rFonts w:ascii="Times New Roman" w:hAnsi="Times New Roman"/>
              </w:rPr>
            </w:pPr>
            <w:r>
              <w:rPr>
                <w:rFonts w:ascii="Times New Roman" w:hAnsi="Times New Roman"/>
              </w:rPr>
              <w:t>3</w:t>
            </w:r>
          </w:p>
        </w:tc>
        <w:tc>
          <w:tcPr>
            <w:tcW w:w="2100" w:type="dxa"/>
            <w:shd w:val="clear" w:color="auto" w:fill="auto"/>
            <w:vAlign w:val="center"/>
          </w:tcPr>
          <w:p>
            <w:pPr>
              <w:pStyle w:val="39"/>
              <w:rPr>
                <w:rFonts w:ascii="Times New Roman" w:hAnsi="Times New Roman"/>
              </w:rPr>
            </w:pPr>
            <w:r>
              <w:rPr>
                <w:rFonts w:ascii="Times New Roman" w:hAnsi="Times New Roman"/>
              </w:rPr>
              <w:t>关心点3</w:t>
            </w:r>
          </w:p>
        </w:tc>
        <w:tc>
          <w:tcPr>
            <w:tcW w:w="2384" w:type="dxa"/>
            <w:shd w:val="clear" w:color="auto" w:fill="auto"/>
          </w:tcPr>
          <w:p>
            <w:pPr>
              <w:pStyle w:val="39"/>
              <w:rPr>
                <w:rFonts w:ascii="Times New Roman" w:hAnsi="Times New Roman"/>
              </w:rPr>
            </w:pPr>
            <w:r>
              <w:rPr>
                <w:rFonts w:ascii="Times New Roman" w:hAnsi="Times New Roman"/>
              </w:rPr>
              <w:t>22</w:t>
            </w:r>
          </w:p>
        </w:tc>
        <w:tc>
          <w:tcPr>
            <w:tcW w:w="2178" w:type="dxa"/>
            <w:shd w:val="clear" w:color="auto" w:fill="auto"/>
          </w:tcPr>
          <w:p>
            <w:pPr>
              <w:pStyle w:val="39"/>
              <w:rPr>
                <w:rFonts w:ascii="Times New Roman" w:hAnsi="Times New Roman"/>
              </w:rPr>
            </w:pPr>
            <w:r>
              <w:rPr>
                <w:rFonts w:ascii="Times New Roman" w:hAnsi="Times New Roman"/>
              </w:rPr>
              <w:t>66</w:t>
            </w:r>
          </w:p>
        </w:tc>
        <w:tc>
          <w:tcPr>
            <w:tcW w:w="1986" w:type="dxa"/>
            <w:shd w:val="clear" w:color="auto" w:fill="auto"/>
          </w:tcPr>
          <w:p>
            <w:pPr>
              <w:pStyle w:val="39"/>
              <w:rPr>
                <w:rFonts w:ascii="Times New Roman" w:hAnsi="Times New Roman"/>
              </w:rPr>
            </w:pPr>
            <w:r>
              <w:rPr>
                <w:rFonts w:ascii="Times New Roman" w:hAnsi="Times New Roman"/>
              </w:rPr>
              <w:t>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dxa"/>
            <w:shd w:val="clear" w:color="auto" w:fill="auto"/>
            <w:vAlign w:val="center"/>
          </w:tcPr>
          <w:p>
            <w:pPr>
              <w:pStyle w:val="39"/>
              <w:rPr>
                <w:rFonts w:ascii="Times New Roman" w:hAnsi="Times New Roman"/>
              </w:rPr>
            </w:pPr>
            <w:r>
              <w:rPr>
                <w:rFonts w:ascii="Times New Roman" w:hAnsi="Times New Roman"/>
              </w:rPr>
              <w:t>4</w:t>
            </w:r>
          </w:p>
        </w:tc>
        <w:tc>
          <w:tcPr>
            <w:tcW w:w="2100" w:type="dxa"/>
            <w:shd w:val="clear" w:color="auto" w:fill="auto"/>
            <w:vAlign w:val="center"/>
          </w:tcPr>
          <w:p>
            <w:pPr>
              <w:pStyle w:val="39"/>
              <w:rPr>
                <w:rFonts w:ascii="Times New Roman" w:hAnsi="Times New Roman"/>
              </w:rPr>
            </w:pPr>
            <w:r>
              <w:rPr>
                <w:rFonts w:ascii="Times New Roman" w:hAnsi="Times New Roman"/>
              </w:rPr>
              <w:t>关心点4</w:t>
            </w:r>
          </w:p>
        </w:tc>
        <w:tc>
          <w:tcPr>
            <w:tcW w:w="2384" w:type="dxa"/>
            <w:shd w:val="clear" w:color="auto" w:fill="auto"/>
          </w:tcPr>
          <w:p>
            <w:pPr>
              <w:pStyle w:val="39"/>
              <w:rPr>
                <w:rFonts w:ascii="Times New Roman" w:hAnsi="Times New Roman"/>
              </w:rPr>
            </w:pPr>
            <w:r>
              <w:rPr>
                <w:rFonts w:ascii="Times New Roman" w:hAnsi="Times New Roman"/>
              </w:rPr>
              <w:t>52</w:t>
            </w:r>
          </w:p>
        </w:tc>
        <w:tc>
          <w:tcPr>
            <w:tcW w:w="2178" w:type="dxa"/>
            <w:shd w:val="clear" w:color="auto" w:fill="auto"/>
          </w:tcPr>
          <w:p>
            <w:pPr>
              <w:pStyle w:val="39"/>
              <w:rPr>
                <w:rFonts w:ascii="Times New Roman" w:hAnsi="Times New Roman"/>
              </w:rPr>
            </w:pPr>
            <w:r>
              <w:rPr>
                <w:rFonts w:ascii="Times New Roman" w:hAnsi="Times New Roman"/>
              </w:rPr>
              <w:t>54</w:t>
            </w:r>
          </w:p>
        </w:tc>
        <w:tc>
          <w:tcPr>
            <w:tcW w:w="1986" w:type="dxa"/>
            <w:shd w:val="clear" w:color="auto" w:fill="auto"/>
          </w:tcPr>
          <w:p>
            <w:pPr>
              <w:pStyle w:val="39"/>
              <w:rPr>
                <w:rFonts w:ascii="Times New Roman" w:hAnsi="Times New Roman"/>
              </w:rPr>
            </w:pPr>
            <w:r>
              <w:rPr>
                <w:rFonts w:ascii="Times New Roman" w:hAnsi="Times New Roman"/>
              </w:rPr>
              <w:t>60.7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dxa"/>
            <w:shd w:val="clear" w:color="auto" w:fill="auto"/>
            <w:vAlign w:val="center"/>
          </w:tcPr>
          <w:p>
            <w:pPr>
              <w:pStyle w:val="39"/>
              <w:rPr>
                <w:rFonts w:ascii="Times New Roman" w:hAnsi="Times New Roman"/>
              </w:rPr>
            </w:pPr>
            <w:r>
              <w:rPr>
                <w:rFonts w:ascii="Times New Roman" w:hAnsi="Times New Roman"/>
              </w:rPr>
              <w:t>5</w:t>
            </w:r>
          </w:p>
        </w:tc>
        <w:tc>
          <w:tcPr>
            <w:tcW w:w="2100" w:type="dxa"/>
            <w:shd w:val="clear" w:color="auto" w:fill="auto"/>
            <w:vAlign w:val="center"/>
          </w:tcPr>
          <w:p>
            <w:pPr>
              <w:pStyle w:val="39"/>
              <w:rPr>
                <w:rFonts w:ascii="Times New Roman" w:hAnsi="Times New Roman"/>
              </w:rPr>
            </w:pPr>
            <w:r>
              <w:rPr>
                <w:rFonts w:ascii="Times New Roman" w:hAnsi="Times New Roman"/>
              </w:rPr>
              <w:t>关心点5</w:t>
            </w:r>
          </w:p>
        </w:tc>
        <w:tc>
          <w:tcPr>
            <w:tcW w:w="2384" w:type="dxa"/>
            <w:shd w:val="clear" w:color="auto" w:fill="auto"/>
          </w:tcPr>
          <w:p>
            <w:pPr>
              <w:pStyle w:val="39"/>
              <w:rPr>
                <w:rFonts w:ascii="Times New Roman" w:hAnsi="Times New Roman"/>
              </w:rPr>
            </w:pPr>
            <w:r>
              <w:rPr>
                <w:rFonts w:ascii="Times New Roman" w:hAnsi="Times New Roman"/>
              </w:rPr>
              <w:t>-</w:t>
            </w:r>
          </w:p>
        </w:tc>
        <w:tc>
          <w:tcPr>
            <w:tcW w:w="2178" w:type="dxa"/>
            <w:shd w:val="clear" w:color="auto" w:fill="auto"/>
          </w:tcPr>
          <w:p>
            <w:pPr>
              <w:pStyle w:val="39"/>
              <w:rPr>
                <w:rFonts w:ascii="Times New Roman" w:hAnsi="Times New Roman"/>
              </w:rPr>
            </w:pPr>
            <w:r>
              <w:rPr>
                <w:rFonts w:ascii="Times New Roman" w:hAnsi="Times New Roman"/>
              </w:rPr>
              <w:t>-</w:t>
            </w:r>
          </w:p>
        </w:tc>
        <w:tc>
          <w:tcPr>
            <w:tcW w:w="1986" w:type="dxa"/>
            <w:shd w:val="clear" w:color="auto" w:fill="auto"/>
          </w:tcPr>
          <w:p>
            <w:pPr>
              <w:pStyle w:val="39"/>
              <w:rPr>
                <w:rFonts w:ascii="Times New Roman" w:hAnsi="Times New Roman"/>
              </w:rPr>
            </w:pPr>
            <w:r>
              <w:rPr>
                <w:rFonts w:ascii="Times New Roman" w:hAnsi="Times New Roman"/>
              </w:rPr>
              <w:t>20.8</w:t>
            </w:r>
          </w:p>
        </w:tc>
      </w:tr>
    </w:tbl>
    <w:p>
      <w:pPr>
        <w:ind w:firstLine="0" w:firstLineChars="0"/>
        <w:rPr>
          <w:rFonts w:ascii="Times New Roman" w:hAnsi="Times New Roman"/>
          <w:sz w:val="18"/>
          <w:szCs w:val="18"/>
        </w:rPr>
      </w:pPr>
      <w:r>
        <w:rPr>
          <w:rFonts w:ascii="Times New Roman" w:hAnsi="Times New Roman"/>
          <w:sz w:val="18"/>
          <w:szCs w:val="18"/>
        </w:rPr>
        <w:t>*注：超标时间均指超过大气毒性终点浓度2的时间。</w:t>
      </w:r>
    </w:p>
    <w:p>
      <w:pPr>
        <w:keepNext/>
        <w:ind w:firstLine="0" w:firstLineChars="0"/>
        <w:jc w:val="center"/>
        <w:rPr>
          <w:rFonts w:ascii="Times New Roman" w:hAnsi="Times New Roman"/>
        </w:rPr>
      </w:pPr>
      <w:r>
        <w:rPr>
          <w:rFonts w:ascii="Times New Roman" w:hAnsi="Times New Roman"/>
          <w:sz w:val="18"/>
          <w:szCs w:val="18"/>
        </w:rPr>
        <w:drawing>
          <wp:inline distT="0" distB="0" distL="0" distR="0">
            <wp:extent cx="5374640" cy="2898140"/>
            <wp:effectExtent l="0" t="0" r="0" b="0"/>
            <wp:docPr id="1777435115" name="图片 1"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435115" name="图片 1" descr="图表, 折线图&#10;&#10;描述已自动生成"/>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382328" cy="2902151"/>
                    </a:xfrm>
                    <a:prstGeom prst="rect">
                      <a:avLst/>
                    </a:prstGeom>
                    <a:noFill/>
                  </pic:spPr>
                </pic:pic>
              </a:graphicData>
            </a:graphic>
          </wp:inline>
        </w:drawing>
      </w:r>
    </w:p>
    <w:p>
      <w:pPr>
        <w:pStyle w:val="37"/>
        <w:rPr>
          <w:rFonts w:ascii="Times New Roman" w:hAnsi="Times New Roman" w:cs="Times New Roman"/>
        </w:rPr>
      </w:pPr>
      <w:bookmarkStart w:id="293" w:name="_Ref158104674"/>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bookmarkEnd w:id="293"/>
      <w:r>
        <w:rPr>
          <w:rFonts w:ascii="Times New Roman" w:hAnsi="Times New Roman" w:cs="Times New Roman"/>
        </w:rPr>
        <w:t xml:space="preserve">   主要受影响敏感点浓度随时间变化图</w:t>
      </w:r>
    </w:p>
    <w:p>
      <w:pPr>
        <w:ind w:firstLine="480"/>
        <w:rPr>
          <w:rFonts w:ascii="Times New Roman" w:hAnsi="Times New Roman"/>
        </w:rPr>
      </w:pPr>
      <w:r>
        <w:rPr>
          <w:rFonts w:ascii="Times New Roman" w:hAnsi="Times New Roman"/>
        </w:rPr>
        <w:t>4）小结</w:t>
      </w:r>
    </w:p>
    <w:p>
      <w:pPr>
        <w:ind w:firstLine="480"/>
        <w:rPr>
          <w:rFonts w:ascii="Times New Roman" w:hAnsi="Times New Roman"/>
        </w:rPr>
      </w:pPr>
      <w:r>
        <w:rPr>
          <w:rFonts w:ascii="Times New Roman" w:hAnsi="Times New Roman"/>
        </w:rPr>
        <w:t>宣兴1井站-宣探阀室段管道泄漏时，根据模拟预测，在最不利气象条件下，西北风向下，毒性终点浓度1影响范围最大，泄漏发生86min后毒性终点浓度1影响范围达到694m；东风向下，毒性终点浓度2影响范围最大，泄漏发生83min后毒性终点浓度2影响范围达到840m。</w:t>
      </w:r>
    </w:p>
    <w:p>
      <w:pPr>
        <w:ind w:firstLine="480"/>
        <w:rPr>
          <w:rFonts w:ascii="Times New Roman" w:hAnsi="Times New Roman"/>
        </w:rPr>
      </w:pPr>
      <w:r>
        <w:rPr>
          <w:rFonts w:ascii="Times New Roman" w:hAnsi="Times New Roman"/>
        </w:rPr>
        <w:t>风险源周边关心点中，以H</w:t>
      </w:r>
      <w:r>
        <w:rPr>
          <w:rFonts w:ascii="Times New Roman" w:hAnsi="Times New Roman"/>
          <w:vertAlign w:val="subscript"/>
        </w:rPr>
        <w:t>2</w:t>
      </w:r>
      <w:r>
        <w:rPr>
          <w:rFonts w:ascii="Times New Roman" w:hAnsi="Times New Roman"/>
        </w:rPr>
        <w:t>S毒性终点浓度2作为超标参考依据，除关心点5，其他关心点均超标，超标时间出现在泄漏事故发生21-52min后，持续超标时间在54-66min。</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34</w:t>
      </w:r>
      <w:r>
        <w:rPr>
          <w:rFonts w:ascii="Times New Roman" w:hAnsi="Times New Roman" w:cs="Times New Roman"/>
        </w:rPr>
        <w:fldChar w:fldCharType="end"/>
      </w:r>
      <w:r>
        <w:rPr>
          <w:rFonts w:ascii="Times New Roman" w:hAnsi="Times New Roman" w:cs="Times New Roman"/>
        </w:rPr>
        <w:t xml:space="preserve">  宣兴1井站-宣探阀室段管道泄漏事故基本信息表</w:t>
      </w:r>
    </w:p>
    <w:tbl>
      <w:tblPr>
        <w:tblStyle w:val="28"/>
        <w:tblW w:w="513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6"/>
        <w:gridCol w:w="1133"/>
        <w:gridCol w:w="2224"/>
        <w:gridCol w:w="1300"/>
        <w:gridCol w:w="1516"/>
        <w:gridCol w:w="1535"/>
        <w:gridCol w:w="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shd w:val="clear" w:color="auto" w:fill="auto"/>
            <w:tcMar>
              <w:left w:w="57" w:type="dxa"/>
              <w:right w:w="57" w:type="dxa"/>
            </w:tcMar>
            <w:vAlign w:val="center"/>
          </w:tcPr>
          <w:p>
            <w:pPr>
              <w:pStyle w:val="39"/>
              <w:rPr>
                <w:rFonts w:ascii="Times New Roman" w:hAnsi="Times New Roman"/>
              </w:rPr>
            </w:pPr>
            <w:r>
              <w:rPr>
                <w:rFonts w:ascii="Times New Roman" w:hAnsi="Times New Roman"/>
              </w:rPr>
              <w:t>风险事故情形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代表性风险事故情形描述</w:t>
            </w:r>
          </w:p>
        </w:tc>
        <w:tc>
          <w:tcPr>
            <w:tcW w:w="4163" w:type="pct"/>
            <w:gridSpan w:val="5"/>
            <w:shd w:val="clear" w:color="auto" w:fill="auto"/>
            <w:tcMar>
              <w:left w:w="57" w:type="dxa"/>
              <w:right w:w="57" w:type="dxa"/>
            </w:tcMar>
            <w:vAlign w:val="center"/>
          </w:tcPr>
          <w:p>
            <w:pPr>
              <w:pStyle w:val="39"/>
              <w:rPr>
                <w:rFonts w:ascii="Times New Roman" w:hAnsi="Times New Roman"/>
              </w:rPr>
            </w:pPr>
            <w:r>
              <w:rPr>
                <w:rFonts w:ascii="Times New Roman" w:hAnsi="Times New Roman"/>
              </w:rPr>
              <w:t>宣探集气干线（宣兴1井站-宣探阀室）管道断裂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环境风险类型</w:t>
            </w:r>
          </w:p>
        </w:tc>
        <w:tc>
          <w:tcPr>
            <w:tcW w:w="4163" w:type="pct"/>
            <w:gridSpan w:val="5"/>
            <w:shd w:val="clear" w:color="auto" w:fill="auto"/>
            <w:tcMar>
              <w:left w:w="57" w:type="dxa"/>
              <w:right w:w="57" w:type="dxa"/>
            </w:tcMar>
            <w:vAlign w:val="center"/>
          </w:tcPr>
          <w:p>
            <w:pPr>
              <w:pStyle w:val="39"/>
              <w:rPr>
                <w:rFonts w:ascii="Times New Roman" w:hAnsi="Times New Roman"/>
              </w:rPr>
            </w:pPr>
            <w:r>
              <w:rPr>
                <w:rFonts w:ascii="Times New Roman" w:hAnsi="Times New Roman"/>
              </w:rPr>
              <w:t>原料天然气垂直喷射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泄漏设备类型</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原料气集输管线</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操作温度（℃）</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55</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操作压力/MPa</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排放危险物质</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硫化氢</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最大存在量/kg</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2223</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泄漏孔径/mm</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排放速率/kg/s</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1.9</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稳定泄漏时间/（min）</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19.5</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泄漏量/kg</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2223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泄漏高度/m</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0</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泄漏液体蒸发量/kg</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泄漏频率</w:t>
            </w:r>
          </w:p>
        </w:tc>
        <w:tc>
          <w:tcPr>
            <w:tcW w:w="829" w:type="pct"/>
            <w:shd w:val="clear" w:color="auto" w:fill="auto"/>
            <w:tcMar>
              <w:left w:w="57" w:type="dxa"/>
              <w:right w:w="57" w:type="dxa"/>
            </w:tcMar>
            <w:vAlign w:val="center"/>
          </w:tcPr>
          <w:p>
            <w:pPr>
              <w:pStyle w:val="39"/>
              <w:rPr>
                <w:rFonts w:ascii="Times New Roman" w:hAnsi="Times New Roman"/>
                <w:vertAlign w:val="subscript"/>
              </w:rPr>
            </w:pPr>
            <w:r>
              <w:rPr>
                <w:rFonts w:ascii="Times New Roman" w:hAnsi="Times New Roman"/>
              </w:rPr>
              <w:t>4.1×10</w:t>
            </w:r>
            <w:r>
              <w:rPr>
                <w:rFonts w:ascii="Times New Roman" w:hAnsi="Times New Roman"/>
                <w:vertAlign w:val="superscript"/>
              </w:rPr>
              <w:t>-4</w:t>
            </w:r>
            <w:r>
              <w:rPr>
                <w:rFonts w:ascii="Times New Roman" w:hAnsi="Times New Roman"/>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shd w:val="clear" w:color="auto" w:fill="auto"/>
            <w:tcMar>
              <w:left w:w="57" w:type="dxa"/>
              <w:right w:w="57" w:type="dxa"/>
            </w:tcMar>
            <w:vAlign w:val="center"/>
          </w:tcPr>
          <w:p>
            <w:pPr>
              <w:pStyle w:val="39"/>
              <w:rPr>
                <w:rFonts w:ascii="Times New Roman" w:hAnsi="Times New Roman"/>
              </w:rPr>
            </w:pPr>
            <w:r>
              <w:rPr>
                <w:rFonts w:ascii="Times New Roman" w:hAnsi="Times New Roman"/>
              </w:rPr>
              <w:t>事故后果预测（最不利气象条件）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w:t>
            </w:r>
          </w:p>
        </w:tc>
        <w:tc>
          <w:tcPr>
            <w:tcW w:w="612"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危险物质</w:t>
            </w:r>
          </w:p>
        </w:tc>
        <w:tc>
          <w:tcPr>
            <w:tcW w:w="3551" w:type="pct"/>
            <w:gridSpan w:val="4"/>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大气环境影响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指标</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浓度值/mg/m</w:t>
            </w:r>
            <w:r>
              <w:rPr>
                <w:rFonts w:ascii="Times New Roman" w:hAnsi="Times New Roman"/>
                <w:vertAlign w:val="superscript"/>
              </w:rPr>
              <w:t>3</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最远影响距离/m</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到达时间/min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硫化氢</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大气毒性终点浓度-1</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70</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694</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大气毒性终点浓度-2</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38</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840</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敏感目标名称</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超标时间/min</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超标持续时间/min</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关心点1</w:t>
            </w:r>
          </w:p>
        </w:tc>
        <w:tc>
          <w:tcPr>
            <w:tcW w:w="702" w:type="pct"/>
            <w:shd w:val="clear" w:color="auto" w:fill="auto"/>
            <w:tcMar>
              <w:left w:w="57" w:type="dxa"/>
              <w:right w:w="57" w:type="dxa"/>
            </w:tcMar>
          </w:tcPr>
          <w:p>
            <w:pPr>
              <w:pStyle w:val="39"/>
              <w:rPr>
                <w:rFonts w:ascii="Times New Roman" w:hAnsi="Times New Roman"/>
              </w:rPr>
            </w:pPr>
            <w:r>
              <w:rPr>
                <w:rFonts w:ascii="Times New Roman" w:hAnsi="Times New Roman"/>
              </w:rPr>
              <w:t>21</w:t>
            </w:r>
          </w:p>
        </w:tc>
        <w:tc>
          <w:tcPr>
            <w:tcW w:w="819" w:type="pct"/>
            <w:shd w:val="clear" w:color="auto" w:fill="auto"/>
            <w:tcMar>
              <w:left w:w="57" w:type="dxa"/>
              <w:right w:w="57" w:type="dxa"/>
            </w:tcMar>
          </w:tcPr>
          <w:p>
            <w:pPr>
              <w:pStyle w:val="39"/>
              <w:rPr>
                <w:rFonts w:ascii="Times New Roman" w:hAnsi="Times New Roman"/>
              </w:rPr>
            </w:pPr>
            <w:r>
              <w:rPr>
                <w:rFonts w:ascii="Times New Roman" w:hAnsi="Times New Roman"/>
              </w:rPr>
              <w:t>63</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86.3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关心点2</w:t>
            </w:r>
          </w:p>
        </w:tc>
        <w:tc>
          <w:tcPr>
            <w:tcW w:w="702" w:type="pct"/>
            <w:shd w:val="clear" w:color="auto" w:fill="auto"/>
            <w:tcMar>
              <w:left w:w="57" w:type="dxa"/>
              <w:right w:w="57" w:type="dxa"/>
            </w:tcMar>
          </w:tcPr>
          <w:p>
            <w:pPr>
              <w:pStyle w:val="39"/>
              <w:rPr>
                <w:rFonts w:ascii="Times New Roman" w:hAnsi="Times New Roman"/>
              </w:rPr>
            </w:pPr>
            <w:r>
              <w:rPr>
                <w:rFonts w:ascii="Times New Roman" w:hAnsi="Times New Roman"/>
              </w:rPr>
              <w:t>28</w:t>
            </w:r>
          </w:p>
        </w:tc>
        <w:tc>
          <w:tcPr>
            <w:tcW w:w="819" w:type="pct"/>
            <w:shd w:val="clear" w:color="auto" w:fill="auto"/>
            <w:tcMar>
              <w:left w:w="57" w:type="dxa"/>
              <w:right w:w="57" w:type="dxa"/>
            </w:tcMar>
          </w:tcPr>
          <w:p>
            <w:pPr>
              <w:pStyle w:val="39"/>
              <w:rPr>
                <w:rFonts w:ascii="Times New Roman" w:hAnsi="Times New Roman"/>
              </w:rPr>
            </w:pPr>
            <w:r>
              <w:rPr>
                <w:rFonts w:ascii="Times New Roman" w:hAnsi="Times New Roman"/>
              </w:rPr>
              <w:t>59</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关心点3</w:t>
            </w:r>
          </w:p>
        </w:tc>
        <w:tc>
          <w:tcPr>
            <w:tcW w:w="702" w:type="pct"/>
            <w:shd w:val="clear" w:color="auto" w:fill="auto"/>
            <w:tcMar>
              <w:left w:w="57" w:type="dxa"/>
              <w:right w:w="57" w:type="dxa"/>
            </w:tcMar>
          </w:tcPr>
          <w:p>
            <w:pPr>
              <w:pStyle w:val="39"/>
              <w:rPr>
                <w:rFonts w:ascii="Times New Roman" w:hAnsi="Times New Roman"/>
              </w:rPr>
            </w:pPr>
            <w:r>
              <w:rPr>
                <w:rFonts w:ascii="Times New Roman" w:hAnsi="Times New Roman"/>
              </w:rPr>
              <w:t>22</w:t>
            </w:r>
          </w:p>
        </w:tc>
        <w:tc>
          <w:tcPr>
            <w:tcW w:w="819" w:type="pct"/>
            <w:shd w:val="clear" w:color="auto" w:fill="auto"/>
            <w:tcMar>
              <w:left w:w="57" w:type="dxa"/>
              <w:right w:w="57" w:type="dxa"/>
            </w:tcMar>
          </w:tcPr>
          <w:p>
            <w:pPr>
              <w:pStyle w:val="39"/>
              <w:rPr>
                <w:rFonts w:ascii="Times New Roman" w:hAnsi="Times New Roman"/>
              </w:rPr>
            </w:pPr>
            <w:r>
              <w:rPr>
                <w:rFonts w:ascii="Times New Roman" w:hAnsi="Times New Roman"/>
              </w:rPr>
              <w:t>66</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关心点4</w:t>
            </w:r>
          </w:p>
        </w:tc>
        <w:tc>
          <w:tcPr>
            <w:tcW w:w="702" w:type="pct"/>
            <w:shd w:val="clear" w:color="auto" w:fill="auto"/>
            <w:tcMar>
              <w:left w:w="57" w:type="dxa"/>
              <w:right w:w="57" w:type="dxa"/>
            </w:tcMar>
          </w:tcPr>
          <w:p>
            <w:pPr>
              <w:pStyle w:val="39"/>
              <w:rPr>
                <w:rFonts w:ascii="Times New Roman" w:hAnsi="Times New Roman" w:eastAsia="等线"/>
              </w:rPr>
            </w:pPr>
            <w:r>
              <w:rPr>
                <w:rFonts w:ascii="Times New Roman" w:hAnsi="Times New Roman"/>
              </w:rPr>
              <w:t>52</w:t>
            </w:r>
          </w:p>
        </w:tc>
        <w:tc>
          <w:tcPr>
            <w:tcW w:w="819" w:type="pct"/>
            <w:shd w:val="clear" w:color="auto" w:fill="auto"/>
            <w:tcMar>
              <w:left w:w="57" w:type="dxa"/>
              <w:right w:w="57" w:type="dxa"/>
            </w:tcMar>
          </w:tcPr>
          <w:p>
            <w:pPr>
              <w:pStyle w:val="39"/>
              <w:rPr>
                <w:rFonts w:ascii="Times New Roman" w:hAnsi="Times New Roman" w:eastAsia="等线"/>
              </w:rPr>
            </w:pPr>
            <w:r>
              <w:rPr>
                <w:rFonts w:ascii="Times New Roman" w:hAnsi="Times New Roman"/>
              </w:rPr>
              <w:t>54</w:t>
            </w:r>
          </w:p>
        </w:tc>
        <w:tc>
          <w:tcPr>
            <w:tcW w:w="829" w:type="pct"/>
            <w:shd w:val="clear" w:color="auto" w:fill="auto"/>
            <w:tcMar>
              <w:left w:w="57" w:type="dxa"/>
              <w:right w:w="57" w:type="dxa"/>
            </w:tcMar>
          </w:tcPr>
          <w:p>
            <w:pPr>
              <w:pStyle w:val="39"/>
              <w:rPr>
                <w:rFonts w:ascii="Times New Roman" w:hAnsi="Times New Roman"/>
                <w:kern w:val="0"/>
              </w:rPr>
            </w:pPr>
            <w:r>
              <w:rPr>
                <w:rFonts w:ascii="Times New Roman" w:hAnsi="Times New Roman"/>
              </w:rPr>
              <w:t>60.7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关心点5</w:t>
            </w:r>
          </w:p>
        </w:tc>
        <w:tc>
          <w:tcPr>
            <w:tcW w:w="702" w:type="pct"/>
            <w:shd w:val="clear" w:color="auto" w:fill="auto"/>
            <w:tcMar>
              <w:left w:w="57" w:type="dxa"/>
              <w:right w:w="57" w:type="dxa"/>
            </w:tcMar>
          </w:tcPr>
          <w:p>
            <w:pPr>
              <w:pStyle w:val="39"/>
              <w:rPr>
                <w:rFonts w:ascii="Times New Roman" w:hAnsi="Times New Roman" w:eastAsia="等线"/>
              </w:rPr>
            </w:pPr>
            <w:r>
              <w:rPr>
                <w:rFonts w:ascii="Times New Roman" w:hAnsi="Times New Roman"/>
              </w:rPr>
              <w:t>-</w:t>
            </w:r>
          </w:p>
        </w:tc>
        <w:tc>
          <w:tcPr>
            <w:tcW w:w="819" w:type="pct"/>
            <w:shd w:val="clear" w:color="auto" w:fill="auto"/>
            <w:tcMar>
              <w:left w:w="57" w:type="dxa"/>
              <w:right w:w="57" w:type="dxa"/>
            </w:tcMar>
          </w:tcPr>
          <w:p>
            <w:pPr>
              <w:pStyle w:val="39"/>
              <w:rPr>
                <w:rFonts w:ascii="Times New Roman" w:hAnsi="Times New Roman" w:eastAsia="等线"/>
              </w:rPr>
            </w:pPr>
            <w:r>
              <w:rPr>
                <w:rFonts w:ascii="Times New Roman" w:hAnsi="Times New Roman"/>
              </w:rPr>
              <w:t>-</w:t>
            </w:r>
          </w:p>
        </w:tc>
        <w:tc>
          <w:tcPr>
            <w:tcW w:w="829" w:type="pct"/>
            <w:shd w:val="clear" w:color="auto" w:fill="auto"/>
            <w:tcMar>
              <w:left w:w="57" w:type="dxa"/>
              <w:right w:w="57" w:type="dxa"/>
            </w:tcMar>
          </w:tcPr>
          <w:p>
            <w:pPr>
              <w:pStyle w:val="39"/>
              <w:rPr>
                <w:rFonts w:ascii="Times New Roman" w:hAnsi="Times New Roman"/>
                <w:kern w:val="0"/>
              </w:rPr>
            </w:pPr>
            <w:r>
              <w:rPr>
                <w:rFonts w:ascii="Times New Roman" w:hAnsi="Times New Roman"/>
              </w:rPr>
              <w:t>20.8</w:t>
            </w:r>
          </w:p>
        </w:tc>
      </w:tr>
    </w:tbl>
    <w:p>
      <w:pPr>
        <w:ind w:firstLine="480"/>
        <w:rPr>
          <w:rFonts w:ascii="Times New Roman" w:hAnsi="Times New Roman"/>
        </w:rPr>
      </w:pPr>
    </w:p>
    <w:p>
      <w:pPr>
        <w:ind w:firstLine="480"/>
        <w:rPr>
          <w:rFonts w:ascii="Times New Roman" w:hAnsi="Times New Roman"/>
        </w:rPr>
      </w:pPr>
      <w:r>
        <w:rPr>
          <w:rFonts w:ascii="Times New Roman" w:hAnsi="Times New Roman"/>
        </w:rPr>
        <w:t>（2）宣探集气干线（宣探阀室-宣探清管站）</w:t>
      </w:r>
    </w:p>
    <w:p>
      <w:pPr>
        <w:ind w:firstLine="480"/>
        <w:rPr>
          <w:rFonts w:ascii="Times New Roman" w:hAnsi="Times New Roman"/>
        </w:rPr>
      </w:pPr>
      <w:r>
        <w:rPr>
          <w:rFonts w:ascii="Times New Roman" w:hAnsi="Times New Roman"/>
        </w:rPr>
        <w:t>1）预测范围</w:t>
      </w:r>
    </w:p>
    <w:p>
      <w:pPr>
        <w:ind w:right="210" w:firstLine="480"/>
        <w:rPr>
          <w:rFonts w:ascii="Times New Roman" w:hAnsi="Times New Roman"/>
        </w:rPr>
      </w:pPr>
      <w:r>
        <w:rPr>
          <w:rFonts w:ascii="Times New Roman" w:hAnsi="Times New Roman"/>
        </w:rPr>
        <w:t>预测范围考虑以断裂位置为中心各方向外延5km，最终形成10×10km的矩形区域。预测范围及范围内关心点分布情况如</w:t>
      </w:r>
      <w:r>
        <w:rPr>
          <w:rFonts w:ascii="Times New Roman" w:hAnsi="Times New Roman"/>
        </w:rPr>
        <w:fldChar w:fldCharType="begin"/>
      </w:r>
      <w:r>
        <w:rPr>
          <w:rFonts w:ascii="Times New Roman" w:hAnsi="Times New Roman"/>
        </w:rPr>
        <w:instrText xml:space="preserve"> REF _Ref157367301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5</w:t>
      </w:r>
      <w:r>
        <w:rPr>
          <w:rFonts w:ascii="Times New Roman" w:hAnsi="Times New Roman"/>
        </w:rPr>
        <w:fldChar w:fldCharType="end"/>
      </w:r>
      <w:r>
        <w:rPr>
          <w:rFonts w:ascii="Times New Roman" w:hAnsi="Times New Roman"/>
        </w:rPr>
        <w:t>所示。</w:t>
      </w:r>
    </w:p>
    <w:p>
      <w:pPr>
        <w:keepNext/>
        <w:ind w:right="210" w:firstLine="0" w:firstLineChars="0"/>
        <w:jc w:val="center"/>
        <w:rPr>
          <w:rFonts w:ascii="Times New Roman" w:hAnsi="Times New Roman"/>
        </w:rPr>
      </w:pPr>
      <w:r>
        <w:rPr>
          <w:rFonts w:ascii="Times New Roman" w:hAnsi="Times New Roman"/>
          <w14:ligatures w14:val="standardContextual"/>
        </w:rPr>
        <w:drawing>
          <wp:inline distT="0" distB="0" distL="0" distR="0">
            <wp:extent cx="5653405" cy="5653405"/>
            <wp:effectExtent l="0" t="0" r="4445" b="4445"/>
            <wp:docPr id="753424514"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24514" name="图片 1" descr="地图&#10;&#10;描述已自动生成"/>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653405" cy="5653405"/>
                    </a:xfrm>
                    <a:prstGeom prst="rect">
                      <a:avLst/>
                    </a:prstGeom>
                  </pic:spPr>
                </pic:pic>
              </a:graphicData>
            </a:graphic>
          </wp:inline>
        </w:drawing>
      </w:r>
    </w:p>
    <w:p>
      <w:pPr>
        <w:pStyle w:val="37"/>
        <w:rPr>
          <w:rFonts w:ascii="Times New Roman" w:hAnsi="Times New Roman" w:cs="Times New Roman"/>
        </w:rPr>
      </w:pPr>
      <w:bookmarkStart w:id="294" w:name="_Ref157367301"/>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bookmarkEnd w:id="294"/>
      <w:r>
        <w:rPr>
          <w:rFonts w:ascii="Times New Roman" w:hAnsi="Times New Roman" w:cs="Times New Roman"/>
        </w:rPr>
        <w:t xml:space="preserve">   宣探阀室-宣探清管站段管道断裂大气环境风险预测范围及关心点分布</w:t>
      </w:r>
    </w:p>
    <w:p>
      <w:pPr>
        <w:ind w:firstLine="480"/>
        <w:rPr>
          <w:rFonts w:ascii="Times New Roman" w:hAnsi="Times New Roman"/>
        </w:rPr>
      </w:pPr>
      <w:r>
        <w:rPr>
          <w:rFonts w:ascii="Times New Roman" w:hAnsi="Times New Roman"/>
        </w:rPr>
        <w:t>2）预测关心点</w:t>
      </w:r>
    </w:p>
    <w:p>
      <w:pPr>
        <w:ind w:firstLine="480"/>
        <w:rPr>
          <w:rFonts w:ascii="Times New Roman" w:hAnsi="Times New Roman"/>
        </w:rPr>
      </w:pPr>
      <w:bookmarkStart w:id="295" w:name="_Hlk155684493"/>
      <w:r>
        <w:rPr>
          <w:rFonts w:ascii="Times New Roman" w:hAnsi="Times New Roman"/>
        </w:rPr>
        <w:t>宣探阀室-宣探清管站段管道泄漏</w:t>
      </w:r>
      <w:bookmarkEnd w:id="295"/>
      <w:r>
        <w:rPr>
          <w:rFonts w:ascii="Times New Roman" w:hAnsi="Times New Roman"/>
        </w:rPr>
        <w:t>的位置以及选取的预测关心点见</w:t>
      </w:r>
      <w:r>
        <w:rPr>
          <w:rFonts w:ascii="Times New Roman" w:hAnsi="Times New Roman"/>
        </w:rPr>
        <w:fldChar w:fldCharType="begin"/>
      </w:r>
      <w:r>
        <w:rPr>
          <w:rFonts w:ascii="Times New Roman" w:hAnsi="Times New Roman"/>
        </w:rPr>
        <w:instrText xml:space="preserve"> REF _Ref155684261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35</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296" w:name="_Ref15568426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35</w:t>
      </w:r>
      <w:r>
        <w:rPr>
          <w:rFonts w:ascii="Times New Roman" w:hAnsi="Times New Roman" w:cs="Times New Roman"/>
        </w:rPr>
        <w:fldChar w:fldCharType="end"/>
      </w:r>
      <w:bookmarkEnd w:id="296"/>
      <w:r>
        <w:rPr>
          <w:rFonts w:ascii="Times New Roman" w:hAnsi="Times New Roman" w:cs="Times New Roman"/>
        </w:rPr>
        <w:t xml:space="preserve">   宣探阀室-宣探清管站段管道关心点位置</w:t>
      </w:r>
    </w:p>
    <w:tbl>
      <w:tblPr>
        <w:tblStyle w:val="28"/>
        <w:tblW w:w="4991"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65"/>
        <w:gridCol w:w="1868"/>
        <w:gridCol w:w="1254"/>
        <w:gridCol w:w="1318"/>
        <w:gridCol w:w="1817"/>
        <w:gridCol w:w="238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序号</w:t>
            </w:r>
          </w:p>
        </w:tc>
        <w:tc>
          <w:tcPr>
            <w:tcW w:w="1868" w:type="dxa"/>
            <w:vAlign w:val="center"/>
          </w:tcPr>
          <w:p>
            <w:pPr>
              <w:pStyle w:val="39"/>
              <w:rPr>
                <w:rFonts w:ascii="Times New Roman" w:hAnsi="Times New Roman"/>
              </w:rPr>
            </w:pPr>
            <w:r>
              <w:rPr>
                <w:rFonts w:ascii="Times New Roman" w:hAnsi="Times New Roman"/>
              </w:rPr>
              <w:t>泄漏点/关心点</w:t>
            </w:r>
          </w:p>
        </w:tc>
        <w:tc>
          <w:tcPr>
            <w:tcW w:w="1254" w:type="dxa"/>
            <w:vAlign w:val="center"/>
          </w:tcPr>
          <w:p>
            <w:pPr>
              <w:pStyle w:val="39"/>
              <w:rPr>
                <w:rFonts w:ascii="Times New Roman" w:hAnsi="Times New Roman"/>
              </w:rPr>
            </w:pPr>
            <w:r>
              <w:rPr>
                <w:rFonts w:ascii="Times New Roman" w:hAnsi="Times New Roman"/>
              </w:rPr>
              <w:t>相对泄漏点的方位</w:t>
            </w:r>
          </w:p>
        </w:tc>
        <w:tc>
          <w:tcPr>
            <w:tcW w:w="1318" w:type="dxa"/>
            <w:vAlign w:val="center"/>
          </w:tcPr>
          <w:p>
            <w:pPr>
              <w:pStyle w:val="39"/>
              <w:rPr>
                <w:rFonts w:ascii="Times New Roman" w:hAnsi="Times New Roman"/>
              </w:rPr>
            </w:pPr>
            <w:r>
              <w:rPr>
                <w:rFonts w:ascii="Times New Roman" w:hAnsi="Times New Roman"/>
              </w:rPr>
              <w:t>相对泄漏点的距离/m</w:t>
            </w:r>
          </w:p>
        </w:tc>
        <w:tc>
          <w:tcPr>
            <w:tcW w:w="1817" w:type="dxa"/>
            <w:vAlign w:val="center"/>
          </w:tcPr>
          <w:p>
            <w:pPr>
              <w:pStyle w:val="39"/>
              <w:rPr>
                <w:rFonts w:ascii="Times New Roman" w:hAnsi="Times New Roman"/>
              </w:rPr>
            </w:pPr>
            <w:r>
              <w:rPr>
                <w:rFonts w:ascii="Times New Roman" w:hAnsi="Times New Roman"/>
              </w:rPr>
              <w:t>坐标</w:t>
            </w:r>
          </w:p>
        </w:tc>
        <w:tc>
          <w:tcPr>
            <w:tcW w:w="2381" w:type="dxa"/>
            <w:vAlign w:val="center"/>
          </w:tcPr>
          <w:p>
            <w:pPr>
              <w:pStyle w:val="39"/>
              <w:rPr>
                <w:rFonts w:ascii="Times New Roman" w:hAnsi="Times New Roman"/>
              </w:rPr>
            </w:pPr>
            <w:r>
              <w:rPr>
                <w:rFonts w:ascii="Times New Roman" w:hAnsi="Times New Roman"/>
              </w:rPr>
              <w:t>选择原因</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0</w:t>
            </w:r>
          </w:p>
        </w:tc>
        <w:tc>
          <w:tcPr>
            <w:tcW w:w="1868" w:type="dxa"/>
            <w:vAlign w:val="center"/>
          </w:tcPr>
          <w:p>
            <w:pPr>
              <w:pStyle w:val="39"/>
              <w:rPr>
                <w:rFonts w:ascii="Times New Roman" w:hAnsi="Times New Roman"/>
              </w:rPr>
            </w:pPr>
            <w:r>
              <w:rPr>
                <w:rFonts w:ascii="Times New Roman" w:hAnsi="Times New Roman"/>
              </w:rPr>
              <w:t>宣探阀室-清管站管线泄漏点</w:t>
            </w:r>
          </w:p>
        </w:tc>
        <w:tc>
          <w:tcPr>
            <w:tcW w:w="1254" w:type="dxa"/>
            <w:vAlign w:val="center"/>
          </w:tcPr>
          <w:p>
            <w:pPr>
              <w:pStyle w:val="39"/>
              <w:rPr>
                <w:rFonts w:ascii="Times New Roman" w:hAnsi="Times New Roman"/>
              </w:rPr>
            </w:pPr>
            <w:r>
              <w:rPr>
                <w:rFonts w:ascii="Times New Roman" w:hAnsi="Times New Roman"/>
              </w:rPr>
              <w:t>/</w:t>
            </w:r>
          </w:p>
        </w:tc>
        <w:tc>
          <w:tcPr>
            <w:tcW w:w="1318" w:type="dxa"/>
            <w:vAlign w:val="center"/>
          </w:tcPr>
          <w:p>
            <w:pPr>
              <w:pStyle w:val="39"/>
              <w:rPr>
                <w:rFonts w:ascii="Times New Roman" w:hAnsi="Times New Roman"/>
              </w:rPr>
            </w:pPr>
            <w:r>
              <w:rPr>
                <w:rFonts w:ascii="Times New Roman" w:hAnsi="Times New Roman"/>
              </w:rPr>
              <w:t>/</w:t>
            </w:r>
          </w:p>
        </w:tc>
        <w:tc>
          <w:tcPr>
            <w:tcW w:w="1817" w:type="dxa"/>
            <w:vAlign w:val="center"/>
          </w:tcPr>
          <w:p>
            <w:pPr>
              <w:pStyle w:val="39"/>
              <w:rPr>
                <w:rFonts w:ascii="Times New Roman" w:hAnsi="Times New Roman"/>
              </w:rPr>
            </w:pPr>
            <w:r>
              <w:rPr>
                <w:rFonts w:ascii="Times New Roman" w:hAnsi="Times New Roman"/>
              </w:rPr>
              <w:t>E107.82016847N31.4681784</w:t>
            </w:r>
          </w:p>
        </w:tc>
        <w:tc>
          <w:tcPr>
            <w:tcW w:w="2381" w:type="dxa"/>
            <w:vAlign w:val="center"/>
          </w:tcPr>
          <w:p>
            <w:pPr>
              <w:pStyle w:val="39"/>
              <w:rPr>
                <w:rFonts w:ascii="Times New Roman" w:hAnsi="Times New Roman"/>
              </w:rPr>
            </w:pPr>
            <w:r>
              <w:rPr>
                <w:rFonts w:ascii="Times New Roman" w:hAnsi="Times New Roman"/>
              </w:rPr>
              <w:t>关键生产场所</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1</w:t>
            </w:r>
          </w:p>
        </w:tc>
        <w:tc>
          <w:tcPr>
            <w:tcW w:w="1868" w:type="dxa"/>
            <w:vAlign w:val="center"/>
          </w:tcPr>
          <w:p>
            <w:pPr>
              <w:pStyle w:val="39"/>
              <w:rPr>
                <w:rFonts w:ascii="Times New Roman" w:hAnsi="Times New Roman"/>
              </w:rPr>
            </w:pPr>
            <w:r>
              <w:rPr>
                <w:rFonts w:ascii="Times New Roman" w:hAnsi="Times New Roman"/>
              </w:rPr>
              <w:t>宣探阀室-清管站管线-关心点1</w:t>
            </w:r>
          </w:p>
        </w:tc>
        <w:tc>
          <w:tcPr>
            <w:tcW w:w="1254" w:type="dxa"/>
            <w:vAlign w:val="center"/>
          </w:tcPr>
          <w:p>
            <w:pPr>
              <w:pStyle w:val="39"/>
              <w:rPr>
                <w:rFonts w:ascii="Times New Roman" w:hAnsi="Times New Roman"/>
              </w:rPr>
            </w:pPr>
            <w:r>
              <w:rPr>
                <w:rFonts w:ascii="Times New Roman" w:hAnsi="Times New Roman"/>
              </w:rPr>
              <w:t>SE</w:t>
            </w:r>
          </w:p>
        </w:tc>
        <w:tc>
          <w:tcPr>
            <w:tcW w:w="1318" w:type="dxa"/>
            <w:vAlign w:val="center"/>
          </w:tcPr>
          <w:p>
            <w:pPr>
              <w:pStyle w:val="39"/>
              <w:rPr>
                <w:rFonts w:ascii="Times New Roman" w:hAnsi="Times New Roman"/>
              </w:rPr>
            </w:pPr>
            <w:r>
              <w:rPr>
                <w:rFonts w:ascii="Times New Roman" w:hAnsi="Times New Roman"/>
              </w:rPr>
              <w:t>165</w:t>
            </w:r>
          </w:p>
        </w:tc>
        <w:tc>
          <w:tcPr>
            <w:tcW w:w="1817" w:type="dxa"/>
            <w:vAlign w:val="center"/>
          </w:tcPr>
          <w:p>
            <w:pPr>
              <w:pStyle w:val="39"/>
              <w:rPr>
                <w:rFonts w:ascii="Times New Roman" w:hAnsi="Times New Roman"/>
              </w:rPr>
            </w:pPr>
            <w:r>
              <w:rPr>
                <w:rFonts w:ascii="Times New Roman" w:hAnsi="Times New Roman"/>
              </w:rPr>
              <w:t>E107.82158281</w:t>
            </w:r>
          </w:p>
          <w:p>
            <w:pPr>
              <w:pStyle w:val="39"/>
              <w:rPr>
                <w:rFonts w:ascii="Times New Roman" w:hAnsi="Times New Roman"/>
              </w:rPr>
            </w:pPr>
            <w:r>
              <w:rPr>
                <w:rFonts w:ascii="Times New Roman" w:hAnsi="Times New Roman"/>
              </w:rPr>
              <w:t>N31.46729811</w:t>
            </w:r>
          </w:p>
        </w:tc>
        <w:tc>
          <w:tcPr>
            <w:tcW w:w="2381" w:type="dxa"/>
            <w:vAlign w:val="center"/>
          </w:tcPr>
          <w:p>
            <w:pPr>
              <w:pStyle w:val="39"/>
              <w:rPr>
                <w:rFonts w:ascii="Times New Roman" w:hAnsi="Times New Roman"/>
              </w:rPr>
            </w:pPr>
            <w:r>
              <w:rPr>
                <w:rFonts w:ascii="Times New Roman" w:hAnsi="Times New Roman"/>
              </w:rPr>
              <w:t>管线SE方向上距离最近的分散居民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2</w:t>
            </w:r>
          </w:p>
        </w:tc>
        <w:tc>
          <w:tcPr>
            <w:tcW w:w="1868" w:type="dxa"/>
            <w:vAlign w:val="center"/>
          </w:tcPr>
          <w:p>
            <w:pPr>
              <w:pStyle w:val="39"/>
              <w:rPr>
                <w:rFonts w:ascii="Times New Roman" w:hAnsi="Times New Roman"/>
              </w:rPr>
            </w:pPr>
            <w:r>
              <w:rPr>
                <w:rFonts w:ascii="Times New Roman" w:hAnsi="Times New Roman"/>
              </w:rPr>
              <w:t>宣探阀室-清管站管线-关心点2</w:t>
            </w:r>
          </w:p>
        </w:tc>
        <w:tc>
          <w:tcPr>
            <w:tcW w:w="1254" w:type="dxa"/>
            <w:vAlign w:val="center"/>
          </w:tcPr>
          <w:p>
            <w:pPr>
              <w:pStyle w:val="39"/>
              <w:rPr>
                <w:rFonts w:ascii="Times New Roman" w:hAnsi="Times New Roman"/>
              </w:rPr>
            </w:pPr>
            <w:r>
              <w:rPr>
                <w:rFonts w:ascii="Times New Roman" w:hAnsi="Times New Roman"/>
              </w:rPr>
              <w:t>E</w:t>
            </w:r>
          </w:p>
        </w:tc>
        <w:tc>
          <w:tcPr>
            <w:tcW w:w="1318" w:type="dxa"/>
            <w:vAlign w:val="center"/>
          </w:tcPr>
          <w:p>
            <w:pPr>
              <w:pStyle w:val="39"/>
              <w:rPr>
                <w:rFonts w:ascii="Times New Roman" w:hAnsi="Times New Roman"/>
              </w:rPr>
            </w:pPr>
            <w:r>
              <w:rPr>
                <w:rFonts w:ascii="Times New Roman" w:hAnsi="Times New Roman"/>
              </w:rPr>
              <w:t>377</w:t>
            </w:r>
          </w:p>
        </w:tc>
        <w:tc>
          <w:tcPr>
            <w:tcW w:w="1817" w:type="dxa"/>
            <w:vAlign w:val="center"/>
          </w:tcPr>
          <w:p>
            <w:pPr>
              <w:pStyle w:val="39"/>
              <w:rPr>
                <w:rFonts w:ascii="Times New Roman" w:hAnsi="Times New Roman"/>
              </w:rPr>
            </w:pPr>
            <w:r>
              <w:rPr>
                <w:rFonts w:ascii="Times New Roman" w:hAnsi="Times New Roman"/>
              </w:rPr>
              <w:t>E107.82410485</w:t>
            </w:r>
          </w:p>
          <w:p>
            <w:pPr>
              <w:pStyle w:val="39"/>
              <w:rPr>
                <w:rFonts w:ascii="Times New Roman" w:hAnsi="Times New Roman"/>
              </w:rPr>
            </w:pPr>
            <w:r>
              <w:rPr>
                <w:rFonts w:ascii="Times New Roman" w:hAnsi="Times New Roman"/>
              </w:rPr>
              <w:t>N31.46763222</w:t>
            </w:r>
          </w:p>
        </w:tc>
        <w:tc>
          <w:tcPr>
            <w:tcW w:w="2381" w:type="dxa"/>
            <w:vAlign w:val="center"/>
          </w:tcPr>
          <w:p>
            <w:pPr>
              <w:pStyle w:val="39"/>
              <w:rPr>
                <w:rFonts w:ascii="Times New Roman" w:hAnsi="Times New Roman"/>
              </w:rPr>
            </w:pPr>
            <w:r>
              <w:rPr>
                <w:rFonts w:ascii="Times New Roman" w:hAnsi="Times New Roman"/>
              </w:rPr>
              <w:t>管线E方向上距离最近的分散居民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3</w:t>
            </w:r>
          </w:p>
        </w:tc>
        <w:tc>
          <w:tcPr>
            <w:tcW w:w="1868" w:type="dxa"/>
            <w:vAlign w:val="center"/>
          </w:tcPr>
          <w:p>
            <w:pPr>
              <w:pStyle w:val="39"/>
              <w:rPr>
                <w:rFonts w:ascii="Times New Roman" w:hAnsi="Times New Roman"/>
              </w:rPr>
            </w:pPr>
            <w:r>
              <w:rPr>
                <w:rFonts w:ascii="Times New Roman" w:hAnsi="Times New Roman"/>
              </w:rPr>
              <w:t>宣探阀室-清管站管线-关心点3</w:t>
            </w:r>
          </w:p>
        </w:tc>
        <w:tc>
          <w:tcPr>
            <w:tcW w:w="1254" w:type="dxa"/>
            <w:vAlign w:val="center"/>
          </w:tcPr>
          <w:p>
            <w:pPr>
              <w:pStyle w:val="39"/>
              <w:rPr>
                <w:rFonts w:ascii="Times New Roman" w:hAnsi="Times New Roman"/>
              </w:rPr>
            </w:pPr>
            <w:r>
              <w:rPr>
                <w:rFonts w:ascii="Times New Roman" w:hAnsi="Times New Roman"/>
              </w:rPr>
              <w:t>NE</w:t>
            </w:r>
          </w:p>
        </w:tc>
        <w:tc>
          <w:tcPr>
            <w:tcW w:w="1318" w:type="dxa"/>
            <w:vAlign w:val="center"/>
          </w:tcPr>
          <w:p>
            <w:pPr>
              <w:pStyle w:val="39"/>
              <w:rPr>
                <w:rFonts w:ascii="Times New Roman" w:hAnsi="Times New Roman"/>
              </w:rPr>
            </w:pPr>
            <w:r>
              <w:rPr>
                <w:rFonts w:ascii="Times New Roman" w:hAnsi="Times New Roman"/>
              </w:rPr>
              <w:t>343</w:t>
            </w:r>
          </w:p>
        </w:tc>
        <w:tc>
          <w:tcPr>
            <w:tcW w:w="1817" w:type="dxa"/>
            <w:vAlign w:val="center"/>
          </w:tcPr>
          <w:p>
            <w:pPr>
              <w:pStyle w:val="39"/>
              <w:rPr>
                <w:rFonts w:ascii="Times New Roman" w:hAnsi="Times New Roman"/>
              </w:rPr>
            </w:pPr>
            <w:r>
              <w:rPr>
                <w:rFonts w:ascii="Times New Roman" w:hAnsi="Times New Roman"/>
              </w:rPr>
              <w:t>E 107.82349168</w:t>
            </w:r>
          </w:p>
          <w:p>
            <w:pPr>
              <w:pStyle w:val="39"/>
              <w:rPr>
                <w:rFonts w:ascii="Times New Roman" w:hAnsi="Times New Roman"/>
              </w:rPr>
            </w:pPr>
            <w:r>
              <w:rPr>
                <w:rFonts w:ascii="Times New Roman" w:hAnsi="Times New Roman"/>
              </w:rPr>
              <w:t>N 31.46939463</w:t>
            </w:r>
          </w:p>
        </w:tc>
        <w:tc>
          <w:tcPr>
            <w:tcW w:w="2381" w:type="dxa"/>
            <w:shd w:val="clear" w:color="auto" w:fill="auto"/>
            <w:vAlign w:val="center"/>
          </w:tcPr>
          <w:p>
            <w:pPr>
              <w:pStyle w:val="39"/>
              <w:rPr>
                <w:rFonts w:ascii="Times New Roman" w:hAnsi="Times New Roman"/>
              </w:rPr>
            </w:pPr>
            <w:r>
              <w:rPr>
                <w:rFonts w:ascii="Times New Roman" w:hAnsi="Times New Roman"/>
              </w:rPr>
              <w:t>管线NE方向上距离最近的分散居民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4</w:t>
            </w:r>
          </w:p>
        </w:tc>
        <w:tc>
          <w:tcPr>
            <w:tcW w:w="1868" w:type="dxa"/>
            <w:vAlign w:val="center"/>
          </w:tcPr>
          <w:p>
            <w:pPr>
              <w:pStyle w:val="39"/>
              <w:rPr>
                <w:rFonts w:ascii="Times New Roman" w:hAnsi="Times New Roman"/>
              </w:rPr>
            </w:pPr>
            <w:r>
              <w:rPr>
                <w:rFonts w:ascii="Times New Roman" w:hAnsi="Times New Roman"/>
              </w:rPr>
              <w:t>宣探阀室-清管站管线-关心点4</w:t>
            </w:r>
          </w:p>
        </w:tc>
        <w:tc>
          <w:tcPr>
            <w:tcW w:w="1254" w:type="dxa"/>
            <w:vAlign w:val="center"/>
          </w:tcPr>
          <w:p>
            <w:pPr>
              <w:pStyle w:val="39"/>
              <w:rPr>
                <w:rFonts w:ascii="Times New Roman" w:hAnsi="Times New Roman"/>
              </w:rPr>
            </w:pPr>
            <w:r>
              <w:rPr>
                <w:rFonts w:ascii="Times New Roman" w:hAnsi="Times New Roman"/>
              </w:rPr>
              <w:t>E</w:t>
            </w:r>
          </w:p>
        </w:tc>
        <w:tc>
          <w:tcPr>
            <w:tcW w:w="1318" w:type="dxa"/>
            <w:vAlign w:val="center"/>
          </w:tcPr>
          <w:p>
            <w:pPr>
              <w:pStyle w:val="39"/>
              <w:rPr>
                <w:rFonts w:ascii="Times New Roman" w:hAnsi="Times New Roman"/>
              </w:rPr>
            </w:pPr>
            <w:r>
              <w:rPr>
                <w:rFonts w:ascii="Times New Roman" w:hAnsi="Times New Roman"/>
              </w:rPr>
              <w:t>683</w:t>
            </w:r>
          </w:p>
        </w:tc>
        <w:tc>
          <w:tcPr>
            <w:tcW w:w="1817" w:type="dxa"/>
            <w:vAlign w:val="center"/>
          </w:tcPr>
          <w:p>
            <w:pPr>
              <w:pStyle w:val="39"/>
              <w:rPr>
                <w:rFonts w:ascii="Times New Roman" w:hAnsi="Times New Roman"/>
              </w:rPr>
            </w:pPr>
            <w:r>
              <w:rPr>
                <w:rFonts w:ascii="Times New Roman" w:hAnsi="Times New Roman"/>
              </w:rPr>
              <w:t>E 107.8273717</w:t>
            </w:r>
          </w:p>
          <w:p>
            <w:pPr>
              <w:pStyle w:val="39"/>
              <w:rPr>
                <w:rFonts w:ascii="Times New Roman" w:hAnsi="Times New Roman"/>
              </w:rPr>
            </w:pPr>
            <w:r>
              <w:rPr>
                <w:rFonts w:ascii="Times New Roman" w:hAnsi="Times New Roman"/>
              </w:rPr>
              <w:t>N 31.4682125</w:t>
            </w:r>
          </w:p>
        </w:tc>
        <w:tc>
          <w:tcPr>
            <w:tcW w:w="2381" w:type="dxa"/>
            <w:shd w:val="clear" w:color="auto" w:fill="auto"/>
            <w:vAlign w:val="center"/>
          </w:tcPr>
          <w:p>
            <w:pPr>
              <w:pStyle w:val="39"/>
              <w:rPr>
                <w:rFonts w:ascii="Times New Roman" w:hAnsi="Times New Roman"/>
              </w:rPr>
            </w:pPr>
            <w:r>
              <w:rPr>
                <w:rFonts w:ascii="Times New Roman" w:hAnsi="Times New Roman"/>
              </w:rPr>
              <w:t>管线E方向上距离较近的分散居民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5</w:t>
            </w:r>
          </w:p>
        </w:tc>
        <w:tc>
          <w:tcPr>
            <w:tcW w:w="1868" w:type="dxa"/>
            <w:vAlign w:val="center"/>
          </w:tcPr>
          <w:p>
            <w:pPr>
              <w:pStyle w:val="39"/>
              <w:rPr>
                <w:rFonts w:ascii="Times New Roman" w:hAnsi="Times New Roman"/>
              </w:rPr>
            </w:pPr>
            <w:r>
              <w:rPr>
                <w:rFonts w:ascii="Times New Roman" w:hAnsi="Times New Roman"/>
              </w:rPr>
              <w:t>宣探阀室-清管站管线-关心点5</w:t>
            </w:r>
          </w:p>
        </w:tc>
        <w:tc>
          <w:tcPr>
            <w:tcW w:w="1254" w:type="dxa"/>
            <w:vAlign w:val="center"/>
          </w:tcPr>
          <w:p>
            <w:pPr>
              <w:pStyle w:val="39"/>
              <w:rPr>
                <w:rFonts w:ascii="Times New Roman" w:hAnsi="Times New Roman"/>
              </w:rPr>
            </w:pPr>
            <w:r>
              <w:rPr>
                <w:rFonts w:ascii="Times New Roman" w:hAnsi="Times New Roman"/>
              </w:rPr>
              <w:t>NE</w:t>
            </w:r>
          </w:p>
        </w:tc>
        <w:tc>
          <w:tcPr>
            <w:tcW w:w="1318" w:type="dxa"/>
            <w:vAlign w:val="center"/>
          </w:tcPr>
          <w:p>
            <w:pPr>
              <w:pStyle w:val="39"/>
              <w:rPr>
                <w:rFonts w:ascii="Times New Roman" w:hAnsi="Times New Roman"/>
              </w:rPr>
            </w:pPr>
            <w:r>
              <w:rPr>
                <w:rFonts w:ascii="Times New Roman" w:hAnsi="Times New Roman"/>
              </w:rPr>
              <w:t>884</w:t>
            </w:r>
          </w:p>
        </w:tc>
        <w:tc>
          <w:tcPr>
            <w:tcW w:w="1817" w:type="dxa"/>
            <w:vAlign w:val="center"/>
          </w:tcPr>
          <w:p>
            <w:pPr>
              <w:pStyle w:val="39"/>
              <w:rPr>
                <w:rFonts w:ascii="Times New Roman" w:hAnsi="Times New Roman"/>
              </w:rPr>
            </w:pPr>
            <w:r>
              <w:rPr>
                <w:rFonts w:ascii="Times New Roman" w:hAnsi="Times New Roman"/>
              </w:rPr>
              <w:t>E 107.82885034</w:t>
            </w:r>
          </w:p>
          <w:p>
            <w:pPr>
              <w:pStyle w:val="39"/>
              <w:rPr>
                <w:rFonts w:ascii="Times New Roman" w:hAnsi="Times New Roman"/>
              </w:rPr>
            </w:pPr>
            <w:r>
              <w:rPr>
                <w:rFonts w:ascii="Times New Roman" w:hAnsi="Times New Roman"/>
              </w:rPr>
              <w:t>N 31.47109048</w:t>
            </w:r>
          </w:p>
        </w:tc>
        <w:tc>
          <w:tcPr>
            <w:tcW w:w="2381" w:type="dxa"/>
            <w:shd w:val="clear" w:color="auto" w:fill="auto"/>
            <w:vAlign w:val="center"/>
          </w:tcPr>
          <w:p>
            <w:pPr>
              <w:pStyle w:val="39"/>
              <w:rPr>
                <w:rFonts w:ascii="Times New Roman" w:hAnsi="Times New Roman"/>
              </w:rPr>
            </w:pPr>
            <w:r>
              <w:rPr>
                <w:rFonts w:ascii="Times New Roman" w:hAnsi="Times New Roman"/>
              </w:rPr>
              <w:t>管线NE方向上距离较近、居民较多</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6</w:t>
            </w:r>
          </w:p>
        </w:tc>
        <w:tc>
          <w:tcPr>
            <w:tcW w:w="1868" w:type="dxa"/>
            <w:vAlign w:val="center"/>
          </w:tcPr>
          <w:p>
            <w:pPr>
              <w:pStyle w:val="39"/>
              <w:rPr>
                <w:rFonts w:ascii="Times New Roman" w:hAnsi="Times New Roman"/>
              </w:rPr>
            </w:pPr>
            <w:r>
              <w:rPr>
                <w:rFonts w:ascii="Times New Roman" w:hAnsi="Times New Roman"/>
              </w:rPr>
              <w:t>宣探阀室-清管站管线-关心点6</w:t>
            </w:r>
          </w:p>
        </w:tc>
        <w:tc>
          <w:tcPr>
            <w:tcW w:w="1254" w:type="dxa"/>
            <w:vAlign w:val="center"/>
          </w:tcPr>
          <w:p>
            <w:pPr>
              <w:pStyle w:val="39"/>
              <w:rPr>
                <w:rFonts w:ascii="Times New Roman" w:hAnsi="Times New Roman"/>
              </w:rPr>
            </w:pPr>
            <w:r>
              <w:rPr>
                <w:rFonts w:ascii="Times New Roman" w:hAnsi="Times New Roman"/>
              </w:rPr>
              <w:t>NE</w:t>
            </w:r>
          </w:p>
        </w:tc>
        <w:tc>
          <w:tcPr>
            <w:tcW w:w="1318" w:type="dxa"/>
            <w:vAlign w:val="center"/>
          </w:tcPr>
          <w:p>
            <w:pPr>
              <w:pStyle w:val="39"/>
              <w:rPr>
                <w:rFonts w:ascii="Times New Roman" w:hAnsi="Times New Roman"/>
              </w:rPr>
            </w:pPr>
            <w:r>
              <w:rPr>
                <w:rFonts w:ascii="Times New Roman" w:hAnsi="Times New Roman"/>
              </w:rPr>
              <w:t>460</w:t>
            </w:r>
          </w:p>
        </w:tc>
        <w:tc>
          <w:tcPr>
            <w:tcW w:w="1817" w:type="dxa"/>
            <w:vAlign w:val="center"/>
          </w:tcPr>
          <w:p>
            <w:pPr>
              <w:pStyle w:val="39"/>
              <w:rPr>
                <w:rFonts w:ascii="Times New Roman" w:hAnsi="Times New Roman"/>
              </w:rPr>
            </w:pPr>
            <w:r>
              <w:rPr>
                <w:rFonts w:ascii="Times New Roman" w:hAnsi="Times New Roman"/>
              </w:rPr>
              <w:t>E 107.82292688</w:t>
            </w:r>
          </w:p>
          <w:p>
            <w:pPr>
              <w:pStyle w:val="39"/>
              <w:rPr>
                <w:rFonts w:ascii="Times New Roman" w:hAnsi="Times New Roman"/>
              </w:rPr>
            </w:pPr>
            <w:r>
              <w:rPr>
                <w:rFonts w:ascii="Times New Roman" w:hAnsi="Times New Roman"/>
              </w:rPr>
              <w:t>N 31.47157797</w:t>
            </w:r>
          </w:p>
        </w:tc>
        <w:tc>
          <w:tcPr>
            <w:tcW w:w="2381" w:type="dxa"/>
            <w:shd w:val="clear" w:color="auto" w:fill="auto"/>
            <w:vAlign w:val="center"/>
          </w:tcPr>
          <w:p>
            <w:pPr>
              <w:pStyle w:val="39"/>
              <w:rPr>
                <w:rFonts w:ascii="Times New Roman" w:hAnsi="Times New Roman"/>
              </w:rPr>
            </w:pPr>
            <w:r>
              <w:rPr>
                <w:rFonts w:ascii="Times New Roman" w:hAnsi="Times New Roman"/>
              </w:rPr>
              <w:t>管线NE方向上距离较近的分散居民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7</w:t>
            </w:r>
          </w:p>
        </w:tc>
        <w:tc>
          <w:tcPr>
            <w:tcW w:w="1868" w:type="dxa"/>
            <w:vAlign w:val="center"/>
          </w:tcPr>
          <w:p>
            <w:pPr>
              <w:pStyle w:val="39"/>
              <w:rPr>
                <w:rFonts w:ascii="Times New Roman" w:hAnsi="Times New Roman"/>
              </w:rPr>
            </w:pPr>
            <w:r>
              <w:rPr>
                <w:rFonts w:ascii="Times New Roman" w:hAnsi="Times New Roman"/>
              </w:rPr>
              <w:t>宣探阀室-清管站管线-关心点7</w:t>
            </w:r>
          </w:p>
        </w:tc>
        <w:tc>
          <w:tcPr>
            <w:tcW w:w="1254" w:type="dxa"/>
            <w:vAlign w:val="center"/>
          </w:tcPr>
          <w:p>
            <w:pPr>
              <w:pStyle w:val="39"/>
              <w:rPr>
                <w:rFonts w:ascii="Times New Roman" w:hAnsi="Times New Roman"/>
              </w:rPr>
            </w:pPr>
            <w:r>
              <w:rPr>
                <w:rFonts w:ascii="Times New Roman" w:hAnsi="Times New Roman"/>
              </w:rPr>
              <w:t>NW</w:t>
            </w:r>
          </w:p>
        </w:tc>
        <w:tc>
          <w:tcPr>
            <w:tcW w:w="1318" w:type="dxa"/>
            <w:vAlign w:val="center"/>
          </w:tcPr>
          <w:p>
            <w:pPr>
              <w:pStyle w:val="39"/>
              <w:rPr>
                <w:rFonts w:ascii="Times New Roman" w:hAnsi="Times New Roman"/>
              </w:rPr>
            </w:pPr>
            <w:r>
              <w:rPr>
                <w:rFonts w:ascii="Times New Roman" w:hAnsi="Times New Roman"/>
              </w:rPr>
              <w:t>164</w:t>
            </w:r>
          </w:p>
        </w:tc>
        <w:tc>
          <w:tcPr>
            <w:tcW w:w="1817" w:type="dxa"/>
            <w:vAlign w:val="center"/>
          </w:tcPr>
          <w:p>
            <w:pPr>
              <w:pStyle w:val="39"/>
              <w:rPr>
                <w:rFonts w:ascii="Times New Roman" w:hAnsi="Times New Roman"/>
              </w:rPr>
            </w:pPr>
            <w:r>
              <w:rPr>
                <w:rFonts w:ascii="Times New Roman" w:hAnsi="Times New Roman"/>
              </w:rPr>
              <w:t>E 107.81931875</w:t>
            </w:r>
          </w:p>
          <w:p>
            <w:pPr>
              <w:pStyle w:val="39"/>
              <w:rPr>
                <w:rFonts w:ascii="Times New Roman" w:hAnsi="Times New Roman"/>
              </w:rPr>
            </w:pPr>
            <w:r>
              <w:rPr>
                <w:rFonts w:ascii="Times New Roman" w:hAnsi="Times New Roman"/>
              </w:rPr>
              <w:t>N 31.46947605</w:t>
            </w:r>
          </w:p>
        </w:tc>
        <w:tc>
          <w:tcPr>
            <w:tcW w:w="2381" w:type="dxa"/>
            <w:shd w:val="clear" w:color="auto" w:fill="auto"/>
            <w:vAlign w:val="center"/>
          </w:tcPr>
          <w:p>
            <w:pPr>
              <w:pStyle w:val="39"/>
              <w:rPr>
                <w:rFonts w:ascii="Times New Roman" w:hAnsi="Times New Roman"/>
              </w:rPr>
            </w:pPr>
            <w:r>
              <w:rPr>
                <w:rFonts w:ascii="Times New Roman" w:hAnsi="Times New Roman"/>
              </w:rPr>
              <w:t>管线NW方向上距离最近的分散居民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8</w:t>
            </w:r>
          </w:p>
        </w:tc>
        <w:tc>
          <w:tcPr>
            <w:tcW w:w="1868" w:type="dxa"/>
            <w:vAlign w:val="center"/>
          </w:tcPr>
          <w:p>
            <w:pPr>
              <w:pStyle w:val="39"/>
              <w:rPr>
                <w:rFonts w:ascii="Times New Roman" w:hAnsi="Times New Roman"/>
              </w:rPr>
            </w:pPr>
            <w:r>
              <w:rPr>
                <w:rFonts w:ascii="Times New Roman" w:hAnsi="Times New Roman"/>
              </w:rPr>
              <w:t>宣探阀室-清管站管线-关心点8</w:t>
            </w:r>
          </w:p>
        </w:tc>
        <w:tc>
          <w:tcPr>
            <w:tcW w:w="1254" w:type="dxa"/>
            <w:vAlign w:val="center"/>
          </w:tcPr>
          <w:p>
            <w:pPr>
              <w:pStyle w:val="39"/>
              <w:rPr>
                <w:rFonts w:ascii="Times New Roman" w:hAnsi="Times New Roman"/>
              </w:rPr>
            </w:pPr>
            <w:r>
              <w:rPr>
                <w:rFonts w:ascii="Times New Roman" w:hAnsi="Times New Roman"/>
              </w:rPr>
              <w:t>NW</w:t>
            </w:r>
          </w:p>
        </w:tc>
        <w:tc>
          <w:tcPr>
            <w:tcW w:w="1318" w:type="dxa"/>
            <w:vAlign w:val="center"/>
          </w:tcPr>
          <w:p>
            <w:pPr>
              <w:pStyle w:val="39"/>
              <w:rPr>
                <w:rFonts w:ascii="Times New Roman" w:hAnsi="Times New Roman"/>
              </w:rPr>
            </w:pPr>
            <w:r>
              <w:rPr>
                <w:rFonts w:ascii="Times New Roman" w:hAnsi="Times New Roman"/>
              </w:rPr>
              <w:t>288</w:t>
            </w:r>
          </w:p>
        </w:tc>
        <w:tc>
          <w:tcPr>
            <w:tcW w:w="1817" w:type="dxa"/>
            <w:vAlign w:val="center"/>
          </w:tcPr>
          <w:p>
            <w:pPr>
              <w:pStyle w:val="39"/>
              <w:rPr>
                <w:rFonts w:ascii="Times New Roman" w:hAnsi="Times New Roman"/>
              </w:rPr>
            </w:pPr>
            <w:r>
              <w:rPr>
                <w:rFonts w:ascii="Times New Roman" w:hAnsi="Times New Roman"/>
              </w:rPr>
              <w:t>E 107.81724313</w:t>
            </w:r>
          </w:p>
          <w:p>
            <w:pPr>
              <w:pStyle w:val="39"/>
              <w:rPr>
                <w:rFonts w:ascii="Times New Roman" w:hAnsi="Times New Roman"/>
              </w:rPr>
            </w:pPr>
            <w:r>
              <w:rPr>
                <w:rFonts w:ascii="Times New Roman" w:hAnsi="Times New Roman"/>
              </w:rPr>
              <w:t>N 31.46892325</w:t>
            </w:r>
          </w:p>
        </w:tc>
        <w:tc>
          <w:tcPr>
            <w:tcW w:w="2381" w:type="dxa"/>
            <w:shd w:val="clear" w:color="auto" w:fill="auto"/>
            <w:vAlign w:val="center"/>
          </w:tcPr>
          <w:p>
            <w:pPr>
              <w:pStyle w:val="39"/>
              <w:rPr>
                <w:rFonts w:ascii="Times New Roman" w:hAnsi="Times New Roman"/>
              </w:rPr>
            </w:pPr>
            <w:r>
              <w:rPr>
                <w:rFonts w:ascii="Times New Roman" w:hAnsi="Times New Roman"/>
              </w:rPr>
              <w:t>管线NW方向上距离较近的分散居民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9</w:t>
            </w:r>
          </w:p>
        </w:tc>
        <w:tc>
          <w:tcPr>
            <w:tcW w:w="1868" w:type="dxa"/>
            <w:vAlign w:val="center"/>
          </w:tcPr>
          <w:p>
            <w:pPr>
              <w:pStyle w:val="39"/>
              <w:rPr>
                <w:rFonts w:ascii="Times New Roman" w:hAnsi="Times New Roman"/>
              </w:rPr>
            </w:pPr>
            <w:r>
              <w:rPr>
                <w:rFonts w:ascii="Times New Roman" w:hAnsi="Times New Roman"/>
              </w:rPr>
              <w:t>宣探阀室-清管站管线-关心点9</w:t>
            </w:r>
          </w:p>
        </w:tc>
        <w:tc>
          <w:tcPr>
            <w:tcW w:w="1254" w:type="dxa"/>
            <w:vAlign w:val="center"/>
          </w:tcPr>
          <w:p>
            <w:pPr>
              <w:pStyle w:val="39"/>
              <w:rPr>
                <w:rFonts w:ascii="Times New Roman" w:hAnsi="Times New Roman"/>
              </w:rPr>
            </w:pPr>
            <w:r>
              <w:rPr>
                <w:rFonts w:ascii="Times New Roman" w:hAnsi="Times New Roman"/>
              </w:rPr>
              <w:t>W</w:t>
            </w:r>
          </w:p>
        </w:tc>
        <w:tc>
          <w:tcPr>
            <w:tcW w:w="1318" w:type="dxa"/>
            <w:vAlign w:val="center"/>
          </w:tcPr>
          <w:p>
            <w:pPr>
              <w:pStyle w:val="39"/>
              <w:rPr>
                <w:rFonts w:ascii="Times New Roman" w:hAnsi="Times New Roman"/>
              </w:rPr>
            </w:pPr>
            <w:r>
              <w:rPr>
                <w:rFonts w:ascii="Times New Roman" w:hAnsi="Times New Roman"/>
              </w:rPr>
              <w:t>400</w:t>
            </w:r>
          </w:p>
        </w:tc>
        <w:tc>
          <w:tcPr>
            <w:tcW w:w="1817" w:type="dxa"/>
            <w:vAlign w:val="center"/>
          </w:tcPr>
          <w:p>
            <w:pPr>
              <w:pStyle w:val="39"/>
              <w:rPr>
                <w:rFonts w:ascii="Times New Roman" w:hAnsi="Times New Roman"/>
              </w:rPr>
            </w:pPr>
            <w:r>
              <w:rPr>
                <w:rFonts w:ascii="Times New Roman" w:hAnsi="Times New Roman"/>
              </w:rPr>
              <w:t>E 107.81590425</w:t>
            </w:r>
          </w:p>
          <w:p>
            <w:pPr>
              <w:pStyle w:val="39"/>
              <w:rPr>
                <w:rFonts w:ascii="Times New Roman" w:hAnsi="Times New Roman"/>
              </w:rPr>
            </w:pPr>
            <w:r>
              <w:rPr>
                <w:rFonts w:ascii="Times New Roman" w:hAnsi="Times New Roman"/>
              </w:rPr>
              <w:t>N 31.46815224</w:t>
            </w:r>
          </w:p>
        </w:tc>
        <w:tc>
          <w:tcPr>
            <w:tcW w:w="2381" w:type="dxa"/>
            <w:shd w:val="clear" w:color="auto" w:fill="auto"/>
            <w:vAlign w:val="center"/>
          </w:tcPr>
          <w:p>
            <w:pPr>
              <w:pStyle w:val="39"/>
              <w:rPr>
                <w:rFonts w:ascii="Times New Roman" w:hAnsi="Times New Roman"/>
              </w:rPr>
            </w:pPr>
            <w:r>
              <w:rPr>
                <w:rFonts w:ascii="Times New Roman" w:hAnsi="Times New Roman"/>
              </w:rPr>
              <w:t>管线W方向上距离较近的分散居民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10</w:t>
            </w:r>
          </w:p>
        </w:tc>
        <w:tc>
          <w:tcPr>
            <w:tcW w:w="1868" w:type="dxa"/>
            <w:vAlign w:val="center"/>
          </w:tcPr>
          <w:p>
            <w:pPr>
              <w:pStyle w:val="39"/>
              <w:rPr>
                <w:rFonts w:ascii="Times New Roman" w:hAnsi="Times New Roman"/>
              </w:rPr>
            </w:pPr>
            <w:r>
              <w:rPr>
                <w:rFonts w:ascii="Times New Roman" w:hAnsi="Times New Roman"/>
              </w:rPr>
              <w:t>宣探阀室-清管站管线-关心点10</w:t>
            </w:r>
          </w:p>
        </w:tc>
        <w:tc>
          <w:tcPr>
            <w:tcW w:w="1254" w:type="dxa"/>
            <w:vAlign w:val="center"/>
          </w:tcPr>
          <w:p>
            <w:pPr>
              <w:pStyle w:val="39"/>
              <w:rPr>
                <w:rFonts w:ascii="Times New Roman" w:hAnsi="Times New Roman"/>
              </w:rPr>
            </w:pPr>
            <w:r>
              <w:rPr>
                <w:rFonts w:ascii="Times New Roman" w:hAnsi="Times New Roman"/>
              </w:rPr>
              <w:t>NW</w:t>
            </w:r>
          </w:p>
        </w:tc>
        <w:tc>
          <w:tcPr>
            <w:tcW w:w="1318" w:type="dxa"/>
            <w:vAlign w:val="center"/>
          </w:tcPr>
          <w:p>
            <w:pPr>
              <w:pStyle w:val="39"/>
              <w:rPr>
                <w:rFonts w:ascii="Times New Roman" w:hAnsi="Times New Roman"/>
              </w:rPr>
            </w:pPr>
            <w:r>
              <w:rPr>
                <w:rFonts w:ascii="Times New Roman" w:hAnsi="Times New Roman"/>
              </w:rPr>
              <w:t>505</w:t>
            </w:r>
          </w:p>
        </w:tc>
        <w:tc>
          <w:tcPr>
            <w:tcW w:w="1817" w:type="dxa"/>
            <w:vAlign w:val="center"/>
          </w:tcPr>
          <w:p>
            <w:pPr>
              <w:pStyle w:val="39"/>
              <w:rPr>
                <w:rFonts w:ascii="Times New Roman" w:hAnsi="Times New Roman"/>
              </w:rPr>
            </w:pPr>
            <w:r>
              <w:rPr>
                <w:rFonts w:ascii="Times New Roman" w:hAnsi="Times New Roman"/>
              </w:rPr>
              <w:t>E 107.81498602</w:t>
            </w:r>
          </w:p>
          <w:p>
            <w:pPr>
              <w:pStyle w:val="39"/>
              <w:rPr>
                <w:rFonts w:ascii="Times New Roman" w:hAnsi="Times New Roman"/>
              </w:rPr>
            </w:pPr>
            <w:r>
              <w:rPr>
                <w:rFonts w:ascii="Times New Roman" w:hAnsi="Times New Roman"/>
              </w:rPr>
              <w:t>N 31.46925194</w:t>
            </w:r>
          </w:p>
        </w:tc>
        <w:tc>
          <w:tcPr>
            <w:tcW w:w="2381" w:type="dxa"/>
            <w:shd w:val="clear" w:color="auto" w:fill="auto"/>
            <w:vAlign w:val="center"/>
          </w:tcPr>
          <w:p>
            <w:pPr>
              <w:pStyle w:val="39"/>
              <w:rPr>
                <w:rFonts w:ascii="Times New Roman" w:hAnsi="Times New Roman"/>
              </w:rPr>
            </w:pPr>
            <w:r>
              <w:rPr>
                <w:rFonts w:ascii="Times New Roman" w:hAnsi="Times New Roman"/>
              </w:rPr>
              <w:t>管线NW方向上距离较近、居民较多</w:t>
            </w:r>
          </w:p>
        </w:tc>
      </w:tr>
    </w:tbl>
    <w:p>
      <w:pPr>
        <w:ind w:firstLine="480"/>
        <w:rPr>
          <w:rFonts w:ascii="Times New Roman" w:hAnsi="Times New Roman"/>
        </w:rPr>
      </w:pPr>
    </w:p>
    <w:p>
      <w:pPr>
        <w:ind w:firstLine="480"/>
        <w:rPr>
          <w:rFonts w:ascii="Times New Roman" w:hAnsi="Times New Roman"/>
        </w:rPr>
      </w:pPr>
      <w:r>
        <w:rPr>
          <w:rFonts w:ascii="Times New Roman" w:hAnsi="Times New Roman"/>
        </w:rPr>
        <w:t>3）预测结果</w:t>
      </w:r>
    </w:p>
    <w:p>
      <w:pPr>
        <w:ind w:firstLine="480"/>
        <w:rPr>
          <w:rFonts w:ascii="Times New Roman" w:hAnsi="Times New Roman"/>
        </w:rPr>
      </w:pPr>
      <w:bookmarkStart w:id="297" w:name="_Hlk155687922"/>
      <w:r>
        <w:rPr>
          <w:rFonts w:ascii="Times New Roman" w:hAnsi="Times New Roman"/>
        </w:rPr>
        <w:t>宣探阀室-宣探清管站段管道泄漏时</w:t>
      </w:r>
      <w:bookmarkEnd w:id="297"/>
      <w:r>
        <w:rPr>
          <w:rFonts w:ascii="Times New Roman" w:hAnsi="Times New Roman"/>
        </w:rPr>
        <w:t>，根据模拟预测，不同风向下，H</w:t>
      </w:r>
      <w:r>
        <w:rPr>
          <w:rFonts w:ascii="Times New Roman" w:hAnsi="Times New Roman"/>
          <w:vertAlign w:val="subscript"/>
        </w:rPr>
        <w:t>2</w:t>
      </w:r>
      <w:r>
        <w:rPr>
          <w:rFonts w:ascii="Times New Roman" w:hAnsi="Times New Roman"/>
        </w:rPr>
        <w:t>S毒性终点浓度1、毒性终点浓度2最大影响范围情况及相应到达时间如</w:t>
      </w:r>
      <w:r>
        <w:rPr>
          <w:rFonts w:ascii="Times New Roman" w:hAnsi="Times New Roman"/>
        </w:rPr>
        <w:fldChar w:fldCharType="begin"/>
      </w:r>
      <w:r>
        <w:rPr>
          <w:rFonts w:ascii="Times New Roman" w:hAnsi="Times New Roman"/>
        </w:rPr>
        <w:instrText xml:space="preserve"> REF _Ref155684516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36</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_Ref155684518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37</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_Ref155687142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6</w:t>
      </w:r>
      <w:r>
        <w:rPr>
          <w:rFonts w:ascii="Times New Roman" w:hAnsi="Times New Roman"/>
        </w:rPr>
        <w:fldChar w:fldCharType="end"/>
      </w:r>
      <w:r>
        <w:rPr>
          <w:rFonts w:ascii="Times New Roman" w:hAnsi="Times New Roman"/>
        </w:rPr>
        <w:t>所示。由表可知，在最不利气象条件下，当风向为东向时，H</w:t>
      </w:r>
      <w:r>
        <w:rPr>
          <w:rFonts w:ascii="Times New Roman" w:hAnsi="Times New Roman"/>
          <w:vertAlign w:val="subscript"/>
        </w:rPr>
        <w:t>2</w:t>
      </w:r>
      <w:r>
        <w:rPr>
          <w:rFonts w:ascii="Times New Roman" w:hAnsi="Times New Roman"/>
        </w:rPr>
        <w:t>S毒性终点浓度1影响范围最大，事故发生104min后，达到1340m；当风向为东向时，H</w:t>
      </w:r>
      <w:r>
        <w:rPr>
          <w:rFonts w:ascii="Times New Roman" w:hAnsi="Times New Roman"/>
          <w:vertAlign w:val="subscript"/>
        </w:rPr>
        <w:t>2</w:t>
      </w:r>
      <w:r>
        <w:rPr>
          <w:rFonts w:ascii="Times New Roman" w:hAnsi="Times New Roman"/>
        </w:rPr>
        <w:t>S毒性终点浓度2影响范围最大，事故发生105min后，达到1470m。具体汇总结果见</w:t>
      </w:r>
      <w:r>
        <w:rPr>
          <w:rFonts w:ascii="Times New Roman" w:hAnsi="Times New Roman"/>
        </w:rPr>
        <w:fldChar w:fldCharType="begin"/>
      </w:r>
      <w:r>
        <w:rPr>
          <w:rFonts w:ascii="Times New Roman" w:hAnsi="Times New Roman"/>
        </w:rPr>
        <w:instrText xml:space="preserve"> REF _Ref155687164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38</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以毒性终点浓度2影响范围最大的风向为例，当风向为东向时，对应H</w:t>
      </w:r>
      <w:r>
        <w:rPr>
          <w:rFonts w:ascii="Times New Roman" w:hAnsi="Times New Roman"/>
          <w:vertAlign w:val="subscript"/>
        </w:rPr>
        <w:t>2</w:t>
      </w:r>
      <w:r>
        <w:rPr>
          <w:rFonts w:ascii="Times New Roman" w:hAnsi="Times New Roman"/>
        </w:rPr>
        <w:t>S不同时刻最大浓度分布情况见</w:t>
      </w:r>
      <w:r>
        <w:rPr>
          <w:rFonts w:ascii="Times New Roman" w:hAnsi="Times New Roman"/>
        </w:rPr>
        <w:fldChar w:fldCharType="begin"/>
      </w:r>
      <w:r>
        <w:rPr>
          <w:rFonts w:ascii="Times New Roman" w:hAnsi="Times New Roman"/>
        </w:rPr>
        <w:instrText xml:space="preserve"> REF _Ref155687431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39</w:t>
      </w:r>
      <w:r>
        <w:rPr>
          <w:rFonts w:ascii="Times New Roman" w:hAnsi="Times New Roman"/>
        </w:rPr>
        <w:fldChar w:fldCharType="end"/>
      </w:r>
      <w:r>
        <w:rPr>
          <w:rFonts w:ascii="Times New Roman" w:hAnsi="Times New Roman"/>
        </w:rPr>
        <w:t>，H</w:t>
      </w:r>
      <w:r>
        <w:rPr>
          <w:rFonts w:ascii="Times New Roman" w:hAnsi="Times New Roman"/>
          <w:vertAlign w:val="subscript"/>
        </w:rPr>
        <w:t>2</w:t>
      </w:r>
      <w:r>
        <w:rPr>
          <w:rFonts w:ascii="Times New Roman" w:hAnsi="Times New Roman"/>
        </w:rPr>
        <w:t>S不同距离下最大浓度分布情况见</w:t>
      </w:r>
      <w:r>
        <w:rPr>
          <w:rFonts w:ascii="Times New Roman" w:hAnsi="Times New Roman"/>
        </w:rPr>
        <w:fldChar w:fldCharType="begin"/>
      </w:r>
      <w:r>
        <w:rPr>
          <w:rFonts w:ascii="Times New Roman" w:hAnsi="Times New Roman"/>
        </w:rPr>
        <w:instrText xml:space="preserve"> REF _Ref115940097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40</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风险源周边关心点中，以H</w:t>
      </w:r>
      <w:r>
        <w:rPr>
          <w:rFonts w:ascii="Times New Roman" w:hAnsi="Times New Roman"/>
          <w:vertAlign w:val="subscript"/>
        </w:rPr>
        <w:t>2</w:t>
      </w:r>
      <w:r>
        <w:rPr>
          <w:rFonts w:ascii="Times New Roman" w:hAnsi="Times New Roman"/>
        </w:rPr>
        <w:t>S毒性终点浓度2作为超标参考依据，除关心点4、关心点5、关心点10，其他关心点均超标，超标时间出现在泄漏事故发生30-61min后，持续超标时间在14-86min，具体见</w:t>
      </w:r>
      <w:r>
        <w:rPr>
          <w:rFonts w:ascii="Times New Roman" w:hAnsi="Times New Roman"/>
        </w:rPr>
        <w:fldChar w:fldCharType="begin"/>
      </w:r>
      <w:r>
        <w:rPr>
          <w:rFonts w:ascii="Times New Roman" w:hAnsi="Times New Roman"/>
        </w:rPr>
        <w:instrText xml:space="preserve"> REF _Ref155687866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41</w:t>
      </w:r>
      <w:r>
        <w:rPr>
          <w:rFonts w:ascii="Times New Roman" w:hAnsi="Times New Roman"/>
        </w:rPr>
        <w:fldChar w:fldCharType="end"/>
      </w:r>
      <w:r>
        <w:rPr>
          <w:rFonts w:ascii="Times New Roman" w:hAnsi="Times New Roman"/>
        </w:rPr>
        <w:t>，主要受影响关心点处的浓度随时间变化情况如</w:t>
      </w:r>
      <w:r>
        <w:rPr>
          <w:rFonts w:ascii="Times New Roman" w:hAnsi="Times New Roman"/>
        </w:rPr>
        <w:fldChar w:fldCharType="begin"/>
      </w:r>
      <w:r>
        <w:rPr>
          <w:rFonts w:ascii="Times New Roman" w:hAnsi="Times New Roman"/>
        </w:rPr>
        <w:instrText xml:space="preserve"> REF _Ref155687881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7</w:t>
      </w:r>
      <w:r>
        <w:rPr>
          <w:rFonts w:ascii="Times New Roman" w:hAnsi="Times New Roman"/>
        </w:rPr>
        <w:fldChar w:fldCharType="end"/>
      </w:r>
      <w:r>
        <w:rPr>
          <w:rFonts w:ascii="Times New Roman" w:hAnsi="Times New Roman"/>
        </w:rPr>
        <w:t>所示。</w:t>
      </w:r>
    </w:p>
    <w:p>
      <w:pPr>
        <w:pStyle w:val="37"/>
        <w:rPr>
          <w:rFonts w:ascii="Times New Roman" w:hAnsi="Times New Roman" w:cs="Times New Roman"/>
        </w:rPr>
      </w:pPr>
      <w:bookmarkStart w:id="298" w:name="_Ref15568451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36</w:t>
      </w:r>
      <w:r>
        <w:rPr>
          <w:rFonts w:ascii="Times New Roman" w:hAnsi="Times New Roman" w:cs="Times New Roman"/>
        </w:rPr>
        <w:fldChar w:fldCharType="end"/>
      </w:r>
      <w:bookmarkEnd w:id="298"/>
      <w:r>
        <w:rPr>
          <w:rFonts w:ascii="Times New Roman" w:hAnsi="Times New Roman" w:cs="Times New Roman"/>
        </w:rPr>
        <w:t xml:space="preserve">  各风向下H</w:t>
      </w:r>
      <w:r>
        <w:rPr>
          <w:rFonts w:ascii="Times New Roman" w:hAnsi="Times New Roman" w:cs="Times New Roman"/>
          <w:vertAlign w:val="subscript"/>
        </w:rPr>
        <w:t>2</w:t>
      </w:r>
      <w:r>
        <w:rPr>
          <w:rFonts w:ascii="Times New Roman" w:hAnsi="Times New Roman" w:cs="Times New Roman"/>
        </w:rPr>
        <w:t>S毒性终点浓度1最大影响距离</w:t>
      </w:r>
    </w:p>
    <w:tbl>
      <w:tblPr>
        <w:tblStyle w:val="28"/>
        <w:tblW w:w="5123" w:type="pct"/>
        <w:jc w:val="center"/>
        <w:tblLayout w:type="autofit"/>
        <w:tblCellMar>
          <w:top w:w="0" w:type="dxa"/>
          <w:left w:w="108" w:type="dxa"/>
          <w:bottom w:w="0" w:type="dxa"/>
          <w:right w:w="108" w:type="dxa"/>
        </w:tblCellMar>
      </w:tblPr>
      <w:tblGrid>
        <w:gridCol w:w="931"/>
        <w:gridCol w:w="2108"/>
        <w:gridCol w:w="1787"/>
        <w:gridCol w:w="778"/>
        <w:gridCol w:w="1995"/>
        <w:gridCol w:w="1744"/>
      </w:tblGrid>
      <w:tr>
        <w:tblPrEx>
          <w:tblCellMar>
            <w:top w:w="0" w:type="dxa"/>
            <w:left w:w="108" w:type="dxa"/>
            <w:bottom w:w="0" w:type="dxa"/>
            <w:right w:w="108" w:type="dxa"/>
          </w:tblCellMar>
        </w:tblPrEx>
        <w:trPr>
          <w:trHeight w:val="20" w:hRule="atLeast"/>
          <w:jc w:val="center"/>
        </w:trPr>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风向</w:t>
            </w:r>
          </w:p>
        </w:tc>
        <w:tc>
          <w:tcPr>
            <w:tcW w:w="2108"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最大影响距离/m</w:t>
            </w:r>
          </w:p>
        </w:tc>
        <w:tc>
          <w:tcPr>
            <w:tcW w:w="1787"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到达时间/min</w:t>
            </w:r>
          </w:p>
        </w:tc>
        <w:tc>
          <w:tcPr>
            <w:tcW w:w="778"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风向</w:t>
            </w:r>
          </w:p>
        </w:tc>
        <w:tc>
          <w:tcPr>
            <w:tcW w:w="1995"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最大影响距离/m</w:t>
            </w:r>
          </w:p>
        </w:tc>
        <w:tc>
          <w:tcPr>
            <w:tcW w:w="1744"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到达时间/min</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北</w:t>
            </w:r>
          </w:p>
        </w:tc>
        <w:tc>
          <w:tcPr>
            <w:tcW w:w="2108" w:type="dxa"/>
            <w:tcBorders>
              <w:top w:val="nil"/>
              <w:left w:val="nil"/>
              <w:bottom w:val="single" w:color="auto" w:sz="4" w:space="0"/>
              <w:right w:val="single" w:color="auto" w:sz="4" w:space="0"/>
            </w:tcBorders>
            <w:shd w:val="clear" w:color="auto" w:fill="auto"/>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sz w:val="21"/>
                <w:szCs w:val="21"/>
              </w:rPr>
              <w:t>831</w:t>
            </w:r>
          </w:p>
        </w:tc>
        <w:tc>
          <w:tcPr>
            <w:tcW w:w="1787" w:type="dxa"/>
            <w:tcBorders>
              <w:top w:val="nil"/>
              <w:left w:val="nil"/>
              <w:bottom w:val="single" w:color="auto" w:sz="4" w:space="0"/>
              <w:right w:val="single" w:color="auto" w:sz="4" w:space="0"/>
            </w:tcBorders>
            <w:shd w:val="clear" w:color="auto" w:fill="auto"/>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sz w:val="21"/>
                <w:szCs w:val="21"/>
              </w:rPr>
              <w:t>153</w:t>
            </w:r>
          </w:p>
        </w:tc>
        <w:tc>
          <w:tcPr>
            <w:tcW w:w="778"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南</w:t>
            </w:r>
          </w:p>
        </w:tc>
        <w:tc>
          <w:tcPr>
            <w:tcW w:w="1995" w:type="dxa"/>
            <w:tcBorders>
              <w:top w:val="nil"/>
              <w:left w:val="nil"/>
              <w:bottom w:val="single" w:color="auto" w:sz="4" w:space="0"/>
              <w:right w:val="single" w:color="auto" w:sz="4" w:space="0"/>
            </w:tcBorders>
            <w:shd w:val="clear" w:color="auto" w:fill="auto"/>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sz w:val="21"/>
                <w:szCs w:val="21"/>
              </w:rPr>
              <w:t>287</w:t>
            </w:r>
          </w:p>
        </w:tc>
        <w:tc>
          <w:tcPr>
            <w:tcW w:w="1744" w:type="dxa"/>
            <w:tcBorders>
              <w:top w:val="nil"/>
              <w:left w:val="nil"/>
              <w:bottom w:val="single" w:color="auto" w:sz="4" w:space="0"/>
              <w:right w:val="single" w:color="auto" w:sz="4" w:space="0"/>
            </w:tcBorders>
            <w:shd w:val="clear" w:color="auto" w:fill="auto"/>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sz w:val="21"/>
                <w:szCs w:val="21"/>
              </w:rPr>
              <w:t>74</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东北</w:t>
            </w:r>
          </w:p>
        </w:tc>
        <w:tc>
          <w:tcPr>
            <w:tcW w:w="2108" w:type="dxa"/>
            <w:tcBorders>
              <w:top w:val="nil"/>
              <w:left w:val="nil"/>
              <w:bottom w:val="single" w:color="auto" w:sz="4" w:space="0"/>
              <w:right w:val="single" w:color="auto" w:sz="4" w:space="0"/>
            </w:tcBorders>
            <w:shd w:val="clear" w:color="auto" w:fill="auto"/>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sz w:val="21"/>
                <w:szCs w:val="21"/>
              </w:rPr>
              <w:t>822</w:t>
            </w:r>
          </w:p>
        </w:tc>
        <w:tc>
          <w:tcPr>
            <w:tcW w:w="1787" w:type="dxa"/>
            <w:tcBorders>
              <w:top w:val="nil"/>
              <w:left w:val="nil"/>
              <w:bottom w:val="single" w:color="auto" w:sz="4" w:space="0"/>
              <w:right w:val="single" w:color="auto" w:sz="4" w:space="0"/>
            </w:tcBorders>
            <w:shd w:val="clear" w:color="auto" w:fill="auto"/>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sz w:val="21"/>
                <w:szCs w:val="21"/>
              </w:rPr>
              <w:t>96</w:t>
            </w:r>
          </w:p>
        </w:tc>
        <w:tc>
          <w:tcPr>
            <w:tcW w:w="778"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西南</w:t>
            </w:r>
          </w:p>
        </w:tc>
        <w:tc>
          <w:tcPr>
            <w:tcW w:w="1995" w:type="dxa"/>
            <w:tcBorders>
              <w:top w:val="nil"/>
              <w:left w:val="nil"/>
              <w:bottom w:val="single" w:color="auto" w:sz="4" w:space="0"/>
              <w:right w:val="single" w:color="auto" w:sz="4" w:space="0"/>
            </w:tcBorders>
            <w:shd w:val="clear" w:color="auto" w:fill="auto"/>
          </w:tcPr>
          <w:p>
            <w:pPr>
              <w:widowControl/>
              <w:adjustRightInd w:val="0"/>
              <w:snapToGrid w:val="0"/>
              <w:spacing w:line="240" w:lineRule="auto"/>
              <w:ind w:firstLine="0" w:firstLineChars="0"/>
              <w:jc w:val="center"/>
              <w:rPr>
                <w:rFonts w:ascii="Times New Roman" w:hAnsi="Times New Roman"/>
                <w:b/>
                <w:bCs/>
                <w:kern w:val="0"/>
                <w:sz w:val="21"/>
                <w:szCs w:val="21"/>
              </w:rPr>
            </w:pPr>
            <w:r>
              <w:rPr>
                <w:rFonts w:ascii="Times New Roman" w:hAnsi="Times New Roman"/>
                <w:sz w:val="21"/>
                <w:szCs w:val="21"/>
              </w:rPr>
              <w:t>537</w:t>
            </w:r>
          </w:p>
        </w:tc>
        <w:tc>
          <w:tcPr>
            <w:tcW w:w="1744" w:type="dxa"/>
            <w:tcBorders>
              <w:top w:val="nil"/>
              <w:left w:val="nil"/>
              <w:bottom w:val="single" w:color="auto" w:sz="4" w:space="0"/>
              <w:right w:val="single" w:color="auto" w:sz="4" w:space="0"/>
            </w:tcBorders>
            <w:shd w:val="clear" w:color="auto" w:fill="auto"/>
          </w:tcPr>
          <w:p>
            <w:pPr>
              <w:widowControl/>
              <w:adjustRightInd w:val="0"/>
              <w:snapToGrid w:val="0"/>
              <w:spacing w:line="240" w:lineRule="auto"/>
              <w:ind w:firstLine="0" w:firstLineChars="0"/>
              <w:jc w:val="center"/>
              <w:rPr>
                <w:rFonts w:ascii="Times New Roman" w:hAnsi="Times New Roman"/>
                <w:b/>
                <w:bCs/>
                <w:kern w:val="0"/>
                <w:sz w:val="21"/>
                <w:szCs w:val="21"/>
              </w:rPr>
            </w:pPr>
            <w:r>
              <w:rPr>
                <w:rFonts w:ascii="Times New Roman" w:hAnsi="Times New Roman"/>
                <w:sz w:val="21"/>
                <w:szCs w:val="21"/>
              </w:rPr>
              <w:t>82</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ascii="Times New Roman" w:hAnsi="Times New Roman"/>
                <w:b/>
                <w:bCs/>
                <w:kern w:val="0"/>
                <w:sz w:val="21"/>
                <w:szCs w:val="21"/>
              </w:rPr>
            </w:pPr>
            <w:r>
              <w:rPr>
                <w:rFonts w:ascii="Times New Roman" w:hAnsi="Times New Roman"/>
                <w:b/>
                <w:bCs/>
                <w:kern w:val="0"/>
                <w:sz w:val="21"/>
                <w:szCs w:val="21"/>
              </w:rPr>
              <w:t>东</w:t>
            </w:r>
          </w:p>
        </w:tc>
        <w:tc>
          <w:tcPr>
            <w:tcW w:w="2108" w:type="dxa"/>
            <w:tcBorders>
              <w:top w:val="nil"/>
              <w:left w:val="nil"/>
              <w:bottom w:val="single" w:color="auto" w:sz="4" w:space="0"/>
              <w:right w:val="single" w:color="auto" w:sz="4" w:space="0"/>
            </w:tcBorders>
            <w:shd w:val="clear" w:color="auto" w:fill="auto"/>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b/>
                <w:bCs/>
                <w:sz w:val="21"/>
                <w:szCs w:val="21"/>
              </w:rPr>
              <w:t>1340</w:t>
            </w:r>
          </w:p>
        </w:tc>
        <w:tc>
          <w:tcPr>
            <w:tcW w:w="1787" w:type="dxa"/>
            <w:tcBorders>
              <w:top w:val="nil"/>
              <w:left w:val="nil"/>
              <w:bottom w:val="single" w:color="auto" w:sz="4" w:space="0"/>
              <w:right w:val="single" w:color="auto" w:sz="4" w:space="0"/>
            </w:tcBorders>
            <w:shd w:val="clear" w:color="auto" w:fill="auto"/>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b/>
                <w:bCs/>
                <w:sz w:val="21"/>
                <w:szCs w:val="21"/>
              </w:rPr>
              <w:t>104</w:t>
            </w:r>
          </w:p>
        </w:tc>
        <w:tc>
          <w:tcPr>
            <w:tcW w:w="778"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西</w:t>
            </w:r>
          </w:p>
        </w:tc>
        <w:tc>
          <w:tcPr>
            <w:tcW w:w="1995" w:type="dxa"/>
            <w:tcBorders>
              <w:top w:val="nil"/>
              <w:left w:val="nil"/>
              <w:bottom w:val="single" w:color="auto" w:sz="4" w:space="0"/>
              <w:right w:val="single" w:color="auto" w:sz="4" w:space="0"/>
            </w:tcBorders>
            <w:shd w:val="clear" w:color="auto" w:fill="auto"/>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sz w:val="21"/>
                <w:szCs w:val="21"/>
              </w:rPr>
              <w:t>440</w:t>
            </w:r>
          </w:p>
        </w:tc>
        <w:tc>
          <w:tcPr>
            <w:tcW w:w="1744" w:type="dxa"/>
            <w:tcBorders>
              <w:top w:val="nil"/>
              <w:left w:val="nil"/>
              <w:bottom w:val="single" w:color="auto" w:sz="4" w:space="0"/>
              <w:right w:val="single" w:color="auto" w:sz="4" w:space="0"/>
            </w:tcBorders>
            <w:shd w:val="clear" w:color="auto" w:fill="auto"/>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sz w:val="21"/>
                <w:szCs w:val="21"/>
              </w:rPr>
              <w:t>78</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东南</w:t>
            </w:r>
          </w:p>
        </w:tc>
        <w:tc>
          <w:tcPr>
            <w:tcW w:w="2108" w:type="dxa"/>
            <w:tcBorders>
              <w:top w:val="nil"/>
              <w:left w:val="nil"/>
              <w:bottom w:val="single" w:color="auto" w:sz="4" w:space="0"/>
              <w:right w:val="single" w:color="auto" w:sz="4" w:space="0"/>
            </w:tcBorders>
            <w:shd w:val="clear" w:color="auto" w:fill="auto"/>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sz w:val="21"/>
                <w:szCs w:val="21"/>
              </w:rPr>
              <w:t>379</w:t>
            </w:r>
          </w:p>
        </w:tc>
        <w:tc>
          <w:tcPr>
            <w:tcW w:w="1787" w:type="dxa"/>
            <w:tcBorders>
              <w:top w:val="nil"/>
              <w:left w:val="nil"/>
              <w:bottom w:val="single" w:color="auto" w:sz="4" w:space="0"/>
              <w:right w:val="single" w:color="auto" w:sz="4" w:space="0"/>
            </w:tcBorders>
            <w:shd w:val="clear" w:color="auto" w:fill="auto"/>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sz w:val="21"/>
                <w:szCs w:val="21"/>
              </w:rPr>
              <w:t>84</w:t>
            </w:r>
          </w:p>
        </w:tc>
        <w:tc>
          <w:tcPr>
            <w:tcW w:w="778"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西北</w:t>
            </w:r>
          </w:p>
        </w:tc>
        <w:tc>
          <w:tcPr>
            <w:tcW w:w="1995" w:type="dxa"/>
            <w:tcBorders>
              <w:top w:val="nil"/>
              <w:left w:val="nil"/>
              <w:bottom w:val="single" w:color="auto" w:sz="4" w:space="0"/>
              <w:right w:val="single" w:color="auto" w:sz="4" w:space="0"/>
            </w:tcBorders>
            <w:shd w:val="clear" w:color="auto" w:fill="auto"/>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sz w:val="21"/>
                <w:szCs w:val="21"/>
              </w:rPr>
              <w:t>456</w:t>
            </w:r>
          </w:p>
        </w:tc>
        <w:tc>
          <w:tcPr>
            <w:tcW w:w="1744" w:type="dxa"/>
            <w:tcBorders>
              <w:top w:val="nil"/>
              <w:left w:val="nil"/>
              <w:bottom w:val="single" w:color="auto" w:sz="4" w:space="0"/>
              <w:right w:val="single" w:color="auto" w:sz="4" w:space="0"/>
            </w:tcBorders>
            <w:shd w:val="clear" w:color="auto" w:fill="auto"/>
          </w:tcPr>
          <w:p>
            <w:pPr>
              <w:widowControl/>
              <w:adjustRightInd w:val="0"/>
              <w:snapToGrid w:val="0"/>
              <w:spacing w:line="240" w:lineRule="auto"/>
              <w:ind w:firstLine="0" w:firstLineChars="0"/>
              <w:jc w:val="center"/>
              <w:rPr>
                <w:rFonts w:ascii="Times New Roman" w:hAnsi="Times New Roman"/>
                <w:kern w:val="0"/>
                <w:sz w:val="21"/>
                <w:szCs w:val="21"/>
              </w:rPr>
            </w:pPr>
            <w:r>
              <w:rPr>
                <w:rFonts w:ascii="Times New Roman" w:hAnsi="Times New Roman"/>
                <w:sz w:val="21"/>
                <w:szCs w:val="21"/>
              </w:rPr>
              <w:t>88</w:t>
            </w:r>
          </w:p>
        </w:tc>
      </w:tr>
    </w:tbl>
    <w:p>
      <w:pPr>
        <w:pStyle w:val="37"/>
        <w:rPr>
          <w:rFonts w:ascii="Times New Roman" w:hAnsi="Times New Roman" w:cs="Times New Roman"/>
        </w:rPr>
      </w:pPr>
      <w:bookmarkStart w:id="299" w:name="_Ref155684518"/>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37</w:t>
      </w:r>
      <w:r>
        <w:rPr>
          <w:rFonts w:ascii="Times New Roman" w:hAnsi="Times New Roman" w:cs="Times New Roman"/>
        </w:rPr>
        <w:fldChar w:fldCharType="end"/>
      </w:r>
      <w:bookmarkEnd w:id="299"/>
      <w:r>
        <w:rPr>
          <w:rFonts w:ascii="Times New Roman" w:hAnsi="Times New Roman" w:cs="Times New Roman"/>
        </w:rPr>
        <w:t xml:space="preserve">  各风向下H</w:t>
      </w:r>
      <w:r>
        <w:rPr>
          <w:rFonts w:ascii="Times New Roman" w:hAnsi="Times New Roman" w:cs="Times New Roman"/>
          <w:vertAlign w:val="subscript"/>
        </w:rPr>
        <w:t>2</w:t>
      </w:r>
      <w:r>
        <w:rPr>
          <w:rFonts w:ascii="Times New Roman" w:hAnsi="Times New Roman" w:cs="Times New Roman"/>
        </w:rPr>
        <w:t>S毒性终点浓度2最大影响距离</w:t>
      </w:r>
    </w:p>
    <w:tbl>
      <w:tblPr>
        <w:tblStyle w:val="28"/>
        <w:tblW w:w="5123" w:type="pct"/>
        <w:jc w:val="center"/>
        <w:tblLayout w:type="autofit"/>
        <w:tblCellMar>
          <w:top w:w="0" w:type="dxa"/>
          <w:left w:w="108" w:type="dxa"/>
          <w:bottom w:w="0" w:type="dxa"/>
          <w:right w:w="108" w:type="dxa"/>
        </w:tblCellMar>
      </w:tblPr>
      <w:tblGrid>
        <w:gridCol w:w="931"/>
        <w:gridCol w:w="2108"/>
        <w:gridCol w:w="1787"/>
        <w:gridCol w:w="778"/>
        <w:gridCol w:w="1995"/>
        <w:gridCol w:w="1744"/>
      </w:tblGrid>
      <w:tr>
        <w:tblPrEx>
          <w:tblCellMar>
            <w:top w:w="0" w:type="dxa"/>
            <w:left w:w="108" w:type="dxa"/>
            <w:bottom w:w="0" w:type="dxa"/>
            <w:right w:w="108" w:type="dxa"/>
          </w:tblCellMar>
        </w:tblPrEx>
        <w:trPr>
          <w:trHeight w:val="20" w:hRule="atLeast"/>
          <w:tblHeader/>
          <w:jc w:val="center"/>
        </w:trPr>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风向</w:t>
            </w:r>
          </w:p>
        </w:tc>
        <w:tc>
          <w:tcPr>
            <w:tcW w:w="2108"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最大影响距离/m</w:t>
            </w:r>
          </w:p>
        </w:tc>
        <w:tc>
          <w:tcPr>
            <w:tcW w:w="1787"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到达时间/min</w:t>
            </w:r>
          </w:p>
        </w:tc>
        <w:tc>
          <w:tcPr>
            <w:tcW w:w="778"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风向</w:t>
            </w:r>
          </w:p>
        </w:tc>
        <w:tc>
          <w:tcPr>
            <w:tcW w:w="1995"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最大影响距离/m</w:t>
            </w:r>
          </w:p>
        </w:tc>
        <w:tc>
          <w:tcPr>
            <w:tcW w:w="1744"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到达时间/min</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北</w:t>
            </w:r>
          </w:p>
        </w:tc>
        <w:tc>
          <w:tcPr>
            <w:tcW w:w="2108" w:type="dxa"/>
            <w:tcBorders>
              <w:top w:val="nil"/>
              <w:left w:val="nil"/>
              <w:bottom w:val="single" w:color="auto" w:sz="4" w:space="0"/>
              <w:right w:val="single" w:color="auto" w:sz="4" w:space="0"/>
            </w:tcBorders>
            <w:shd w:val="clear" w:color="auto" w:fill="auto"/>
          </w:tcPr>
          <w:p>
            <w:pPr>
              <w:widowControl/>
              <w:spacing w:line="240" w:lineRule="auto"/>
              <w:ind w:firstLine="0" w:firstLineChars="0"/>
              <w:jc w:val="center"/>
              <w:rPr>
                <w:rFonts w:ascii="Times New Roman" w:hAnsi="Times New Roman"/>
                <w:kern w:val="0"/>
                <w:sz w:val="21"/>
                <w:szCs w:val="21"/>
              </w:rPr>
            </w:pPr>
            <w:r>
              <w:rPr>
                <w:rFonts w:ascii="Times New Roman" w:hAnsi="Times New Roman"/>
                <w:sz w:val="21"/>
                <w:szCs w:val="21"/>
              </w:rPr>
              <w:t>881</w:t>
            </w:r>
          </w:p>
        </w:tc>
        <w:tc>
          <w:tcPr>
            <w:tcW w:w="1787" w:type="dxa"/>
            <w:tcBorders>
              <w:top w:val="nil"/>
              <w:left w:val="nil"/>
              <w:bottom w:val="single" w:color="auto" w:sz="4" w:space="0"/>
              <w:right w:val="single" w:color="auto" w:sz="4" w:space="0"/>
            </w:tcBorders>
            <w:shd w:val="clear" w:color="auto" w:fill="auto"/>
          </w:tcPr>
          <w:p>
            <w:pPr>
              <w:widowControl/>
              <w:spacing w:line="240" w:lineRule="auto"/>
              <w:ind w:firstLine="0" w:firstLineChars="0"/>
              <w:jc w:val="center"/>
              <w:rPr>
                <w:rFonts w:ascii="Times New Roman" w:hAnsi="Times New Roman"/>
                <w:kern w:val="0"/>
                <w:sz w:val="21"/>
                <w:szCs w:val="21"/>
              </w:rPr>
            </w:pPr>
            <w:r>
              <w:rPr>
                <w:rFonts w:ascii="Times New Roman" w:hAnsi="Times New Roman"/>
                <w:sz w:val="21"/>
                <w:szCs w:val="21"/>
              </w:rPr>
              <w:t>133</w:t>
            </w:r>
          </w:p>
        </w:tc>
        <w:tc>
          <w:tcPr>
            <w:tcW w:w="778"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南</w:t>
            </w:r>
          </w:p>
        </w:tc>
        <w:tc>
          <w:tcPr>
            <w:tcW w:w="1995" w:type="dxa"/>
            <w:tcBorders>
              <w:top w:val="nil"/>
              <w:left w:val="nil"/>
              <w:bottom w:val="single" w:color="auto" w:sz="4" w:space="0"/>
              <w:right w:val="single" w:color="auto" w:sz="4" w:space="0"/>
            </w:tcBorders>
            <w:shd w:val="clear" w:color="auto" w:fill="auto"/>
          </w:tcPr>
          <w:p>
            <w:pPr>
              <w:widowControl/>
              <w:spacing w:line="240" w:lineRule="auto"/>
              <w:ind w:firstLine="0" w:firstLineChars="0"/>
              <w:jc w:val="center"/>
              <w:rPr>
                <w:rFonts w:ascii="Times New Roman" w:hAnsi="Times New Roman"/>
                <w:kern w:val="0"/>
                <w:sz w:val="21"/>
                <w:szCs w:val="21"/>
              </w:rPr>
            </w:pPr>
            <w:r>
              <w:rPr>
                <w:rFonts w:ascii="Times New Roman" w:hAnsi="Times New Roman"/>
                <w:sz w:val="21"/>
                <w:szCs w:val="21"/>
              </w:rPr>
              <w:t>305</w:t>
            </w:r>
          </w:p>
        </w:tc>
        <w:tc>
          <w:tcPr>
            <w:tcW w:w="1744" w:type="dxa"/>
            <w:tcBorders>
              <w:top w:val="nil"/>
              <w:left w:val="nil"/>
              <w:bottom w:val="single" w:color="auto" w:sz="4" w:space="0"/>
              <w:right w:val="single" w:color="auto" w:sz="4" w:space="0"/>
            </w:tcBorders>
            <w:shd w:val="clear" w:color="auto" w:fill="auto"/>
          </w:tcPr>
          <w:p>
            <w:pPr>
              <w:widowControl/>
              <w:spacing w:line="240" w:lineRule="auto"/>
              <w:ind w:firstLine="0" w:firstLineChars="0"/>
              <w:jc w:val="center"/>
              <w:rPr>
                <w:rFonts w:ascii="Times New Roman" w:hAnsi="Times New Roman"/>
                <w:kern w:val="0"/>
                <w:sz w:val="21"/>
                <w:szCs w:val="21"/>
              </w:rPr>
            </w:pPr>
            <w:r>
              <w:rPr>
                <w:rFonts w:ascii="Times New Roman" w:hAnsi="Times New Roman"/>
                <w:sz w:val="21"/>
                <w:szCs w:val="21"/>
              </w:rPr>
              <w:t>74</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东北</w:t>
            </w:r>
          </w:p>
        </w:tc>
        <w:tc>
          <w:tcPr>
            <w:tcW w:w="2108" w:type="dxa"/>
            <w:tcBorders>
              <w:top w:val="nil"/>
              <w:left w:val="nil"/>
              <w:bottom w:val="single" w:color="auto" w:sz="4" w:space="0"/>
              <w:right w:val="single" w:color="auto" w:sz="4" w:space="0"/>
            </w:tcBorders>
            <w:shd w:val="clear" w:color="auto" w:fill="auto"/>
          </w:tcPr>
          <w:p>
            <w:pPr>
              <w:widowControl/>
              <w:spacing w:line="240" w:lineRule="auto"/>
              <w:ind w:firstLine="0" w:firstLineChars="0"/>
              <w:jc w:val="center"/>
              <w:rPr>
                <w:rFonts w:ascii="Times New Roman" w:hAnsi="Times New Roman"/>
                <w:kern w:val="0"/>
                <w:sz w:val="21"/>
                <w:szCs w:val="21"/>
              </w:rPr>
            </w:pPr>
            <w:r>
              <w:rPr>
                <w:rFonts w:ascii="Times New Roman" w:hAnsi="Times New Roman"/>
                <w:sz w:val="21"/>
                <w:szCs w:val="21"/>
              </w:rPr>
              <w:t>1155</w:t>
            </w:r>
          </w:p>
        </w:tc>
        <w:tc>
          <w:tcPr>
            <w:tcW w:w="1787" w:type="dxa"/>
            <w:tcBorders>
              <w:top w:val="nil"/>
              <w:left w:val="nil"/>
              <w:bottom w:val="single" w:color="auto" w:sz="4" w:space="0"/>
              <w:right w:val="single" w:color="auto" w:sz="4" w:space="0"/>
            </w:tcBorders>
            <w:shd w:val="clear" w:color="auto" w:fill="auto"/>
          </w:tcPr>
          <w:p>
            <w:pPr>
              <w:widowControl/>
              <w:spacing w:line="240" w:lineRule="auto"/>
              <w:ind w:firstLine="0" w:firstLineChars="0"/>
              <w:jc w:val="center"/>
              <w:rPr>
                <w:rFonts w:ascii="Times New Roman" w:hAnsi="Times New Roman"/>
                <w:kern w:val="0"/>
                <w:sz w:val="21"/>
                <w:szCs w:val="21"/>
              </w:rPr>
            </w:pPr>
            <w:r>
              <w:rPr>
                <w:rFonts w:ascii="Times New Roman" w:hAnsi="Times New Roman"/>
                <w:sz w:val="21"/>
                <w:szCs w:val="21"/>
              </w:rPr>
              <w:t>100</w:t>
            </w:r>
          </w:p>
        </w:tc>
        <w:tc>
          <w:tcPr>
            <w:tcW w:w="778"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西南</w:t>
            </w:r>
          </w:p>
        </w:tc>
        <w:tc>
          <w:tcPr>
            <w:tcW w:w="1995" w:type="dxa"/>
            <w:tcBorders>
              <w:top w:val="nil"/>
              <w:left w:val="nil"/>
              <w:bottom w:val="single" w:color="auto" w:sz="4" w:space="0"/>
              <w:right w:val="single" w:color="auto" w:sz="4" w:space="0"/>
            </w:tcBorders>
            <w:shd w:val="clear" w:color="auto" w:fill="auto"/>
          </w:tcPr>
          <w:p>
            <w:pPr>
              <w:widowControl/>
              <w:spacing w:line="240" w:lineRule="auto"/>
              <w:ind w:firstLine="0" w:firstLineChars="0"/>
              <w:jc w:val="center"/>
              <w:rPr>
                <w:rFonts w:ascii="Times New Roman" w:hAnsi="Times New Roman"/>
                <w:b/>
                <w:bCs/>
                <w:kern w:val="0"/>
                <w:sz w:val="21"/>
                <w:szCs w:val="21"/>
              </w:rPr>
            </w:pPr>
            <w:r>
              <w:rPr>
                <w:rFonts w:ascii="Times New Roman" w:hAnsi="Times New Roman"/>
                <w:sz w:val="21"/>
                <w:szCs w:val="21"/>
              </w:rPr>
              <w:t>859</w:t>
            </w:r>
          </w:p>
        </w:tc>
        <w:tc>
          <w:tcPr>
            <w:tcW w:w="1744" w:type="dxa"/>
            <w:tcBorders>
              <w:top w:val="nil"/>
              <w:left w:val="nil"/>
              <w:bottom w:val="single" w:color="auto" w:sz="4" w:space="0"/>
              <w:right w:val="single" w:color="auto" w:sz="4" w:space="0"/>
            </w:tcBorders>
            <w:shd w:val="clear" w:color="auto" w:fill="auto"/>
          </w:tcPr>
          <w:p>
            <w:pPr>
              <w:widowControl/>
              <w:spacing w:line="240" w:lineRule="auto"/>
              <w:ind w:firstLine="0" w:firstLineChars="0"/>
              <w:jc w:val="center"/>
              <w:rPr>
                <w:rFonts w:ascii="Times New Roman" w:hAnsi="Times New Roman"/>
                <w:b/>
                <w:bCs/>
                <w:kern w:val="0"/>
                <w:sz w:val="21"/>
                <w:szCs w:val="21"/>
              </w:rPr>
            </w:pPr>
            <w:r>
              <w:rPr>
                <w:rFonts w:ascii="Times New Roman" w:hAnsi="Times New Roman"/>
                <w:sz w:val="21"/>
                <w:szCs w:val="21"/>
              </w:rPr>
              <w:t>90</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东</w:t>
            </w:r>
          </w:p>
        </w:tc>
        <w:tc>
          <w:tcPr>
            <w:tcW w:w="2108" w:type="dxa"/>
            <w:tcBorders>
              <w:top w:val="nil"/>
              <w:left w:val="nil"/>
              <w:bottom w:val="single" w:color="auto" w:sz="4" w:space="0"/>
              <w:right w:val="single" w:color="auto" w:sz="4" w:space="0"/>
            </w:tcBorders>
            <w:shd w:val="clear" w:color="auto" w:fill="auto"/>
          </w:tcPr>
          <w:p>
            <w:pPr>
              <w:widowControl/>
              <w:spacing w:line="240" w:lineRule="auto"/>
              <w:ind w:firstLine="0" w:firstLineChars="0"/>
              <w:jc w:val="center"/>
              <w:rPr>
                <w:rFonts w:ascii="Times New Roman" w:hAnsi="Times New Roman"/>
                <w:kern w:val="0"/>
                <w:sz w:val="21"/>
                <w:szCs w:val="21"/>
              </w:rPr>
            </w:pPr>
            <w:r>
              <w:rPr>
                <w:rFonts w:ascii="Times New Roman" w:hAnsi="Times New Roman"/>
                <w:b/>
                <w:bCs/>
                <w:sz w:val="21"/>
                <w:szCs w:val="21"/>
              </w:rPr>
              <w:t>1470</w:t>
            </w:r>
          </w:p>
        </w:tc>
        <w:tc>
          <w:tcPr>
            <w:tcW w:w="1787" w:type="dxa"/>
            <w:tcBorders>
              <w:top w:val="nil"/>
              <w:left w:val="nil"/>
              <w:bottom w:val="single" w:color="auto" w:sz="4" w:space="0"/>
              <w:right w:val="single" w:color="auto" w:sz="4" w:space="0"/>
            </w:tcBorders>
            <w:shd w:val="clear" w:color="auto" w:fill="auto"/>
          </w:tcPr>
          <w:p>
            <w:pPr>
              <w:widowControl/>
              <w:spacing w:line="240" w:lineRule="auto"/>
              <w:ind w:firstLine="0" w:firstLineChars="0"/>
              <w:jc w:val="center"/>
              <w:rPr>
                <w:rFonts w:ascii="Times New Roman" w:hAnsi="Times New Roman"/>
                <w:kern w:val="0"/>
                <w:sz w:val="21"/>
                <w:szCs w:val="21"/>
              </w:rPr>
            </w:pPr>
            <w:r>
              <w:rPr>
                <w:rFonts w:ascii="Times New Roman" w:hAnsi="Times New Roman"/>
                <w:b/>
                <w:bCs/>
                <w:sz w:val="21"/>
                <w:szCs w:val="21"/>
              </w:rPr>
              <w:t>105</w:t>
            </w:r>
          </w:p>
        </w:tc>
        <w:tc>
          <w:tcPr>
            <w:tcW w:w="778"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西</w:t>
            </w:r>
          </w:p>
        </w:tc>
        <w:tc>
          <w:tcPr>
            <w:tcW w:w="1995" w:type="dxa"/>
            <w:tcBorders>
              <w:top w:val="nil"/>
              <w:left w:val="nil"/>
              <w:bottom w:val="single" w:color="auto" w:sz="4" w:space="0"/>
              <w:right w:val="single" w:color="auto" w:sz="4" w:space="0"/>
            </w:tcBorders>
            <w:shd w:val="clear" w:color="auto" w:fill="auto"/>
          </w:tcPr>
          <w:p>
            <w:pPr>
              <w:widowControl/>
              <w:spacing w:line="240" w:lineRule="auto"/>
              <w:ind w:firstLine="0" w:firstLineChars="0"/>
              <w:jc w:val="center"/>
              <w:rPr>
                <w:rFonts w:ascii="Times New Roman" w:hAnsi="Times New Roman"/>
                <w:kern w:val="0"/>
                <w:sz w:val="21"/>
                <w:szCs w:val="21"/>
              </w:rPr>
            </w:pPr>
            <w:r>
              <w:rPr>
                <w:rFonts w:ascii="Times New Roman" w:hAnsi="Times New Roman"/>
                <w:sz w:val="21"/>
                <w:szCs w:val="21"/>
              </w:rPr>
              <w:t>500</w:t>
            </w:r>
          </w:p>
        </w:tc>
        <w:tc>
          <w:tcPr>
            <w:tcW w:w="1744" w:type="dxa"/>
            <w:tcBorders>
              <w:top w:val="nil"/>
              <w:left w:val="nil"/>
              <w:bottom w:val="single" w:color="auto" w:sz="4" w:space="0"/>
              <w:right w:val="single" w:color="auto" w:sz="4" w:space="0"/>
            </w:tcBorders>
            <w:shd w:val="clear" w:color="auto" w:fill="auto"/>
          </w:tcPr>
          <w:p>
            <w:pPr>
              <w:widowControl/>
              <w:spacing w:line="240" w:lineRule="auto"/>
              <w:ind w:firstLine="0" w:firstLineChars="0"/>
              <w:jc w:val="center"/>
              <w:rPr>
                <w:rFonts w:ascii="Times New Roman" w:hAnsi="Times New Roman"/>
                <w:kern w:val="0"/>
                <w:sz w:val="21"/>
                <w:szCs w:val="21"/>
              </w:rPr>
            </w:pPr>
            <w:r>
              <w:rPr>
                <w:rFonts w:ascii="Times New Roman" w:hAnsi="Times New Roman"/>
                <w:sz w:val="21"/>
                <w:szCs w:val="21"/>
              </w:rPr>
              <w:t>79</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东南</w:t>
            </w:r>
          </w:p>
        </w:tc>
        <w:tc>
          <w:tcPr>
            <w:tcW w:w="2108" w:type="dxa"/>
            <w:tcBorders>
              <w:top w:val="nil"/>
              <w:left w:val="nil"/>
              <w:bottom w:val="single" w:color="auto" w:sz="4" w:space="0"/>
              <w:right w:val="single" w:color="auto" w:sz="4" w:space="0"/>
            </w:tcBorders>
            <w:shd w:val="clear" w:color="auto" w:fill="auto"/>
          </w:tcPr>
          <w:p>
            <w:pPr>
              <w:widowControl/>
              <w:spacing w:line="240" w:lineRule="auto"/>
              <w:ind w:firstLine="0" w:firstLineChars="0"/>
              <w:jc w:val="center"/>
              <w:rPr>
                <w:rFonts w:ascii="Times New Roman" w:hAnsi="Times New Roman"/>
                <w:kern w:val="0"/>
                <w:sz w:val="21"/>
                <w:szCs w:val="21"/>
              </w:rPr>
            </w:pPr>
            <w:r>
              <w:rPr>
                <w:rFonts w:ascii="Times New Roman" w:hAnsi="Times New Roman"/>
                <w:sz w:val="21"/>
                <w:szCs w:val="21"/>
              </w:rPr>
              <w:t>415</w:t>
            </w:r>
          </w:p>
        </w:tc>
        <w:tc>
          <w:tcPr>
            <w:tcW w:w="1787" w:type="dxa"/>
            <w:tcBorders>
              <w:top w:val="nil"/>
              <w:left w:val="nil"/>
              <w:bottom w:val="single" w:color="auto" w:sz="4" w:space="0"/>
              <w:right w:val="single" w:color="auto" w:sz="4" w:space="0"/>
            </w:tcBorders>
            <w:shd w:val="clear" w:color="auto" w:fill="auto"/>
          </w:tcPr>
          <w:p>
            <w:pPr>
              <w:widowControl/>
              <w:spacing w:line="240" w:lineRule="auto"/>
              <w:ind w:firstLine="0" w:firstLineChars="0"/>
              <w:jc w:val="center"/>
              <w:rPr>
                <w:rFonts w:ascii="Times New Roman" w:hAnsi="Times New Roman"/>
                <w:kern w:val="0"/>
                <w:sz w:val="21"/>
                <w:szCs w:val="21"/>
              </w:rPr>
            </w:pPr>
            <w:r>
              <w:rPr>
                <w:rFonts w:ascii="Times New Roman" w:hAnsi="Times New Roman"/>
                <w:sz w:val="21"/>
                <w:szCs w:val="21"/>
              </w:rPr>
              <w:t>85</w:t>
            </w:r>
          </w:p>
        </w:tc>
        <w:tc>
          <w:tcPr>
            <w:tcW w:w="778"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kern w:val="0"/>
                <w:sz w:val="21"/>
                <w:szCs w:val="21"/>
              </w:rPr>
            </w:pPr>
            <w:r>
              <w:rPr>
                <w:rFonts w:ascii="Times New Roman" w:hAnsi="Times New Roman"/>
                <w:kern w:val="0"/>
                <w:sz w:val="21"/>
                <w:szCs w:val="21"/>
              </w:rPr>
              <w:t>西北</w:t>
            </w:r>
          </w:p>
        </w:tc>
        <w:tc>
          <w:tcPr>
            <w:tcW w:w="1995" w:type="dxa"/>
            <w:tcBorders>
              <w:top w:val="nil"/>
              <w:left w:val="nil"/>
              <w:bottom w:val="single" w:color="auto" w:sz="4" w:space="0"/>
              <w:right w:val="single" w:color="auto" w:sz="4" w:space="0"/>
            </w:tcBorders>
            <w:shd w:val="clear" w:color="auto" w:fill="auto"/>
          </w:tcPr>
          <w:p>
            <w:pPr>
              <w:widowControl/>
              <w:spacing w:line="240" w:lineRule="auto"/>
              <w:ind w:firstLine="0" w:firstLineChars="0"/>
              <w:jc w:val="center"/>
              <w:rPr>
                <w:rFonts w:ascii="Times New Roman" w:hAnsi="Times New Roman"/>
                <w:kern w:val="0"/>
                <w:sz w:val="21"/>
                <w:szCs w:val="21"/>
              </w:rPr>
            </w:pPr>
            <w:r>
              <w:rPr>
                <w:rFonts w:ascii="Times New Roman" w:hAnsi="Times New Roman"/>
                <w:sz w:val="21"/>
                <w:szCs w:val="21"/>
              </w:rPr>
              <w:t>551</w:t>
            </w:r>
          </w:p>
        </w:tc>
        <w:tc>
          <w:tcPr>
            <w:tcW w:w="1744" w:type="dxa"/>
            <w:tcBorders>
              <w:top w:val="nil"/>
              <w:left w:val="nil"/>
              <w:bottom w:val="single" w:color="auto" w:sz="4" w:space="0"/>
              <w:right w:val="single" w:color="auto" w:sz="4" w:space="0"/>
            </w:tcBorders>
            <w:shd w:val="clear" w:color="auto" w:fill="auto"/>
          </w:tcPr>
          <w:p>
            <w:pPr>
              <w:widowControl/>
              <w:spacing w:line="240" w:lineRule="auto"/>
              <w:ind w:firstLine="0" w:firstLineChars="0"/>
              <w:jc w:val="center"/>
              <w:rPr>
                <w:rFonts w:ascii="Times New Roman" w:hAnsi="Times New Roman"/>
                <w:kern w:val="0"/>
                <w:sz w:val="21"/>
                <w:szCs w:val="21"/>
              </w:rPr>
            </w:pPr>
            <w:r>
              <w:rPr>
                <w:rFonts w:ascii="Times New Roman" w:hAnsi="Times New Roman"/>
                <w:sz w:val="21"/>
                <w:szCs w:val="21"/>
              </w:rPr>
              <w:t>89</w:t>
            </w:r>
          </w:p>
        </w:tc>
      </w:tr>
    </w:tbl>
    <w:p>
      <w:pPr>
        <w:pStyle w:val="37"/>
        <w:rPr>
          <w:rFonts w:ascii="Times New Roman" w:hAnsi="Times New Roman" w:cs="Times New Roman"/>
        </w:rPr>
      </w:pPr>
      <w:bookmarkStart w:id="300" w:name="_Ref155687164"/>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38</w:t>
      </w:r>
      <w:r>
        <w:rPr>
          <w:rFonts w:ascii="Times New Roman" w:hAnsi="Times New Roman" w:cs="Times New Roman"/>
        </w:rPr>
        <w:fldChar w:fldCharType="end"/>
      </w:r>
      <w:bookmarkEnd w:id="300"/>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S扩散后果预测统计表</w:t>
      </w:r>
    </w:p>
    <w:tbl>
      <w:tblPr>
        <w:tblStyle w:val="28"/>
        <w:tblW w:w="53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6"/>
        <w:gridCol w:w="2126"/>
        <w:gridCol w:w="933"/>
        <w:gridCol w:w="1168"/>
        <w:gridCol w:w="902"/>
        <w:gridCol w:w="2000"/>
        <w:gridCol w:w="1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vMerge w:val="restart"/>
            <w:shd w:val="clear" w:color="auto" w:fill="auto"/>
            <w:vAlign w:val="center"/>
          </w:tcPr>
          <w:p>
            <w:pPr>
              <w:pStyle w:val="39"/>
              <w:rPr>
                <w:rFonts w:ascii="Times New Roman" w:hAnsi="Times New Roman"/>
              </w:rPr>
            </w:pPr>
            <w:r>
              <w:rPr>
                <w:rFonts w:ascii="Times New Roman" w:hAnsi="Times New Roman"/>
              </w:rPr>
              <w:t>序号</w:t>
            </w:r>
          </w:p>
        </w:tc>
        <w:tc>
          <w:tcPr>
            <w:tcW w:w="2126" w:type="dxa"/>
            <w:vMerge w:val="restart"/>
            <w:shd w:val="clear" w:color="auto" w:fill="auto"/>
            <w:vAlign w:val="center"/>
          </w:tcPr>
          <w:p>
            <w:pPr>
              <w:pStyle w:val="39"/>
              <w:rPr>
                <w:rFonts w:ascii="Times New Roman" w:hAnsi="Times New Roman"/>
              </w:rPr>
            </w:pPr>
            <w:r>
              <w:rPr>
                <w:rFonts w:ascii="Times New Roman" w:hAnsi="Times New Roman"/>
              </w:rPr>
              <w:t>项目内容</w:t>
            </w:r>
          </w:p>
        </w:tc>
        <w:tc>
          <w:tcPr>
            <w:tcW w:w="933" w:type="dxa"/>
            <w:vMerge w:val="restart"/>
            <w:shd w:val="clear" w:color="auto" w:fill="auto"/>
            <w:vAlign w:val="center"/>
          </w:tcPr>
          <w:p>
            <w:pPr>
              <w:pStyle w:val="39"/>
              <w:rPr>
                <w:rFonts w:ascii="Times New Roman" w:hAnsi="Times New Roman"/>
              </w:rPr>
            </w:pPr>
            <w:r>
              <w:rPr>
                <w:rFonts w:ascii="Times New Roman" w:hAnsi="Times New Roman"/>
              </w:rPr>
              <w:t>浓度值/mg/m</w:t>
            </w:r>
            <w:r>
              <w:rPr>
                <w:rFonts w:ascii="Times New Roman" w:hAnsi="Times New Roman"/>
                <w:vertAlign w:val="superscript"/>
              </w:rPr>
              <w:t>3</w:t>
            </w:r>
          </w:p>
        </w:tc>
        <w:tc>
          <w:tcPr>
            <w:tcW w:w="1168" w:type="dxa"/>
            <w:vMerge w:val="restart"/>
            <w:shd w:val="clear" w:color="auto" w:fill="auto"/>
            <w:vAlign w:val="center"/>
          </w:tcPr>
          <w:p>
            <w:pPr>
              <w:pStyle w:val="39"/>
              <w:rPr>
                <w:rFonts w:ascii="Times New Roman" w:hAnsi="Times New Roman"/>
              </w:rPr>
            </w:pPr>
            <w:r>
              <w:rPr>
                <w:rFonts w:ascii="Times New Roman" w:hAnsi="Times New Roman"/>
              </w:rPr>
              <w:t>最远影响距离/m</w:t>
            </w:r>
          </w:p>
        </w:tc>
        <w:tc>
          <w:tcPr>
            <w:tcW w:w="902" w:type="dxa"/>
            <w:vMerge w:val="restart"/>
            <w:shd w:val="clear" w:color="auto" w:fill="auto"/>
            <w:vAlign w:val="center"/>
          </w:tcPr>
          <w:p>
            <w:pPr>
              <w:pStyle w:val="39"/>
              <w:rPr>
                <w:rFonts w:ascii="Times New Roman" w:hAnsi="Times New Roman"/>
              </w:rPr>
            </w:pPr>
            <w:r>
              <w:rPr>
                <w:rFonts w:ascii="Times New Roman" w:hAnsi="Times New Roman"/>
              </w:rPr>
              <w:t>到达时间/min</w:t>
            </w:r>
          </w:p>
        </w:tc>
        <w:tc>
          <w:tcPr>
            <w:tcW w:w="3981" w:type="dxa"/>
            <w:gridSpan w:val="2"/>
            <w:vAlign w:val="center"/>
          </w:tcPr>
          <w:p>
            <w:pPr>
              <w:pStyle w:val="39"/>
              <w:rPr>
                <w:rFonts w:ascii="Times New Roman" w:hAnsi="Times New Roman"/>
              </w:rPr>
            </w:pPr>
            <w:r>
              <w:rPr>
                <w:rFonts w:ascii="Times New Roman" w:hAnsi="Times New Roman"/>
                <w:vertAlign w:val="superscript"/>
              </w:rPr>
              <w:t>*</w:t>
            </w:r>
            <w:r>
              <w:rPr>
                <w:rFonts w:ascii="Times New Roman" w:hAnsi="Times New Roman"/>
              </w:rPr>
              <w:t>最长持续超标时间对应点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vMerge w:val="continue"/>
            <w:shd w:val="clear" w:color="auto" w:fill="auto"/>
            <w:vAlign w:val="center"/>
          </w:tcPr>
          <w:p>
            <w:pPr>
              <w:adjustRightInd w:val="0"/>
              <w:spacing w:line="240" w:lineRule="auto"/>
              <w:ind w:firstLine="480"/>
              <w:rPr>
                <w:rFonts w:ascii="Times New Roman" w:hAnsi="Times New Roman"/>
              </w:rPr>
            </w:pPr>
          </w:p>
        </w:tc>
        <w:tc>
          <w:tcPr>
            <w:tcW w:w="2126" w:type="dxa"/>
            <w:vMerge w:val="continue"/>
            <w:shd w:val="clear" w:color="auto" w:fill="auto"/>
            <w:vAlign w:val="center"/>
          </w:tcPr>
          <w:p>
            <w:pPr>
              <w:adjustRightInd w:val="0"/>
              <w:spacing w:line="240" w:lineRule="auto"/>
              <w:ind w:firstLine="480"/>
              <w:rPr>
                <w:rFonts w:ascii="Times New Roman" w:hAnsi="Times New Roman"/>
              </w:rPr>
            </w:pPr>
          </w:p>
        </w:tc>
        <w:tc>
          <w:tcPr>
            <w:tcW w:w="933" w:type="dxa"/>
            <w:vMerge w:val="continue"/>
            <w:shd w:val="clear" w:color="auto" w:fill="auto"/>
            <w:vAlign w:val="center"/>
          </w:tcPr>
          <w:p>
            <w:pPr>
              <w:adjustRightInd w:val="0"/>
              <w:spacing w:line="240" w:lineRule="auto"/>
              <w:ind w:firstLine="480"/>
              <w:rPr>
                <w:rFonts w:ascii="Times New Roman" w:hAnsi="Times New Roman"/>
              </w:rPr>
            </w:pPr>
          </w:p>
        </w:tc>
        <w:tc>
          <w:tcPr>
            <w:tcW w:w="1168" w:type="dxa"/>
            <w:vMerge w:val="continue"/>
            <w:shd w:val="clear" w:color="auto" w:fill="auto"/>
            <w:vAlign w:val="center"/>
          </w:tcPr>
          <w:p>
            <w:pPr>
              <w:adjustRightInd w:val="0"/>
              <w:spacing w:line="240" w:lineRule="auto"/>
              <w:ind w:firstLine="480"/>
              <w:rPr>
                <w:rFonts w:ascii="Times New Roman" w:hAnsi="Times New Roman"/>
              </w:rPr>
            </w:pPr>
          </w:p>
        </w:tc>
        <w:tc>
          <w:tcPr>
            <w:tcW w:w="902" w:type="dxa"/>
            <w:vMerge w:val="continue"/>
            <w:shd w:val="clear" w:color="auto" w:fill="auto"/>
            <w:vAlign w:val="center"/>
          </w:tcPr>
          <w:p>
            <w:pPr>
              <w:adjustRightInd w:val="0"/>
              <w:spacing w:line="240" w:lineRule="auto"/>
              <w:ind w:firstLine="480"/>
              <w:rPr>
                <w:rFonts w:ascii="Times New Roman" w:hAnsi="Times New Roman"/>
              </w:rPr>
            </w:pPr>
          </w:p>
        </w:tc>
        <w:tc>
          <w:tcPr>
            <w:tcW w:w="2000" w:type="dxa"/>
            <w:vAlign w:val="center"/>
          </w:tcPr>
          <w:p>
            <w:pPr>
              <w:pStyle w:val="39"/>
              <w:rPr>
                <w:rFonts w:ascii="Times New Roman" w:hAnsi="Times New Roman"/>
              </w:rPr>
            </w:pPr>
            <w:r>
              <w:rPr>
                <w:rFonts w:ascii="Times New Roman" w:hAnsi="Times New Roman"/>
              </w:rPr>
              <w:t>超标持续时间/min</w:t>
            </w:r>
          </w:p>
        </w:tc>
        <w:tc>
          <w:tcPr>
            <w:tcW w:w="1981" w:type="dxa"/>
            <w:vAlign w:val="center"/>
          </w:tcPr>
          <w:p>
            <w:pPr>
              <w:pStyle w:val="39"/>
              <w:rPr>
                <w:rFonts w:ascii="Times New Roman" w:hAnsi="Times New Roman"/>
              </w:rPr>
            </w:pPr>
            <w:r>
              <w:rPr>
                <w:rFonts w:ascii="Times New Roman" w:hAnsi="Times New Roman"/>
              </w:rPr>
              <w:t>相对风险源距离/m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shd w:val="clear" w:color="auto" w:fill="auto"/>
            <w:vAlign w:val="center"/>
          </w:tcPr>
          <w:p>
            <w:pPr>
              <w:pStyle w:val="39"/>
              <w:rPr>
                <w:rFonts w:ascii="Times New Roman" w:hAnsi="Times New Roman"/>
              </w:rPr>
            </w:pPr>
            <w:r>
              <w:rPr>
                <w:rFonts w:ascii="Times New Roman" w:hAnsi="Times New Roman"/>
              </w:rPr>
              <w:t>1</w:t>
            </w:r>
          </w:p>
        </w:tc>
        <w:tc>
          <w:tcPr>
            <w:tcW w:w="2126" w:type="dxa"/>
            <w:shd w:val="clear" w:color="auto" w:fill="auto"/>
            <w:vAlign w:val="center"/>
          </w:tcPr>
          <w:p>
            <w:pPr>
              <w:pStyle w:val="39"/>
              <w:rPr>
                <w:rFonts w:ascii="Times New Roman" w:hAnsi="Times New Roman"/>
              </w:rPr>
            </w:pPr>
            <w:r>
              <w:rPr>
                <w:rFonts w:ascii="Times New Roman" w:hAnsi="Times New Roman"/>
              </w:rPr>
              <w:t>大气毒性终点浓度-1</w:t>
            </w:r>
          </w:p>
        </w:tc>
        <w:tc>
          <w:tcPr>
            <w:tcW w:w="933" w:type="dxa"/>
            <w:shd w:val="clear" w:color="auto" w:fill="auto"/>
            <w:vAlign w:val="center"/>
          </w:tcPr>
          <w:p>
            <w:pPr>
              <w:pStyle w:val="39"/>
              <w:rPr>
                <w:rFonts w:ascii="Times New Roman" w:hAnsi="Times New Roman"/>
              </w:rPr>
            </w:pPr>
            <w:r>
              <w:rPr>
                <w:rFonts w:ascii="Times New Roman" w:hAnsi="Times New Roman" w:eastAsia="等线"/>
              </w:rPr>
              <w:t>70</w:t>
            </w:r>
          </w:p>
        </w:tc>
        <w:tc>
          <w:tcPr>
            <w:tcW w:w="1168" w:type="dxa"/>
            <w:shd w:val="clear" w:color="auto" w:fill="auto"/>
          </w:tcPr>
          <w:p>
            <w:pPr>
              <w:pStyle w:val="39"/>
              <w:rPr>
                <w:rFonts w:ascii="Times New Roman" w:hAnsi="Times New Roman"/>
              </w:rPr>
            </w:pPr>
            <w:r>
              <w:rPr>
                <w:rFonts w:ascii="Times New Roman" w:hAnsi="Times New Roman"/>
              </w:rPr>
              <w:t>1340</w:t>
            </w:r>
          </w:p>
        </w:tc>
        <w:tc>
          <w:tcPr>
            <w:tcW w:w="902" w:type="dxa"/>
            <w:shd w:val="clear" w:color="auto" w:fill="auto"/>
          </w:tcPr>
          <w:p>
            <w:pPr>
              <w:pStyle w:val="39"/>
              <w:rPr>
                <w:rFonts w:ascii="Times New Roman" w:hAnsi="Times New Roman"/>
              </w:rPr>
            </w:pPr>
            <w:r>
              <w:rPr>
                <w:rFonts w:ascii="Times New Roman" w:hAnsi="Times New Roman"/>
              </w:rPr>
              <w:t>104</w:t>
            </w:r>
          </w:p>
        </w:tc>
        <w:tc>
          <w:tcPr>
            <w:tcW w:w="2000" w:type="dxa"/>
          </w:tcPr>
          <w:p>
            <w:pPr>
              <w:pStyle w:val="39"/>
              <w:rPr>
                <w:rFonts w:ascii="Times New Roman" w:hAnsi="Times New Roman"/>
              </w:rPr>
            </w:pPr>
            <w:r>
              <w:rPr>
                <w:rFonts w:ascii="Times New Roman" w:hAnsi="Times New Roman"/>
              </w:rPr>
              <w:t>67</w:t>
            </w:r>
          </w:p>
        </w:tc>
        <w:tc>
          <w:tcPr>
            <w:tcW w:w="1981" w:type="dxa"/>
            <w:shd w:val="clear" w:color="auto" w:fill="auto"/>
          </w:tcPr>
          <w:p>
            <w:pPr>
              <w:pStyle w:val="39"/>
              <w:rPr>
                <w:rFonts w:ascii="Times New Roman" w:hAnsi="Times New Roman"/>
              </w:rPr>
            </w:pPr>
            <w:r>
              <w:rPr>
                <w:rFonts w:ascii="Times New Roman" w:hAnsi="Times New Roma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shd w:val="clear" w:color="auto" w:fill="auto"/>
            <w:vAlign w:val="center"/>
          </w:tcPr>
          <w:p>
            <w:pPr>
              <w:pStyle w:val="39"/>
              <w:rPr>
                <w:rFonts w:ascii="Times New Roman" w:hAnsi="Times New Roman"/>
              </w:rPr>
            </w:pPr>
            <w:r>
              <w:rPr>
                <w:rFonts w:ascii="Times New Roman" w:hAnsi="Times New Roman"/>
              </w:rPr>
              <w:t>2</w:t>
            </w:r>
          </w:p>
        </w:tc>
        <w:tc>
          <w:tcPr>
            <w:tcW w:w="2126" w:type="dxa"/>
            <w:shd w:val="clear" w:color="auto" w:fill="auto"/>
            <w:vAlign w:val="center"/>
          </w:tcPr>
          <w:p>
            <w:pPr>
              <w:pStyle w:val="39"/>
              <w:rPr>
                <w:rFonts w:ascii="Times New Roman" w:hAnsi="Times New Roman"/>
              </w:rPr>
            </w:pPr>
            <w:r>
              <w:rPr>
                <w:rFonts w:ascii="Times New Roman" w:hAnsi="Times New Roman"/>
              </w:rPr>
              <w:t>大气毒性终点浓度-2</w:t>
            </w:r>
          </w:p>
        </w:tc>
        <w:tc>
          <w:tcPr>
            <w:tcW w:w="933" w:type="dxa"/>
            <w:shd w:val="clear" w:color="auto" w:fill="auto"/>
            <w:vAlign w:val="center"/>
          </w:tcPr>
          <w:p>
            <w:pPr>
              <w:pStyle w:val="39"/>
              <w:rPr>
                <w:rFonts w:ascii="Times New Roman" w:hAnsi="Times New Roman"/>
              </w:rPr>
            </w:pPr>
            <w:r>
              <w:rPr>
                <w:rFonts w:ascii="Times New Roman" w:hAnsi="Times New Roman" w:eastAsia="等线"/>
              </w:rPr>
              <w:t>38</w:t>
            </w:r>
          </w:p>
        </w:tc>
        <w:tc>
          <w:tcPr>
            <w:tcW w:w="1168" w:type="dxa"/>
            <w:shd w:val="clear" w:color="auto" w:fill="auto"/>
          </w:tcPr>
          <w:p>
            <w:pPr>
              <w:pStyle w:val="39"/>
              <w:rPr>
                <w:rFonts w:ascii="Times New Roman" w:hAnsi="Times New Roman"/>
              </w:rPr>
            </w:pPr>
            <w:r>
              <w:rPr>
                <w:rFonts w:ascii="Times New Roman" w:hAnsi="Times New Roman"/>
              </w:rPr>
              <w:t>1470</w:t>
            </w:r>
          </w:p>
        </w:tc>
        <w:tc>
          <w:tcPr>
            <w:tcW w:w="902" w:type="dxa"/>
            <w:shd w:val="clear" w:color="auto" w:fill="auto"/>
          </w:tcPr>
          <w:p>
            <w:pPr>
              <w:pStyle w:val="39"/>
              <w:rPr>
                <w:rFonts w:ascii="Times New Roman" w:hAnsi="Times New Roman"/>
              </w:rPr>
            </w:pPr>
            <w:r>
              <w:rPr>
                <w:rFonts w:ascii="Times New Roman" w:hAnsi="Times New Roman"/>
              </w:rPr>
              <w:t>105</w:t>
            </w:r>
          </w:p>
        </w:tc>
        <w:tc>
          <w:tcPr>
            <w:tcW w:w="2000" w:type="dxa"/>
          </w:tcPr>
          <w:p>
            <w:pPr>
              <w:pStyle w:val="39"/>
              <w:rPr>
                <w:rFonts w:ascii="Times New Roman" w:hAnsi="Times New Roman"/>
              </w:rPr>
            </w:pPr>
            <w:r>
              <w:rPr>
                <w:rFonts w:ascii="Times New Roman" w:hAnsi="Times New Roman"/>
              </w:rPr>
              <w:t>74</w:t>
            </w:r>
          </w:p>
        </w:tc>
        <w:tc>
          <w:tcPr>
            <w:tcW w:w="1981" w:type="dxa"/>
            <w:shd w:val="clear" w:color="auto" w:fill="auto"/>
          </w:tcPr>
          <w:p>
            <w:pPr>
              <w:pStyle w:val="39"/>
              <w:rPr>
                <w:rFonts w:ascii="Times New Roman" w:hAnsi="Times New Roman"/>
              </w:rPr>
            </w:pPr>
            <w:r>
              <w:rPr>
                <w:rFonts w:ascii="Times New Roman" w:hAnsi="Times New Roman"/>
              </w:rPr>
              <w:t>45</w:t>
            </w:r>
          </w:p>
        </w:tc>
      </w:tr>
    </w:tbl>
    <w:p>
      <w:pPr>
        <w:snapToGrid w:val="0"/>
        <w:spacing w:line="240" w:lineRule="auto"/>
        <w:ind w:firstLine="0" w:firstLineChars="0"/>
        <w:rPr>
          <w:rFonts w:ascii="Times New Roman" w:hAnsi="Times New Roman"/>
          <w:sz w:val="18"/>
          <w:szCs w:val="18"/>
        </w:rPr>
      </w:pPr>
      <w:r>
        <w:rPr>
          <w:rFonts w:ascii="Times New Roman" w:hAnsi="Times New Roman"/>
          <w:sz w:val="18"/>
          <w:szCs w:val="18"/>
        </w:rPr>
        <w:t>*注：最长持续时间指在最大浓度出现位置（含敏感目标位置）保持不变的前提下，该位置浓度持续超过大气毒性终点浓度1或大气毒性终点浓度2的时间。</w:t>
      </w:r>
    </w:p>
    <w:p>
      <w:pPr>
        <w:snapToGrid w:val="0"/>
        <w:spacing w:line="240" w:lineRule="auto"/>
        <w:ind w:firstLine="0" w:firstLineChars="0"/>
        <w:rPr>
          <w:rFonts w:ascii="Times New Roman" w:hAnsi="Times New Roman"/>
        </w:rPr>
      </w:pPr>
    </w:p>
    <w:p>
      <w:pPr>
        <w:pStyle w:val="37"/>
        <w:rPr>
          <w:rFonts w:ascii="Times New Roman" w:hAnsi="Times New Roman" w:cs="Times New Roman"/>
        </w:rPr>
      </w:pPr>
      <w:bookmarkStart w:id="301" w:name="_Ref15568743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39</w:t>
      </w:r>
      <w:r>
        <w:rPr>
          <w:rFonts w:ascii="Times New Roman" w:hAnsi="Times New Roman" w:cs="Times New Roman"/>
        </w:rPr>
        <w:fldChar w:fldCharType="end"/>
      </w:r>
      <w:bookmarkEnd w:id="301"/>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S扩散不同时刻最大浓度出现时间和距离（部分结果，东风向）</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38"/>
        <w:gridCol w:w="3040"/>
        <w:gridCol w:w="3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释放后时刻/min</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距源点距离/m</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最大浓度/mg/m</w:t>
            </w:r>
            <w:r>
              <w:rPr>
                <w:rFonts w:ascii="Times New Roman" w:hAnsi="Times New Roman"/>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0</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45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10</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45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38.3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45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62.4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20</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45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86.7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25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45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30</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45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35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45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40</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45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45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45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50</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45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60</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45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281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70</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45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80</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45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90</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32</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100</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815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110</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815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120</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815</w:t>
            </w:r>
          </w:p>
        </w:tc>
        <w:tc>
          <w:tcPr>
            <w:tcW w:w="1667" w:type="pct"/>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87.2</w:t>
            </w:r>
          </w:p>
        </w:tc>
      </w:tr>
    </w:tbl>
    <w:p>
      <w:pPr>
        <w:pStyle w:val="37"/>
        <w:rPr>
          <w:rFonts w:ascii="Times New Roman" w:hAnsi="Times New Roman" w:cs="Times New Roman"/>
        </w:rPr>
      </w:pPr>
      <w:bookmarkStart w:id="302" w:name="_Ref115940097"/>
      <w:bookmarkStart w:id="303" w:name="_Hlk11593997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40</w:t>
      </w:r>
      <w:r>
        <w:rPr>
          <w:rFonts w:ascii="Times New Roman" w:hAnsi="Times New Roman" w:cs="Times New Roman"/>
        </w:rPr>
        <w:fldChar w:fldCharType="end"/>
      </w:r>
      <w:bookmarkEnd w:id="302"/>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S扩散不同距离下的最大浓度及到达时间（部分结果，东风向）</w:t>
      </w:r>
    </w:p>
    <w:tbl>
      <w:tblPr>
        <w:tblStyle w:val="28"/>
        <w:tblW w:w="90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24"/>
        <w:gridCol w:w="3058"/>
        <w:gridCol w:w="30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距离/m</w:t>
            </w:r>
          </w:p>
        </w:tc>
        <w:tc>
          <w:tcPr>
            <w:tcW w:w="3058"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最大浓度/mg/m</w:t>
            </w:r>
            <w:r>
              <w:rPr>
                <w:rFonts w:ascii="Times New Roman" w:hAnsi="Times New Roman"/>
                <w:sz w:val="21"/>
                <w:szCs w:val="21"/>
                <w:vertAlign w:val="superscript"/>
              </w:rPr>
              <w:t>3</w:t>
            </w:r>
          </w:p>
        </w:tc>
        <w:tc>
          <w:tcPr>
            <w:tcW w:w="3003"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到达时间/min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10</w:t>
            </w:r>
          </w:p>
        </w:tc>
        <w:tc>
          <w:tcPr>
            <w:tcW w:w="3058"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266</w:t>
            </w:r>
          </w:p>
        </w:tc>
        <w:tc>
          <w:tcPr>
            <w:tcW w:w="3003"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50</w:t>
            </w:r>
          </w:p>
        </w:tc>
        <w:tc>
          <w:tcPr>
            <w:tcW w:w="3058"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255</w:t>
            </w:r>
          </w:p>
        </w:tc>
        <w:tc>
          <w:tcPr>
            <w:tcW w:w="3003"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100</w:t>
            </w:r>
          </w:p>
        </w:tc>
        <w:tc>
          <w:tcPr>
            <w:tcW w:w="3058"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237</w:t>
            </w:r>
          </w:p>
        </w:tc>
        <w:tc>
          <w:tcPr>
            <w:tcW w:w="3003"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300</w:t>
            </w:r>
          </w:p>
        </w:tc>
        <w:tc>
          <w:tcPr>
            <w:tcW w:w="3058"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163</w:t>
            </w:r>
          </w:p>
        </w:tc>
        <w:tc>
          <w:tcPr>
            <w:tcW w:w="3003"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600</w:t>
            </w:r>
          </w:p>
        </w:tc>
        <w:tc>
          <w:tcPr>
            <w:tcW w:w="3058"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88.80</w:t>
            </w:r>
          </w:p>
        </w:tc>
        <w:tc>
          <w:tcPr>
            <w:tcW w:w="3003"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1000</w:t>
            </w:r>
          </w:p>
        </w:tc>
        <w:tc>
          <w:tcPr>
            <w:tcW w:w="3058"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93</w:t>
            </w:r>
          </w:p>
        </w:tc>
        <w:tc>
          <w:tcPr>
            <w:tcW w:w="3003"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1500</w:t>
            </w:r>
          </w:p>
        </w:tc>
        <w:tc>
          <w:tcPr>
            <w:tcW w:w="3058"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5.9</w:t>
            </w:r>
          </w:p>
        </w:tc>
        <w:tc>
          <w:tcPr>
            <w:tcW w:w="3003"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2100</w:t>
            </w:r>
          </w:p>
        </w:tc>
        <w:tc>
          <w:tcPr>
            <w:tcW w:w="3058"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26.8</w:t>
            </w:r>
          </w:p>
        </w:tc>
        <w:tc>
          <w:tcPr>
            <w:tcW w:w="3003"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3000</w:t>
            </w:r>
          </w:p>
        </w:tc>
        <w:tc>
          <w:tcPr>
            <w:tcW w:w="3058"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0.197</w:t>
            </w:r>
          </w:p>
        </w:tc>
        <w:tc>
          <w:tcPr>
            <w:tcW w:w="3003"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4000</w:t>
            </w:r>
          </w:p>
        </w:tc>
        <w:tc>
          <w:tcPr>
            <w:tcW w:w="3058"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2.28</w:t>
            </w:r>
          </w:p>
        </w:tc>
        <w:tc>
          <w:tcPr>
            <w:tcW w:w="3003" w:type="dxa"/>
            <w:noWrap/>
            <w:vAlign w:val="center"/>
          </w:tcPr>
          <w:p>
            <w:pPr>
              <w:widowControl/>
              <w:spacing w:line="240" w:lineRule="auto"/>
              <w:ind w:firstLine="0" w:firstLineChars="0"/>
              <w:jc w:val="center"/>
              <w:rPr>
                <w:rFonts w:ascii="Times New Roman" w:hAnsi="Times New Roman"/>
                <w:sz w:val="21"/>
                <w:szCs w:val="21"/>
              </w:rPr>
            </w:pPr>
            <w:r>
              <w:rPr>
                <w:rFonts w:ascii="Times New Roman" w:hAnsi="Times New Roman"/>
                <w:sz w:val="21"/>
                <w:szCs w:val="21"/>
              </w:rPr>
              <w:t>210</w:t>
            </w:r>
          </w:p>
        </w:tc>
      </w:tr>
      <w:bookmarkEnd w:id="303"/>
    </w:tbl>
    <w:p>
      <w:pPr>
        <w:keepNext/>
        <w:ind w:firstLine="0" w:firstLineChars="0"/>
        <w:jc w:val="center"/>
        <w:rPr>
          <w:rFonts w:ascii="Times New Roman" w:hAnsi="Times New Roman"/>
        </w:rPr>
      </w:pPr>
      <w:r>
        <w:rPr>
          <w:rFonts w:ascii="Times New Roman" w:hAnsi="Times New Roman"/>
          <w14:ligatures w14:val="standardContextual"/>
        </w:rPr>
        <w:drawing>
          <wp:inline distT="0" distB="0" distL="0" distR="0">
            <wp:extent cx="5096510" cy="4067175"/>
            <wp:effectExtent l="0" t="0" r="8890" b="0"/>
            <wp:docPr id="1353107814"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107814" name="图片 1" descr="地图&#10;&#10;描述已自动生成"/>
                    <pic:cNvPicPr>
                      <a:picLocks noChangeAspect="1"/>
                    </pic:cNvPicPr>
                  </pic:nvPicPr>
                  <pic:blipFill>
                    <a:blip r:embed="rId146"/>
                    <a:srcRect r="9835"/>
                    <a:stretch>
                      <a:fillRect/>
                    </a:stretch>
                  </pic:blipFill>
                  <pic:spPr>
                    <a:xfrm>
                      <a:off x="0" y="0"/>
                      <a:ext cx="5097383" cy="4067533"/>
                    </a:xfrm>
                    <a:prstGeom prst="rect">
                      <a:avLst/>
                    </a:prstGeom>
                    <a:ln>
                      <a:noFill/>
                    </a:ln>
                  </pic:spPr>
                </pic:pic>
              </a:graphicData>
            </a:graphic>
          </wp:inline>
        </w:drawing>
      </w:r>
    </w:p>
    <w:p>
      <w:pPr>
        <w:pStyle w:val="37"/>
        <w:rPr>
          <w:rFonts w:ascii="Times New Roman" w:hAnsi="Times New Roman" w:cs="Times New Roman"/>
        </w:rPr>
      </w:pPr>
      <w:bookmarkStart w:id="304" w:name="_Ref155687142"/>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bookmarkEnd w:id="304"/>
      <w:r>
        <w:rPr>
          <w:rFonts w:ascii="Times New Roman" w:hAnsi="Times New Roman" w:cs="Times New Roman"/>
        </w:rPr>
        <w:t xml:space="preserve">  天然气泄漏H</w:t>
      </w:r>
      <w:r>
        <w:rPr>
          <w:rFonts w:ascii="Times New Roman" w:hAnsi="Times New Roman" w:cs="Times New Roman"/>
          <w:vertAlign w:val="subscript"/>
        </w:rPr>
        <w:t>2</w:t>
      </w:r>
      <w:r>
        <w:rPr>
          <w:rFonts w:ascii="Times New Roman" w:hAnsi="Times New Roman" w:cs="Times New Roman"/>
        </w:rPr>
        <w:t>S在东风向下最大影响范围平面示意图</w:t>
      </w:r>
    </w:p>
    <w:p>
      <w:pPr>
        <w:pStyle w:val="37"/>
        <w:rPr>
          <w:rFonts w:ascii="Times New Roman" w:hAnsi="Times New Roman" w:cs="Times New Roman"/>
        </w:rPr>
      </w:pPr>
      <w:bookmarkStart w:id="305" w:name="_Ref15568786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41</w:t>
      </w:r>
      <w:r>
        <w:rPr>
          <w:rFonts w:ascii="Times New Roman" w:hAnsi="Times New Roman" w:cs="Times New Roman"/>
        </w:rPr>
        <w:fldChar w:fldCharType="end"/>
      </w:r>
      <w:bookmarkEnd w:id="305"/>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S扩散对关心点的预测统计表</w:t>
      </w:r>
    </w:p>
    <w:tbl>
      <w:tblPr>
        <w:tblStyle w:val="28"/>
        <w:tblW w:w="52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5"/>
        <w:gridCol w:w="2100"/>
        <w:gridCol w:w="2384"/>
        <w:gridCol w:w="2178"/>
        <w:gridCol w:w="2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5" w:type="dxa"/>
            <w:shd w:val="clear" w:color="auto" w:fill="auto"/>
            <w:vAlign w:val="center"/>
          </w:tcPr>
          <w:p>
            <w:pPr>
              <w:pStyle w:val="39"/>
              <w:rPr>
                <w:rFonts w:ascii="Times New Roman" w:hAnsi="Times New Roman"/>
              </w:rPr>
            </w:pPr>
            <w:r>
              <w:rPr>
                <w:rFonts w:ascii="Times New Roman" w:hAnsi="Times New Roman"/>
              </w:rPr>
              <w:t>序号</w:t>
            </w:r>
          </w:p>
        </w:tc>
        <w:tc>
          <w:tcPr>
            <w:tcW w:w="1963" w:type="dxa"/>
            <w:shd w:val="clear" w:color="auto" w:fill="auto"/>
            <w:vAlign w:val="center"/>
          </w:tcPr>
          <w:p>
            <w:pPr>
              <w:pStyle w:val="39"/>
              <w:rPr>
                <w:rFonts w:ascii="Times New Roman" w:hAnsi="Times New Roman"/>
              </w:rPr>
            </w:pPr>
            <w:r>
              <w:rPr>
                <w:rFonts w:ascii="Times New Roman" w:hAnsi="Times New Roman"/>
              </w:rPr>
              <w:t>敏感目标名称</w:t>
            </w:r>
          </w:p>
        </w:tc>
        <w:tc>
          <w:tcPr>
            <w:tcW w:w="2228" w:type="dxa"/>
            <w:shd w:val="clear" w:color="auto" w:fill="auto"/>
            <w:vAlign w:val="center"/>
          </w:tcPr>
          <w:p>
            <w:pPr>
              <w:pStyle w:val="39"/>
              <w:rPr>
                <w:rFonts w:ascii="Times New Roman" w:hAnsi="Times New Roman"/>
              </w:rPr>
            </w:pPr>
            <w:r>
              <w:rPr>
                <w:rFonts w:ascii="Times New Roman" w:hAnsi="Times New Roman"/>
              </w:rPr>
              <w:t>*超标出现时间/min</w:t>
            </w:r>
          </w:p>
        </w:tc>
        <w:tc>
          <w:tcPr>
            <w:tcW w:w="2036" w:type="dxa"/>
            <w:shd w:val="clear" w:color="auto" w:fill="auto"/>
            <w:vAlign w:val="center"/>
          </w:tcPr>
          <w:p>
            <w:pPr>
              <w:pStyle w:val="39"/>
              <w:rPr>
                <w:rFonts w:ascii="Times New Roman" w:hAnsi="Times New Roman"/>
              </w:rPr>
            </w:pPr>
            <w:r>
              <w:rPr>
                <w:rFonts w:ascii="Times New Roman" w:hAnsi="Times New Roman"/>
              </w:rPr>
              <w:t>超标持续时间/min</w:t>
            </w:r>
          </w:p>
        </w:tc>
        <w:tc>
          <w:tcPr>
            <w:tcW w:w="2017" w:type="dxa"/>
            <w:shd w:val="clear" w:color="auto" w:fill="auto"/>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5" w:type="dxa"/>
            <w:shd w:val="clear" w:color="auto" w:fill="auto"/>
            <w:vAlign w:val="center"/>
          </w:tcPr>
          <w:p>
            <w:pPr>
              <w:pStyle w:val="39"/>
              <w:rPr>
                <w:rFonts w:ascii="Times New Roman" w:hAnsi="Times New Roman"/>
              </w:rPr>
            </w:pPr>
            <w:r>
              <w:rPr>
                <w:rFonts w:ascii="Times New Roman" w:hAnsi="Times New Roman"/>
              </w:rPr>
              <w:t>1</w:t>
            </w:r>
          </w:p>
        </w:tc>
        <w:tc>
          <w:tcPr>
            <w:tcW w:w="1963" w:type="dxa"/>
            <w:shd w:val="clear" w:color="auto" w:fill="auto"/>
            <w:vAlign w:val="center"/>
          </w:tcPr>
          <w:p>
            <w:pPr>
              <w:pStyle w:val="39"/>
              <w:rPr>
                <w:rFonts w:ascii="Times New Roman" w:hAnsi="Times New Roman"/>
              </w:rPr>
            </w:pPr>
            <w:r>
              <w:rPr>
                <w:rFonts w:ascii="Times New Roman" w:hAnsi="Times New Roman"/>
              </w:rPr>
              <w:t>关心点1</w:t>
            </w:r>
          </w:p>
        </w:tc>
        <w:tc>
          <w:tcPr>
            <w:tcW w:w="2228" w:type="dxa"/>
            <w:shd w:val="clear" w:color="auto" w:fill="auto"/>
            <w:vAlign w:val="center"/>
          </w:tcPr>
          <w:p>
            <w:pPr>
              <w:pStyle w:val="39"/>
              <w:rPr>
                <w:rFonts w:ascii="Times New Roman" w:hAnsi="Times New Roman"/>
              </w:rPr>
            </w:pPr>
            <w:r>
              <w:rPr>
                <w:rFonts w:ascii="Times New Roman" w:hAnsi="Times New Roman"/>
              </w:rPr>
              <w:t>61</w:t>
            </w:r>
          </w:p>
        </w:tc>
        <w:tc>
          <w:tcPr>
            <w:tcW w:w="2036" w:type="dxa"/>
            <w:shd w:val="clear" w:color="auto" w:fill="auto"/>
            <w:vAlign w:val="center"/>
          </w:tcPr>
          <w:p>
            <w:pPr>
              <w:pStyle w:val="39"/>
              <w:rPr>
                <w:rFonts w:ascii="Times New Roman" w:hAnsi="Times New Roman"/>
              </w:rPr>
            </w:pPr>
            <w:r>
              <w:rPr>
                <w:rFonts w:ascii="Times New Roman" w:hAnsi="Times New Roman" w:eastAsia="等线"/>
              </w:rPr>
              <w:t>14</w:t>
            </w:r>
          </w:p>
        </w:tc>
        <w:tc>
          <w:tcPr>
            <w:tcW w:w="2017" w:type="dxa"/>
            <w:shd w:val="clear" w:color="auto" w:fill="auto"/>
            <w:vAlign w:val="center"/>
          </w:tcPr>
          <w:p>
            <w:pPr>
              <w:pStyle w:val="39"/>
              <w:rPr>
                <w:rFonts w:ascii="Times New Roman" w:hAnsi="Times New Roman"/>
              </w:rPr>
            </w:pPr>
            <w:r>
              <w:rPr>
                <w:rFonts w:ascii="Times New Roman" w:hAnsi="Times New Roman"/>
              </w:rPr>
              <w:t>40.60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5" w:type="dxa"/>
            <w:shd w:val="clear" w:color="auto" w:fill="auto"/>
            <w:vAlign w:val="center"/>
          </w:tcPr>
          <w:p>
            <w:pPr>
              <w:pStyle w:val="39"/>
              <w:rPr>
                <w:rFonts w:ascii="Times New Roman" w:hAnsi="Times New Roman"/>
              </w:rPr>
            </w:pPr>
            <w:r>
              <w:rPr>
                <w:rFonts w:ascii="Times New Roman" w:hAnsi="Times New Roman"/>
              </w:rPr>
              <w:t>2</w:t>
            </w:r>
          </w:p>
        </w:tc>
        <w:tc>
          <w:tcPr>
            <w:tcW w:w="1963" w:type="dxa"/>
            <w:shd w:val="clear" w:color="auto" w:fill="auto"/>
            <w:vAlign w:val="center"/>
          </w:tcPr>
          <w:p>
            <w:pPr>
              <w:pStyle w:val="39"/>
              <w:rPr>
                <w:rFonts w:ascii="Times New Roman" w:hAnsi="Times New Roman"/>
              </w:rPr>
            </w:pPr>
            <w:r>
              <w:rPr>
                <w:rFonts w:ascii="Times New Roman" w:hAnsi="Times New Roman"/>
              </w:rPr>
              <w:t>关心点2</w:t>
            </w:r>
          </w:p>
        </w:tc>
        <w:tc>
          <w:tcPr>
            <w:tcW w:w="2228" w:type="dxa"/>
            <w:shd w:val="clear" w:color="auto" w:fill="auto"/>
            <w:vAlign w:val="center"/>
          </w:tcPr>
          <w:p>
            <w:pPr>
              <w:pStyle w:val="39"/>
              <w:rPr>
                <w:rFonts w:ascii="Times New Roman" w:hAnsi="Times New Roman"/>
              </w:rPr>
            </w:pPr>
            <w:r>
              <w:rPr>
                <w:rFonts w:ascii="Times New Roman" w:hAnsi="Times New Roman" w:eastAsia="等线"/>
              </w:rPr>
              <w:t>57</w:t>
            </w:r>
          </w:p>
        </w:tc>
        <w:tc>
          <w:tcPr>
            <w:tcW w:w="2036" w:type="dxa"/>
            <w:shd w:val="clear" w:color="auto" w:fill="auto"/>
            <w:vAlign w:val="center"/>
          </w:tcPr>
          <w:p>
            <w:pPr>
              <w:pStyle w:val="39"/>
              <w:rPr>
                <w:rFonts w:ascii="Times New Roman" w:hAnsi="Times New Roman"/>
              </w:rPr>
            </w:pPr>
            <w:r>
              <w:rPr>
                <w:rFonts w:ascii="Times New Roman" w:hAnsi="Times New Roman" w:eastAsia="等线"/>
              </w:rPr>
              <w:t>39</w:t>
            </w:r>
          </w:p>
        </w:tc>
        <w:tc>
          <w:tcPr>
            <w:tcW w:w="2017" w:type="dxa"/>
            <w:shd w:val="clear" w:color="auto" w:fill="auto"/>
            <w:vAlign w:val="center"/>
          </w:tcPr>
          <w:p>
            <w:pPr>
              <w:pStyle w:val="39"/>
              <w:rPr>
                <w:rFonts w:ascii="Times New Roman" w:hAnsi="Times New Roman"/>
              </w:rPr>
            </w:pPr>
            <w:r>
              <w:rPr>
                <w:rFonts w:ascii="Times New Roman" w:hAnsi="Times New Roman"/>
              </w:rPr>
              <w:t>53.10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5" w:type="dxa"/>
            <w:shd w:val="clear" w:color="auto" w:fill="auto"/>
            <w:vAlign w:val="center"/>
          </w:tcPr>
          <w:p>
            <w:pPr>
              <w:pStyle w:val="39"/>
              <w:rPr>
                <w:rFonts w:ascii="Times New Roman" w:hAnsi="Times New Roman"/>
              </w:rPr>
            </w:pPr>
            <w:r>
              <w:rPr>
                <w:rFonts w:ascii="Times New Roman" w:hAnsi="Times New Roman"/>
              </w:rPr>
              <w:t>3</w:t>
            </w:r>
          </w:p>
        </w:tc>
        <w:tc>
          <w:tcPr>
            <w:tcW w:w="1963" w:type="dxa"/>
            <w:shd w:val="clear" w:color="auto" w:fill="auto"/>
            <w:vAlign w:val="center"/>
          </w:tcPr>
          <w:p>
            <w:pPr>
              <w:pStyle w:val="39"/>
              <w:rPr>
                <w:rFonts w:ascii="Times New Roman" w:hAnsi="Times New Roman"/>
              </w:rPr>
            </w:pPr>
            <w:r>
              <w:rPr>
                <w:rFonts w:ascii="Times New Roman" w:hAnsi="Times New Roman"/>
              </w:rPr>
              <w:t>关心点3</w:t>
            </w:r>
          </w:p>
        </w:tc>
        <w:tc>
          <w:tcPr>
            <w:tcW w:w="2228" w:type="dxa"/>
            <w:shd w:val="clear" w:color="auto" w:fill="auto"/>
            <w:vAlign w:val="center"/>
          </w:tcPr>
          <w:p>
            <w:pPr>
              <w:pStyle w:val="39"/>
              <w:rPr>
                <w:rFonts w:ascii="Times New Roman" w:hAnsi="Times New Roman"/>
              </w:rPr>
            </w:pPr>
            <w:r>
              <w:rPr>
                <w:rFonts w:ascii="Times New Roman" w:hAnsi="Times New Roman" w:eastAsia="等线"/>
              </w:rPr>
              <w:t>44</w:t>
            </w:r>
          </w:p>
        </w:tc>
        <w:tc>
          <w:tcPr>
            <w:tcW w:w="2036" w:type="dxa"/>
            <w:shd w:val="clear" w:color="auto" w:fill="auto"/>
            <w:vAlign w:val="center"/>
          </w:tcPr>
          <w:p>
            <w:pPr>
              <w:pStyle w:val="39"/>
              <w:rPr>
                <w:rFonts w:ascii="Times New Roman" w:hAnsi="Times New Roman"/>
              </w:rPr>
            </w:pPr>
            <w:r>
              <w:rPr>
                <w:rFonts w:ascii="Times New Roman" w:hAnsi="Times New Roman" w:eastAsia="等线"/>
              </w:rPr>
              <w:t>65</w:t>
            </w:r>
          </w:p>
        </w:tc>
        <w:tc>
          <w:tcPr>
            <w:tcW w:w="2017" w:type="dxa"/>
            <w:shd w:val="clear" w:color="auto" w:fill="auto"/>
            <w:vAlign w:val="center"/>
          </w:tcPr>
          <w:p>
            <w:pPr>
              <w:pStyle w:val="39"/>
              <w:rPr>
                <w:rFonts w:ascii="Times New Roman" w:hAnsi="Times New Roman"/>
              </w:rPr>
            </w:pPr>
            <w:r>
              <w:rPr>
                <w:rFonts w:ascii="Times New Roman" w:hAnsi="Times New Roman"/>
              </w:rPr>
              <w:t>79.80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5" w:type="dxa"/>
            <w:shd w:val="clear" w:color="auto" w:fill="auto"/>
            <w:vAlign w:val="center"/>
          </w:tcPr>
          <w:p>
            <w:pPr>
              <w:pStyle w:val="39"/>
              <w:rPr>
                <w:rFonts w:ascii="Times New Roman" w:hAnsi="Times New Roman"/>
              </w:rPr>
            </w:pPr>
            <w:r>
              <w:rPr>
                <w:rFonts w:ascii="Times New Roman" w:hAnsi="Times New Roman"/>
              </w:rPr>
              <w:t>4</w:t>
            </w:r>
          </w:p>
        </w:tc>
        <w:tc>
          <w:tcPr>
            <w:tcW w:w="1963" w:type="dxa"/>
            <w:shd w:val="clear" w:color="auto" w:fill="auto"/>
            <w:vAlign w:val="center"/>
          </w:tcPr>
          <w:p>
            <w:pPr>
              <w:pStyle w:val="39"/>
              <w:rPr>
                <w:rFonts w:ascii="Times New Roman" w:hAnsi="Times New Roman"/>
              </w:rPr>
            </w:pPr>
            <w:r>
              <w:rPr>
                <w:rFonts w:ascii="Times New Roman" w:hAnsi="Times New Roman"/>
              </w:rPr>
              <w:t>关心点4</w:t>
            </w:r>
          </w:p>
        </w:tc>
        <w:tc>
          <w:tcPr>
            <w:tcW w:w="2228" w:type="dxa"/>
            <w:shd w:val="clear" w:color="auto" w:fill="auto"/>
            <w:vAlign w:val="center"/>
          </w:tcPr>
          <w:p>
            <w:pPr>
              <w:pStyle w:val="39"/>
              <w:rPr>
                <w:rFonts w:ascii="Times New Roman" w:hAnsi="Times New Roman"/>
              </w:rPr>
            </w:pPr>
            <w:r>
              <w:rPr>
                <w:rFonts w:ascii="Times New Roman" w:hAnsi="Times New Roman" w:eastAsia="等线"/>
              </w:rPr>
              <w:t>-</w:t>
            </w:r>
          </w:p>
        </w:tc>
        <w:tc>
          <w:tcPr>
            <w:tcW w:w="2036" w:type="dxa"/>
            <w:shd w:val="clear" w:color="auto" w:fill="auto"/>
            <w:vAlign w:val="center"/>
          </w:tcPr>
          <w:p>
            <w:pPr>
              <w:pStyle w:val="39"/>
              <w:rPr>
                <w:rFonts w:ascii="Times New Roman" w:hAnsi="Times New Roman"/>
              </w:rPr>
            </w:pPr>
            <w:r>
              <w:rPr>
                <w:rFonts w:ascii="Times New Roman" w:hAnsi="Times New Roman" w:eastAsia="等线"/>
              </w:rPr>
              <w:t>-</w:t>
            </w:r>
          </w:p>
        </w:tc>
        <w:tc>
          <w:tcPr>
            <w:tcW w:w="2017" w:type="dxa"/>
            <w:shd w:val="clear" w:color="auto" w:fill="auto"/>
            <w:vAlign w:val="center"/>
          </w:tcPr>
          <w:p>
            <w:pPr>
              <w:pStyle w:val="39"/>
              <w:rPr>
                <w:rFonts w:ascii="Times New Roman" w:hAnsi="Times New Roman"/>
              </w:rPr>
            </w:pPr>
            <w:r>
              <w:rPr>
                <w:rFonts w:ascii="Times New Roman" w:hAnsi="Times New Roman"/>
              </w:rPr>
              <w:t>6.10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5" w:type="dxa"/>
            <w:shd w:val="clear" w:color="auto" w:fill="auto"/>
            <w:vAlign w:val="center"/>
          </w:tcPr>
          <w:p>
            <w:pPr>
              <w:pStyle w:val="39"/>
              <w:rPr>
                <w:rFonts w:ascii="Times New Roman" w:hAnsi="Times New Roman"/>
              </w:rPr>
            </w:pPr>
            <w:r>
              <w:rPr>
                <w:rFonts w:ascii="Times New Roman" w:hAnsi="Times New Roman"/>
              </w:rPr>
              <w:t>5</w:t>
            </w:r>
          </w:p>
        </w:tc>
        <w:tc>
          <w:tcPr>
            <w:tcW w:w="1963" w:type="dxa"/>
            <w:shd w:val="clear" w:color="auto" w:fill="auto"/>
            <w:vAlign w:val="center"/>
          </w:tcPr>
          <w:p>
            <w:pPr>
              <w:pStyle w:val="39"/>
              <w:rPr>
                <w:rFonts w:ascii="Times New Roman" w:hAnsi="Times New Roman"/>
              </w:rPr>
            </w:pPr>
            <w:r>
              <w:rPr>
                <w:rFonts w:ascii="Times New Roman" w:hAnsi="Times New Roman"/>
              </w:rPr>
              <w:t>关心点5</w:t>
            </w:r>
          </w:p>
        </w:tc>
        <w:tc>
          <w:tcPr>
            <w:tcW w:w="2228" w:type="dxa"/>
            <w:shd w:val="clear" w:color="auto" w:fill="auto"/>
            <w:vAlign w:val="center"/>
          </w:tcPr>
          <w:p>
            <w:pPr>
              <w:pStyle w:val="39"/>
              <w:rPr>
                <w:rFonts w:ascii="Times New Roman" w:hAnsi="Times New Roman"/>
              </w:rPr>
            </w:pPr>
            <w:r>
              <w:rPr>
                <w:rFonts w:ascii="Times New Roman" w:hAnsi="Times New Roman" w:eastAsia="等线"/>
              </w:rPr>
              <w:t>-</w:t>
            </w:r>
          </w:p>
        </w:tc>
        <w:tc>
          <w:tcPr>
            <w:tcW w:w="2036" w:type="dxa"/>
            <w:shd w:val="clear" w:color="auto" w:fill="auto"/>
            <w:vAlign w:val="center"/>
          </w:tcPr>
          <w:p>
            <w:pPr>
              <w:pStyle w:val="39"/>
              <w:rPr>
                <w:rFonts w:ascii="Times New Roman" w:hAnsi="Times New Roman"/>
              </w:rPr>
            </w:pPr>
            <w:r>
              <w:rPr>
                <w:rFonts w:ascii="Times New Roman" w:hAnsi="Times New Roman" w:eastAsia="等线"/>
              </w:rPr>
              <w:t>-</w:t>
            </w:r>
          </w:p>
        </w:tc>
        <w:tc>
          <w:tcPr>
            <w:tcW w:w="2017" w:type="dxa"/>
            <w:shd w:val="clear" w:color="auto" w:fill="auto"/>
            <w:vAlign w:val="center"/>
          </w:tcPr>
          <w:p>
            <w:pPr>
              <w:pStyle w:val="39"/>
              <w:rPr>
                <w:rFonts w:ascii="Times New Roman" w:hAnsi="Times New Roman"/>
              </w:rPr>
            </w:pPr>
            <w:r>
              <w:rPr>
                <w:rFonts w:ascii="Times New Roman" w:hAnsi="Times New Roman"/>
              </w:rPr>
              <w:t>0.73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5" w:type="dxa"/>
            <w:shd w:val="clear" w:color="auto" w:fill="auto"/>
            <w:vAlign w:val="center"/>
          </w:tcPr>
          <w:p>
            <w:pPr>
              <w:pStyle w:val="39"/>
              <w:rPr>
                <w:rFonts w:ascii="Times New Roman" w:hAnsi="Times New Roman"/>
              </w:rPr>
            </w:pPr>
            <w:r>
              <w:rPr>
                <w:rFonts w:ascii="Times New Roman" w:hAnsi="Times New Roman"/>
              </w:rPr>
              <w:t>6</w:t>
            </w:r>
          </w:p>
        </w:tc>
        <w:tc>
          <w:tcPr>
            <w:tcW w:w="1963" w:type="dxa"/>
            <w:shd w:val="clear" w:color="auto" w:fill="auto"/>
            <w:vAlign w:val="center"/>
          </w:tcPr>
          <w:p>
            <w:pPr>
              <w:pStyle w:val="39"/>
              <w:rPr>
                <w:rFonts w:ascii="Times New Roman" w:hAnsi="Times New Roman"/>
              </w:rPr>
            </w:pPr>
            <w:r>
              <w:rPr>
                <w:rFonts w:ascii="Times New Roman" w:hAnsi="Times New Roman"/>
              </w:rPr>
              <w:t>关心点6</w:t>
            </w:r>
          </w:p>
        </w:tc>
        <w:tc>
          <w:tcPr>
            <w:tcW w:w="2228" w:type="dxa"/>
            <w:shd w:val="clear" w:color="auto" w:fill="auto"/>
            <w:vAlign w:val="center"/>
          </w:tcPr>
          <w:p>
            <w:pPr>
              <w:pStyle w:val="39"/>
              <w:rPr>
                <w:rFonts w:ascii="Times New Roman" w:hAnsi="Times New Roman"/>
              </w:rPr>
            </w:pPr>
            <w:r>
              <w:rPr>
                <w:rFonts w:ascii="Times New Roman" w:hAnsi="Times New Roman" w:eastAsia="等线"/>
              </w:rPr>
              <w:t>51</w:t>
            </w:r>
          </w:p>
        </w:tc>
        <w:tc>
          <w:tcPr>
            <w:tcW w:w="2036" w:type="dxa"/>
            <w:shd w:val="clear" w:color="auto" w:fill="auto"/>
            <w:vAlign w:val="center"/>
          </w:tcPr>
          <w:p>
            <w:pPr>
              <w:pStyle w:val="39"/>
              <w:rPr>
                <w:rFonts w:ascii="Times New Roman" w:hAnsi="Times New Roman"/>
              </w:rPr>
            </w:pPr>
            <w:r>
              <w:rPr>
                <w:rFonts w:ascii="Times New Roman" w:hAnsi="Times New Roman" w:eastAsia="等线"/>
              </w:rPr>
              <w:t>59</w:t>
            </w:r>
          </w:p>
        </w:tc>
        <w:tc>
          <w:tcPr>
            <w:tcW w:w="2017" w:type="dxa"/>
            <w:shd w:val="clear" w:color="auto" w:fill="auto"/>
            <w:vAlign w:val="center"/>
          </w:tcPr>
          <w:p>
            <w:pPr>
              <w:pStyle w:val="39"/>
              <w:rPr>
                <w:rFonts w:ascii="Times New Roman" w:hAnsi="Times New Roman"/>
              </w:rPr>
            </w:pPr>
            <w:r>
              <w:rPr>
                <w:rFonts w:ascii="Times New Roman" w:hAnsi="Times New Roman"/>
              </w:rPr>
              <w:t>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5" w:type="dxa"/>
            <w:shd w:val="clear" w:color="auto" w:fill="auto"/>
            <w:vAlign w:val="center"/>
          </w:tcPr>
          <w:p>
            <w:pPr>
              <w:pStyle w:val="39"/>
              <w:rPr>
                <w:rFonts w:ascii="Times New Roman" w:hAnsi="Times New Roman"/>
              </w:rPr>
            </w:pPr>
            <w:r>
              <w:rPr>
                <w:rFonts w:ascii="Times New Roman" w:hAnsi="Times New Roman"/>
              </w:rPr>
              <w:t>7</w:t>
            </w:r>
          </w:p>
        </w:tc>
        <w:tc>
          <w:tcPr>
            <w:tcW w:w="1963" w:type="dxa"/>
            <w:shd w:val="clear" w:color="auto" w:fill="auto"/>
            <w:vAlign w:val="center"/>
          </w:tcPr>
          <w:p>
            <w:pPr>
              <w:pStyle w:val="39"/>
              <w:rPr>
                <w:rFonts w:ascii="Times New Roman" w:hAnsi="Times New Roman"/>
              </w:rPr>
            </w:pPr>
            <w:r>
              <w:rPr>
                <w:rFonts w:ascii="Times New Roman" w:hAnsi="Times New Roman"/>
              </w:rPr>
              <w:t>关心点7</w:t>
            </w:r>
          </w:p>
        </w:tc>
        <w:tc>
          <w:tcPr>
            <w:tcW w:w="2228" w:type="dxa"/>
            <w:shd w:val="clear" w:color="auto" w:fill="auto"/>
            <w:vAlign w:val="center"/>
          </w:tcPr>
          <w:p>
            <w:pPr>
              <w:pStyle w:val="39"/>
              <w:rPr>
                <w:rFonts w:ascii="Times New Roman" w:hAnsi="Times New Roman"/>
              </w:rPr>
            </w:pPr>
            <w:r>
              <w:rPr>
                <w:rFonts w:ascii="Times New Roman" w:hAnsi="Times New Roman" w:eastAsia="等线"/>
              </w:rPr>
              <w:t>30</w:t>
            </w:r>
          </w:p>
        </w:tc>
        <w:tc>
          <w:tcPr>
            <w:tcW w:w="2036" w:type="dxa"/>
            <w:shd w:val="clear" w:color="auto" w:fill="auto"/>
            <w:vAlign w:val="center"/>
          </w:tcPr>
          <w:p>
            <w:pPr>
              <w:pStyle w:val="39"/>
              <w:rPr>
                <w:rFonts w:ascii="Times New Roman" w:hAnsi="Times New Roman"/>
              </w:rPr>
            </w:pPr>
            <w:r>
              <w:rPr>
                <w:rFonts w:ascii="Times New Roman" w:hAnsi="Times New Roman" w:eastAsia="等线"/>
              </w:rPr>
              <w:t>86</w:t>
            </w:r>
          </w:p>
        </w:tc>
        <w:tc>
          <w:tcPr>
            <w:tcW w:w="2017" w:type="dxa"/>
            <w:shd w:val="clear" w:color="auto" w:fill="auto"/>
            <w:vAlign w:val="center"/>
          </w:tcPr>
          <w:p>
            <w:pPr>
              <w:pStyle w:val="39"/>
              <w:rPr>
                <w:rFonts w:ascii="Times New Roman" w:hAnsi="Times New Roman"/>
              </w:rPr>
            </w:pPr>
            <w:r>
              <w:rPr>
                <w:rFonts w:ascii="Times New Roman" w:hAnsi="Times New Roman"/>
              </w:rPr>
              <w:t>128.00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5" w:type="dxa"/>
            <w:shd w:val="clear" w:color="auto" w:fill="auto"/>
            <w:vAlign w:val="center"/>
          </w:tcPr>
          <w:p>
            <w:pPr>
              <w:pStyle w:val="39"/>
              <w:rPr>
                <w:rFonts w:ascii="Times New Roman" w:hAnsi="Times New Roman"/>
              </w:rPr>
            </w:pPr>
            <w:r>
              <w:rPr>
                <w:rFonts w:ascii="Times New Roman" w:hAnsi="Times New Roman"/>
              </w:rPr>
              <w:t>8</w:t>
            </w:r>
          </w:p>
        </w:tc>
        <w:tc>
          <w:tcPr>
            <w:tcW w:w="1963" w:type="dxa"/>
            <w:shd w:val="clear" w:color="auto" w:fill="auto"/>
            <w:vAlign w:val="center"/>
          </w:tcPr>
          <w:p>
            <w:pPr>
              <w:pStyle w:val="39"/>
              <w:rPr>
                <w:rFonts w:ascii="Times New Roman" w:hAnsi="Times New Roman"/>
              </w:rPr>
            </w:pPr>
            <w:r>
              <w:rPr>
                <w:rFonts w:ascii="Times New Roman" w:hAnsi="Times New Roman"/>
              </w:rPr>
              <w:t>关心点8</w:t>
            </w:r>
          </w:p>
        </w:tc>
        <w:tc>
          <w:tcPr>
            <w:tcW w:w="2228" w:type="dxa"/>
            <w:shd w:val="clear" w:color="auto" w:fill="auto"/>
            <w:vAlign w:val="center"/>
          </w:tcPr>
          <w:p>
            <w:pPr>
              <w:pStyle w:val="39"/>
              <w:rPr>
                <w:rFonts w:ascii="Times New Roman" w:hAnsi="Times New Roman"/>
              </w:rPr>
            </w:pPr>
            <w:r>
              <w:rPr>
                <w:rFonts w:ascii="Times New Roman" w:hAnsi="Times New Roman" w:eastAsia="等线"/>
              </w:rPr>
              <w:t>43</w:t>
            </w:r>
          </w:p>
        </w:tc>
        <w:tc>
          <w:tcPr>
            <w:tcW w:w="2036" w:type="dxa"/>
            <w:shd w:val="clear" w:color="auto" w:fill="auto"/>
            <w:vAlign w:val="center"/>
          </w:tcPr>
          <w:p>
            <w:pPr>
              <w:pStyle w:val="39"/>
              <w:rPr>
                <w:rFonts w:ascii="Times New Roman" w:hAnsi="Times New Roman"/>
              </w:rPr>
            </w:pPr>
            <w:r>
              <w:rPr>
                <w:rFonts w:ascii="Times New Roman" w:hAnsi="Times New Roman" w:eastAsia="等线"/>
              </w:rPr>
              <w:t>77</w:t>
            </w:r>
          </w:p>
        </w:tc>
        <w:tc>
          <w:tcPr>
            <w:tcW w:w="2017" w:type="dxa"/>
            <w:shd w:val="clear" w:color="auto" w:fill="auto"/>
            <w:vAlign w:val="center"/>
          </w:tcPr>
          <w:p>
            <w:pPr>
              <w:pStyle w:val="39"/>
              <w:rPr>
                <w:rFonts w:ascii="Times New Roman" w:hAnsi="Times New Roman"/>
              </w:rPr>
            </w:pPr>
            <w:r>
              <w:rPr>
                <w:rFonts w:ascii="Times New Roman" w:hAnsi="Times New Roman"/>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5" w:type="dxa"/>
            <w:shd w:val="clear" w:color="auto" w:fill="auto"/>
            <w:vAlign w:val="center"/>
          </w:tcPr>
          <w:p>
            <w:pPr>
              <w:pStyle w:val="39"/>
              <w:rPr>
                <w:rFonts w:ascii="Times New Roman" w:hAnsi="Times New Roman"/>
              </w:rPr>
            </w:pPr>
            <w:r>
              <w:rPr>
                <w:rFonts w:ascii="Times New Roman" w:hAnsi="Times New Roman"/>
              </w:rPr>
              <w:t>9</w:t>
            </w:r>
          </w:p>
        </w:tc>
        <w:tc>
          <w:tcPr>
            <w:tcW w:w="1963" w:type="dxa"/>
            <w:shd w:val="clear" w:color="auto" w:fill="auto"/>
            <w:vAlign w:val="center"/>
          </w:tcPr>
          <w:p>
            <w:pPr>
              <w:pStyle w:val="39"/>
              <w:rPr>
                <w:rFonts w:ascii="Times New Roman" w:hAnsi="Times New Roman"/>
              </w:rPr>
            </w:pPr>
            <w:r>
              <w:rPr>
                <w:rFonts w:ascii="Times New Roman" w:hAnsi="Times New Roman"/>
              </w:rPr>
              <w:t>关心点9</w:t>
            </w:r>
          </w:p>
        </w:tc>
        <w:tc>
          <w:tcPr>
            <w:tcW w:w="2228" w:type="dxa"/>
            <w:shd w:val="clear" w:color="auto" w:fill="auto"/>
            <w:vAlign w:val="center"/>
          </w:tcPr>
          <w:p>
            <w:pPr>
              <w:pStyle w:val="39"/>
              <w:rPr>
                <w:rFonts w:ascii="Times New Roman" w:hAnsi="Times New Roman"/>
              </w:rPr>
            </w:pPr>
            <w:r>
              <w:rPr>
                <w:rFonts w:ascii="Times New Roman" w:hAnsi="Times New Roman" w:eastAsia="等线"/>
              </w:rPr>
              <w:t>37</w:t>
            </w:r>
          </w:p>
        </w:tc>
        <w:tc>
          <w:tcPr>
            <w:tcW w:w="2036" w:type="dxa"/>
            <w:shd w:val="clear" w:color="auto" w:fill="auto"/>
            <w:vAlign w:val="center"/>
          </w:tcPr>
          <w:p>
            <w:pPr>
              <w:pStyle w:val="39"/>
              <w:rPr>
                <w:rFonts w:ascii="Times New Roman" w:hAnsi="Times New Roman"/>
              </w:rPr>
            </w:pPr>
            <w:r>
              <w:rPr>
                <w:rFonts w:ascii="Times New Roman" w:hAnsi="Times New Roman" w:eastAsia="等线"/>
              </w:rPr>
              <w:t>84</w:t>
            </w:r>
          </w:p>
        </w:tc>
        <w:tc>
          <w:tcPr>
            <w:tcW w:w="2017" w:type="dxa"/>
            <w:shd w:val="clear" w:color="auto" w:fill="auto"/>
            <w:vAlign w:val="center"/>
          </w:tcPr>
          <w:p>
            <w:pPr>
              <w:pStyle w:val="39"/>
              <w:rPr>
                <w:rFonts w:ascii="Times New Roman" w:hAnsi="Times New Roman"/>
              </w:rPr>
            </w:pPr>
            <w:r>
              <w:rPr>
                <w:rFonts w:ascii="Times New Roman" w:hAnsi="Times New Roman"/>
              </w:rPr>
              <w:t>128.00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15" w:type="dxa"/>
            <w:shd w:val="clear" w:color="auto" w:fill="auto"/>
            <w:vAlign w:val="center"/>
          </w:tcPr>
          <w:p>
            <w:pPr>
              <w:pStyle w:val="39"/>
              <w:rPr>
                <w:rFonts w:ascii="Times New Roman" w:hAnsi="Times New Roman"/>
              </w:rPr>
            </w:pPr>
            <w:r>
              <w:rPr>
                <w:rFonts w:ascii="Times New Roman" w:hAnsi="Times New Roman"/>
              </w:rPr>
              <w:t>10</w:t>
            </w:r>
          </w:p>
        </w:tc>
        <w:tc>
          <w:tcPr>
            <w:tcW w:w="1963" w:type="dxa"/>
            <w:shd w:val="clear" w:color="auto" w:fill="auto"/>
            <w:vAlign w:val="center"/>
          </w:tcPr>
          <w:p>
            <w:pPr>
              <w:pStyle w:val="39"/>
              <w:rPr>
                <w:rFonts w:ascii="Times New Roman" w:hAnsi="Times New Roman"/>
              </w:rPr>
            </w:pPr>
            <w:r>
              <w:rPr>
                <w:rFonts w:ascii="Times New Roman" w:hAnsi="Times New Roman"/>
              </w:rPr>
              <w:t>关心点10</w:t>
            </w:r>
          </w:p>
        </w:tc>
        <w:tc>
          <w:tcPr>
            <w:tcW w:w="2228" w:type="dxa"/>
            <w:shd w:val="clear" w:color="auto" w:fill="auto"/>
            <w:vAlign w:val="center"/>
          </w:tcPr>
          <w:p>
            <w:pPr>
              <w:pStyle w:val="39"/>
              <w:rPr>
                <w:rFonts w:ascii="Times New Roman" w:hAnsi="Times New Roman"/>
              </w:rPr>
            </w:pPr>
            <w:r>
              <w:rPr>
                <w:rFonts w:ascii="Times New Roman" w:hAnsi="Times New Roman" w:eastAsia="等线"/>
              </w:rPr>
              <w:t>-</w:t>
            </w:r>
          </w:p>
        </w:tc>
        <w:tc>
          <w:tcPr>
            <w:tcW w:w="2036" w:type="dxa"/>
            <w:shd w:val="clear" w:color="auto" w:fill="auto"/>
            <w:vAlign w:val="center"/>
          </w:tcPr>
          <w:p>
            <w:pPr>
              <w:pStyle w:val="39"/>
              <w:rPr>
                <w:rFonts w:ascii="Times New Roman" w:hAnsi="Times New Roman"/>
              </w:rPr>
            </w:pPr>
            <w:r>
              <w:rPr>
                <w:rFonts w:ascii="Times New Roman" w:hAnsi="Times New Roman" w:eastAsia="等线"/>
              </w:rPr>
              <w:t>-</w:t>
            </w:r>
          </w:p>
        </w:tc>
        <w:tc>
          <w:tcPr>
            <w:tcW w:w="2017" w:type="dxa"/>
            <w:shd w:val="clear" w:color="auto" w:fill="auto"/>
            <w:vAlign w:val="center"/>
          </w:tcPr>
          <w:p>
            <w:pPr>
              <w:pStyle w:val="39"/>
              <w:rPr>
                <w:rFonts w:ascii="Times New Roman" w:hAnsi="Times New Roman"/>
              </w:rPr>
            </w:pPr>
            <w:r>
              <w:rPr>
                <w:rFonts w:ascii="Times New Roman" w:hAnsi="Times New Roman"/>
              </w:rPr>
              <w:t>2.72</w:t>
            </w:r>
          </w:p>
        </w:tc>
      </w:tr>
    </w:tbl>
    <w:p>
      <w:pPr>
        <w:ind w:firstLine="0" w:firstLineChars="0"/>
        <w:rPr>
          <w:rFonts w:ascii="Times New Roman" w:hAnsi="Times New Roman"/>
          <w:sz w:val="18"/>
          <w:szCs w:val="18"/>
        </w:rPr>
      </w:pPr>
      <w:r>
        <w:rPr>
          <w:rFonts w:ascii="Times New Roman" w:hAnsi="Times New Roman"/>
          <w:sz w:val="18"/>
          <w:szCs w:val="18"/>
        </w:rPr>
        <w:t>*注：超标时间均指超过大气毒性终点浓度2的时间。</w:t>
      </w:r>
    </w:p>
    <w:p>
      <w:pPr>
        <w:keepNext/>
        <w:ind w:firstLine="0" w:firstLineChars="0"/>
        <w:jc w:val="center"/>
        <w:rPr>
          <w:rFonts w:ascii="Times New Roman" w:hAnsi="Times New Roman"/>
        </w:rPr>
      </w:pPr>
      <w:r>
        <w:rPr>
          <w:rFonts w:ascii="Times New Roman" w:hAnsi="Times New Roman"/>
          <w:sz w:val="18"/>
          <w:szCs w:val="18"/>
        </w:rPr>
        <w:drawing>
          <wp:inline distT="0" distB="0" distL="0" distR="0">
            <wp:extent cx="5067300" cy="2732405"/>
            <wp:effectExtent l="0" t="0" r="0" b="0"/>
            <wp:docPr id="256875019" name="图片 2"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75019" name="图片 2" descr="图表, 折线图&#10;&#10;描述已自动生成"/>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a:xfrm>
                      <a:off x="0" y="0"/>
                      <a:ext cx="5075024" cy="2736452"/>
                    </a:xfrm>
                    <a:prstGeom prst="rect">
                      <a:avLst/>
                    </a:prstGeom>
                    <a:noFill/>
                  </pic:spPr>
                </pic:pic>
              </a:graphicData>
            </a:graphic>
          </wp:inline>
        </w:drawing>
      </w:r>
    </w:p>
    <w:p>
      <w:pPr>
        <w:pStyle w:val="37"/>
        <w:rPr>
          <w:rFonts w:ascii="Times New Roman" w:hAnsi="Times New Roman" w:cs="Times New Roman"/>
        </w:rPr>
      </w:pPr>
      <w:bookmarkStart w:id="306" w:name="_Ref155687881"/>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bookmarkEnd w:id="306"/>
      <w:r>
        <w:rPr>
          <w:rFonts w:ascii="Times New Roman" w:hAnsi="Times New Roman" w:cs="Times New Roman"/>
        </w:rPr>
        <w:t xml:space="preserve">   主要受影响敏感点浓度随时间变化图</w:t>
      </w:r>
    </w:p>
    <w:p>
      <w:pPr>
        <w:ind w:firstLine="480"/>
        <w:rPr>
          <w:rFonts w:ascii="Times New Roman" w:hAnsi="Times New Roman"/>
        </w:rPr>
      </w:pPr>
      <w:r>
        <w:rPr>
          <w:rFonts w:ascii="Times New Roman" w:hAnsi="Times New Roman"/>
        </w:rPr>
        <w:t>4）小结</w:t>
      </w:r>
    </w:p>
    <w:p>
      <w:pPr>
        <w:ind w:firstLine="480"/>
        <w:rPr>
          <w:rFonts w:ascii="Times New Roman" w:hAnsi="Times New Roman"/>
        </w:rPr>
      </w:pPr>
      <w:bookmarkStart w:id="307" w:name="_Hlk155688029"/>
      <w:bookmarkStart w:id="308" w:name="_Hlk114747585"/>
      <w:r>
        <w:rPr>
          <w:rFonts w:ascii="Times New Roman" w:hAnsi="Times New Roman"/>
        </w:rPr>
        <w:t>宣探阀室-宣探清管站段管道</w:t>
      </w:r>
      <w:bookmarkEnd w:id="307"/>
      <w:r>
        <w:rPr>
          <w:rFonts w:ascii="Times New Roman" w:hAnsi="Times New Roman"/>
        </w:rPr>
        <w:t>泄漏时，根据模拟预测，在最不利气象条件下，东风向下，毒性终点浓度1和毒性终点浓度2影响范围最大，泄漏发生104min后毒性终点浓度1影响范围达到1340m，泄漏发生105min后毒性终点浓度2影响范围达到1470m。</w:t>
      </w:r>
    </w:p>
    <w:p>
      <w:pPr>
        <w:ind w:firstLine="480"/>
        <w:rPr>
          <w:rFonts w:ascii="Times New Roman" w:hAnsi="Times New Roman"/>
        </w:rPr>
      </w:pPr>
      <w:r>
        <w:rPr>
          <w:rFonts w:ascii="Times New Roman" w:hAnsi="Times New Roman"/>
        </w:rPr>
        <w:t>风险源周边关心点中，以H</w:t>
      </w:r>
      <w:r>
        <w:rPr>
          <w:rFonts w:ascii="Times New Roman" w:hAnsi="Times New Roman"/>
          <w:vertAlign w:val="subscript"/>
        </w:rPr>
        <w:t>2</w:t>
      </w:r>
      <w:r>
        <w:rPr>
          <w:rFonts w:ascii="Times New Roman" w:hAnsi="Times New Roman"/>
        </w:rPr>
        <w:t>S毒性终点浓度2作为超标参考依据，除关心点4、关心点5、关心点10，其他关心点均超标，超标时间出现在泄漏事故发生30-61min后，持续超标时间在14-86min。</w:t>
      </w:r>
    </w:p>
    <w:bookmarkEnd w:id="308"/>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42</w:t>
      </w:r>
      <w:r>
        <w:rPr>
          <w:rFonts w:ascii="Times New Roman" w:hAnsi="Times New Roman" w:cs="Times New Roman"/>
        </w:rPr>
        <w:fldChar w:fldCharType="end"/>
      </w:r>
      <w:r>
        <w:rPr>
          <w:rFonts w:ascii="Times New Roman" w:hAnsi="Times New Roman" w:cs="Times New Roman"/>
        </w:rPr>
        <w:t xml:space="preserve">   宣探阀室-宣探清管站段管道泄漏事故基本信息表</w:t>
      </w:r>
    </w:p>
    <w:tbl>
      <w:tblPr>
        <w:tblStyle w:val="28"/>
        <w:tblW w:w="513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6"/>
        <w:gridCol w:w="1133"/>
        <w:gridCol w:w="2224"/>
        <w:gridCol w:w="1300"/>
        <w:gridCol w:w="1516"/>
        <w:gridCol w:w="1535"/>
        <w:gridCol w:w="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shd w:val="clear" w:color="auto" w:fill="auto"/>
            <w:tcMar>
              <w:left w:w="57" w:type="dxa"/>
              <w:right w:w="57" w:type="dxa"/>
            </w:tcMar>
            <w:vAlign w:val="center"/>
          </w:tcPr>
          <w:p>
            <w:pPr>
              <w:pStyle w:val="39"/>
              <w:rPr>
                <w:rFonts w:ascii="Times New Roman" w:hAnsi="Times New Roman"/>
              </w:rPr>
            </w:pPr>
            <w:r>
              <w:rPr>
                <w:rFonts w:ascii="Times New Roman" w:hAnsi="Times New Roman"/>
              </w:rPr>
              <w:t>风险事故情形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代表性风险事故情形描述</w:t>
            </w:r>
          </w:p>
        </w:tc>
        <w:tc>
          <w:tcPr>
            <w:tcW w:w="4163" w:type="pct"/>
            <w:gridSpan w:val="5"/>
            <w:shd w:val="clear" w:color="auto" w:fill="auto"/>
            <w:tcMar>
              <w:left w:w="57" w:type="dxa"/>
              <w:right w:w="57" w:type="dxa"/>
            </w:tcMar>
            <w:vAlign w:val="center"/>
          </w:tcPr>
          <w:p>
            <w:pPr>
              <w:pStyle w:val="39"/>
              <w:rPr>
                <w:rFonts w:ascii="Times New Roman" w:hAnsi="Times New Roman"/>
              </w:rPr>
            </w:pPr>
            <w:r>
              <w:rPr>
                <w:rFonts w:ascii="Times New Roman" w:hAnsi="Times New Roman"/>
              </w:rPr>
              <w:t>宣探集气干线（宣探阀室-清管站）管道断裂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环境风险类型</w:t>
            </w:r>
          </w:p>
        </w:tc>
        <w:tc>
          <w:tcPr>
            <w:tcW w:w="4163" w:type="pct"/>
            <w:gridSpan w:val="5"/>
            <w:shd w:val="clear" w:color="auto" w:fill="auto"/>
            <w:tcMar>
              <w:left w:w="57" w:type="dxa"/>
              <w:right w:w="57" w:type="dxa"/>
            </w:tcMar>
            <w:vAlign w:val="center"/>
          </w:tcPr>
          <w:p>
            <w:pPr>
              <w:pStyle w:val="39"/>
              <w:rPr>
                <w:rFonts w:ascii="Times New Roman" w:hAnsi="Times New Roman"/>
              </w:rPr>
            </w:pPr>
            <w:r>
              <w:rPr>
                <w:rFonts w:ascii="Times New Roman" w:hAnsi="Times New Roman"/>
              </w:rPr>
              <w:t>原料天然气垂直喷射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泄漏设备类型</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原料气集输管线</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操作温度（℃）</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41</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操作压力/MPa</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排放危险物质</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硫化氢</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最大存在量/kg</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6443.25</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泄漏孔径/mm</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排放速率/kg/s</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1.775</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稳定泄漏时间/（min）</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60.5</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泄漏量/kg</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6443.25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泄漏高度/m</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0</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泄漏液体蒸发量/kg</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泄漏频率</w:t>
            </w:r>
          </w:p>
        </w:tc>
        <w:tc>
          <w:tcPr>
            <w:tcW w:w="829" w:type="pct"/>
            <w:shd w:val="clear" w:color="auto" w:fill="auto"/>
            <w:tcMar>
              <w:left w:w="57" w:type="dxa"/>
              <w:right w:w="57" w:type="dxa"/>
            </w:tcMar>
            <w:vAlign w:val="center"/>
          </w:tcPr>
          <w:p>
            <w:pPr>
              <w:pStyle w:val="39"/>
              <w:rPr>
                <w:rFonts w:ascii="Times New Roman" w:hAnsi="Times New Roman"/>
                <w:vertAlign w:val="subscript"/>
              </w:rPr>
            </w:pPr>
            <w:r>
              <w:rPr>
                <w:rFonts w:ascii="Times New Roman" w:hAnsi="Times New Roman"/>
              </w:rPr>
              <w:t>1.05×10</w:t>
            </w:r>
            <w:r>
              <w:rPr>
                <w:rFonts w:ascii="Times New Roman" w:hAnsi="Times New Roman"/>
                <w:vertAlign w:val="superscript"/>
              </w:rPr>
              <w:t>-3</w:t>
            </w:r>
            <w:r>
              <w:rPr>
                <w:rFonts w:ascii="Times New Roman" w:hAnsi="Times New Roman"/>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shd w:val="clear" w:color="auto" w:fill="auto"/>
            <w:tcMar>
              <w:left w:w="57" w:type="dxa"/>
              <w:right w:w="57" w:type="dxa"/>
            </w:tcMar>
            <w:vAlign w:val="center"/>
          </w:tcPr>
          <w:p>
            <w:pPr>
              <w:pStyle w:val="39"/>
              <w:rPr>
                <w:rFonts w:ascii="Times New Roman" w:hAnsi="Times New Roman"/>
              </w:rPr>
            </w:pPr>
            <w:r>
              <w:rPr>
                <w:rFonts w:ascii="Times New Roman" w:hAnsi="Times New Roman"/>
              </w:rPr>
              <w:t>事故后果预测（最不利气象条件）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w:t>
            </w:r>
          </w:p>
        </w:tc>
        <w:tc>
          <w:tcPr>
            <w:tcW w:w="612"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危险物质</w:t>
            </w:r>
          </w:p>
        </w:tc>
        <w:tc>
          <w:tcPr>
            <w:tcW w:w="3551" w:type="pct"/>
            <w:gridSpan w:val="4"/>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大气环境影响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指标</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浓度值/mg/m</w:t>
            </w:r>
            <w:r>
              <w:rPr>
                <w:rFonts w:ascii="Times New Roman" w:hAnsi="Times New Roman"/>
                <w:vertAlign w:val="superscript"/>
              </w:rPr>
              <w:t>3</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最远影响距离/m</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到达时间/min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硫化氢</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大气毒性终点浓度-1</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70</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1340</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大气毒性终点浓度-2</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38</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1470</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敏感目标名称</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超标时间/min</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超标持续时间/min</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关心点1</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61</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14</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40.60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关心点2</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57</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39</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53.10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关心点3</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44</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65</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79.80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关心点4</w:t>
            </w:r>
          </w:p>
        </w:tc>
        <w:tc>
          <w:tcPr>
            <w:tcW w:w="702" w:type="pct"/>
            <w:shd w:val="clear" w:color="auto" w:fill="auto"/>
            <w:tcMar>
              <w:left w:w="57" w:type="dxa"/>
              <w:right w:w="57" w:type="dxa"/>
            </w:tcMar>
            <w:vAlign w:val="center"/>
          </w:tcPr>
          <w:p>
            <w:pPr>
              <w:pStyle w:val="39"/>
              <w:rPr>
                <w:rFonts w:ascii="Times New Roman" w:hAnsi="Times New Roman" w:eastAsia="等线"/>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eastAsia="等线"/>
              </w:rPr>
            </w:pPr>
            <w:r>
              <w:rPr>
                <w:rFonts w:ascii="Times New Roman" w:hAnsi="Times New Roman" w:eastAsia="等线"/>
              </w:rPr>
              <w:t>-</w:t>
            </w:r>
          </w:p>
        </w:tc>
        <w:tc>
          <w:tcPr>
            <w:tcW w:w="829" w:type="pct"/>
            <w:shd w:val="clear" w:color="auto" w:fill="auto"/>
            <w:tcMar>
              <w:left w:w="57" w:type="dxa"/>
              <w:right w:w="57" w:type="dxa"/>
            </w:tcMar>
            <w:vAlign w:val="center"/>
          </w:tcPr>
          <w:p>
            <w:pPr>
              <w:pStyle w:val="39"/>
              <w:rPr>
                <w:rFonts w:ascii="Times New Roman" w:hAnsi="Times New Roman"/>
                <w:kern w:val="0"/>
              </w:rPr>
            </w:pPr>
            <w:r>
              <w:rPr>
                <w:rFonts w:ascii="Times New Roman" w:hAnsi="Times New Roman"/>
              </w:rPr>
              <w:t>6.10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关心点5</w:t>
            </w:r>
          </w:p>
        </w:tc>
        <w:tc>
          <w:tcPr>
            <w:tcW w:w="702" w:type="pct"/>
            <w:shd w:val="clear" w:color="auto" w:fill="auto"/>
            <w:tcMar>
              <w:left w:w="57" w:type="dxa"/>
              <w:right w:w="57" w:type="dxa"/>
            </w:tcMar>
            <w:vAlign w:val="center"/>
          </w:tcPr>
          <w:p>
            <w:pPr>
              <w:pStyle w:val="39"/>
              <w:rPr>
                <w:rFonts w:ascii="Times New Roman" w:hAnsi="Times New Roman" w:eastAsia="等线"/>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eastAsia="等线"/>
              </w:rPr>
            </w:pPr>
            <w:r>
              <w:rPr>
                <w:rFonts w:ascii="Times New Roman" w:hAnsi="Times New Roman" w:eastAsia="等线"/>
              </w:rPr>
              <w:t>-</w:t>
            </w:r>
          </w:p>
        </w:tc>
        <w:tc>
          <w:tcPr>
            <w:tcW w:w="829" w:type="pct"/>
            <w:shd w:val="clear" w:color="auto" w:fill="auto"/>
            <w:tcMar>
              <w:left w:w="57" w:type="dxa"/>
              <w:right w:w="57" w:type="dxa"/>
            </w:tcMar>
            <w:vAlign w:val="center"/>
          </w:tcPr>
          <w:p>
            <w:pPr>
              <w:pStyle w:val="39"/>
              <w:rPr>
                <w:rFonts w:ascii="Times New Roman" w:hAnsi="Times New Roman"/>
                <w:kern w:val="0"/>
              </w:rPr>
            </w:pPr>
            <w:r>
              <w:rPr>
                <w:rFonts w:ascii="Times New Roman" w:hAnsi="Times New Roman"/>
              </w:rPr>
              <w:t>0.73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关心点6</w:t>
            </w:r>
          </w:p>
        </w:tc>
        <w:tc>
          <w:tcPr>
            <w:tcW w:w="702" w:type="pct"/>
            <w:shd w:val="clear" w:color="auto" w:fill="auto"/>
            <w:tcMar>
              <w:left w:w="57" w:type="dxa"/>
              <w:right w:w="57" w:type="dxa"/>
            </w:tcMar>
            <w:vAlign w:val="center"/>
          </w:tcPr>
          <w:p>
            <w:pPr>
              <w:pStyle w:val="39"/>
              <w:rPr>
                <w:rFonts w:ascii="Times New Roman" w:hAnsi="Times New Roman" w:eastAsia="等线"/>
              </w:rPr>
            </w:pPr>
            <w:r>
              <w:rPr>
                <w:rFonts w:ascii="Times New Roman" w:hAnsi="Times New Roman" w:eastAsia="等线"/>
              </w:rPr>
              <w:t>51</w:t>
            </w:r>
          </w:p>
        </w:tc>
        <w:tc>
          <w:tcPr>
            <w:tcW w:w="819" w:type="pct"/>
            <w:shd w:val="clear" w:color="auto" w:fill="auto"/>
            <w:tcMar>
              <w:left w:w="57" w:type="dxa"/>
              <w:right w:w="57" w:type="dxa"/>
            </w:tcMar>
            <w:vAlign w:val="center"/>
          </w:tcPr>
          <w:p>
            <w:pPr>
              <w:pStyle w:val="39"/>
              <w:rPr>
                <w:rFonts w:ascii="Times New Roman" w:hAnsi="Times New Roman" w:eastAsia="等线"/>
              </w:rPr>
            </w:pPr>
            <w:r>
              <w:rPr>
                <w:rFonts w:ascii="Times New Roman" w:hAnsi="Times New Roman" w:eastAsia="等线"/>
              </w:rPr>
              <w:t>59</w:t>
            </w:r>
          </w:p>
        </w:tc>
        <w:tc>
          <w:tcPr>
            <w:tcW w:w="829" w:type="pct"/>
            <w:shd w:val="clear" w:color="auto" w:fill="auto"/>
            <w:tcMar>
              <w:left w:w="57" w:type="dxa"/>
              <w:right w:w="57" w:type="dxa"/>
            </w:tcMar>
            <w:vAlign w:val="center"/>
          </w:tcPr>
          <w:p>
            <w:pPr>
              <w:pStyle w:val="39"/>
              <w:rPr>
                <w:rFonts w:ascii="Times New Roman" w:hAnsi="Times New Roman"/>
                <w:kern w:val="0"/>
              </w:rPr>
            </w:pPr>
            <w:r>
              <w:rPr>
                <w:rFonts w:ascii="Times New Roman" w:hAnsi="Times New Roman"/>
              </w:rPr>
              <w:t>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关心点7</w:t>
            </w:r>
          </w:p>
        </w:tc>
        <w:tc>
          <w:tcPr>
            <w:tcW w:w="702" w:type="pct"/>
            <w:shd w:val="clear" w:color="auto" w:fill="auto"/>
            <w:tcMar>
              <w:left w:w="57" w:type="dxa"/>
              <w:right w:w="57" w:type="dxa"/>
            </w:tcMar>
            <w:vAlign w:val="center"/>
          </w:tcPr>
          <w:p>
            <w:pPr>
              <w:pStyle w:val="39"/>
              <w:rPr>
                <w:rFonts w:ascii="Times New Roman" w:hAnsi="Times New Roman" w:eastAsia="等线"/>
              </w:rPr>
            </w:pPr>
            <w:r>
              <w:rPr>
                <w:rFonts w:ascii="Times New Roman" w:hAnsi="Times New Roman" w:eastAsia="等线"/>
              </w:rPr>
              <w:t>30</w:t>
            </w:r>
          </w:p>
        </w:tc>
        <w:tc>
          <w:tcPr>
            <w:tcW w:w="819" w:type="pct"/>
            <w:shd w:val="clear" w:color="auto" w:fill="auto"/>
            <w:tcMar>
              <w:left w:w="57" w:type="dxa"/>
              <w:right w:w="57" w:type="dxa"/>
            </w:tcMar>
            <w:vAlign w:val="center"/>
          </w:tcPr>
          <w:p>
            <w:pPr>
              <w:pStyle w:val="39"/>
              <w:rPr>
                <w:rFonts w:ascii="Times New Roman" w:hAnsi="Times New Roman" w:eastAsia="等线"/>
              </w:rPr>
            </w:pPr>
            <w:r>
              <w:rPr>
                <w:rFonts w:ascii="Times New Roman" w:hAnsi="Times New Roman" w:eastAsia="等线"/>
              </w:rPr>
              <w:t>86</w:t>
            </w:r>
          </w:p>
        </w:tc>
        <w:tc>
          <w:tcPr>
            <w:tcW w:w="829" w:type="pct"/>
            <w:shd w:val="clear" w:color="auto" w:fill="auto"/>
            <w:tcMar>
              <w:left w:w="57" w:type="dxa"/>
              <w:right w:w="57" w:type="dxa"/>
            </w:tcMar>
            <w:vAlign w:val="center"/>
          </w:tcPr>
          <w:p>
            <w:pPr>
              <w:pStyle w:val="39"/>
              <w:rPr>
                <w:rFonts w:ascii="Times New Roman" w:hAnsi="Times New Roman"/>
                <w:kern w:val="0"/>
              </w:rPr>
            </w:pPr>
            <w:r>
              <w:rPr>
                <w:rFonts w:ascii="Times New Roman" w:hAnsi="Times New Roman"/>
                <w:kern w:val="0"/>
              </w:rPr>
              <w:t>128.00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关心点8</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43</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77</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kern w:val="0"/>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关心点9</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37</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84</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kern w:val="0"/>
              </w:rPr>
              <w:t>128.00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关心点10</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kern w:val="0"/>
              </w:rPr>
              <w:t>2.72</w:t>
            </w:r>
          </w:p>
        </w:tc>
      </w:tr>
    </w:tbl>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r>
        <w:rPr>
          <w:rFonts w:ascii="Times New Roman" w:hAnsi="Times New Roman"/>
        </w:rPr>
        <w:t>（3）宣探联络线（宣探清管站-304集气站）</w:t>
      </w:r>
    </w:p>
    <w:p>
      <w:pPr>
        <w:ind w:firstLine="480"/>
        <w:rPr>
          <w:rFonts w:ascii="Times New Roman" w:hAnsi="Times New Roman"/>
        </w:rPr>
      </w:pPr>
      <w:r>
        <w:rPr>
          <w:rFonts w:ascii="Times New Roman" w:hAnsi="Times New Roman"/>
        </w:rPr>
        <w:t>1）预测范围</w:t>
      </w:r>
    </w:p>
    <w:p>
      <w:pPr>
        <w:ind w:right="210" w:firstLine="480"/>
        <w:rPr>
          <w:rFonts w:ascii="Times New Roman" w:hAnsi="Times New Roman"/>
        </w:rPr>
      </w:pPr>
      <w:r>
        <w:rPr>
          <w:rFonts w:ascii="Times New Roman" w:hAnsi="Times New Roman"/>
        </w:rPr>
        <w:t>预测范围考虑以断裂位置为中心各方向外延5km，最终形成10×10km的矩形区域。预测范围及范围内关心点分布情况如</w:t>
      </w:r>
      <w:r>
        <w:rPr>
          <w:rFonts w:ascii="Times New Roman" w:hAnsi="Times New Roman"/>
        </w:rPr>
        <w:fldChar w:fldCharType="begin"/>
      </w:r>
      <w:r>
        <w:rPr>
          <w:rFonts w:ascii="Times New Roman" w:hAnsi="Times New Roman"/>
        </w:rPr>
        <w:instrText xml:space="preserve"> REF _Ref158104963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8</w:t>
      </w:r>
      <w:r>
        <w:rPr>
          <w:rFonts w:ascii="Times New Roman" w:hAnsi="Times New Roman"/>
        </w:rPr>
        <w:fldChar w:fldCharType="end"/>
      </w:r>
      <w:r>
        <w:rPr>
          <w:rFonts w:ascii="Times New Roman" w:hAnsi="Times New Roman"/>
        </w:rPr>
        <w:t>所示。</w:t>
      </w:r>
    </w:p>
    <w:p>
      <w:pPr>
        <w:keepNext/>
        <w:ind w:right="210" w:firstLine="0" w:firstLineChars="0"/>
        <w:jc w:val="center"/>
        <w:rPr>
          <w:rFonts w:ascii="Times New Roman" w:hAnsi="Times New Roman"/>
        </w:rPr>
      </w:pPr>
      <w:r>
        <w:rPr>
          <w:rFonts w:ascii="Times New Roman" w:hAnsi="Times New Roman"/>
          <w14:ligatures w14:val="standardContextual"/>
        </w:rPr>
        <w:drawing>
          <wp:inline distT="0" distB="0" distL="0" distR="0">
            <wp:extent cx="5653405" cy="5653405"/>
            <wp:effectExtent l="0" t="0" r="4445" b="4445"/>
            <wp:docPr id="1063377806"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377806" name="图片 1" descr="地图&#10;&#10;描述已自动生成"/>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653405" cy="5653405"/>
                    </a:xfrm>
                    <a:prstGeom prst="rect">
                      <a:avLst/>
                    </a:prstGeom>
                  </pic:spPr>
                </pic:pic>
              </a:graphicData>
            </a:graphic>
          </wp:inline>
        </w:drawing>
      </w:r>
    </w:p>
    <w:p>
      <w:pPr>
        <w:pStyle w:val="37"/>
        <w:rPr>
          <w:rFonts w:ascii="Times New Roman" w:hAnsi="Times New Roman" w:cs="Times New Roman"/>
        </w:rPr>
      </w:pPr>
      <w:bookmarkStart w:id="309" w:name="_Ref158104963"/>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bookmarkEnd w:id="309"/>
      <w:r>
        <w:rPr>
          <w:rFonts w:ascii="Times New Roman" w:hAnsi="Times New Roman" w:cs="Times New Roman"/>
        </w:rPr>
        <w:t xml:space="preserve">   宣探清管站-304集气站段管道断裂大气环境风险预测范围及关心点分布</w:t>
      </w:r>
    </w:p>
    <w:p>
      <w:pPr>
        <w:ind w:firstLine="480"/>
        <w:rPr>
          <w:rFonts w:ascii="Times New Roman" w:hAnsi="Times New Roman"/>
        </w:rPr>
      </w:pPr>
    </w:p>
    <w:p>
      <w:pPr>
        <w:ind w:firstLine="480"/>
        <w:rPr>
          <w:rFonts w:ascii="Times New Roman" w:hAnsi="Times New Roman"/>
        </w:rPr>
      </w:pPr>
      <w:r>
        <w:rPr>
          <w:rFonts w:ascii="Times New Roman" w:hAnsi="Times New Roman"/>
        </w:rPr>
        <w:t>2）预测关心点</w:t>
      </w:r>
    </w:p>
    <w:p>
      <w:pPr>
        <w:ind w:firstLine="480"/>
        <w:rPr>
          <w:rFonts w:ascii="Times New Roman" w:hAnsi="Times New Roman"/>
        </w:rPr>
      </w:pPr>
      <w:r>
        <w:rPr>
          <w:rFonts w:ascii="Times New Roman" w:hAnsi="Times New Roman"/>
        </w:rPr>
        <w:t>宣探清管站-304集气站段管道泄漏的位置以及选取的预测关心点见</w:t>
      </w:r>
      <w:r>
        <w:rPr>
          <w:rFonts w:ascii="Times New Roman" w:hAnsi="Times New Roman"/>
        </w:rPr>
        <w:fldChar w:fldCharType="begin"/>
      </w:r>
      <w:r>
        <w:rPr>
          <w:rFonts w:ascii="Times New Roman" w:hAnsi="Times New Roman"/>
        </w:rPr>
        <w:instrText xml:space="preserve"> REF _Ref158105088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43</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310" w:name="_Ref158105088"/>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43</w:t>
      </w:r>
      <w:r>
        <w:rPr>
          <w:rFonts w:ascii="Times New Roman" w:hAnsi="Times New Roman" w:cs="Times New Roman"/>
        </w:rPr>
        <w:fldChar w:fldCharType="end"/>
      </w:r>
      <w:bookmarkEnd w:id="310"/>
      <w:r>
        <w:rPr>
          <w:rFonts w:ascii="Times New Roman" w:hAnsi="Times New Roman" w:cs="Times New Roman"/>
        </w:rPr>
        <w:t xml:space="preserve">   宣探清管站-304集气站段管道关心点位置</w:t>
      </w:r>
    </w:p>
    <w:tbl>
      <w:tblPr>
        <w:tblStyle w:val="28"/>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60"/>
        <w:gridCol w:w="2008"/>
        <w:gridCol w:w="1233"/>
        <w:gridCol w:w="1296"/>
        <w:gridCol w:w="1785"/>
        <w:gridCol w:w="2337"/>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序号</w:t>
            </w:r>
          </w:p>
        </w:tc>
        <w:tc>
          <w:tcPr>
            <w:tcW w:w="2045" w:type="dxa"/>
            <w:vAlign w:val="center"/>
          </w:tcPr>
          <w:p>
            <w:pPr>
              <w:pStyle w:val="39"/>
              <w:rPr>
                <w:rFonts w:ascii="Times New Roman" w:hAnsi="Times New Roman"/>
              </w:rPr>
            </w:pPr>
            <w:r>
              <w:rPr>
                <w:rFonts w:ascii="Times New Roman" w:hAnsi="Times New Roman"/>
              </w:rPr>
              <w:t>泄漏点/关心点</w:t>
            </w:r>
          </w:p>
        </w:tc>
        <w:tc>
          <w:tcPr>
            <w:tcW w:w="1254" w:type="dxa"/>
            <w:vAlign w:val="center"/>
          </w:tcPr>
          <w:p>
            <w:pPr>
              <w:pStyle w:val="39"/>
              <w:rPr>
                <w:rFonts w:ascii="Times New Roman" w:hAnsi="Times New Roman"/>
              </w:rPr>
            </w:pPr>
            <w:r>
              <w:rPr>
                <w:rFonts w:ascii="Times New Roman" w:hAnsi="Times New Roman"/>
              </w:rPr>
              <w:t>相对泄漏点的方位</w:t>
            </w:r>
          </w:p>
        </w:tc>
        <w:tc>
          <w:tcPr>
            <w:tcW w:w="1318" w:type="dxa"/>
            <w:vAlign w:val="center"/>
          </w:tcPr>
          <w:p>
            <w:pPr>
              <w:pStyle w:val="39"/>
              <w:rPr>
                <w:rFonts w:ascii="Times New Roman" w:hAnsi="Times New Roman"/>
              </w:rPr>
            </w:pPr>
            <w:r>
              <w:rPr>
                <w:rFonts w:ascii="Times New Roman" w:hAnsi="Times New Roman"/>
              </w:rPr>
              <w:t>相对泄漏点的距离/m</w:t>
            </w:r>
          </w:p>
        </w:tc>
        <w:tc>
          <w:tcPr>
            <w:tcW w:w="1817" w:type="dxa"/>
            <w:vAlign w:val="center"/>
          </w:tcPr>
          <w:p>
            <w:pPr>
              <w:pStyle w:val="39"/>
              <w:rPr>
                <w:rFonts w:ascii="Times New Roman" w:hAnsi="Times New Roman"/>
              </w:rPr>
            </w:pPr>
            <w:r>
              <w:rPr>
                <w:rFonts w:ascii="Times New Roman" w:hAnsi="Times New Roman"/>
              </w:rPr>
              <w:t>坐标</w:t>
            </w:r>
          </w:p>
        </w:tc>
        <w:tc>
          <w:tcPr>
            <w:tcW w:w="2381" w:type="dxa"/>
            <w:vAlign w:val="center"/>
          </w:tcPr>
          <w:p>
            <w:pPr>
              <w:pStyle w:val="39"/>
              <w:rPr>
                <w:rFonts w:ascii="Times New Roman" w:hAnsi="Times New Roman"/>
              </w:rPr>
            </w:pPr>
            <w:r>
              <w:rPr>
                <w:rFonts w:ascii="Times New Roman" w:hAnsi="Times New Roman"/>
              </w:rPr>
              <w:t>选择原因</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0</w:t>
            </w:r>
          </w:p>
        </w:tc>
        <w:tc>
          <w:tcPr>
            <w:tcW w:w="2045" w:type="dxa"/>
            <w:vAlign w:val="center"/>
          </w:tcPr>
          <w:p>
            <w:pPr>
              <w:pStyle w:val="39"/>
              <w:rPr>
                <w:rFonts w:ascii="Times New Roman" w:hAnsi="Times New Roman"/>
              </w:rPr>
            </w:pPr>
            <w:r>
              <w:rPr>
                <w:rFonts w:ascii="Times New Roman" w:hAnsi="Times New Roman"/>
              </w:rPr>
              <w:t>宣探清管站-304集气站管线泄漏点</w:t>
            </w:r>
          </w:p>
        </w:tc>
        <w:tc>
          <w:tcPr>
            <w:tcW w:w="1254" w:type="dxa"/>
            <w:vAlign w:val="center"/>
          </w:tcPr>
          <w:p>
            <w:pPr>
              <w:pStyle w:val="39"/>
              <w:rPr>
                <w:rFonts w:ascii="Times New Roman" w:hAnsi="Times New Roman"/>
              </w:rPr>
            </w:pPr>
            <w:r>
              <w:rPr>
                <w:rFonts w:ascii="Times New Roman" w:hAnsi="Times New Roman"/>
              </w:rPr>
              <w:t>/</w:t>
            </w:r>
          </w:p>
        </w:tc>
        <w:tc>
          <w:tcPr>
            <w:tcW w:w="1318" w:type="dxa"/>
            <w:vAlign w:val="center"/>
          </w:tcPr>
          <w:p>
            <w:pPr>
              <w:pStyle w:val="39"/>
              <w:rPr>
                <w:rFonts w:ascii="Times New Roman" w:hAnsi="Times New Roman"/>
              </w:rPr>
            </w:pPr>
            <w:r>
              <w:rPr>
                <w:rFonts w:ascii="Times New Roman" w:hAnsi="Times New Roman"/>
              </w:rPr>
              <w:t>/</w:t>
            </w:r>
          </w:p>
        </w:tc>
        <w:tc>
          <w:tcPr>
            <w:tcW w:w="1817" w:type="dxa"/>
            <w:vAlign w:val="center"/>
          </w:tcPr>
          <w:p>
            <w:pPr>
              <w:pStyle w:val="39"/>
              <w:rPr>
                <w:rFonts w:ascii="Times New Roman" w:hAnsi="Times New Roman"/>
              </w:rPr>
            </w:pPr>
            <w:r>
              <w:rPr>
                <w:rFonts w:ascii="Times New Roman" w:hAnsi="Times New Roman"/>
              </w:rPr>
              <w:t>E 107.79174208</w:t>
            </w:r>
          </w:p>
          <w:p>
            <w:pPr>
              <w:pStyle w:val="39"/>
              <w:rPr>
                <w:rFonts w:ascii="Times New Roman" w:hAnsi="Times New Roman"/>
              </w:rPr>
            </w:pPr>
            <w:r>
              <w:rPr>
                <w:rFonts w:ascii="Times New Roman" w:hAnsi="Times New Roman"/>
              </w:rPr>
              <w:t>N 31.50223248</w:t>
            </w:r>
          </w:p>
        </w:tc>
        <w:tc>
          <w:tcPr>
            <w:tcW w:w="2381" w:type="dxa"/>
            <w:vAlign w:val="center"/>
          </w:tcPr>
          <w:p>
            <w:pPr>
              <w:pStyle w:val="39"/>
              <w:rPr>
                <w:rFonts w:ascii="Times New Roman" w:hAnsi="Times New Roman"/>
              </w:rPr>
            </w:pPr>
            <w:r>
              <w:rPr>
                <w:rFonts w:ascii="Times New Roman" w:hAnsi="Times New Roman"/>
              </w:rPr>
              <w:t>关键生产场所</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1</w:t>
            </w:r>
          </w:p>
        </w:tc>
        <w:tc>
          <w:tcPr>
            <w:tcW w:w="2045" w:type="dxa"/>
            <w:vAlign w:val="center"/>
          </w:tcPr>
          <w:p>
            <w:pPr>
              <w:pStyle w:val="39"/>
              <w:rPr>
                <w:rFonts w:ascii="Times New Roman" w:hAnsi="Times New Roman"/>
              </w:rPr>
            </w:pPr>
            <w:r>
              <w:rPr>
                <w:rFonts w:ascii="Times New Roman" w:hAnsi="Times New Roman"/>
              </w:rPr>
              <w:t>宣探清管站-304集气站管线-关心点1</w:t>
            </w:r>
          </w:p>
        </w:tc>
        <w:tc>
          <w:tcPr>
            <w:tcW w:w="1254" w:type="dxa"/>
            <w:vAlign w:val="center"/>
          </w:tcPr>
          <w:p>
            <w:pPr>
              <w:pStyle w:val="39"/>
              <w:rPr>
                <w:rFonts w:ascii="Times New Roman" w:hAnsi="Times New Roman"/>
              </w:rPr>
            </w:pPr>
            <w:r>
              <w:rPr>
                <w:rFonts w:ascii="Times New Roman" w:hAnsi="Times New Roman"/>
              </w:rPr>
              <w:t>W</w:t>
            </w:r>
          </w:p>
        </w:tc>
        <w:tc>
          <w:tcPr>
            <w:tcW w:w="1318" w:type="dxa"/>
            <w:vAlign w:val="center"/>
          </w:tcPr>
          <w:p>
            <w:pPr>
              <w:pStyle w:val="39"/>
              <w:rPr>
                <w:rFonts w:ascii="Times New Roman" w:hAnsi="Times New Roman"/>
              </w:rPr>
            </w:pPr>
            <w:r>
              <w:rPr>
                <w:rFonts w:ascii="Times New Roman" w:hAnsi="Times New Roman"/>
              </w:rPr>
              <w:t>115</w:t>
            </w:r>
          </w:p>
        </w:tc>
        <w:tc>
          <w:tcPr>
            <w:tcW w:w="1817" w:type="dxa"/>
            <w:vAlign w:val="center"/>
          </w:tcPr>
          <w:p>
            <w:pPr>
              <w:pStyle w:val="39"/>
              <w:rPr>
                <w:rFonts w:ascii="Times New Roman" w:hAnsi="Times New Roman"/>
              </w:rPr>
            </w:pPr>
            <w:r>
              <w:rPr>
                <w:rFonts w:ascii="Times New Roman" w:hAnsi="Times New Roman"/>
              </w:rPr>
              <w:t>E 107.79050597</w:t>
            </w:r>
          </w:p>
          <w:p>
            <w:pPr>
              <w:pStyle w:val="39"/>
              <w:rPr>
                <w:rFonts w:ascii="Times New Roman" w:hAnsi="Times New Roman"/>
              </w:rPr>
            </w:pPr>
            <w:r>
              <w:rPr>
                <w:rFonts w:ascii="Times New Roman" w:hAnsi="Times New Roman"/>
              </w:rPr>
              <w:t>N 31.50253032</w:t>
            </w:r>
          </w:p>
        </w:tc>
        <w:tc>
          <w:tcPr>
            <w:tcW w:w="2381" w:type="dxa"/>
            <w:vAlign w:val="center"/>
          </w:tcPr>
          <w:p>
            <w:pPr>
              <w:pStyle w:val="39"/>
              <w:rPr>
                <w:rFonts w:ascii="Times New Roman" w:hAnsi="Times New Roman"/>
              </w:rPr>
            </w:pPr>
            <w:r>
              <w:rPr>
                <w:rFonts w:ascii="Times New Roman" w:hAnsi="Times New Roman"/>
              </w:rPr>
              <w:t>泄漏点距离最近、居民较多</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2</w:t>
            </w:r>
          </w:p>
        </w:tc>
        <w:tc>
          <w:tcPr>
            <w:tcW w:w="2045" w:type="dxa"/>
            <w:vAlign w:val="center"/>
          </w:tcPr>
          <w:p>
            <w:pPr>
              <w:pStyle w:val="39"/>
              <w:rPr>
                <w:rFonts w:ascii="Times New Roman" w:hAnsi="Times New Roman"/>
              </w:rPr>
            </w:pPr>
            <w:r>
              <w:rPr>
                <w:rFonts w:ascii="Times New Roman" w:hAnsi="Times New Roman"/>
              </w:rPr>
              <w:t>宣探清管站-304集气站管线-关心点2</w:t>
            </w:r>
          </w:p>
        </w:tc>
        <w:tc>
          <w:tcPr>
            <w:tcW w:w="1254" w:type="dxa"/>
            <w:vAlign w:val="center"/>
          </w:tcPr>
          <w:p>
            <w:pPr>
              <w:pStyle w:val="39"/>
              <w:rPr>
                <w:rFonts w:ascii="Times New Roman" w:hAnsi="Times New Roman"/>
              </w:rPr>
            </w:pPr>
            <w:r>
              <w:rPr>
                <w:rFonts w:ascii="Times New Roman" w:hAnsi="Times New Roman"/>
              </w:rPr>
              <w:t>SW</w:t>
            </w:r>
          </w:p>
        </w:tc>
        <w:tc>
          <w:tcPr>
            <w:tcW w:w="1318" w:type="dxa"/>
            <w:vAlign w:val="center"/>
          </w:tcPr>
          <w:p>
            <w:pPr>
              <w:pStyle w:val="39"/>
              <w:rPr>
                <w:rFonts w:ascii="Times New Roman" w:hAnsi="Times New Roman"/>
              </w:rPr>
            </w:pPr>
            <w:r>
              <w:rPr>
                <w:rFonts w:ascii="Times New Roman" w:hAnsi="Times New Roman"/>
              </w:rPr>
              <w:t>458</w:t>
            </w:r>
          </w:p>
        </w:tc>
        <w:tc>
          <w:tcPr>
            <w:tcW w:w="1817" w:type="dxa"/>
            <w:vAlign w:val="center"/>
          </w:tcPr>
          <w:p>
            <w:pPr>
              <w:pStyle w:val="39"/>
              <w:rPr>
                <w:rFonts w:ascii="Times New Roman" w:hAnsi="Times New Roman"/>
              </w:rPr>
            </w:pPr>
            <w:r>
              <w:rPr>
                <w:rFonts w:ascii="Times New Roman" w:hAnsi="Times New Roman"/>
              </w:rPr>
              <w:t>E 107.78730329</w:t>
            </w:r>
          </w:p>
          <w:p>
            <w:pPr>
              <w:pStyle w:val="39"/>
              <w:rPr>
                <w:rFonts w:ascii="Times New Roman" w:hAnsi="Times New Roman"/>
              </w:rPr>
            </w:pPr>
            <w:r>
              <w:rPr>
                <w:rFonts w:ascii="Times New Roman" w:hAnsi="Times New Roman"/>
              </w:rPr>
              <w:t>N 31.50045896</w:t>
            </w:r>
          </w:p>
        </w:tc>
        <w:tc>
          <w:tcPr>
            <w:tcW w:w="2381" w:type="dxa"/>
            <w:vAlign w:val="center"/>
          </w:tcPr>
          <w:p>
            <w:pPr>
              <w:pStyle w:val="39"/>
              <w:rPr>
                <w:rFonts w:ascii="Times New Roman" w:hAnsi="Times New Roman"/>
              </w:rPr>
            </w:pPr>
            <w:r>
              <w:rPr>
                <w:rFonts w:ascii="Times New Roman" w:hAnsi="Times New Roman"/>
              </w:rPr>
              <w:t>泄漏点SW方向上距离最近的分散居民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5" w:type="dxa"/>
            <w:vAlign w:val="center"/>
          </w:tcPr>
          <w:p>
            <w:pPr>
              <w:pStyle w:val="39"/>
              <w:rPr>
                <w:rFonts w:ascii="Times New Roman" w:hAnsi="Times New Roman"/>
              </w:rPr>
            </w:pPr>
            <w:r>
              <w:rPr>
                <w:rFonts w:ascii="Times New Roman" w:hAnsi="Times New Roman"/>
              </w:rPr>
              <w:t>3</w:t>
            </w:r>
          </w:p>
        </w:tc>
        <w:tc>
          <w:tcPr>
            <w:tcW w:w="2045" w:type="dxa"/>
            <w:vAlign w:val="center"/>
          </w:tcPr>
          <w:p>
            <w:pPr>
              <w:pStyle w:val="39"/>
              <w:rPr>
                <w:rFonts w:ascii="Times New Roman" w:hAnsi="Times New Roman"/>
              </w:rPr>
            </w:pPr>
            <w:r>
              <w:rPr>
                <w:rFonts w:ascii="Times New Roman" w:hAnsi="Times New Roman"/>
              </w:rPr>
              <w:t>宣探清管站-304集气站管线-关心点3</w:t>
            </w:r>
          </w:p>
        </w:tc>
        <w:tc>
          <w:tcPr>
            <w:tcW w:w="1254" w:type="dxa"/>
            <w:vAlign w:val="center"/>
          </w:tcPr>
          <w:p>
            <w:pPr>
              <w:pStyle w:val="39"/>
              <w:rPr>
                <w:rFonts w:ascii="Times New Roman" w:hAnsi="Times New Roman"/>
              </w:rPr>
            </w:pPr>
            <w:r>
              <w:rPr>
                <w:rFonts w:ascii="Times New Roman" w:hAnsi="Times New Roman"/>
              </w:rPr>
              <w:t>NE</w:t>
            </w:r>
          </w:p>
        </w:tc>
        <w:tc>
          <w:tcPr>
            <w:tcW w:w="1318" w:type="dxa"/>
            <w:vAlign w:val="center"/>
          </w:tcPr>
          <w:p>
            <w:pPr>
              <w:pStyle w:val="39"/>
              <w:rPr>
                <w:rFonts w:ascii="Times New Roman" w:hAnsi="Times New Roman"/>
              </w:rPr>
            </w:pPr>
            <w:r>
              <w:rPr>
                <w:rFonts w:ascii="Times New Roman" w:hAnsi="Times New Roman"/>
              </w:rPr>
              <w:t>491</w:t>
            </w:r>
          </w:p>
        </w:tc>
        <w:tc>
          <w:tcPr>
            <w:tcW w:w="1817" w:type="dxa"/>
            <w:vAlign w:val="center"/>
          </w:tcPr>
          <w:p>
            <w:pPr>
              <w:pStyle w:val="39"/>
              <w:rPr>
                <w:rFonts w:ascii="Times New Roman" w:hAnsi="Times New Roman"/>
              </w:rPr>
            </w:pPr>
            <w:r>
              <w:rPr>
                <w:rFonts w:ascii="Times New Roman" w:hAnsi="Times New Roman"/>
              </w:rPr>
              <w:t>E 107.79444522</w:t>
            </w:r>
          </w:p>
          <w:p>
            <w:pPr>
              <w:pStyle w:val="39"/>
              <w:rPr>
                <w:rFonts w:ascii="Times New Roman" w:hAnsi="Times New Roman"/>
              </w:rPr>
            </w:pPr>
            <w:r>
              <w:rPr>
                <w:rFonts w:ascii="Times New Roman" w:hAnsi="Times New Roman"/>
              </w:rPr>
              <w:t>N 31.50608926</w:t>
            </w:r>
          </w:p>
        </w:tc>
        <w:tc>
          <w:tcPr>
            <w:tcW w:w="2381" w:type="dxa"/>
            <w:shd w:val="clear" w:color="auto" w:fill="auto"/>
            <w:vAlign w:val="center"/>
          </w:tcPr>
          <w:p>
            <w:pPr>
              <w:pStyle w:val="39"/>
              <w:rPr>
                <w:rFonts w:ascii="Times New Roman" w:hAnsi="Times New Roman"/>
              </w:rPr>
            </w:pPr>
            <w:r>
              <w:rPr>
                <w:rFonts w:ascii="Times New Roman" w:hAnsi="Times New Roman"/>
              </w:rPr>
              <w:t>泄漏点NE方向上距离最近的分散居民</w:t>
            </w:r>
          </w:p>
        </w:tc>
      </w:tr>
    </w:tbl>
    <w:p>
      <w:pPr>
        <w:ind w:firstLine="480"/>
        <w:rPr>
          <w:rFonts w:ascii="Times New Roman" w:hAnsi="Times New Roman"/>
        </w:rPr>
      </w:pPr>
    </w:p>
    <w:p>
      <w:pPr>
        <w:ind w:firstLine="480"/>
        <w:rPr>
          <w:rFonts w:ascii="Times New Roman" w:hAnsi="Times New Roman"/>
        </w:rPr>
      </w:pPr>
      <w:r>
        <w:rPr>
          <w:rFonts w:ascii="Times New Roman" w:hAnsi="Times New Roman"/>
        </w:rPr>
        <w:t>3）预测结果</w:t>
      </w:r>
    </w:p>
    <w:p>
      <w:pPr>
        <w:ind w:firstLine="480"/>
        <w:rPr>
          <w:rFonts w:ascii="Times New Roman" w:hAnsi="Times New Roman"/>
        </w:rPr>
      </w:pPr>
      <w:r>
        <w:rPr>
          <w:rFonts w:ascii="Times New Roman" w:hAnsi="Times New Roman"/>
        </w:rPr>
        <w:t>宣探清管站-304集气站段管道泄漏时，根据模拟预测，不同风向下，H</w:t>
      </w:r>
      <w:r>
        <w:rPr>
          <w:rFonts w:ascii="Times New Roman" w:hAnsi="Times New Roman"/>
          <w:vertAlign w:val="subscript"/>
        </w:rPr>
        <w:t>2</w:t>
      </w:r>
      <w:r>
        <w:rPr>
          <w:rFonts w:ascii="Times New Roman" w:hAnsi="Times New Roman"/>
        </w:rPr>
        <w:t>S毒性终点浓度1、毒性终点浓度2最大影响范围情况及相应到达时间如</w:t>
      </w:r>
      <w:r>
        <w:rPr>
          <w:rFonts w:ascii="Times New Roman" w:hAnsi="Times New Roman"/>
        </w:rPr>
        <w:fldChar w:fldCharType="begin"/>
      </w:r>
      <w:r>
        <w:rPr>
          <w:rFonts w:ascii="Times New Roman" w:hAnsi="Times New Roman"/>
        </w:rPr>
        <w:instrText xml:space="preserve"> REF _Ref158105481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44</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_Ref158105485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45</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_Ref158105501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9</w:t>
      </w:r>
      <w:r>
        <w:rPr>
          <w:rFonts w:ascii="Times New Roman" w:hAnsi="Times New Roman"/>
        </w:rPr>
        <w:fldChar w:fldCharType="end"/>
      </w:r>
      <w:r>
        <w:rPr>
          <w:rFonts w:ascii="Times New Roman" w:hAnsi="Times New Roman"/>
        </w:rPr>
        <w:t>所示。</w:t>
      </w:r>
    </w:p>
    <w:p>
      <w:pPr>
        <w:ind w:firstLine="480"/>
        <w:rPr>
          <w:rFonts w:ascii="Times New Roman" w:hAnsi="Times New Roman"/>
        </w:rPr>
      </w:pPr>
      <w:r>
        <w:rPr>
          <w:rFonts w:ascii="Times New Roman" w:hAnsi="Times New Roman"/>
        </w:rPr>
        <w:t>由表可知，在最不利气象条件下，各风向下均没有出现H</w:t>
      </w:r>
      <w:r>
        <w:rPr>
          <w:rFonts w:ascii="Times New Roman" w:hAnsi="Times New Roman"/>
          <w:vertAlign w:val="subscript"/>
        </w:rPr>
        <w:t>2</w:t>
      </w:r>
      <w:r>
        <w:rPr>
          <w:rFonts w:ascii="Times New Roman" w:hAnsi="Times New Roman"/>
        </w:rPr>
        <w:t>S毒性终点浓度1影响范围，亦没有出现H</w:t>
      </w:r>
      <w:r>
        <w:rPr>
          <w:rFonts w:ascii="Times New Roman" w:hAnsi="Times New Roman"/>
          <w:vertAlign w:val="subscript"/>
        </w:rPr>
        <w:t>2</w:t>
      </w:r>
      <w:r>
        <w:rPr>
          <w:rFonts w:ascii="Times New Roman" w:hAnsi="Times New Roman"/>
        </w:rPr>
        <w:t>S毒性终点浓度2影响范围，具体汇总结果见</w:t>
      </w:r>
      <w:r>
        <w:rPr>
          <w:rFonts w:ascii="Times New Roman" w:hAnsi="Times New Roman"/>
        </w:rPr>
        <w:fldChar w:fldCharType="begin"/>
      </w:r>
      <w:r>
        <w:rPr>
          <w:rFonts w:ascii="Times New Roman" w:hAnsi="Times New Roman"/>
        </w:rPr>
        <w:instrText xml:space="preserve"> REF _Ref158105590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46</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各风向均未出现毒性终点浓度，以东北风向为例（该风向下的关心点浓度最大），该风向下，对应H</w:t>
      </w:r>
      <w:r>
        <w:rPr>
          <w:rFonts w:ascii="Times New Roman" w:hAnsi="Times New Roman"/>
          <w:vertAlign w:val="subscript"/>
        </w:rPr>
        <w:t>2</w:t>
      </w:r>
      <w:r>
        <w:rPr>
          <w:rFonts w:ascii="Times New Roman" w:hAnsi="Times New Roman"/>
        </w:rPr>
        <w:t>S不同时刻最大浓度分布情况见</w:t>
      </w:r>
      <w:r>
        <w:rPr>
          <w:rFonts w:ascii="Times New Roman" w:hAnsi="Times New Roman"/>
        </w:rPr>
        <w:fldChar w:fldCharType="begin"/>
      </w:r>
      <w:r>
        <w:rPr>
          <w:rFonts w:ascii="Times New Roman" w:hAnsi="Times New Roman"/>
        </w:rPr>
        <w:instrText xml:space="preserve"> REF _Ref158106226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47</w:t>
      </w:r>
      <w:r>
        <w:rPr>
          <w:rFonts w:ascii="Times New Roman" w:hAnsi="Times New Roman"/>
        </w:rPr>
        <w:fldChar w:fldCharType="end"/>
      </w:r>
      <w:r>
        <w:rPr>
          <w:rFonts w:ascii="Times New Roman" w:hAnsi="Times New Roman"/>
        </w:rPr>
        <w:t>，H</w:t>
      </w:r>
      <w:r>
        <w:rPr>
          <w:rFonts w:ascii="Times New Roman" w:hAnsi="Times New Roman"/>
          <w:vertAlign w:val="subscript"/>
        </w:rPr>
        <w:t>2</w:t>
      </w:r>
      <w:r>
        <w:rPr>
          <w:rFonts w:ascii="Times New Roman" w:hAnsi="Times New Roman"/>
        </w:rPr>
        <w:t>S不同距离下最大浓度分布情况见</w:t>
      </w:r>
      <w:r>
        <w:rPr>
          <w:rFonts w:ascii="Times New Roman" w:hAnsi="Times New Roman"/>
        </w:rPr>
        <w:fldChar w:fldCharType="begin"/>
      </w:r>
      <w:r>
        <w:rPr>
          <w:rFonts w:ascii="Times New Roman" w:hAnsi="Times New Roman"/>
        </w:rPr>
        <w:instrText xml:space="preserve"> REF _Ref158106236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48</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风险源周边关心点中，以H</w:t>
      </w:r>
      <w:r>
        <w:rPr>
          <w:rFonts w:ascii="Times New Roman" w:hAnsi="Times New Roman"/>
          <w:vertAlign w:val="subscript"/>
        </w:rPr>
        <w:t>2</w:t>
      </w:r>
      <w:r>
        <w:rPr>
          <w:rFonts w:ascii="Times New Roman" w:hAnsi="Times New Roman"/>
        </w:rPr>
        <w:t>S毒性终点浓度2作为超标参考依据，各关心点均未超标，具体见</w:t>
      </w:r>
      <w:r>
        <w:rPr>
          <w:rFonts w:ascii="Times New Roman" w:hAnsi="Times New Roman"/>
        </w:rPr>
        <w:fldChar w:fldCharType="begin"/>
      </w:r>
      <w:r>
        <w:rPr>
          <w:rFonts w:ascii="Times New Roman" w:hAnsi="Times New Roman"/>
        </w:rPr>
        <w:instrText xml:space="preserve"> REF _Ref158106470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49</w:t>
      </w:r>
      <w:r>
        <w:rPr>
          <w:rFonts w:ascii="Times New Roman" w:hAnsi="Times New Roman"/>
        </w:rPr>
        <w:fldChar w:fldCharType="end"/>
      </w:r>
      <w:r>
        <w:rPr>
          <w:rFonts w:ascii="Times New Roman" w:hAnsi="Times New Roman"/>
        </w:rPr>
        <w:t>，主要受影响关心点处的浓度随时间变化情况如</w:t>
      </w:r>
      <w:r>
        <w:rPr>
          <w:rFonts w:ascii="Times New Roman" w:hAnsi="Times New Roman"/>
        </w:rPr>
        <w:fldChar w:fldCharType="begin"/>
      </w:r>
      <w:r>
        <w:rPr>
          <w:rFonts w:ascii="Times New Roman" w:hAnsi="Times New Roman"/>
        </w:rPr>
        <w:instrText xml:space="preserve"> REF _Ref158106488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10</w:t>
      </w:r>
      <w:r>
        <w:rPr>
          <w:rFonts w:ascii="Times New Roman" w:hAnsi="Times New Roman"/>
        </w:rPr>
        <w:fldChar w:fldCharType="end"/>
      </w:r>
      <w:r>
        <w:rPr>
          <w:rFonts w:ascii="Times New Roman" w:hAnsi="Times New Roman"/>
        </w:rPr>
        <w:t>所示。</w:t>
      </w:r>
    </w:p>
    <w:p>
      <w:pPr>
        <w:pStyle w:val="37"/>
        <w:rPr>
          <w:rFonts w:ascii="Times New Roman" w:hAnsi="Times New Roman" w:cs="Times New Roman"/>
        </w:rPr>
      </w:pPr>
      <w:bookmarkStart w:id="311" w:name="_Ref15810548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44</w:t>
      </w:r>
      <w:r>
        <w:rPr>
          <w:rFonts w:ascii="Times New Roman" w:hAnsi="Times New Roman" w:cs="Times New Roman"/>
        </w:rPr>
        <w:fldChar w:fldCharType="end"/>
      </w:r>
      <w:bookmarkEnd w:id="311"/>
      <w:r>
        <w:rPr>
          <w:rFonts w:ascii="Times New Roman" w:hAnsi="Times New Roman" w:cs="Times New Roman"/>
        </w:rPr>
        <w:t xml:space="preserve">   各风向下H</w:t>
      </w:r>
      <w:r>
        <w:rPr>
          <w:rFonts w:ascii="Times New Roman" w:hAnsi="Times New Roman" w:cs="Times New Roman"/>
          <w:vertAlign w:val="subscript"/>
        </w:rPr>
        <w:t>2</w:t>
      </w:r>
      <w:r>
        <w:rPr>
          <w:rFonts w:ascii="Times New Roman" w:hAnsi="Times New Roman" w:cs="Times New Roman"/>
        </w:rPr>
        <w:t>S毒性终点浓度1最大影响距离</w:t>
      </w:r>
    </w:p>
    <w:tbl>
      <w:tblPr>
        <w:tblStyle w:val="28"/>
        <w:tblW w:w="5123" w:type="pct"/>
        <w:jc w:val="center"/>
        <w:tblLayout w:type="autofit"/>
        <w:tblCellMar>
          <w:top w:w="0" w:type="dxa"/>
          <w:left w:w="108" w:type="dxa"/>
          <w:bottom w:w="0" w:type="dxa"/>
          <w:right w:w="108" w:type="dxa"/>
        </w:tblCellMar>
      </w:tblPr>
      <w:tblGrid>
        <w:gridCol w:w="931"/>
        <w:gridCol w:w="2108"/>
        <w:gridCol w:w="1787"/>
        <w:gridCol w:w="778"/>
        <w:gridCol w:w="1995"/>
        <w:gridCol w:w="1744"/>
      </w:tblGrid>
      <w:tr>
        <w:tblPrEx>
          <w:tblCellMar>
            <w:top w:w="0" w:type="dxa"/>
            <w:left w:w="108" w:type="dxa"/>
            <w:bottom w:w="0" w:type="dxa"/>
            <w:right w:w="108" w:type="dxa"/>
          </w:tblCellMar>
        </w:tblPrEx>
        <w:trPr>
          <w:trHeight w:val="20" w:hRule="atLeast"/>
          <w:jc w:val="center"/>
        </w:trPr>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210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87"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c>
          <w:tcPr>
            <w:tcW w:w="77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1995"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44"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bl>
    <w:p>
      <w:pPr>
        <w:pStyle w:val="37"/>
        <w:rPr>
          <w:rFonts w:ascii="Times New Roman" w:hAnsi="Times New Roman" w:cs="Times New Roman"/>
        </w:rPr>
      </w:pPr>
      <w:bookmarkStart w:id="312" w:name="_Ref158105485"/>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45</w:t>
      </w:r>
      <w:r>
        <w:rPr>
          <w:rFonts w:ascii="Times New Roman" w:hAnsi="Times New Roman" w:cs="Times New Roman"/>
        </w:rPr>
        <w:fldChar w:fldCharType="end"/>
      </w:r>
      <w:bookmarkEnd w:id="312"/>
      <w:r>
        <w:rPr>
          <w:rFonts w:ascii="Times New Roman" w:hAnsi="Times New Roman" w:cs="Times New Roman"/>
        </w:rPr>
        <w:t xml:space="preserve">   各风向下H</w:t>
      </w:r>
      <w:r>
        <w:rPr>
          <w:rFonts w:ascii="Times New Roman" w:hAnsi="Times New Roman" w:cs="Times New Roman"/>
          <w:vertAlign w:val="subscript"/>
        </w:rPr>
        <w:t>2</w:t>
      </w:r>
      <w:r>
        <w:rPr>
          <w:rFonts w:ascii="Times New Roman" w:hAnsi="Times New Roman" w:cs="Times New Roman"/>
        </w:rPr>
        <w:t>S毒性终点浓度2最大影响距离</w:t>
      </w:r>
    </w:p>
    <w:tbl>
      <w:tblPr>
        <w:tblStyle w:val="28"/>
        <w:tblW w:w="5123" w:type="pct"/>
        <w:jc w:val="center"/>
        <w:tblLayout w:type="autofit"/>
        <w:tblCellMar>
          <w:top w:w="0" w:type="dxa"/>
          <w:left w:w="108" w:type="dxa"/>
          <w:bottom w:w="0" w:type="dxa"/>
          <w:right w:w="108" w:type="dxa"/>
        </w:tblCellMar>
      </w:tblPr>
      <w:tblGrid>
        <w:gridCol w:w="931"/>
        <w:gridCol w:w="2108"/>
        <w:gridCol w:w="1787"/>
        <w:gridCol w:w="778"/>
        <w:gridCol w:w="1995"/>
        <w:gridCol w:w="1744"/>
      </w:tblGrid>
      <w:tr>
        <w:tblPrEx>
          <w:tblCellMar>
            <w:top w:w="0" w:type="dxa"/>
            <w:left w:w="108" w:type="dxa"/>
            <w:bottom w:w="0" w:type="dxa"/>
            <w:right w:w="108" w:type="dxa"/>
          </w:tblCellMar>
        </w:tblPrEx>
        <w:trPr>
          <w:trHeight w:val="20" w:hRule="atLeast"/>
          <w:tblHeader/>
          <w:jc w:val="center"/>
        </w:trPr>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210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87"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c>
          <w:tcPr>
            <w:tcW w:w="77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1995"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44"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bl>
    <w:p>
      <w:pPr>
        <w:pStyle w:val="37"/>
        <w:rPr>
          <w:rFonts w:ascii="Times New Roman" w:hAnsi="Times New Roman" w:cs="Times New Roman"/>
        </w:rPr>
      </w:pPr>
      <w:bookmarkStart w:id="313" w:name="_Ref158105590"/>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46</w:t>
      </w:r>
      <w:r>
        <w:rPr>
          <w:rFonts w:ascii="Times New Roman" w:hAnsi="Times New Roman" w:cs="Times New Roman"/>
        </w:rPr>
        <w:fldChar w:fldCharType="end"/>
      </w:r>
      <w:bookmarkEnd w:id="313"/>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S扩散后果预测统计表</w:t>
      </w:r>
    </w:p>
    <w:tbl>
      <w:tblPr>
        <w:tblStyle w:val="28"/>
        <w:tblW w:w="53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6"/>
        <w:gridCol w:w="2126"/>
        <w:gridCol w:w="933"/>
        <w:gridCol w:w="1168"/>
        <w:gridCol w:w="902"/>
        <w:gridCol w:w="2000"/>
        <w:gridCol w:w="1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vMerge w:val="restart"/>
            <w:shd w:val="clear" w:color="auto" w:fill="auto"/>
            <w:vAlign w:val="center"/>
          </w:tcPr>
          <w:p>
            <w:pPr>
              <w:pStyle w:val="39"/>
              <w:rPr>
                <w:rFonts w:ascii="Times New Roman" w:hAnsi="Times New Roman"/>
              </w:rPr>
            </w:pPr>
            <w:r>
              <w:rPr>
                <w:rFonts w:ascii="Times New Roman" w:hAnsi="Times New Roman"/>
              </w:rPr>
              <w:t>序号</w:t>
            </w:r>
          </w:p>
        </w:tc>
        <w:tc>
          <w:tcPr>
            <w:tcW w:w="2126" w:type="dxa"/>
            <w:vMerge w:val="restart"/>
            <w:shd w:val="clear" w:color="auto" w:fill="auto"/>
            <w:vAlign w:val="center"/>
          </w:tcPr>
          <w:p>
            <w:pPr>
              <w:pStyle w:val="39"/>
              <w:rPr>
                <w:rFonts w:ascii="Times New Roman" w:hAnsi="Times New Roman"/>
              </w:rPr>
            </w:pPr>
            <w:r>
              <w:rPr>
                <w:rFonts w:ascii="Times New Roman" w:hAnsi="Times New Roman"/>
              </w:rPr>
              <w:t>项目内容</w:t>
            </w:r>
          </w:p>
        </w:tc>
        <w:tc>
          <w:tcPr>
            <w:tcW w:w="933" w:type="dxa"/>
            <w:vMerge w:val="restart"/>
            <w:shd w:val="clear" w:color="auto" w:fill="auto"/>
            <w:vAlign w:val="center"/>
          </w:tcPr>
          <w:p>
            <w:pPr>
              <w:pStyle w:val="39"/>
              <w:rPr>
                <w:rFonts w:ascii="Times New Roman" w:hAnsi="Times New Roman"/>
              </w:rPr>
            </w:pPr>
            <w:r>
              <w:rPr>
                <w:rFonts w:ascii="Times New Roman" w:hAnsi="Times New Roman"/>
              </w:rPr>
              <w:t>浓度值/mg/m</w:t>
            </w:r>
            <w:r>
              <w:rPr>
                <w:rFonts w:ascii="Times New Roman" w:hAnsi="Times New Roman"/>
                <w:vertAlign w:val="superscript"/>
              </w:rPr>
              <w:t>3</w:t>
            </w:r>
          </w:p>
        </w:tc>
        <w:tc>
          <w:tcPr>
            <w:tcW w:w="1168" w:type="dxa"/>
            <w:vMerge w:val="restart"/>
            <w:shd w:val="clear" w:color="auto" w:fill="auto"/>
            <w:vAlign w:val="center"/>
          </w:tcPr>
          <w:p>
            <w:pPr>
              <w:pStyle w:val="39"/>
              <w:rPr>
                <w:rFonts w:ascii="Times New Roman" w:hAnsi="Times New Roman"/>
              </w:rPr>
            </w:pPr>
            <w:r>
              <w:rPr>
                <w:rFonts w:ascii="Times New Roman" w:hAnsi="Times New Roman"/>
              </w:rPr>
              <w:t>最远影响距离/m</w:t>
            </w:r>
          </w:p>
        </w:tc>
        <w:tc>
          <w:tcPr>
            <w:tcW w:w="902" w:type="dxa"/>
            <w:vMerge w:val="restart"/>
            <w:shd w:val="clear" w:color="auto" w:fill="auto"/>
            <w:vAlign w:val="center"/>
          </w:tcPr>
          <w:p>
            <w:pPr>
              <w:pStyle w:val="39"/>
              <w:rPr>
                <w:rFonts w:ascii="Times New Roman" w:hAnsi="Times New Roman"/>
              </w:rPr>
            </w:pPr>
            <w:r>
              <w:rPr>
                <w:rFonts w:ascii="Times New Roman" w:hAnsi="Times New Roman"/>
              </w:rPr>
              <w:t>到达时间/min</w:t>
            </w:r>
          </w:p>
        </w:tc>
        <w:tc>
          <w:tcPr>
            <w:tcW w:w="3981" w:type="dxa"/>
            <w:gridSpan w:val="2"/>
            <w:vAlign w:val="center"/>
          </w:tcPr>
          <w:p>
            <w:pPr>
              <w:pStyle w:val="39"/>
              <w:rPr>
                <w:rFonts w:ascii="Times New Roman" w:hAnsi="Times New Roman"/>
              </w:rPr>
            </w:pPr>
            <w:r>
              <w:rPr>
                <w:rFonts w:ascii="Times New Roman" w:hAnsi="Times New Roman"/>
                <w:vertAlign w:val="superscript"/>
              </w:rPr>
              <w:t>*</w:t>
            </w:r>
            <w:r>
              <w:rPr>
                <w:rFonts w:ascii="Times New Roman" w:hAnsi="Times New Roman"/>
              </w:rPr>
              <w:t>最长持续超标时间对应点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vMerge w:val="continue"/>
            <w:shd w:val="clear" w:color="auto" w:fill="auto"/>
            <w:vAlign w:val="center"/>
          </w:tcPr>
          <w:p>
            <w:pPr>
              <w:adjustRightInd w:val="0"/>
              <w:spacing w:line="240" w:lineRule="auto"/>
              <w:ind w:firstLine="480"/>
              <w:rPr>
                <w:rFonts w:ascii="Times New Roman" w:hAnsi="Times New Roman"/>
              </w:rPr>
            </w:pPr>
          </w:p>
        </w:tc>
        <w:tc>
          <w:tcPr>
            <w:tcW w:w="2126" w:type="dxa"/>
            <w:vMerge w:val="continue"/>
            <w:shd w:val="clear" w:color="auto" w:fill="auto"/>
            <w:vAlign w:val="center"/>
          </w:tcPr>
          <w:p>
            <w:pPr>
              <w:adjustRightInd w:val="0"/>
              <w:spacing w:line="240" w:lineRule="auto"/>
              <w:ind w:firstLine="480"/>
              <w:rPr>
                <w:rFonts w:ascii="Times New Roman" w:hAnsi="Times New Roman"/>
              </w:rPr>
            </w:pPr>
          </w:p>
        </w:tc>
        <w:tc>
          <w:tcPr>
            <w:tcW w:w="933" w:type="dxa"/>
            <w:vMerge w:val="continue"/>
            <w:shd w:val="clear" w:color="auto" w:fill="auto"/>
            <w:vAlign w:val="center"/>
          </w:tcPr>
          <w:p>
            <w:pPr>
              <w:adjustRightInd w:val="0"/>
              <w:spacing w:line="240" w:lineRule="auto"/>
              <w:ind w:firstLine="480"/>
              <w:rPr>
                <w:rFonts w:ascii="Times New Roman" w:hAnsi="Times New Roman"/>
              </w:rPr>
            </w:pPr>
          </w:p>
        </w:tc>
        <w:tc>
          <w:tcPr>
            <w:tcW w:w="1168" w:type="dxa"/>
            <w:vMerge w:val="continue"/>
            <w:shd w:val="clear" w:color="auto" w:fill="auto"/>
            <w:vAlign w:val="center"/>
          </w:tcPr>
          <w:p>
            <w:pPr>
              <w:adjustRightInd w:val="0"/>
              <w:spacing w:line="240" w:lineRule="auto"/>
              <w:ind w:firstLine="480"/>
              <w:rPr>
                <w:rFonts w:ascii="Times New Roman" w:hAnsi="Times New Roman"/>
              </w:rPr>
            </w:pPr>
          </w:p>
        </w:tc>
        <w:tc>
          <w:tcPr>
            <w:tcW w:w="902" w:type="dxa"/>
            <w:vMerge w:val="continue"/>
            <w:shd w:val="clear" w:color="auto" w:fill="auto"/>
            <w:vAlign w:val="center"/>
          </w:tcPr>
          <w:p>
            <w:pPr>
              <w:adjustRightInd w:val="0"/>
              <w:spacing w:line="240" w:lineRule="auto"/>
              <w:ind w:firstLine="480"/>
              <w:rPr>
                <w:rFonts w:ascii="Times New Roman" w:hAnsi="Times New Roman"/>
              </w:rPr>
            </w:pPr>
          </w:p>
        </w:tc>
        <w:tc>
          <w:tcPr>
            <w:tcW w:w="2000" w:type="dxa"/>
            <w:vAlign w:val="center"/>
          </w:tcPr>
          <w:p>
            <w:pPr>
              <w:pStyle w:val="39"/>
              <w:rPr>
                <w:rFonts w:ascii="Times New Roman" w:hAnsi="Times New Roman"/>
              </w:rPr>
            </w:pPr>
            <w:r>
              <w:rPr>
                <w:rFonts w:ascii="Times New Roman" w:hAnsi="Times New Roman"/>
              </w:rPr>
              <w:t>超标持续时间/min</w:t>
            </w:r>
          </w:p>
        </w:tc>
        <w:tc>
          <w:tcPr>
            <w:tcW w:w="1981" w:type="dxa"/>
            <w:vAlign w:val="center"/>
          </w:tcPr>
          <w:p>
            <w:pPr>
              <w:pStyle w:val="39"/>
              <w:rPr>
                <w:rFonts w:ascii="Times New Roman" w:hAnsi="Times New Roman"/>
              </w:rPr>
            </w:pPr>
            <w:r>
              <w:rPr>
                <w:rFonts w:ascii="Times New Roman" w:hAnsi="Times New Roman"/>
              </w:rPr>
              <w:t>相对风险源距离/m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shd w:val="clear" w:color="auto" w:fill="auto"/>
            <w:vAlign w:val="center"/>
          </w:tcPr>
          <w:p>
            <w:pPr>
              <w:pStyle w:val="39"/>
              <w:rPr>
                <w:rFonts w:ascii="Times New Roman" w:hAnsi="Times New Roman"/>
              </w:rPr>
            </w:pPr>
            <w:r>
              <w:rPr>
                <w:rFonts w:ascii="Times New Roman" w:hAnsi="Times New Roman"/>
              </w:rPr>
              <w:t>1</w:t>
            </w:r>
          </w:p>
        </w:tc>
        <w:tc>
          <w:tcPr>
            <w:tcW w:w="2126" w:type="dxa"/>
            <w:shd w:val="clear" w:color="auto" w:fill="auto"/>
            <w:vAlign w:val="center"/>
          </w:tcPr>
          <w:p>
            <w:pPr>
              <w:pStyle w:val="39"/>
              <w:rPr>
                <w:rFonts w:ascii="Times New Roman" w:hAnsi="Times New Roman"/>
              </w:rPr>
            </w:pPr>
            <w:r>
              <w:rPr>
                <w:rFonts w:ascii="Times New Roman" w:hAnsi="Times New Roman"/>
              </w:rPr>
              <w:t>大气毒性终点浓度-1</w:t>
            </w:r>
          </w:p>
        </w:tc>
        <w:tc>
          <w:tcPr>
            <w:tcW w:w="933" w:type="dxa"/>
            <w:shd w:val="clear" w:color="auto" w:fill="auto"/>
          </w:tcPr>
          <w:p>
            <w:pPr>
              <w:pStyle w:val="39"/>
              <w:rPr>
                <w:rFonts w:ascii="Times New Roman" w:hAnsi="Times New Roman"/>
              </w:rPr>
            </w:pPr>
            <w:r>
              <w:rPr>
                <w:rFonts w:ascii="Times New Roman" w:hAnsi="Times New Roman"/>
              </w:rPr>
              <w:t>-</w:t>
            </w:r>
          </w:p>
        </w:tc>
        <w:tc>
          <w:tcPr>
            <w:tcW w:w="1168" w:type="dxa"/>
            <w:shd w:val="clear" w:color="auto" w:fill="auto"/>
          </w:tcPr>
          <w:p>
            <w:pPr>
              <w:pStyle w:val="39"/>
              <w:rPr>
                <w:rFonts w:ascii="Times New Roman" w:hAnsi="Times New Roman"/>
              </w:rPr>
            </w:pPr>
            <w:r>
              <w:rPr>
                <w:rFonts w:ascii="Times New Roman" w:hAnsi="Times New Roman"/>
              </w:rPr>
              <w:t>-</w:t>
            </w:r>
          </w:p>
        </w:tc>
        <w:tc>
          <w:tcPr>
            <w:tcW w:w="902" w:type="dxa"/>
            <w:shd w:val="clear" w:color="auto" w:fill="auto"/>
          </w:tcPr>
          <w:p>
            <w:pPr>
              <w:pStyle w:val="39"/>
              <w:rPr>
                <w:rFonts w:ascii="Times New Roman" w:hAnsi="Times New Roman"/>
              </w:rPr>
            </w:pPr>
            <w:r>
              <w:rPr>
                <w:rFonts w:ascii="Times New Roman" w:hAnsi="Times New Roman"/>
              </w:rPr>
              <w:t>-</w:t>
            </w:r>
          </w:p>
        </w:tc>
        <w:tc>
          <w:tcPr>
            <w:tcW w:w="2000" w:type="dxa"/>
          </w:tcPr>
          <w:p>
            <w:pPr>
              <w:pStyle w:val="39"/>
              <w:rPr>
                <w:rFonts w:ascii="Times New Roman" w:hAnsi="Times New Roman"/>
              </w:rPr>
            </w:pPr>
            <w:r>
              <w:rPr>
                <w:rFonts w:ascii="Times New Roman" w:hAnsi="Times New Roman"/>
              </w:rPr>
              <w:t>-</w:t>
            </w:r>
          </w:p>
        </w:tc>
        <w:tc>
          <w:tcPr>
            <w:tcW w:w="1981" w:type="dxa"/>
            <w:shd w:val="clear" w:color="auto" w:fill="auto"/>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shd w:val="clear" w:color="auto" w:fill="auto"/>
            <w:vAlign w:val="center"/>
          </w:tcPr>
          <w:p>
            <w:pPr>
              <w:pStyle w:val="39"/>
              <w:rPr>
                <w:rFonts w:ascii="Times New Roman" w:hAnsi="Times New Roman"/>
              </w:rPr>
            </w:pPr>
            <w:r>
              <w:rPr>
                <w:rFonts w:ascii="Times New Roman" w:hAnsi="Times New Roman"/>
              </w:rPr>
              <w:t>2</w:t>
            </w:r>
          </w:p>
        </w:tc>
        <w:tc>
          <w:tcPr>
            <w:tcW w:w="2126" w:type="dxa"/>
            <w:shd w:val="clear" w:color="auto" w:fill="auto"/>
            <w:vAlign w:val="center"/>
          </w:tcPr>
          <w:p>
            <w:pPr>
              <w:pStyle w:val="39"/>
              <w:rPr>
                <w:rFonts w:ascii="Times New Roman" w:hAnsi="Times New Roman"/>
              </w:rPr>
            </w:pPr>
            <w:r>
              <w:rPr>
                <w:rFonts w:ascii="Times New Roman" w:hAnsi="Times New Roman"/>
              </w:rPr>
              <w:t>大气毒性终点浓度-2</w:t>
            </w:r>
          </w:p>
        </w:tc>
        <w:tc>
          <w:tcPr>
            <w:tcW w:w="933" w:type="dxa"/>
            <w:shd w:val="clear" w:color="auto" w:fill="auto"/>
          </w:tcPr>
          <w:p>
            <w:pPr>
              <w:pStyle w:val="39"/>
              <w:rPr>
                <w:rFonts w:ascii="Times New Roman" w:hAnsi="Times New Roman"/>
              </w:rPr>
            </w:pPr>
            <w:r>
              <w:rPr>
                <w:rFonts w:ascii="Times New Roman" w:hAnsi="Times New Roman"/>
              </w:rPr>
              <w:t>-</w:t>
            </w:r>
          </w:p>
        </w:tc>
        <w:tc>
          <w:tcPr>
            <w:tcW w:w="1168" w:type="dxa"/>
            <w:shd w:val="clear" w:color="auto" w:fill="auto"/>
          </w:tcPr>
          <w:p>
            <w:pPr>
              <w:pStyle w:val="39"/>
              <w:rPr>
                <w:rFonts w:ascii="Times New Roman" w:hAnsi="Times New Roman"/>
              </w:rPr>
            </w:pPr>
            <w:r>
              <w:rPr>
                <w:rFonts w:ascii="Times New Roman" w:hAnsi="Times New Roman"/>
              </w:rPr>
              <w:t>-</w:t>
            </w:r>
          </w:p>
        </w:tc>
        <w:tc>
          <w:tcPr>
            <w:tcW w:w="902" w:type="dxa"/>
            <w:shd w:val="clear" w:color="auto" w:fill="auto"/>
          </w:tcPr>
          <w:p>
            <w:pPr>
              <w:pStyle w:val="39"/>
              <w:rPr>
                <w:rFonts w:ascii="Times New Roman" w:hAnsi="Times New Roman"/>
              </w:rPr>
            </w:pPr>
            <w:r>
              <w:rPr>
                <w:rFonts w:ascii="Times New Roman" w:hAnsi="Times New Roman"/>
              </w:rPr>
              <w:t>-</w:t>
            </w:r>
          </w:p>
        </w:tc>
        <w:tc>
          <w:tcPr>
            <w:tcW w:w="2000" w:type="dxa"/>
          </w:tcPr>
          <w:p>
            <w:pPr>
              <w:pStyle w:val="39"/>
              <w:rPr>
                <w:rFonts w:ascii="Times New Roman" w:hAnsi="Times New Roman"/>
              </w:rPr>
            </w:pPr>
            <w:r>
              <w:rPr>
                <w:rFonts w:ascii="Times New Roman" w:hAnsi="Times New Roman"/>
              </w:rPr>
              <w:t>-</w:t>
            </w:r>
          </w:p>
        </w:tc>
        <w:tc>
          <w:tcPr>
            <w:tcW w:w="1981" w:type="dxa"/>
            <w:shd w:val="clear" w:color="auto" w:fill="auto"/>
          </w:tcPr>
          <w:p>
            <w:pPr>
              <w:pStyle w:val="39"/>
              <w:rPr>
                <w:rFonts w:ascii="Times New Roman" w:hAnsi="Times New Roman"/>
              </w:rPr>
            </w:pPr>
            <w:r>
              <w:rPr>
                <w:rFonts w:ascii="Times New Roman" w:hAnsi="Times New Roman"/>
              </w:rPr>
              <w:t>-</w:t>
            </w:r>
          </w:p>
        </w:tc>
      </w:tr>
    </w:tbl>
    <w:p>
      <w:pPr>
        <w:snapToGrid w:val="0"/>
        <w:spacing w:line="240" w:lineRule="auto"/>
        <w:ind w:firstLine="0" w:firstLineChars="0"/>
        <w:rPr>
          <w:rFonts w:ascii="Times New Roman" w:hAnsi="Times New Roman"/>
          <w:sz w:val="18"/>
          <w:szCs w:val="18"/>
        </w:rPr>
      </w:pPr>
      <w:r>
        <w:rPr>
          <w:rFonts w:ascii="Times New Roman" w:hAnsi="Times New Roman"/>
          <w:sz w:val="18"/>
          <w:szCs w:val="18"/>
        </w:rPr>
        <w:t>*注：最长持续时间指在最大浓度出现位置（含敏感目标位置）保持不变的前提下，该位置浓度持续超过大气毒性终点浓度1或大气毒性终点浓度2的时间。</w:t>
      </w:r>
    </w:p>
    <w:p>
      <w:pPr>
        <w:pStyle w:val="37"/>
        <w:rPr>
          <w:rFonts w:ascii="Times New Roman" w:hAnsi="Times New Roman" w:cs="Times New Roman"/>
        </w:rPr>
      </w:pPr>
      <w:bookmarkStart w:id="314" w:name="_Ref15810622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47</w:t>
      </w:r>
      <w:r>
        <w:rPr>
          <w:rFonts w:ascii="Times New Roman" w:hAnsi="Times New Roman" w:cs="Times New Roman"/>
        </w:rPr>
        <w:fldChar w:fldCharType="end"/>
      </w:r>
      <w:bookmarkEnd w:id="314"/>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S扩散不同时刻最大浓度出现时间和距离（部分结果，东北风向）</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38"/>
        <w:gridCol w:w="3040"/>
        <w:gridCol w:w="3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释放后时刻/min</w:t>
            </w:r>
          </w:p>
        </w:tc>
        <w:tc>
          <w:tcPr>
            <w:tcW w:w="1667" w:type="pct"/>
            <w:vAlign w:val="center"/>
          </w:tcPr>
          <w:p>
            <w:pPr>
              <w:pStyle w:val="39"/>
              <w:rPr>
                <w:rFonts w:ascii="Times New Roman" w:hAnsi="Times New Roman"/>
              </w:rPr>
            </w:pPr>
            <w:r>
              <w:rPr>
                <w:rFonts w:ascii="Times New Roman" w:hAnsi="Times New Roman"/>
              </w:rPr>
              <w:t>距源点距离/m</w:t>
            </w:r>
          </w:p>
        </w:tc>
        <w:tc>
          <w:tcPr>
            <w:tcW w:w="1667" w:type="pct"/>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w:t>
            </w:r>
          </w:p>
        </w:tc>
        <w:tc>
          <w:tcPr>
            <w:tcW w:w="1667" w:type="pct"/>
          </w:tcPr>
          <w:p>
            <w:pPr>
              <w:pStyle w:val="39"/>
              <w:rPr>
                <w:rFonts w:ascii="Times New Roman" w:hAnsi="Times New Roman"/>
              </w:rPr>
            </w:pPr>
            <w:r>
              <w:rPr>
                <w:rFonts w:ascii="Times New Roman" w:hAnsi="Times New Roman"/>
              </w:rPr>
              <w:t>0</w:t>
            </w:r>
          </w:p>
        </w:tc>
        <w:tc>
          <w:tcPr>
            <w:tcW w:w="1667" w:type="pct"/>
          </w:tcPr>
          <w:p>
            <w:pPr>
              <w:pStyle w:val="39"/>
              <w:rPr>
                <w:rFonts w:ascii="Times New Roman" w:hAnsi="Times New Roman"/>
              </w:rPr>
            </w:pPr>
            <w:r>
              <w:rPr>
                <w:rFonts w:ascii="Times New Roman" w:hAnsi="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5</w:t>
            </w:r>
          </w:p>
        </w:tc>
        <w:tc>
          <w:tcPr>
            <w:tcW w:w="1667" w:type="pct"/>
          </w:tcPr>
          <w:p>
            <w:pPr>
              <w:pStyle w:val="39"/>
              <w:rPr>
                <w:rFonts w:ascii="Times New Roman" w:hAnsi="Times New Roman"/>
              </w:rPr>
            </w:pPr>
            <w:r>
              <w:rPr>
                <w:rFonts w:ascii="Times New Roman" w:hAnsi="Times New Roman"/>
              </w:rPr>
              <w:t>99</w:t>
            </w:r>
          </w:p>
        </w:tc>
        <w:tc>
          <w:tcPr>
            <w:tcW w:w="1667" w:type="pct"/>
          </w:tcPr>
          <w:p>
            <w:pPr>
              <w:pStyle w:val="39"/>
              <w:rPr>
                <w:rFonts w:ascii="Times New Roman" w:hAnsi="Times New Roman"/>
              </w:rPr>
            </w:pPr>
            <w:r>
              <w:rPr>
                <w:rFonts w:ascii="Times New Roman" w:hAnsi="Times New Roman"/>
              </w:rPr>
              <w:t>3.22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10</w:t>
            </w:r>
          </w:p>
        </w:tc>
        <w:tc>
          <w:tcPr>
            <w:tcW w:w="1667" w:type="pct"/>
          </w:tcPr>
          <w:p>
            <w:pPr>
              <w:pStyle w:val="39"/>
              <w:rPr>
                <w:rFonts w:ascii="Times New Roman" w:hAnsi="Times New Roman"/>
              </w:rPr>
            </w:pPr>
            <w:r>
              <w:rPr>
                <w:rFonts w:ascii="Times New Roman" w:hAnsi="Times New Roman"/>
              </w:rPr>
              <w:t>99</w:t>
            </w:r>
          </w:p>
        </w:tc>
        <w:tc>
          <w:tcPr>
            <w:tcW w:w="1667" w:type="pct"/>
          </w:tcPr>
          <w:p>
            <w:pPr>
              <w:pStyle w:val="39"/>
              <w:rPr>
                <w:rFonts w:ascii="Times New Roman" w:hAnsi="Times New Roman"/>
              </w:rPr>
            </w:pPr>
            <w:r>
              <w:rPr>
                <w:rFonts w:ascii="Times New Roman" w:hAnsi="Times New Roman"/>
              </w:rPr>
              <w:t>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15</w:t>
            </w:r>
          </w:p>
        </w:tc>
        <w:tc>
          <w:tcPr>
            <w:tcW w:w="1667" w:type="pct"/>
          </w:tcPr>
          <w:p>
            <w:pPr>
              <w:pStyle w:val="39"/>
              <w:rPr>
                <w:rFonts w:ascii="Times New Roman" w:hAnsi="Times New Roman"/>
              </w:rPr>
            </w:pPr>
            <w:r>
              <w:rPr>
                <w:rFonts w:ascii="Times New Roman" w:hAnsi="Times New Roman"/>
              </w:rPr>
              <w:t>99</w:t>
            </w:r>
          </w:p>
        </w:tc>
        <w:tc>
          <w:tcPr>
            <w:tcW w:w="1667" w:type="pct"/>
          </w:tcPr>
          <w:p>
            <w:pPr>
              <w:pStyle w:val="39"/>
              <w:rPr>
                <w:rFonts w:ascii="Times New Roman" w:hAnsi="Times New Roman"/>
              </w:rPr>
            </w:pPr>
            <w:r>
              <w:rPr>
                <w:rFonts w:ascii="Times New Roman" w:hAnsi="Times New Roman"/>
              </w:rPr>
              <w:t>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20</w:t>
            </w:r>
          </w:p>
        </w:tc>
        <w:tc>
          <w:tcPr>
            <w:tcW w:w="1667" w:type="pct"/>
          </w:tcPr>
          <w:p>
            <w:pPr>
              <w:pStyle w:val="39"/>
              <w:rPr>
                <w:rFonts w:ascii="Times New Roman" w:hAnsi="Times New Roman"/>
              </w:rPr>
            </w:pPr>
            <w:r>
              <w:rPr>
                <w:rFonts w:ascii="Times New Roman" w:hAnsi="Times New Roman"/>
              </w:rPr>
              <w:t>99</w:t>
            </w:r>
          </w:p>
        </w:tc>
        <w:tc>
          <w:tcPr>
            <w:tcW w:w="1667" w:type="pct"/>
          </w:tcPr>
          <w:p>
            <w:pPr>
              <w:pStyle w:val="39"/>
              <w:rPr>
                <w:rFonts w:ascii="Times New Roman" w:hAnsi="Times New Roman"/>
              </w:rPr>
            </w:pPr>
            <w:r>
              <w:rPr>
                <w:rFonts w:ascii="Times New Roman" w:hAnsi="Times New Roman"/>
              </w:rPr>
              <w:t>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25</w:t>
            </w:r>
          </w:p>
        </w:tc>
        <w:tc>
          <w:tcPr>
            <w:tcW w:w="1667" w:type="pct"/>
          </w:tcPr>
          <w:p>
            <w:pPr>
              <w:pStyle w:val="39"/>
              <w:rPr>
                <w:rFonts w:ascii="Times New Roman" w:hAnsi="Times New Roman"/>
              </w:rPr>
            </w:pPr>
            <w:r>
              <w:rPr>
                <w:rFonts w:ascii="Times New Roman" w:hAnsi="Times New Roman"/>
              </w:rPr>
              <w:t>99</w:t>
            </w:r>
          </w:p>
        </w:tc>
        <w:tc>
          <w:tcPr>
            <w:tcW w:w="1667" w:type="pct"/>
          </w:tcPr>
          <w:p>
            <w:pPr>
              <w:pStyle w:val="39"/>
              <w:rPr>
                <w:rFonts w:ascii="Times New Roman" w:hAnsi="Times New Roman"/>
              </w:rPr>
            </w:pPr>
            <w:r>
              <w:rPr>
                <w:rFonts w:ascii="Times New Roman" w:hAnsi="Times New Roman"/>
              </w:rPr>
              <w:t>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30</w:t>
            </w:r>
          </w:p>
        </w:tc>
        <w:tc>
          <w:tcPr>
            <w:tcW w:w="1667" w:type="pct"/>
          </w:tcPr>
          <w:p>
            <w:pPr>
              <w:pStyle w:val="39"/>
              <w:rPr>
                <w:rFonts w:ascii="Times New Roman" w:hAnsi="Times New Roman"/>
              </w:rPr>
            </w:pPr>
            <w:r>
              <w:rPr>
                <w:rFonts w:ascii="Times New Roman" w:hAnsi="Times New Roman"/>
              </w:rPr>
              <w:t>99</w:t>
            </w:r>
          </w:p>
        </w:tc>
        <w:tc>
          <w:tcPr>
            <w:tcW w:w="1667" w:type="pct"/>
          </w:tcPr>
          <w:p>
            <w:pPr>
              <w:pStyle w:val="39"/>
              <w:rPr>
                <w:rFonts w:ascii="Times New Roman" w:hAnsi="Times New Roman"/>
              </w:rPr>
            </w:pPr>
            <w:r>
              <w:rPr>
                <w:rFonts w:ascii="Times New Roman" w:hAnsi="Times New Roman"/>
              </w:rPr>
              <w:t>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35</w:t>
            </w:r>
          </w:p>
        </w:tc>
        <w:tc>
          <w:tcPr>
            <w:tcW w:w="1667" w:type="pct"/>
          </w:tcPr>
          <w:p>
            <w:pPr>
              <w:pStyle w:val="39"/>
              <w:rPr>
                <w:rFonts w:ascii="Times New Roman" w:hAnsi="Times New Roman"/>
              </w:rPr>
            </w:pPr>
            <w:r>
              <w:rPr>
                <w:rFonts w:ascii="Times New Roman" w:hAnsi="Times New Roman"/>
              </w:rPr>
              <w:t>99</w:t>
            </w:r>
          </w:p>
        </w:tc>
        <w:tc>
          <w:tcPr>
            <w:tcW w:w="1667" w:type="pct"/>
          </w:tcPr>
          <w:p>
            <w:pPr>
              <w:pStyle w:val="39"/>
              <w:rPr>
                <w:rFonts w:ascii="Times New Roman" w:hAnsi="Times New Roman"/>
              </w:rPr>
            </w:pPr>
            <w:r>
              <w:rPr>
                <w:rFonts w:ascii="Times New Roman" w:hAnsi="Times New Roman"/>
              </w:rPr>
              <w:t>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40</w:t>
            </w:r>
          </w:p>
        </w:tc>
        <w:tc>
          <w:tcPr>
            <w:tcW w:w="1667" w:type="pct"/>
          </w:tcPr>
          <w:p>
            <w:pPr>
              <w:pStyle w:val="39"/>
              <w:rPr>
                <w:rFonts w:ascii="Times New Roman" w:hAnsi="Times New Roman"/>
              </w:rPr>
            </w:pPr>
            <w:r>
              <w:rPr>
                <w:rFonts w:ascii="Times New Roman" w:hAnsi="Times New Roman"/>
              </w:rPr>
              <w:t>99</w:t>
            </w:r>
          </w:p>
        </w:tc>
        <w:tc>
          <w:tcPr>
            <w:tcW w:w="1667" w:type="pct"/>
          </w:tcPr>
          <w:p>
            <w:pPr>
              <w:pStyle w:val="39"/>
              <w:rPr>
                <w:rFonts w:ascii="Times New Roman" w:hAnsi="Times New Roman"/>
              </w:rPr>
            </w:pPr>
            <w:r>
              <w:rPr>
                <w:rFonts w:ascii="Times New Roman" w:hAnsi="Times New Roman"/>
              </w:rPr>
              <w:t>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66" w:type="pct"/>
          </w:tcPr>
          <w:p>
            <w:pPr>
              <w:pStyle w:val="39"/>
              <w:rPr>
                <w:rFonts w:ascii="Times New Roman" w:hAnsi="Times New Roman"/>
              </w:rPr>
            </w:pPr>
            <w:r>
              <w:rPr>
                <w:rFonts w:ascii="Times New Roman" w:hAnsi="Times New Roman"/>
              </w:rPr>
              <w:t>45</w:t>
            </w:r>
          </w:p>
        </w:tc>
        <w:tc>
          <w:tcPr>
            <w:tcW w:w="1667" w:type="pct"/>
          </w:tcPr>
          <w:p>
            <w:pPr>
              <w:pStyle w:val="39"/>
              <w:rPr>
                <w:rFonts w:ascii="Times New Roman" w:hAnsi="Times New Roman"/>
              </w:rPr>
            </w:pPr>
            <w:r>
              <w:rPr>
                <w:rFonts w:ascii="Times New Roman" w:hAnsi="Times New Roman"/>
              </w:rPr>
              <w:t>99</w:t>
            </w:r>
          </w:p>
        </w:tc>
        <w:tc>
          <w:tcPr>
            <w:tcW w:w="1667" w:type="pct"/>
          </w:tcPr>
          <w:p>
            <w:pPr>
              <w:pStyle w:val="39"/>
              <w:rPr>
                <w:rFonts w:ascii="Times New Roman" w:hAnsi="Times New Roman"/>
              </w:rPr>
            </w:pPr>
            <w:r>
              <w:rPr>
                <w:rFonts w:ascii="Times New Roman" w:hAnsi="Times New Roman"/>
              </w:rPr>
              <w:t>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50</w:t>
            </w:r>
          </w:p>
        </w:tc>
        <w:tc>
          <w:tcPr>
            <w:tcW w:w="1667" w:type="pct"/>
          </w:tcPr>
          <w:p>
            <w:pPr>
              <w:pStyle w:val="39"/>
              <w:rPr>
                <w:rFonts w:ascii="Times New Roman" w:hAnsi="Times New Roman"/>
              </w:rPr>
            </w:pPr>
            <w:r>
              <w:rPr>
                <w:rFonts w:ascii="Times New Roman" w:hAnsi="Times New Roman"/>
              </w:rPr>
              <w:t>99</w:t>
            </w:r>
          </w:p>
        </w:tc>
        <w:tc>
          <w:tcPr>
            <w:tcW w:w="1667" w:type="pct"/>
          </w:tcPr>
          <w:p>
            <w:pPr>
              <w:pStyle w:val="39"/>
              <w:rPr>
                <w:rFonts w:ascii="Times New Roman" w:hAnsi="Times New Roman"/>
              </w:rPr>
            </w:pPr>
            <w:r>
              <w:rPr>
                <w:rFonts w:ascii="Times New Roman" w:hAnsi="Times New Roman"/>
              </w:rPr>
              <w:t>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60</w:t>
            </w:r>
          </w:p>
        </w:tc>
        <w:tc>
          <w:tcPr>
            <w:tcW w:w="1667" w:type="pct"/>
          </w:tcPr>
          <w:p>
            <w:pPr>
              <w:pStyle w:val="39"/>
              <w:rPr>
                <w:rFonts w:ascii="Times New Roman" w:hAnsi="Times New Roman"/>
              </w:rPr>
            </w:pPr>
            <w:r>
              <w:rPr>
                <w:rFonts w:ascii="Times New Roman" w:hAnsi="Times New Roman"/>
              </w:rPr>
              <w:t>99</w:t>
            </w:r>
          </w:p>
        </w:tc>
        <w:tc>
          <w:tcPr>
            <w:tcW w:w="1667" w:type="pct"/>
          </w:tcPr>
          <w:p>
            <w:pPr>
              <w:pStyle w:val="39"/>
              <w:rPr>
                <w:rFonts w:ascii="Times New Roman" w:hAnsi="Times New Roman"/>
              </w:rPr>
            </w:pPr>
            <w:r>
              <w:rPr>
                <w:rFonts w:ascii="Times New Roman" w:hAnsi="Times New Roman"/>
              </w:rPr>
              <w:t>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70</w:t>
            </w:r>
          </w:p>
        </w:tc>
        <w:tc>
          <w:tcPr>
            <w:tcW w:w="1667" w:type="pct"/>
          </w:tcPr>
          <w:p>
            <w:pPr>
              <w:pStyle w:val="39"/>
              <w:rPr>
                <w:rFonts w:ascii="Times New Roman" w:hAnsi="Times New Roman"/>
              </w:rPr>
            </w:pPr>
            <w:r>
              <w:rPr>
                <w:rFonts w:ascii="Times New Roman" w:hAnsi="Times New Roman"/>
              </w:rPr>
              <w:t>5330</w:t>
            </w:r>
          </w:p>
        </w:tc>
        <w:tc>
          <w:tcPr>
            <w:tcW w:w="1667" w:type="pct"/>
          </w:tcPr>
          <w:p>
            <w:pPr>
              <w:pStyle w:val="39"/>
              <w:rPr>
                <w:rFonts w:ascii="Times New Roman" w:hAnsi="Times New Roman"/>
              </w:rPr>
            </w:pPr>
            <w:r>
              <w:rPr>
                <w:rFonts w:ascii="Times New Roman" w:hAnsi="Times New Roman"/>
              </w:rPr>
              <w:t>0.0694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80</w:t>
            </w:r>
          </w:p>
        </w:tc>
        <w:tc>
          <w:tcPr>
            <w:tcW w:w="1667" w:type="pct"/>
          </w:tcPr>
          <w:p>
            <w:pPr>
              <w:pStyle w:val="39"/>
              <w:rPr>
                <w:rFonts w:ascii="Times New Roman" w:hAnsi="Times New Roman"/>
              </w:rPr>
            </w:pPr>
            <w:r>
              <w:rPr>
                <w:rFonts w:ascii="Times New Roman" w:hAnsi="Times New Roman"/>
              </w:rPr>
              <w:t>5330</w:t>
            </w:r>
          </w:p>
        </w:tc>
        <w:tc>
          <w:tcPr>
            <w:tcW w:w="1667" w:type="pct"/>
          </w:tcPr>
          <w:p>
            <w:pPr>
              <w:pStyle w:val="39"/>
              <w:rPr>
                <w:rFonts w:ascii="Times New Roman" w:hAnsi="Times New Roman"/>
              </w:rPr>
            </w:pPr>
            <w:r>
              <w:rPr>
                <w:rFonts w:ascii="Times New Roman" w:hAnsi="Times New Roman"/>
              </w:rPr>
              <w:t>0.0721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90</w:t>
            </w:r>
          </w:p>
        </w:tc>
        <w:tc>
          <w:tcPr>
            <w:tcW w:w="1667" w:type="pct"/>
          </w:tcPr>
          <w:p>
            <w:pPr>
              <w:pStyle w:val="39"/>
              <w:rPr>
                <w:rFonts w:ascii="Times New Roman" w:hAnsi="Times New Roman"/>
              </w:rPr>
            </w:pPr>
            <w:r>
              <w:rPr>
                <w:rFonts w:ascii="Times New Roman" w:hAnsi="Times New Roman"/>
              </w:rPr>
              <w:t>5330</w:t>
            </w:r>
          </w:p>
        </w:tc>
        <w:tc>
          <w:tcPr>
            <w:tcW w:w="1667" w:type="pct"/>
          </w:tcPr>
          <w:p>
            <w:pPr>
              <w:pStyle w:val="39"/>
              <w:rPr>
                <w:rFonts w:ascii="Times New Roman" w:hAnsi="Times New Roman"/>
              </w:rPr>
            </w:pPr>
            <w:r>
              <w:rPr>
                <w:rFonts w:ascii="Times New Roman" w:hAnsi="Times New Roman"/>
              </w:rPr>
              <w:t>0.0724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100</w:t>
            </w:r>
          </w:p>
        </w:tc>
        <w:tc>
          <w:tcPr>
            <w:tcW w:w="1667" w:type="pct"/>
          </w:tcPr>
          <w:p>
            <w:pPr>
              <w:pStyle w:val="39"/>
              <w:rPr>
                <w:rFonts w:ascii="Times New Roman" w:hAnsi="Times New Roman"/>
              </w:rPr>
            </w:pPr>
            <w:r>
              <w:rPr>
                <w:rFonts w:ascii="Times New Roman" w:hAnsi="Times New Roman"/>
              </w:rPr>
              <w:t>5330</w:t>
            </w:r>
          </w:p>
        </w:tc>
        <w:tc>
          <w:tcPr>
            <w:tcW w:w="1667" w:type="pct"/>
          </w:tcPr>
          <w:p>
            <w:pPr>
              <w:pStyle w:val="39"/>
              <w:rPr>
                <w:rFonts w:ascii="Times New Roman" w:hAnsi="Times New Roman"/>
              </w:rPr>
            </w:pPr>
            <w:r>
              <w:rPr>
                <w:rFonts w:ascii="Times New Roman" w:hAnsi="Times New Roman"/>
              </w:rPr>
              <w:t>0.0511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110</w:t>
            </w:r>
          </w:p>
        </w:tc>
        <w:tc>
          <w:tcPr>
            <w:tcW w:w="1667" w:type="pct"/>
          </w:tcPr>
          <w:p>
            <w:pPr>
              <w:pStyle w:val="39"/>
              <w:rPr>
                <w:rFonts w:ascii="Times New Roman" w:hAnsi="Times New Roman"/>
              </w:rPr>
            </w:pPr>
            <w:r>
              <w:rPr>
                <w:rFonts w:ascii="Times New Roman" w:hAnsi="Times New Roman"/>
              </w:rPr>
              <w:t>5330</w:t>
            </w:r>
          </w:p>
        </w:tc>
        <w:tc>
          <w:tcPr>
            <w:tcW w:w="1667" w:type="pct"/>
          </w:tcPr>
          <w:p>
            <w:pPr>
              <w:pStyle w:val="39"/>
              <w:rPr>
                <w:rFonts w:ascii="Times New Roman" w:hAnsi="Times New Roman"/>
              </w:rPr>
            </w:pPr>
            <w:r>
              <w:rPr>
                <w:rFonts w:ascii="Times New Roman" w:hAnsi="Times New Roman"/>
              </w:rPr>
              <w:t>0.0255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120</w:t>
            </w:r>
          </w:p>
        </w:tc>
        <w:tc>
          <w:tcPr>
            <w:tcW w:w="1667" w:type="pct"/>
          </w:tcPr>
          <w:p>
            <w:pPr>
              <w:pStyle w:val="39"/>
              <w:rPr>
                <w:rFonts w:ascii="Times New Roman" w:hAnsi="Times New Roman"/>
              </w:rPr>
            </w:pPr>
            <w:r>
              <w:rPr>
                <w:rFonts w:ascii="Times New Roman" w:hAnsi="Times New Roman"/>
              </w:rPr>
              <w:t>567</w:t>
            </w:r>
          </w:p>
        </w:tc>
        <w:tc>
          <w:tcPr>
            <w:tcW w:w="1667" w:type="pct"/>
          </w:tcPr>
          <w:p>
            <w:pPr>
              <w:pStyle w:val="39"/>
              <w:rPr>
                <w:rFonts w:ascii="Times New Roman" w:hAnsi="Times New Roman"/>
              </w:rPr>
            </w:pPr>
            <w:r>
              <w:rPr>
                <w:rFonts w:ascii="Times New Roman" w:hAnsi="Times New Roman"/>
              </w:rPr>
              <w:t>0.0158</w:t>
            </w:r>
          </w:p>
        </w:tc>
      </w:tr>
    </w:tbl>
    <w:p>
      <w:pPr>
        <w:pStyle w:val="37"/>
        <w:rPr>
          <w:rFonts w:ascii="Times New Roman" w:hAnsi="Times New Roman" w:cs="Times New Roman"/>
        </w:rPr>
      </w:pPr>
      <w:bookmarkStart w:id="315" w:name="_Ref15810623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48</w:t>
      </w:r>
      <w:r>
        <w:rPr>
          <w:rFonts w:ascii="Times New Roman" w:hAnsi="Times New Roman" w:cs="Times New Roman"/>
        </w:rPr>
        <w:fldChar w:fldCharType="end"/>
      </w:r>
      <w:bookmarkEnd w:id="315"/>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S扩散不同距离下的最大浓度及到达时间（部分结果，东北风向）</w:t>
      </w:r>
    </w:p>
    <w:tbl>
      <w:tblPr>
        <w:tblStyle w:val="28"/>
        <w:tblW w:w="90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24"/>
        <w:gridCol w:w="3058"/>
        <w:gridCol w:w="30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距离/m</w:t>
            </w:r>
          </w:p>
        </w:tc>
        <w:tc>
          <w:tcPr>
            <w:tcW w:w="3058" w:type="dxa"/>
            <w:noWrap/>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p>
        </w:tc>
        <w:tc>
          <w:tcPr>
            <w:tcW w:w="3003" w:type="dxa"/>
            <w:noWrap/>
            <w:vAlign w:val="center"/>
          </w:tcPr>
          <w:p>
            <w:pPr>
              <w:pStyle w:val="39"/>
              <w:rPr>
                <w:rFonts w:ascii="Times New Roman" w:hAnsi="Times New Roman"/>
              </w:rPr>
            </w:pPr>
            <w:r>
              <w:rPr>
                <w:rFonts w:ascii="Times New Roman" w:hAnsi="Times New Roman"/>
              </w:rPr>
              <w:t>到达时间/min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10</w:t>
            </w:r>
          </w:p>
        </w:tc>
        <w:tc>
          <w:tcPr>
            <w:tcW w:w="3058" w:type="dxa"/>
            <w:noWrap/>
            <w:vAlign w:val="center"/>
          </w:tcPr>
          <w:p>
            <w:pPr>
              <w:pStyle w:val="39"/>
              <w:rPr>
                <w:rFonts w:ascii="Times New Roman" w:hAnsi="Times New Roman"/>
              </w:rPr>
            </w:pPr>
            <w:r>
              <w:rPr>
                <w:rFonts w:ascii="Times New Roman" w:hAnsi="Times New Roman"/>
              </w:rPr>
              <w:t>1.78</w:t>
            </w:r>
          </w:p>
        </w:tc>
        <w:tc>
          <w:tcPr>
            <w:tcW w:w="3003" w:type="dxa"/>
            <w:noWrap/>
            <w:vAlign w:val="center"/>
          </w:tcPr>
          <w:p>
            <w:pPr>
              <w:pStyle w:val="39"/>
              <w:rPr>
                <w:rFonts w:ascii="Times New Roman" w:hAnsi="Times New Roman"/>
              </w:rPr>
            </w:pPr>
            <w:r>
              <w:rPr>
                <w:rFonts w:ascii="Times New Roman" w:hAnsi="Times New Roma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50</w:t>
            </w:r>
          </w:p>
        </w:tc>
        <w:tc>
          <w:tcPr>
            <w:tcW w:w="3058" w:type="dxa"/>
            <w:noWrap/>
            <w:vAlign w:val="center"/>
          </w:tcPr>
          <w:p>
            <w:pPr>
              <w:pStyle w:val="39"/>
              <w:rPr>
                <w:rFonts w:ascii="Times New Roman" w:hAnsi="Times New Roman"/>
              </w:rPr>
            </w:pPr>
            <w:r>
              <w:rPr>
                <w:rFonts w:ascii="Times New Roman" w:hAnsi="Times New Roman"/>
              </w:rPr>
              <w:t>2.40</w:t>
            </w:r>
          </w:p>
        </w:tc>
        <w:tc>
          <w:tcPr>
            <w:tcW w:w="3003" w:type="dxa"/>
            <w:noWrap/>
            <w:vAlign w:val="center"/>
          </w:tcPr>
          <w:p>
            <w:pPr>
              <w:pStyle w:val="39"/>
              <w:rPr>
                <w:rFonts w:ascii="Times New Roman" w:hAnsi="Times New Roman"/>
              </w:rPr>
            </w:pPr>
            <w:r>
              <w:rPr>
                <w:rFonts w:ascii="Times New Roman" w:hAnsi="Times New Roma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100</w:t>
            </w:r>
          </w:p>
        </w:tc>
        <w:tc>
          <w:tcPr>
            <w:tcW w:w="3058" w:type="dxa"/>
            <w:noWrap/>
            <w:vAlign w:val="center"/>
          </w:tcPr>
          <w:p>
            <w:pPr>
              <w:pStyle w:val="39"/>
              <w:rPr>
                <w:rFonts w:ascii="Times New Roman" w:hAnsi="Times New Roman"/>
              </w:rPr>
            </w:pPr>
            <w:r>
              <w:rPr>
                <w:rFonts w:ascii="Times New Roman" w:hAnsi="Times New Roman"/>
              </w:rPr>
              <w:t>1.51</w:t>
            </w:r>
          </w:p>
        </w:tc>
        <w:tc>
          <w:tcPr>
            <w:tcW w:w="3003" w:type="dxa"/>
            <w:noWrap/>
            <w:vAlign w:val="center"/>
          </w:tcPr>
          <w:p>
            <w:pPr>
              <w:pStyle w:val="39"/>
              <w:rPr>
                <w:rFonts w:ascii="Times New Roman" w:hAnsi="Times New Roman"/>
              </w:rPr>
            </w:pPr>
            <w:r>
              <w:rPr>
                <w:rFonts w:ascii="Times New Roman" w:hAnsi="Times New Roma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300</w:t>
            </w:r>
          </w:p>
        </w:tc>
        <w:tc>
          <w:tcPr>
            <w:tcW w:w="3058" w:type="dxa"/>
            <w:noWrap/>
            <w:vAlign w:val="center"/>
          </w:tcPr>
          <w:p>
            <w:pPr>
              <w:pStyle w:val="39"/>
              <w:rPr>
                <w:rFonts w:ascii="Times New Roman" w:hAnsi="Times New Roman"/>
              </w:rPr>
            </w:pPr>
            <w:r>
              <w:rPr>
                <w:rFonts w:ascii="Times New Roman" w:hAnsi="Times New Roman"/>
              </w:rPr>
              <w:t>1.41</w:t>
            </w:r>
          </w:p>
        </w:tc>
        <w:tc>
          <w:tcPr>
            <w:tcW w:w="3003" w:type="dxa"/>
            <w:noWrap/>
            <w:vAlign w:val="center"/>
          </w:tcPr>
          <w:p>
            <w:pPr>
              <w:pStyle w:val="39"/>
              <w:rPr>
                <w:rFonts w:ascii="Times New Roman" w:hAnsi="Times New Roman"/>
              </w:rPr>
            </w:pPr>
            <w:r>
              <w:rPr>
                <w:rFonts w:ascii="Times New Roman" w:hAnsi="Times New Roma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600</w:t>
            </w:r>
          </w:p>
        </w:tc>
        <w:tc>
          <w:tcPr>
            <w:tcW w:w="3058" w:type="dxa"/>
            <w:noWrap/>
            <w:vAlign w:val="center"/>
          </w:tcPr>
          <w:p>
            <w:pPr>
              <w:pStyle w:val="39"/>
              <w:rPr>
                <w:rFonts w:ascii="Times New Roman" w:hAnsi="Times New Roman"/>
              </w:rPr>
            </w:pPr>
            <w:r>
              <w:rPr>
                <w:rFonts w:ascii="Times New Roman" w:hAnsi="Times New Roman"/>
              </w:rPr>
              <w:t>0.253</w:t>
            </w:r>
          </w:p>
        </w:tc>
        <w:tc>
          <w:tcPr>
            <w:tcW w:w="3003" w:type="dxa"/>
            <w:noWrap/>
            <w:vAlign w:val="center"/>
          </w:tcPr>
          <w:p>
            <w:pPr>
              <w:pStyle w:val="39"/>
              <w:rPr>
                <w:rFonts w:ascii="Times New Roman" w:hAnsi="Times New Roman"/>
              </w:rPr>
            </w:pPr>
            <w:r>
              <w:rPr>
                <w:rFonts w:ascii="Times New Roman" w:hAnsi="Times New Roman"/>
              </w:rPr>
              <w:t>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1000</w:t>
            </w:r>
          </w:p>
        </w:tc>
        <w:tc>
          <w:tcPr>
            <w:tcW w:w="3058" w:type="dxa"/>
            <w:noWrap/>
            <w:vAlign w:val="center"/>
          </w:tcPr>
          <w:p>
            <w:pPr>
              <w:pStyle w:val="39"/>
              <w:rPr>
                <w:rFonts w:ascii="Times New Roman" w:hAnsi="Times New Roman"/>
              </w:rPr>
            </w:pPr>
            <w:r>
              <w:rPr>
                <w:rFonts w:ascii="Times New Roman" w:hAnsi="Times New Roman"/>
              </w:rPr>
              <w:t>7.96E-04</w:t>
            </w:r>
          </w:p>
        </w:tc>
        <w:tc>
          <w:tcPr>
            <w:tcW w:w="3003" w:type="dxa"/>
            <w:noWrap/>
            <w:vAlign w:val="center"/>
          </w:tcPr>
          <w:p>
            <w:pPr>
              <w:pStyle w:val="39"/>
              <w:rPr>
                <w:rFonts w:ascii="Times New Roman" w:hAnsi="Times New Roman"/>
              </w:rPr>
            </w:pPr>
            <w:r>
              <w:rPr>
                <w:rFonts w:ascii="Times New Roman" w:hAnsi="Times New Roman"/>
              </w:rPr>
              <w:t>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1500</w:t>
            </w:r>
          </w:p>
        </w:tc>
        <w:tc>
          <w:tcPr>
            <w:tcW w:w="3058" w:type="dxa"/>
            <w:noWrap/>
            <w:vAlign w:val="center"/>
          </w:tcPr>
          <w:p>
            <w:pPr>
              <w:pStyle w:val="39"/>
              <w:rPr>
                <w:rFonts w:ascii="Times New Roman" w:hAnsi="Times New Roman"/>
              </w:rPr>
            </w:pPr>
            <w:r>
              <w:rPr>
                <w:rFonts w:ascii="Times New Roman" w:hAnsi="Times New Roman"/>
              </w:rPr>
              <w:t>1.57E-04</w:t>
            </w:r>
          </w:p>
        </w:tc>
        <w:tc>
          <w:tcPr>
            <w:tcW w:w="3003" w:type="dxa"/>
            <w:noWrap/>
            <w:vAlign w:val="center"/>
          </w:tcPr>
          <w:p>
            <w:pPr>
              <w:pStyle w:val="39"/>
              <w:rPr>
                <w:rFonts w:ascii="Times New Roman" w:hAnsi="Times New Roman"/>
              </w:rPr>
            </w:pPr>
            <w:r>
              <w:rPr>
                <w:rFonts w:ascii="Times New Roman" w:hAnsi="Times New Roma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2100</w:t>
            </w:r>
          </w:p>
        </w:tc>
        <w:tc>
          <w:tcPr>
            <w:tcW w:w="3058" w:type="dxa"/>
            <w:noWrap/>
            <w:vAlign w:val="center"/>
          </w:tcPr>
          <w:p>
            <w:pPr>
              <w:pStyle w:val="39"/>
              <w:rPr>
                <w:rFonts w:ascii="Times New Roman" w:hAnsi="Times New Roman"/>
              </w:rPr>
            </w:pPr>
            <w:r>
              <w:rPr>
                <w:rFonts w:ascii="Times New Roman" w:hAnsi="Times New Roman"/>
              </w:rPr>
              <w:t>4.79E-04</w:t>
            </w:r>
          </w:p>
        </w:tc>
        <w:tc>
          <w:tcPr>
            <w:tcW w:w="3003" w:type="dxa"/>
            <w:noWrap/>
            <w:vAlign w:val="center"/>
          </w:tcPr>
          <w:p>
            <w:pPr>
              <w:pStyle w:val="39"/>
              <w:rPr>
                <w:rFonts w:ascii="Times New Roman" w:hAnsi="Times New Roman"/>
              </w:rPr>
            </w:pPr>
            <w:r>
              <w:rPr>
                <w:rFonts w:ascii="Times New Roman" w:hAnsi="Times New Roman"/>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3000</w:t>
            </w:r>
          </w:p>
        </w:tc>
        <w:tc>
          <w:tcPr>
            <w:tcW w:w="3058" w:type="dxa"/>
            <w:noWrap/>
            <w:vAlign w:val="center"/>
          </w:tcPr>
          <w:p>
            <w:pPr>
              <w:pStyle w:val="39"/>
              <w:rPr>
                <w:rFonts w:ascii="Times New Roman" w:hAnsi="Times New Roman"/>
              </w:rPr>
            </w:pPr>
            <w:r>
              <w:rPr>
                <w:rFonts w:ascii="Times New Roman" w:hAnsi="Times New Roman"/>
              </w:rPr>
              <w:t>6.71E-05</w:t>
            </w:r>
          </w:p>
        </w:tc>
        <w:tc>
          <w:tcPr>
            <w:tcW w:w="3003" w:type="dxa"/>
            <w:noWrap/>
            <w:vAlign w:val="center"/>
          </w:tcPr>
          <w:p>
            <w:pPr>
              <w:pStyle w:val="39"/>
              <w:rPr>
                <w:rFonts w:ascii="Times New Roman" w:hAnsi="Times New Roman"/>
              </w:rPr>
            </w:pPr>
            <w:r>
              <w:rPr>
                <w:rFonts w:ascii="Times New Roman" w:hAnsi="Times New Roman"/>
              </w:rPr>
              <w:t>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4000</w:t>
            </w:r>
          </w:p>
        </w:tc>
        <w:tc>
          <w:tcPr>
            <w:tcW w:w="3058" w:type="dxa"/>
            <w:noWrap/>
            <w:vAlign w:val="center"/>
          </w:tcPr>
          <w:p>
            <w:pPr>
              <w:pStyle w:val="39"/>
              <w:rPr>
                <w:rFonts w:ascii="Times New Roman" w:hAnsi="Times New Roman"/>
              </w:rPr>
            </w:pPr>
            <w:r>
              <w:rPr>
                <w:rFonts w:ascii="Times New Roman" w:hAnsi="Times New Roman"/>
              </w:rPr>
              <w:t>2.91E-03</w:t>
            </w:r>
          </w:p>
        </w:tc>
        <w:tc>
          <w:tcPr>
            <w:tcW w:w="3003" w:type="dxa"/>
            <w:noWrap/>
            <w:vAlign w:val="center"/>
          </w:tcPr>
          <w:p>
            <w:pPr>
              <w:pStyle w:val="39"/>
              <w:rPr>
                <w:rFonts w:ascii="Times New Roman" w:hAnsi="Times New Roman"/>
              </w:rPr>
            </w:pPr>
            <w:r>
              <w:rPr>
                <w:rFonts w:ascii="Times New Roman" w:hAnsi="Times New Roman"/>
              </w:rPr>
              <w:t>65</w:t>
            </w:r>
          </w:p>
        </w:tc>
      </w:tr>
    </w:tbl>
    <w:p>
      <w:pPr>
        <w:ind w:firstLine="480"/>
        <w:rPr>
          <w:rFonts w:ascii="Times New Roman" w:hAnsi="Times New Roman"/>
        </w:rPr>
      </w:pPr>
    </w:p>
    <w:p>
      <w:pPr>
        <w:ind w:firstLine="480"/>
        <w:rPr>
          <w:rFonts w:ascii="Times New Roman" w:hAnsi="Times New Roman"/>
        </w:rPr>
      </w:pPr>
    </w:p>
    <w:p>
      <w:pPr>
        <w:keepNext/>
        <w:ind w:firstLine="0" w:firstLineChars="0"/>
        <w:jc w:val="center"/>
        <w:rPr>
          <w:rFonts w:ascii="Times New Roman" w:hAnsi="Times New Roman"/>
        </w:rPr>
        <w:sectPr>
          <w:headerReference r:id="rId27" w:type="first"/>
          <w:footerReference r:id="rId29" w:type="first"/>
          <w:headerReference r:id="rId26" w:type="even"/>
          <w:footerReference r:id="rId28" w:type="even"/>
          <w:pgSz w:w="11907" w:h="16840"/>
          <w:pgMar w:top="1417" w:right="1417" w:bottom="1417" w:left="1587" w:header="851" w:footer="992" w:gutter="0"/>
          <w:cols w:space="720" w:num="1"/>
          <w:docGrid w:linePitch="312" w:charSpace="0"/>
        </w:sectPr>
      </w:pPr>
    </w:p>
    <w:p>
      <w:pPr>
        <w:keepNext/>
        <w:ind w:firstLine="0" w:firstLineChars="0"/>
        <w:jc w:val="center"/>
        <w:rPr>
          <w:rFonts w:ascii="Times New Roman" w:hAnsi="Times New Roman"/>
        </w:rPr>
      </w:pPr>
      <w:r>
        <w:rPr>
          <w:rFonts w:ascii="Times New Roman" w:hAnsi="Times New Roman"/>
          <w14:ligatures w14:val="standardContextual"/>
        </w:rPr>
        <w:drawing>
          <wp:inline distT="0" distB="0" distL="0" distR="0">
            <wp:extent cx="5105400" cy="4067175"/>
            <wp:effectExtent l="0" t="0" r="0" b="9525"/>
            <wp:docPr id="115826972"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26972" name="图片 1" descr="地图&#10;&#10;描述已自动生成"/>
                    <pic:cNvPicPr>
                      <a:picLocks noChangeAspect="1"/>
                    </pic:cNvPicPr>
                  </pic:nvPicPr>
                  <pic:blipFill>
                    <a:blip r:embed="rId149"/>
                    <a:srcRect r="9690"/>
                    <a:stretch>
                      <a:fillRect/>
                    </a:stretch>
                  </pic:blipFill>
                  <pic:spPr>
                    <a:xfrm>
                      <a:off x="0" y="0"/>
                      <a:ext cx="5105617" cy="4067348"/>
                    </a:xfrm>
                    <a:prstGeom prst="rect">
                      <a:avLst/>
                    </a:prstGeom>
                    <a:ln>
                      <a:noFill/>
                    </a:ln>
                  </pic:spPr>
                </pic:pic>
              </a:graphicData>
            </a:graphic>
          </wp:inline>
        </w:drawing>
      </w:r>
    </w:p>
    <w:p>
      <w:pPr>
        <w:pStyle w:val="37"/>
        <w:rPr>
          <w:rFonts w:ascii="Times New Roman" w:hAnsi="Times New Roman" w:cs="Times New Roman"/>
        </w:rPr>
      </w:pPr>
      <w:bookmarkStart w:id="316" w:name="_Ref158105501"/>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bookmarkEnd w:id="316"/>
      <w:r>
        <w:rPr>
          <w:rFonts w:ascii="Times New Roman" w:hAnsi="Times New Roman" w:cs="Times New Roman"/>
        </w:rPr>
        <w:t xml:space="preserve">   天然气泄漏H</w:t>
      </w:r>
      <w:r>
        <w:rPr>
          <w:rFonts w:ascii="Times New Roman" w:hAnsi="Times New Roman" w:cs="Times New Roman"/>
          <w:vertAlign w:val="subscript"/>
        </w:rPr>
        <w:t>2</w:t>
      </w:r>
      <w:r>
        <w:rPr>
          <w:rFonts w:ascii="Times New Roman" w:hAnsi="Times New Roman" w:cs="Times New Roman"/>
        </w:rPr>
        <w:t>S在东北风向下最大影响范围平面示意图</w:t>
      </w:r>
    </w:p>
    <w:p>
      <w:pPr>
        <w:pStyle w:val="37"/>
        <w:rPr>
          <w:rFonts w:ascii="Times New Roman" w:hAnsi="Times New Roman" w:cs="Times New Roman"/>
        </w:rPr>
      </w:pPr>
      <w:bookmarkStart w:id="317" w:name="_Ref158106470"/>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49</w:t>
      </w:r>
      <w:r>
        <w:rPr>
          <w:rFonts w:ascii="Times New Roman" w:hAnsi="Times New Roman" w:cs="Times New Roman"/>
        </w:rPr>
        <w:fldChar w:fldCharType="end"/>
      </w:r>
      <w:bookmarkEnd w:id="317"/>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S扩散对关心点的预测统计表</w:t>
      </w:r>
    </w:p>
    <w:tbl>
      <w:tblPr>
        <w:tblStyle w:val="28"/>
        <w:tblW w:w="52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3"/>
        <w:gridCol w:w="2067"/>
        <w:gridCol w:w="2362"/>
        <w:gridCol w:w="2163"/>
        <w:gridCol w:w="22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序号</w:t>
            </w:r>
          </w:p>
        </w:tc>
        <w:tc>
          <w:tcPr>
            <w:tcW w:w="1932" w:type="dxa"/>
            <w:shd w:val="clear" w:color="auto" w:fill="auto"/>
            <w:vAlign w:val="center"/>
          </w:tcPr>
          <w:p>
            <w:pPr>
              <w:pStyle w:val="39"/>
              <w:rPr>
                <w:rFonts w:ascii="Times New Roman" w:hAnsi="Times New Roman"/>
              </w:rPr>
            </w:pPr>
            <w:r>
              <w:rPr>
                <w:rFonts w:ascii="Times New Roman" w:hAnsi="Times New Roman"/>
              </w:rPr>
              <w:t>敏感目标名称</w:t>
            </w:r>
          </w:p>
        </w:tc>
        <w:tc>
          <w:tcPr>
            <w:tcW w:w="2207" w:type="dxa"/>
            <w:shd w:val="clear" w:color="auto" w:fill="auto"/>
            <w:vAlign w:val="center"/>
          </w:tcPr>
          <w:p>
            <w:pPr>
              <w:pStyle w:val="39"/>
              <w:rPr>
                <w:rFonts w:ascii="Times New Roman" w:hAnsi="Times New Roman"/>
              </w:rPr>
            </w:pPr>
            <w:r>
              <w:rPr>
                <w:rFonts w:ascii="Times New Roman" w:hAnsi="Times New Roman"/>
              </w:rPr>
              <w:t>*超标出现时间/min</w:t>
            </w:r>
          </w:p>
        </w:tc>
        <w:tc>
          <w:tcPr>
            <w:tcW w:w="2021" w:type="dxa"/>
            <w:shd w:val="clear" w:color="auto" w:fill="auto"/>
            <w:vAlign w:val="center"/>
          </w:tcPr>
          <w:p>
            <w:pPr>
              <w:pStyle w:val="39"/>
              <w:rPr>
                <w:rFonts w:ascii="Times New Roman" w:hAnsi="Times New Roman"/>
              </w:rPr>
            </w:pPr>
            <w:r>
              <w:rPr>
                <w:rFonts w:ascii="Times New Roman" w:hAnsi="Times New Roman"/>
              </w:rPr>
              <w:t>超标持续时间/min</w:t>
            </w:r>
          </w:p>
        </w:tc>
        <w:tc>
          <w:tcPr>
            <w:tcW w:w="2066" w:type="dxa"/>
            <w:shd w:val="clear" w:color="auto" w:fill="auto"/>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1</w:t>
            </w:r>
          </w:p>
        </w:tc>
        <w:tc>
          <w:tcPr>
            <w:tcW w:w="1932" w:type="dxa"/>
            <w:shd w:val="clear" w:color="auto" w:fill="auto"/>
            <w:vAlign w:val="center"/>
          </w:tcPr>
          <w:p>
            <w:pPr>
              <w:pStyle w:val="39"/>
              <w:rPr>
                <w:rFonts w:ascii="Times New Roman" w:hAnsi="Times New Roman"/>
              </w:rPr>
            </w:pPr>
            <w:r>
              <w:rPr>
                <w:rFonts w:ascii="Times New Roman" w:hAnsi="Times New Roman"/>
              </w:rPr>
              <w:t>关心点1</w:t>
            </w:r>
          </w:p>
        </w:tc>
        <w:tc>
          <w:tcPr>
            <w:tcW w:w="2207" w:type="dxa"/>
            <w:shd w:val="clear" w:color="auto" w:fill="auto"/>
          </w:tcPr>
          <w:p>
            <w:pPr>
              <w:pStyle w:val="39"/>
              <w:rPr>
                <w:rFonts w:ascii="Times New Roman" w:hAnsi="Times New Roman"/>
              </w:rPr>
            </w:pPr>
            <w:r>
              <w:rPr>
                <w:rFonts w:ascii="Times New Roman" w:hAnsi="Times New Roman"/>
              </w:rPr>
              <w:t>-</w:t>
            </w:r>
          </w:p>
        </w:tc>
        <w:tc>
          <w:tcPr>
            <w:tcW w:w="2021" w:type="dxa"/>
            <w:shd w:val="clear" w:color="auto" w:fill="auto"/>
          </w:tcPr>
          <w:p>
            <w:pPr>
              <w:pStyle w:val="39"/>
              <w:rPr>
                <w:rFonts w:ascii="Times New Roman" w:hAnsi="Times New Roman"/>
              </w:rPr>
            </w:pPr>
            <w:r>
              <w:rPr>
                <w:rFonts w:ascii="Times New Roman" w:hAnsi="Times New Roman"/>
              </w:rPr>
              <w:t>-</w:t>
            </w:r>
          </w:p>
        </w:tc>
        <w:tc>
          <w:tcPr>
            <w:tcW w:w="2066" w:type="dxa"/>
            <w:shd w:val="clear" w:color="auto" w:fill="auto"/>
          </w:tcPr>
          <w:p>
            <w:pPr>
              <w:pStyle w:val="39"/>
              <w:rPr>
                <w:rFonts w:ascii="Times New Roman" w:hAnsi="Times New Roman"/>
              </w:rPr>
            </w:pPr>
            <w:r>
              <w:rPr>
                <w:rFonts w:ascii="Times New Roman" w:hAnsi="Times New Roman"/>
              </w:rPr>
              <w:t>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2</w:t>
            </w:r>
          </w:p>
        </w:tc>
        <w:tc>
          <w:tcPr>
            <w:tcW w:w="1932" w:type="dxa"/>
            <w:shd w:val="clear" w:color="auto" w:fill="auto"/>
            <w:vAlign w:val="center"/>
          </w:tcPr>
          <w:p>
            <w:pPr>
              <w:pStyle w:val="39"/>
              <w:rPr>
                <w:rFonts w:ascii="Times New Roman" w:hAnsi="Times New Roman"/>
              </w:rPr>
            </w:pPr>
            <w:r>
              <w:rPr>
                <w:rFonts w:ascii="Times New Roman" w:hAnsi="Times New Roman"/>
              </w:rPr>
              <w:t>关心点2</w:t>
            </w:r>
          </w:p>
        </w:tc>
        <w:tc>
          <w:tcPr>
            <w:tcW w:w="2207" w:type="dxa"/>
            <w:shd w:val="clear" w:color="auto" w:fill="auto"/>
          </w:tcPr>
          <w:p>
            <w:pPr>
              <w:pStyle w:val="39"/>
              <w:rPr>
                <w:rFonts w:ascii="Times New Roman" w:hAnsi="Times New Roman"/>
              </w:rPr>
            </w:pPr>
            <w:r>
              <w:rPr>
                <w:rFonts w:ascii="Times New Roman" w:hAnsi="Times New Roman"/>
              </w:rPr>
              <w:t>-</w:t>
            </w:r>
          </w:p>
        </w:tc>
        <w:tc>
          <w:tcPr>
            <w:tcW w:w="2021" w:type="dxa"/>
            <w:shd w:val="clear" w:color="auto" w:fill="auto"/>
          </w:tcPr>
          <w:p>
            <w:pPr>
              <w:pStyle w:val="39"/>
              <w:rPr>
                <w:rFonts w:ascii="Times New Roman" w:hAnsi="Times New Roman"/>
              </w:rPr>
            </w:pPr>
            <w:r>
              <w:rPr>
                <w:rFonts w:ascii="Times New Roman" w:hAnsi="Times New Roman"/>
              </w:rPr>
              <w:t>-</w:t>
            </w:r>
          </w:p>
        </w:tc>
        <w:tc>
          <w:tcPr>
            <w:tcW w:w="2066" w:type="dxa"/>
            <w:shd w:val="clear" w:color="auto" w:fill="auto"/>
          </w:tcPr>
          <w:p>
            <w:pPr>
              <w:pStyle w:val="39"/>
              <w:rPr>
                <w:rFonts w:ascii="Times New Roman" w:hAnsi="Times New Roman"/>
              </w:rPr>
            </w:pPr>
            <w:r>
              <w:rPr>
                <w:rFonts w:ascii="Times New Roman" w:hAnsi="Times New Roman"/>
              </w:rPr>
              <w:t>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3</w:t>
            </w:r>
          </w:p>
        </w:tc>
        <w:tc>
          <w:tcPr>
            <w:tcW w:w="1932" w:type="dxa"/>
            <w:shd w:val="clear" w:color="auto" w:fill="auto"/>
            <w:vAlign w:val="center"/>
          </w:tcPr>
          <w:p>
            <w:pPr>
              <w:pStyle w:val="39"/>
              <w:rPr>
                <w:rFonts w:ascii="Times New Roman" w:hAnsi="Times New Roman"/>
              </w:rPr>
            </w:pPr>
            <w:r>
              <w:rPr>
                <w:rFonts w:ascii="Times New Roman" w:hAnsi="Times New Roman"/>
              </w:rPr>
              <w:t>关心点3</w:t>
            </w:r>
          </w:p>
        </w:tc>
        <w:tc>
          <w:tcPr>
            <w:tcW w:w="2207" w:type="dxa"/>
            <w:shd w:val="clear" w:color="auto" w:fill="auto"/>
          </w:tcPr>
          <w:p>
            <w:pPr>
              <w:pStyle w:val="39"/>
              <w:rPr>
                <w:rFonts w:ascii="Times New Roman" w:hAnsi="Times New Roman"/>
              </w:rPr>
            </w:pPr>
            <w:r>
              <w:rPr>
                <w:rFonts w:ascii="Times New Roman" w:hAnsi="Times New Roman"/>
              </w:rPr>
              <w:t>-</w:t>
            </w:r>
          </w:p>
        </w:tc>
        <w:tc>
          <w:tcPr>
            <w:tcW w:w="2021" w:type="dxa"/>
            <w:shd w:val="clear" w:color="auto" w:fill="auto"/>
          </w:tcPr>
          <w:p>
            <w:pPr>
              <w:pStyle w:val="39"/>
              <w:rPr>
                <w:rFonts w:ascii="Times New Roman" w:hAnsi="Times New Roman"/>
              </w:rPr>
            </w:pPr>
            <w:r>
              <w:rPr>
                <w:rFonts w:ascii="Times New Roman" w:hAnsi="Times New Roman"/>
              </w:rPr>
              <w:t>-</w:t>
            </w:r>
          </w:p>
        </w:tc>
        <w:tc>
          <w:tcPr>
            <w:tcW w:w="2066" w:type="dxa"/>
            <w:shd w:val="clear" w:color="auto" w:fill="auto"/>
          </w:tcPr>
          <w:p>
            <w:pPr>
              <w:pStyle w:val="39"/>
              <w:rPr>
                <w:rFonts w:ascii="Times New Roman" w:hAnsi="Times New Roman"/>
              </w:rPr>
            </w:pPr>
            <w:r>
              <w:rPr>
                <w:rFonts w:ascii="Times New Roman" w:hAnsi="Times New Roman"/>
              </w:rPr>
              <w:t>0.02</w:t>
            </w:r>
          </w:p>
        </w:tc>
      </w:tr>
    </w:tbl>
    <w:p>
      <w:pPr>
        <w:ind w:firstLine="0" w:firstLineChars="0"/>
        <w:rPr>
          <w:rFonts w:ascii="Times New Roman" w:hAnsi="Times New Roman"/>
          <w:sz w:val="18"/>
          <w:szCs w:val="18"/>
        </w:rPr>
      </w:pPr>
      <w:r>
        <w:rPr>
          <w:rFonts w:ascii="Times New Roman" w:hAnsi="Times New Roman"/>
          <w:sz w:val="18"/>
          <w:szCs w:val="18"/>
        </w:rPr>
        <w:t>*注：超标时间均指超过大气毒性终点浓度2的时间。</w:t>
      </w:r>
    </w:p>
    <w:p>
      <w:pPr>
        <w:keepNext/>
        <w:ind w:firstLine="0" w:firstLineChars="0"/>
        <w:jc w:val="center"/>
        <w:rPr>
          <w:rFonts w:ascii="Times New Roman" w:hAnsi="Times New Roman"/>
        </w:rPr>
      </w:pPr>
      <w:r>
        <w:rPr>
          <w:rFonts w:ascii="Times New Roman" w:hAnsi="Times New Roman"/>
          <w:sz w:val="18"/>
          <w:szCs w:val="18"/>
        </w:rPr>
        <w:drawing>
          <wp:inline distT="0" distB="0" distL="0" distR="0">
            <wp:extent cx="5266055" cy="2839085"/>
            <wp:effectExtent l="0" t="0" r="0" b="0"/>
            <wp:docPr id="1081203094" name="图片 2"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203094" name="图片 2" descr="图表, 折线图&#10;&#10;描述已自动生成"/>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5270865" cy="2842049"/>
                    </a:xfrm>
                    <a:prstGeom prst="rect">
                      <a:avLst/>
                    </a:prstGeom>
                    <a:noFill/>
                  </pic:spPr>
                </pic:pic>
              </a:graphicData>
            </a:graphic>
          </wp:inline>
        </w:drawing>
      </w:r>
    </w:p>
    <w:p>
      <w:pPr>
        <w:pStyle w:val="37"/>
        <w:rPr>
          <w:rFonts w:ascii="Times New Roman" w:hAnsi="Times New Roman" w:cs="Times New Roman"/>
        </w:rPr>
      </w:pPr>
      <w:bookmarkStart w:id="318" w:name="_Ref158106488"/>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bookmarkEnd w:id="318"/>
      <w:r>
        <w:rPr>
          <w:rFonts w:ascii="Times New Roman" w:hAnsi="Times New Roman" w:cs="Times New Roman"/>
        </w:rPr>
        <w:t xml:space="preserve">   主要受影响敏感点浓度随时间变化图</w:t>
      </w:r>
    </w:p>
    <w:p>
      <w:pPr>
        <w:ind w:firstLine="480"/>
        <w:rPr>
          <w:rFonts w:ascii="Times New Roman" w:hAnsi="Times New Roman"/>
        </w:rPr>
      </w:pPr>
      <w:r>
        <w:rPr>
          <w:rFonts w:ascii="Times New Roman" w:hAnsi="Times New Roman"/>
        </w:rPr>
        <w:t>4）小结</w:t>
      </w:r>
    </w:p>
    <w:p>
      <w:pPr>
        <w:ind w:firstLine="480"/>
        <w:rPr>
          <w:rFonts w:ascii="Times New Roman" w:hAnsi="Times New Roman"/>
        </w:rPr>
      </w:pPr>
      <w:r>
        <w:rPr>
          <w:rFonts w:ascii="Times New Roman" w:hAnsi="Times New Roman"/>
        </w:rPr>
        <w:t>宣探清管站-304集气站段管道泄漏时，根据模拟预测，在最不利气象条件下，各风向下均没有出现H</w:t>
      </w:r>
      <w:r>
        <w:rPr>
          <w:rFonts w:ascii="Times New Roman" w:hAnsi="Times New Roman"/>
          <w:vertAlign w:val="subscript"/>
        </w:rPr>
        <w:t>2</w:t>
      </w:r>
      <w:r>
        <w:rPr>
          <w:rFonts w:ascii="Times New Roman" w:hAnsi="Times New Roman"/>
        </w:rPr>
        <w:t>S毒性终点浓度1影响范围，亦没有出现H</w:t>
      </w:r>
      <w:r>
        <w:rPr>
          <w:rFonts w:ascii="Times New Roman" w:hAnsi="Times New Roman"/>
          <w:vertAlign w:val="subscript"/>
        </w:rPr>
        <w:t>2</w:t>
      </w:r>
      <w:r>
        <w:rPr>
          <w:rFonts w:ascii="Times New Roman" w:hAnsi="Times New Roman"/>
        </w:rPr>
        <w:t>S毒性终点浓度2影响范围。</w:t>
      </w:r>
    </w:p>
    <w:p>
      <w:pPr>
        <w:ind w:firstLine="480"/>
        <w:rPr>
          <w:rFonts w:ascii="Times New Roman" w:hAnsi="Times New Roman"/>
        </w:rPr>
      </w:pPr>
      <w:r>
        <w:rPr>
          <w:rFonts w:ascii="Times New Roman" w:hAnsi="Times New Roman"/>
        </w:rPr>
        <w:t>风险源周边关心点中，以H</w:t>
      </w:r>
      <w:r>
        <w:rPr>
          <w:rFonts w:ascii="Times New Roman" w:hAnsi="Times New Roman"/>
          <w:vertAlign w:val="subscript"/>
        </w:rPr>
        <w:t>2</w:t>
      </w:r>
      <w:r>
        <w:rPr>
          <w:rFonts w:ascii="Times New Roman" w:hAnsi="Times New Roman"/>
        </w:rPr>
        <w:t>S毒性终点浓度2作为超标参考依据，各关心点均未超标。</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50</w:t>
      </w:r>
      <w:r>
        <w:rPr>
          <w:rFonts w:ascii="Times New Roman" w:hAnsi="Times New Roman" w:cs="Times New Roman"/>
        </w:rPr>
        <w:fldChar w:fldCharType="end"/>
      </w:r>
      <w:r>
        <w:rPr>
          <w:rFonts w:ascii="Times New Roman" w:hAnsi="Times New Roman" w:cs="Times New Roman"/>
        </w:rPr>
        <w:t xml:space="preserve">  宣探清管站-304集气站段管道泄漏事故基本信息表</w:t>
      </w:r>
    </w:p>
    <w:tbl>
      <w:tblPr>
        <w:tblStyle w:val="28"/>
        <w:tblW w:w="513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6"/>
        <w:gridCol w:w="1133"/>
        <w:gridCol w:w="2224"/>
        <w:gridCol w:w="1300"/>
        <w:gridCol w:w="1516"/>
        <w:gridCol w:w="1535"/>
        <w:gridCol w:w="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shd w:val="clear" w:color="auto" w:fill="auto"/>
            <w:tcMar>
              <w:left w:w="57" w:type="dxa"/>
              <w:right w:w="57" w:type="dxa"/>
            </w:tcMar>
            <w:vAlign w:val="center"/>
          </w:tcPr>
          <w:p>
            <w:pPr>
              <w:pStyle w:val="39"/>
              <w:rPr>
                <w:rFonts w:ascii="Times New Roman" w:hAnsi="Times New Roman"/>
              </w:rPr>
            </w:pPr>
            <w:r>
              <w:rPr>
                <w:rFonts w:ascii="Times New Roman" w:hAnsi="Times New Roman"/>
              </w:rPr>
              <w:t>风险事故情形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代表性风险事故情形描述</w:t>
            </w:r>
          </w:p>
        </w:tc>
        <w:tc>
          <w:tcPr>
            <w:tcW w:w="4163" w:type="pct"/>
            <w:gridSpan w:val="5"/>
            <w:shd w:val="clear" w:color="auto" w:fill="auto"/>
            <w:tcMar>
              <w:left w:w="57" w:type="dxa"/>
              <w:right w:w="57" w:type="dxa"/>
            </w:tcMar>
            <w:vAlign w:val="center"/>
          </w:tcPr>
          <w:p>
            <w:pPr>
              <w:pStyle w:val="39"/>
              <w:rPr>
                <w:rFonts w:ascii="Times New Roman" w:hAnsi="Times New Roman"/>
              </w:rPr>
            </w:pPr>
            <w:r>
              <w:rPr>
                <w:rFonts w:ascii="Times New Roman" w:hAnsi="Times New Roman"/>
              </w:rPr>
              <w:t>宣探联络线（宣探清管站-304集气站）管道断裂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环境风险类型</w:t>
            </w:r>
          </w:p>
        </w:tc>
        <w:tc>
          <w:tcPr>
            <w:tcW w:w="4163" w:type="pct"/>
            <w:gridSpan w:val="5"/>
            <w:shd w:val="clear" w:color="auto" w:fill="auto"/>
            <w:tcMar>
              <w:left w:w="57" w:type="dxa"/>
              <w:right w:w="57" w:type="dxa"/>
            </w:tcMar>
            <w:vAlign w:val="center"/>
          </w:tcPr>
          <w:p>
            <w:pPr>
              <w:pStyle w:val="39"/>
              <w:rPr>
                <w:rFonts w:ascii="Times New Roman" w:hAnsi="Times New Roman"/>
              </w:rPr>
            </w:pPr>
            <w:r>
              <w:rPr>
                <w:rFonts w:ascii="Times New Roman" w:hAnsi="Times New Roman"/>
              </w:rPr>
              <w:t>原料天然气垂直喷射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泄漏设备类型</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原料气集输管线</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操作温度（℃）</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36</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操作压力/MPa</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8.05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排放危险物质</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硫化氢</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最大存在量/kg</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706.32</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泄漏孔径/mm</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排放速率/kg/s</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2.616</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稳定泄漏时间/（min）</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4.5</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泄漏量/kg</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706.32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泄漏高度/m</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0</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泄漏液体蒸发量/kg</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泄漏频率</w:t>
            </w:r>
          </w:p>
        </w:tc>
        <w:tc>
          <w:tcPr>
            <w:tcW w:w="829" w:type="pct"/>
            <w:shd w:val="clear" w:color="auto" w:fill="auto"/>
            <w:tcMar>
              <w:left w:w="57" w:type="dxa"/>
              <w:right w:w="57" w:type="dxa"/>
            </w:tcMar>
            <w:vAlign w:val="center"/>
          </w:tcPr>
          <w:p>
            <w:pPr>
              <w:pStyle w:val="39"/>
              <w:rPr>
                <w:rFonts w:ascii="Times New Roman" w:hAnsi="Times New Roman"/>
                <w:vertAlign w:val="subscript"/>
              </w:rPr>
            </w:pPr>
            <w:r>
              <w:rPr>
                <w:rFonts w:ascii="Times New Roman" w:hAnsi="Times New Roman"/>
              </w:rPr>
              <w:t>1.2×10</w:t>
            </w:r>
            <w:r>
              <w:rPr>
                <w:rFonts w:ascii="Times New Roman" w:hAnsi="Times New Roman"/>
                <w:vertAlign w:val="superscript"/>
              </w:rPr>
              <w:t>-4</w:t>
            </w:r>
            <w:r>
              <w:rPr>
                <w:rFonts w:ascii="Times New Roman" w:hAnsi="Times New Roman"/>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shd w:val="clear" w:color="auto" w:fill="auto"/>
            <w:tcMar>
              <w:left w:w="57" w:type="dxa"/>
              <w:right w:w="57" w:type="dxa"/>
            </w:tcMar>
            <w:vAlign w:val="center"/>
          </w:tcPr>
          <w:p>
            <w:pPr>
              <w:pStyle w:val="39"/>
              <w:rPr>
                <w:rFonts w:ascii="Times New Roman" w:hAnsi="Times New Roman"/>
              </w:rPr>
            </w:pPr>
            <w:r>
              <w:rPr>
                <w:rFonts w:ascii="Times New Roman" w:hAnsi="Times New Roman"/>
              </w:rPr>
              <w:t>事故后果预测（最不利气象条件）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w:t>
            </w:r>
          </w:p>
        </w:tc>
        <w:tc>
          <w:tcPr>
            <w:tcW w:w="612"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危险物质</w:t>
            </w:r>
          </w:p>
        </w:tc>
        <w:tc>
          <w:tcPr>
            <w:tcW w:w="3551" w:type="pct"/>
            <w:gridSpan w:val="4"/>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大气环境影响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指标</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浓度值/mg/m</w:t>
            </w:r>
            <w:r>
              <w:rPr>
                <w:rFonts w:ascii="Times New Roman" w:hAnsi="Times New Roman"/>
                <w:vertAlign w:val="superscript"/>
              </w:rPr>
              <w:t>3</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最远影响距离/m</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到达时间/min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硫化氢</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大气毒性终点浓度-1</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70</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大气毒性终点浓度-2</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38</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敏感目标名称</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超标时间/min</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超标持续时间/min</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关心点1</w:t>
            </w:r>
          </w:p>
        </w:tc>
        <w:tc>
          <w:tcPr>
            <w:tcW w:w="702" w:type="pct"/>
            <w:shd w:val="clear" w:color="auto" w:fill="auto"/>
            <w:tcMar>
              <w:left w:w="57" w:type="dxa"/>
              <w:right w:w="57" w:type="dxa"/>
            </w:tcMar>
          </w:tcPr>
          <w:p>
            <w:pPr>
              <w:pStyle w:val="39"/>
              <w:rPr>
                <w:rFonts w:ascii="Times New Roman" w:hAnsi="Times New Roman"/>
              </w:rPr>
            </w:pPr>
            <w:r>
              <w:rPr>
                <w:rFonts w:ascii="Times New Roman" w:hAnsi="Times New Roman"/>
              </w:rPr>
              <w:t>-</w:t>
            </w:r>
          </w:p>
        </w:tc>
        <w:tc>
          <w:tcPr>
            <w:tcW w:w="819" w:type="pct"/>
            <w:shd w:val="clear" w:color="auto" w:fill="auto"/>
            <w:tcMar>
              <w:left w:w="57" w:type="dxa"/>
              <w:right w:w="57" w:type="dxa"/>
            </w:tcMar>
          </w:tcPr>
          <w:p>
            <w:pPr>
              <w:pStyle w:val="39"/>
              <w:rPr>
                <w:rFonts w:ascii="Times New Roman" w:hAnsi="Times New Roman"/>
              </w:rPr>
            </w:pPr>
            <w:r>
              <w:rPr>
                <w:rFonts w:ascii="Times New Roman" w:hAnsi="Times New Roman"/>
              </w:rPr>
              <w:t>-</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关心点2</w:t>
            </w:r>
          </w:p>
        </w:tc>
        <w:tc>
          <w:tcPr>
            <w:tcW w:w="702" w:type="pct"/>
            <w:shd w:val="clear" w:color="auto" w:fill="auto"/>
            <w:tcMar>
              <w:left w:w="57" w:type="dxa"/>
              <w:right w:w="57" w:type="dxa"/>
            </w:tcMar>
          </w:tcPr>
          <w:p>
            <w:pPr>
              <w:pStyle w:val="39"/>
              <w:rPr>
                <w:rFonts w:ascii="Times New Roman" w:hAnsi="Times New Roman"/>
              </w:rPr>
            </w:pPr>
            <w:r>
              <w:rPr>
                <w:rFonts w:ascii="Times New Roman" w:hAnsi="Times New Roman"/>
              </w:rPr>
              <w:t>-</w:t>
            </w:r>
          </w:p>
        </w:tc>
        <w:tc>
          <w:tcPr>
            <w:tcW w:w="819" w:type="pct"/>
            <w:shd w:val="clear" w:color="auto" w:fill="auto"/>
            <w:tcMar>
              <w:left w:w="57" w:type="dxa"/>
              <w:right w:w="57" w:type="dxa"/>
            </w:tcMar>
          </w:tcPr>
          <w:p>
            <w:pPr>
              <w:pStyle w:val="39"/>
              <w:rPr>
                <w:rFonts w:ascii="Times New Roman" w:hAnsi="Times New Roman"/>
              </w:rPr>
            </w:pPr>
            <w:r>
              <w:rPr>
                <w:rFonts w:ascii="Times New Roman" w:hAnsi="Times New Roman"/>
              </w:rPr>
              <w:t>-</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关心点3</w:t>
            </w:r>
          </w:p>
        </w:tc>
        <w:tc>
          <w:tcPr>
            <w:tcW w:w="702" w:type="pct"/>
            <w:shd w:val="clear" w:color="auto" w:fill="auto"/>
            <w:tcMar>
              <w:left w:w="57" w:type="dxa"/>
              <w:right w:w="57" w:type="dxa"/>
            </w:tcMar>
          </w:tcPr>
          <w:p>
            <w:pPr>
              <w:pStyle w:val="39"/>
              <w:rPr>
                <w:rFonts w:ascii="Times New Roman" w:hAnsi="Times New Roman" w:eastAsia="等线"/>
              </w:rPr>
            </w:pPr>
            <w:r>
              <w:rPr>
                <w:rFonts w:ascii="Times New Roman" w:hAnsi="Times New Roman"/>
              </w:rPr>
              <w:t>-</w:t>
            </w:r>
          </w:p>
        </w:tc>
        <w:tc>
          <w:tcPr>
            <w:tcW w:w="819" w:type="pct"/>
            <w:shd w:val="clear" w:color="auto" w:fill="auto"/>
            <w:tcMar>
              <w:left w:w="57" w:type="dxa"/>
              <w:right w:w="57" w:type="dxa"/>
            </w:tcMar>
          </w:tcPr>
          <w:p>
            <w:pPr>
              <w:pStyle w:val="39"/>
              <w:rPr>
                <w:rFonts w:ascii="Times New Roman" w:hAnsi="Times New Roman" w:eastAsia="等线"/>
              </w:rPr>
            </w:pPr>
            <w:r>
              <w:rPr>
                <w:rFonts w:ascii="Times New Roman" w:hAnsi="Times New Roman"/>
              </w:rPr>
              <w:t>-</w:t>
            </w:r>
          </w:p>
        </w:tc>
        <w:tc>
          <w:tcPr>
            <w:tcW w:w="829" w:type="pct"/>
            <w:shd w:val="clear" w:color="auto" w:fill="auto"/>
            <w:tcMar>
              <w:left w:w="57" w:type="dxa"/>
              <w:right w:w="57" w:type="dxa"/>
            </w:tcMar>
          </w:tcPr>
          <w:p>
            <w:pPr>
              <w:pStyle w:val="39"/>
              <w:rPr>
                <w:rFonts w:ascii="Times New Roman" w:hAnsi="Times New Roman"/>
                <w:kern w:val="0"/>
              </w:rPr>
            </w:pPr>
            <w:r>
              <w:rPr>
                <w:rFonts w:ascii="Times New Roman" w:hAnsi="Times New Roman"/>
              </w:rPr>
              <w:t>0.02</w:t>
            </w:r>
          </w:p>
        </w:tc>
      </w:tr>
    </w:tbl>
    <w:p>
      <w:pPr>
        <w:ind w:firstLine="480"/>
        <w:rPr>
          <w:rFonts w:ascii="Times New Roman" w:hAnsi="Times New Roman"/>
        </w:rPr>
      </w:pPr>
    </w:p>
    <w:p>
      <w:pPr>
        <w:adjustRightInd w:val="0"/>
        <w:snapToGrid w:val="0"/>
        <w:spacing w:line="240" w:lineRule="auto"/>
        <w:ind w:firstLine="0" w:firstLineChars="0"/>
        <w:rPr>
          <w:rFonts w:ascii="Times New Roman" w:hAnsi="Times New Roman"/>
        </w:rPr>
      </w:pPr>
      <w:r>
        <w:rPr>
          <w:rFonts w:ascii="Times New Roman" w:hAnsi="Times New Roman"/>
        </w:rPr>
        <w:t>（4）</w:t>
      </w:r>
      <w:r>
        <w:rPr>
          <w:rFonts w:ascii="Times New Roman" w:hAnsi="Times New Roman"/>
          <w:sz w:val="21"/>
          <w:szCs w:val="21"/>
        </w:rPr>
        <w:t>宣探集气支线（</w:t>
      </w:r>
      <w:r>
        <w:rPr>
          <w:rFonts w:ascii="Times New Roman" w:hAnsi="Times New Roman"/>
        </w:rPr>
        <w:t>宣探1井-宣兴1井</w:t>
      </w:r>
      <w:r>
        <w:rPr>
          <w:rFonts w:ascii="Times New Roman" w:hAnsi="Times New Roman"/>
          <w:sz w:val="21"/>
          <w:szCs w:val="21"/>
        </w:rPr>
        <w:t>）</w:t>
      </w:r>
    </w:p>
    <w:p>
      <w:pPr>
        <w:adjustRightInd w:val="0"/>
        <w:snapToGrid w:val="0"/>
        <w:spacing w:line="240" w:lineRule="auto"/>
        <w:ind w:firstLine="0" w:firstLineChars="0"/>
        <w:rPr>
          <w:rFonts w:ascii="Times New Roman" w:hAnsi="Times New Roman"/>
        </w:rPr>
      </w:pPr>
    </w:p>
    <w:p>
      <w:pPr>
        <w:ind w:firstLine="480"/>
        <w:rPr>
          <w:rFonts w:ascii="Times New Roman" w:hAnsi="Times New Roman"/>
        </w:rPr>
      </w:pPr>
      <w:r>
        <w:rPr>
          <w:rFonts w:ascii="Times New Roman" w:hAnsi="Times New Roman"/>
        </w:rPr>
        <w:t>1）预测范围</w:t>
      </w:r>
    </w:p>
    <w:p>
      <w:pPr>
        <w:ind w:right="210" w:firstLine="480"/>
        <w:rPr>
          <w:rFonts w:ascii="Times New Roman" w:hAnsi="Times New Roman"/>
        </w:rPr>
      </w:pPr>
      <w:r>
        <w:rPr>
          <w:rFonts w:ascii="Times New Roman" w:hAnsi="Times New Roman"/>
        </w:rPr>
        <w:t>预测范围考虑以断裂位置为中心各方向外延5km，最终形成10×10km的矩形区域。预测范围及范围内关心点分布情况如</w:t>
      </w:r>
      <w:r>
        <w:rPr>
          <w:rFonts w:ascii="Times New Roman" w:hAnsi="Times New Roman"/>
        </w:rPr>
        <w:fldChar w:fldCharType="begin"/>
      </w:r>
      <w:r>
        <w:rPr>
          <w:rFonts w:ascii="Times New Roman" w:hAnsi="Times New Roman"/>
        </w:rPr>
        <w:instrText xml:space="preserve"> REF _Ref158899294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11</w:t>
      </w:r>
      <w:r>
        <w:rPr>
          <w:rFonts w:ascii="Times New Roman" w:hAnsi="Times New Roman"/>
        </w:rPr>
        <w:fldChar w:fldCharType="end"/>
      </w:r>
      <w:r>
        <w:rPr>
          <w:rFonts w:ascii="Times New Roman" w:hAnsi="Times New Roman"/>
        </w:rPr>
        <w:t>所示。</w:t>
      </w:r>
    </w:p>
    <w:p>
      <w:pPr>
        <w:keepNext/>
        <w:ind w:right="210" w:firstLine="0" w:firstLineChars="0"/>
        <w:jc w:val="center"/>
        <w:rPr>
          <w:rFonts w:ascii="Times New Roman" w:hAnsi="Times New Roman"/>
        </w:rPr>
      </w:pPr>
      <w:r>
        <w:rPr>
          <w:rFonts w:ascii="Times New Roman" w:hAnsi="Times New Roman"/>
          <w14:ligatures w14:val="standardContextual"/>
        </w:rPr>
        <w:drawing>
          <wp:inline distT="0" distB="0" distL="0" distR="0">
            <wp:extent cx="5653405" cy="5653405"/>
            <wp:effectExtent l="0" t="0" r="4445" b="4445"/>
            <wp:docPr id="680378028"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378028" name="图片 1" descr="地图&#10;&#10;描述已自动生成"/>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653405" cy="5653405"/>
                    </a:xfrm>
                    <a:prstGeom prst="rect">
                      <a:avLst/>
                    </a:prstGeom>
                  </pic:spPr>
                </pic:pic>
              </a:graphicData>
            </a:graphic>
          </wp:inline>
        </w:drawing>
      </w:r>
    </w:p>
    <w:p>
      <w:pPr>
        <w:pStyle w:val="37"/>
        <w:rPr>
          <w:rFonts w:ascii="Times New Roman" w:hAnsi="Times New Roman" w:cs="Times New Roman"/>
        </w:rPr>
      </w:pPr>
      <w:bookmarkStart w:id="319" w:name="_Ref158899294"/>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bookmarkEnd w:id="319"/>
      <w:r>
        <w:rPr>
          <w:rFonts w:ascii="Times New Roman" w:hAnsi="Times New Roman" w:cs="Times New Roman"/>
        </w:rPr>
        <w:t xml:space="preserve">   宣探1井-宣兴1井段管道断裂大气环境风险预测范围及关心点分布</w:t>
      </w:r>
    </w:p>
    <w:p>
      <w:pPr>
        <w:ind w:firstLine="480"/>
        <w:rPr>
          <w:rFonts w:ascii="Times New Roman" w:hAnsi="Times New Roman"/>
        </w:rPr>
      </w:pPr>
    </w:p>
    <w:p>
      <w:pPr>
        <w:ind w:firstLine="480"/>
        <w:rPr>
          <w:rFonts w:ascii="Times New Roman" w:hAnsi="Times New Roman"/>
        </w:rPr>
      </w:pPr>
      <w:r>
        <w:rPr>
          <w:rFonts w:ascii="Times New Roman" w:hAnsi="Times New Roman"/>
        </w:rPr>
        <w:t>2）预测关心点</w:t>
      </w:r>
    </w:p>
    <w:p>
      <w:pPr>
        <w:ind w:firstLine="480"/>
        <w:rPr>
          <w:rFonts w:ascii="Times New Roman" w:hAnsi="Times New Roman"/>
        </w:rPr>
      </w:pPr>
      <w:r>
        <w:rPr>
          <w:rFonts w:ascii="Times New Roman" w:hAnsi="Times New Roman"/>
        </w:rPr>
        <w:t>宣探1井-宣兴1井段管道泄漏的位置以及选取的预测关心点见</w:t>
      </w:r>
      <w:r>
        <w:rPr>
          <w:rFonts w:ascii="Times New Roman" w:hAnsi="Times New Roman"/>
        </w:rPr>
        <w:fldChar w:fldCharType="begin"/>
      </w:r>
      <w:r>
        <w:rPr>
          <w:rFonts w:ascii="Times New Roman" w:hAnsi="Times New Roman"/>
        </w:rPr>
        <w:instrText xml:space="preserve"> REF _Ref158899527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51</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320" w:name="_Ref15889952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51</w:t>
      </w:r>
      <w:r>
        <w:rPr>
          <w:rFonts w:ascii="Times New Roman" w:hAnsi="Times New Roman" w:cs="Times New Roman"/>
        </w:rPr>
        <w:fldChar w:fldCharType="end"/>
      </w:r>
      <w:bookmarkEnd w:id="320"/>
      <w:r>
        <w:rPr>
          <w:rFonts w:ascii="Times New Roman" w:hAnsi="Times New Roman" w:cs="Times New Roman"/>
        </w:rPr>
        <w:t xml:space="preserve">   宣探1井-宣兴1井段管道关心点位置</w:t>
      </w:r>
    </w:p>
    <w:tbl>
      <w:tblPr>
        <w:tblStyle w:val="28"/>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60"/>
        <w:gridCol w:w="2008"/>
        <w:gridCol w:w="1233"/>
        <w:gridCol w:w="1296"/>
        <w:gridCol w:w="1785"/>
        <w:gridCol w:w="2337"/>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序号</w:t>
            </w:r>
          </w:p>
        </w:tc>
        <w:tc>
          <w:tcPr>
            <w:tcW w:w="2008" w:type="dxa"/>
            <w:vAlign w:val="center"/>
          </w:tcPr>
          <w:p>
            <w:pPr>
              <w:pStyle w:val="39"/>
              <w:rPr>
                <w:rFonts w:ascii="Times New Roman" w:hAnsi="Times New Roman"/>
              </w:rPr>
            </w:pPr>
            <w:r>
              <w:rPr>
                <w:rFonts w:ascii="Times New Roman" w:hAnsi="Times New Roman"/>
              </w:rPr>
              <w:t>泄漏点/关心点</w:t>
            </w:r>
          </w:p>
        </w:tc>
        <w:tc>
          <w:tcPr>
            <w:tcW w:w="1233" w:type="dxa"/>
            <w:vAlign w:val="center"/>
          </w:tcPr>
          <w:p>
            <w:pPr>
              <w:pStyle w:val="39"/>
              <w:rPr>
                <w:rFonts w:ascii="Times New Roman" w:hAnsi="Times New Roman"/>
              </w:rPr>
            </w:pPr>
            <w:r>
              <w:rPr>
                <w:rFonts w:ascii="Times New Roman" w:hAnsi="Times New Roman"/>
              </w:rPr>
              <w:t>相对泄漏点的方位</w:t>
            </w:r>
          </w:p>
        </w:tc>
        <w:tc>
          <w:tcPr>
            <w:tcW w:w="1296" w:type="dxa"/>
            <w:vAlign w:val="center"/>
          </w:tcPr>
          <w:p>
            <w:pPr>
              <w:pStyle w:val="39"/>
              <w:rPr>
                <w:rFonts w:ascii="Times New Roman" w:hAnsi="Times New Roman"/>
              </w:rPr>
            </w:pPr>
            <w:r>
              <w:rPr>
                <w:rFonts w:ascii="Times New Roman" w:hAnsi="Times New Roman"/>
              </w:rPr>
              <w:t>相对泄漏点的距离/m</w:t>
            </w:r>
          </w:p>
        </w:tc>
        <w:tc>
          <w:tcPr>
            <w:tcW w:w="1785" w:type="dxa"/>
            <w:vAlign w:val="center"/>
          </w:tcPr>
          <w:p>
            <w:pPr>
              <w:pStyle w:val="39"/>
              <w:rPr>
                <w:rFonts w:ascii="Times New Roman" w:hAnsi="Times New Roman"/>
              </w:rPr>
            </w:pPr>
            <w:r>
              <w:rPr>
                <w:rFonts w:ascii="Times New Roman" w:hAnsi="Times New Roman"/>
              </w:rPr>
              <w:t>坐标</w:t>
            </w:r>
          </w:p>
        </w:tc>
        <w:tc>
          <w:tcPr>
            <w:tcW w:w="2337" w:type="dxa"/>
            <w:vAlign w:val="center"/>
          </w:tcPr>
          <w:p>
            <w:pPr>
              <w:pStyle w:val="39"/>
              <w:rPr>
                <w:rFonts w:ascii="Times New Roman" w:hAnsi="Times New Roman"/>
              </w:rPr>
            </w:pPr>
            <w:r>
              <w:rPr>
                <w:rFonts w:ascii="Times New Roman" w:hAnsi="Times New Roman"/>
              </w:rPr>
              <w:t>选择原因</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0</w:t>
            </w:r>
          </w:p>
        </w:tc>
        <w:tc>
          <w:tcPr>
            <w:tcW w:w="2008" w:type="dxa"/>
            <w:vAlign w:val="center"/>
          </w:tcPr>
          <w:p>
            <w:pPr>
              <w:pStyle w:val="39"/>
              <w:rPr>
                <w:rFonts w:ascii="Times New Roman" w:hAnsi="Times New Roman"/>
              </w:rPr>
            </w:pPr>
            <w:r>
              <w:rPr>
                <w:rFonts w:ascii="Times New Roman" w:hAnsi="Times New Roman"/>
              </w:rPr>
              <w:t>宣探1井-宣兴1井管线泄漏点</w:t>
            </w:r>
          </w:p>
        </w:tc>
        <w:tc>
          <w:tcPr>
            <w:tcW w:w="1233" w:type="dxa"/>
            <w:vAlign w:val="center"/>
          </w:tcPr>
          <w:p>
            <w:pPr>
              <w:pStyle w:val="39"/>
              <w:rPr>
                <w:rFonts w:ascii="Times New Roman" w:hAnsi="Times New Roman"/>
              </w:rPr>
            </w:pPr>
            <w:r>
              <w:rPr>
                <w:rFonts w:ascii="Times New Roman" w:hAnsi="Times New Roman"/>
              </w:rPr>
              <w:t>/</w:t>
            </w:r>
          </w:p>
        </w:tc>
        <w:tc>
          <w:tcPr>
            <w:tcW w:w="1296" w:type="dxa"/>
            <w:vAlign w:val="center"/>
          </w:tcPr>
          <w:p>
            <w:pPr>
              <w:pStyle w:val="39"/>
              <w:rPr>
                <w:rFonts w:ascii="Times New Roman" w:hAnsi="Times New Roman"/>
              </w:rPr>
            </w:pPr>
            <w:r>
              <w:rPr>
                <w:rFonts w:ascii="Times New Roman" w:hAnsi="Times New Roman"/>
              </w:rPr>
              <w:t>/</w:t>
            </w:r>
          </w:p>
        </w:tc>
        <w:tc>
          <w:tcPr>
            <w:tcW w:w="1785" w:type="dxa"/>
            <w:vAlign w:val="center"/>
          </w:tcPr>
          <w:p>
            <w:pPr>
              <w:pStyle w:val="39"/>
              <w:rPr>
                <w:rFonts w:ascii="Times New Roman" w:hAnsi="Times New Roman"/>
              </w:rPr>
            </w:pPr>
            <w:r>
              <w:rPr>
                <w:rFonts w:ascii="Times New Roman" w:hAnsi="Times New Roman"/>
              </w:rPr>
              <w:t>E107.84396001</w:t>
            </w:r>
          </w:p>
          <w:p>
            <w:pPr>
              <w:pStyle w:val="39"/>
              <w:rPr>
                <w:rFonts w:ascii="Times New Roman" w:hAnsi="Times New Roman"/>
              </w:rPr>
            </w:pPr>
            <w:r>
              <w:rPr>
                <w:rFonts w:ascii="Times New Roman" w:hAnsi="Times New Roman"/>
              </w:rPr>
              <w:t>N31.44665047</w:t>
            </w:r>
          </w:p>
        </w:tc>
        <w:tc>
          <w:tcPr>
            <w:tcW w:w="2337" w:type="dxa"/>
            <w:vAlign w:val="center"/>
          </w:tcPr>
          <w:p>
            <w:pPr>
              <w:pStyle w:val="39"/>
              <w:rPr>
                <w:rFonts w:ascii="Times New Roman" w:hAnsi="Times New Roman"/>
              </w:rPr>
            </w:pPr>
            <w:r>
              <w:rPr>
                <w:rFonts w:ascii="Times New Roman" w:hAnsi="Times New Roman"/>
              </w:rPr>
              <w:t>关键生产场所</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1</w:t>
            </w:r>
          </w:p>
        </w:tc>
        <w:tc>
          <w:tcPr>
            <w:tcW w:w="2008" w:type="dxa"/>
            <w:vAlign w:val="center"/>
          </w:tcPr>
          <w:p>
            <w:pPr>
              <w:pStyle w:val="39"/>
              <w:rPr>
                <w:rFonts w:ascii="Times New Roman" w:hAnsi="Times New Roman"/>
              </w:rPr>
            </w:pPr>
            <w:r>
              <w:rPr>
                <w:rFonts w:ascii="Times New Roman" w:hAnsi="Times New Roman"/>
              </w:rPr>
              <w:t>宣探1井-宣兴1井管线-关心点1</w:t>
            </w:r>
          </w:p>
        </w:tc>
        <w:tc>
          <w:tcPr>
            <w:tcW w:w="1233" w:type="dxa"/>
            <w:vAlign w:val="center"/>
          </w:tcPr>
          <w:p>
            <w:pPr>
              <w:pStyle w:val="39"/>
              <w:rPr>
                <w:rFonts w:ascii="Times New Roman" w:hAnsi="Times New Roman"/>
              </w:rPr>
            </w:pPr>
            <w:r>
              <w:rPr>
                <w:rFonts w:ascii="Times New Roman" w:hAnsi="Times New Roman"/>
              </w:rPr>
              <w:t>E</w:t>
            </w:r>
          </w:p>
        </w:tc>
        <w:tc>
          <w:tcPr>
            <w:tcW w:w="1296" w:type="dxa"/>
            <w:vAlign w:val="center"/>
          </w:tcPr>
          <w:p>
            <w:pPr>
              <w:pStyle w:val="39"/>
              <w:rPr>
                <w:rFonts w:ascii="Times New Roman" w:hAnsi="Times New Roman"/>
              </w:rPr>
            </w:pPr>
            <w:r>
              <w:rPr>
                <w:rFonts w:ascii="Times New Roman" w:hAnsi="Times New Roman"/>
              </w:rPr>
              <w:t>70</w:t>
            </w:r>
          </w:p>
        </w:tc>
        <w:tc>
          <w:tcPr>
            <w:tcW w:w="1785" w:type="dxa"/>
            <w:vAlign w:val="center"/>
          </w:tcPr>
          <w:p>
            <w:pPr>
              <w:pStyle w:val="39"/>
              <w:rPr>
                <w:rFonts w:ascii="Times New Roman" w:hAnsi="Times New Roman"/>
              </w:rPr>
            </w:pPr>
            <w:r>
              <w:rPr>
                <w:rFonts w:ascii="Times New Roman" w:hAnsi="Times New Roman"/>
              </w:rPr>
              <w:t>E107.84472624</w:t>
            </w:r>
          </w:p>
          <w:p>
            <w:pPr>
              <w:pStyle w:val="39"/>
              <w:rPr>
                <w:rFonts w:ascii="Times New Roman" w:hAnsi="Times New Roman"/>
              </w:rPr>
            </w:pPr>
            <w:r>
              <w:rPr>
                <w:rFonts w:ascii="Times New Roman" w:hAnsi="Times New Roman"/>
              </w:rPr>
              <w:t>N31.44661522</w:t>
            </w:r>
          </w:p>
        </w:tc>
        <w:tc>
          <w:tcPr>
            <w:tcW w:w="2337" w:type="dxa"/>
            <w:vAlign w:val="center"/>
          </w:tcPr>
          <w:p>
            <w:pPr>
              <w:pStyle w:val="39"/>
              <w:rPr>
                <w:rFonts w:ascii="Times New Roman" w:hAnsi="Times New Roman"/>
              </w:rPr>
            </w:pPr>
            <w:r>
              <w:rPr>
                <w:rFonts w:ascii="Times New Roman" w:hAnsi="Times New Roman"/>
              </w:rPr>
              <w:t>泄漏点距离最近的分散居民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2</w:t>
            </w:r>
          </w:p>
        </w:tc>
        <w:tc>
          <w:tcPr>
            <w:tcW w:w="2008" w:type="dxa"/>
            <w:vAlign w:val="center"/>
          </w:tcPr>
          <w:p>
            <w:pPr>
              <w:pStyle w:val="39"/>
              <w:rPr>
                <w:rFonts w:ascii="Times New Roman" w:hAnsi="Times New Roman"/>
              </w:rPr>
            </w:pPr>
            <w:r>
              <w:rPr>
                <w:rFonts w:ascii="Times New Roman" w:hAnsi="Times New Roman"/>
              </w:rPr>
              <w:t>宣探1井-宣兴1井管线-关心点2</w:t>
            </w:r>
          </w:p>
        </w:tc>
        <w:tc>
          <w:tcPr>
            <w:tcW w:w="1233" w:type="dxa"/>
            <w:vAlign w:val="center"/>
          </w:tcPr>
          <w:p>
            <w:pPr>
              <w:pStyle w:val="39"/>
              <w:rPr>
                <w:rFonts w:ascii="Times New Roman" w:hAnsi="Times New Roman"/>
              </w:rPr>
            </w:pPr>
            <w:r>
              <w:rPr>
                <w:rFonts w:ascii="Times New Roman" w:hAnsi="Times New Roman"/>
              </w:rPr>
              <w:t>NE</w:t>
            </w:r>
          </w:p>
        </w:tc>
        <w:tc>
          <w:tcPr>
            <w:tcW w:w="1296" w:type="dxa"/>
            <w:vAlign w:val="center"/>
          </w:tcPr>
          <w:p>
            <w:pPr>
              <w:pStyle w:val="39"/>
              <w:rPr>
                <w:rFonts w:ascii="Times New Roman" w:hAnsi="Times New Roman"/>
              </w:rPr>
            </w:pPr>
            <w:r>
              <w:rPr>
                <w:rFonts w:ascii="Times New Roman" w:hAnsi="Times New Roman"/>
              </w:rPr>
              <w:t>145</w:t>
            </w:r>
          </w:p>
        </w:tc>
        <w:tc>
          <w:tcPr>
            <w:tcW w:w="1785" w:type="dxa"/>
            <w:vAlign w:val="center"/>
          </w:tcPr>
          <w:p>
            <w:pPr>
              <w:pStyle w:val="39"/>
              <w:rPr>
                <w:rFonts w:ascii="Times New Roman" w:hAnsi="Times New Roman"/>
              </w:rPr>
            </w:pPr>
            <w:r>
              <w:rPr>
                <w:rFonts w:ascii="Times New Roman" w:hAnsi="Times New Roman"/>
              </w:rPr>
              <w:t>E107.84540639N31.44707857</w:t>
            </w:r>
          </w:p>
        </w:tc>
        <w:tc>
          <w:tcPr>
            <w:tcW w:w="2337" w:type="dxa"/>
            <w:vAlign w:val="center"/>
          </w:tcPr>
          <w:p>
            <w:pPr>
              <w:pStyle w:val="39"/>
              <w:rPr>
                <w:rFonts w:ascii="Times New Roman" w:hAnsi="Times New Roman"/>
              </w:rPr>
            </w:pPr>
            <w:r>
              <w:rPr>
                <w:rFonts w:ascii="Times New Roman" w:hAnsi="Times New Roman"/>
              </w:rPr>
              <w:t>泄漏点NE方向上距离最近的分散居民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3</w:t>
            </w:r>
          </w:p>
        </w:tc>
        <w:tc>
          <w:tcPr>
            <w:tcW w:w="2008" w:type="dxa"/>
            <w:vAlign w:val="center"/>
          </w:tcPr>
          <w:p>
            <w:pPr>
              <w:pStyle w:val="39"/>
              <w:rPr>
                <w:rFonts w:ascii="Times New Roman" w:hAnsi="Times New Roman"/>
              </w:rPr>
            </w:pPr>
            <w:r>
              <w:rPr>
                <w:rFonts w:ascii="Times New Roman" w:hAnsi="Times New Roman"/>
              </w:rPr>
              <w:t>宣探1井-宣兴1井管线-关心点3</w:t>
            </w:r>
          </w:p>
        </w:tc>
        <w:tc>
          <w:tcPr>
            <w:tcW w:w="1233" w:type="dxa"/>
            <w:vAlign w:val="center"/>
          </w:tcPr>
          <w:p>
            <w:pPr>
              <w:pStyle w:val="39"/>
              <w:rPr>
                <w:rFonts w:ascii="Times New Roman" w:hAnsi="Times New Roman"/>
              </w:rPr>
            </w:pPr>
            <w:r>
              <w:rPr>
                <w:rFonts w:ascii="Times New Roman" w:hAnsi="Times New Roman"/>
              </w:rPr>
              <w:t>N</w:t>
            </w:r>
          </w:p>
        </w:tc>
        <w:tc>
          <w:tcPr>
            <w:tcW w:w="1296" w:type="dxa"/>
            <w:vAlign w:val="center"/>
          </w:tcPr>
          <w:p>
            <w:pPr>
              <w:pStyle w:val="39"/>
              <w:rPr>
                <w:rFonts w:ascii="Times New Roman" w:hAnsi="Times New Roman"/>
              </w:rPr>
            </w:pPr>
            <w:r>
              <w:rPr>
                <w:rFonts w:ascii="Times New Roman" w:hAnsi="Times New Roman"/>
              </w:rPr>
              <w:t>528</w:t>
            </w:r>
          </w:p>
        </w:tc>
        <w:tc>
          <w:tcPr>
            <w:tcW w:w="1785" w:type="dxa"/>
            <w:vAlign w:val="center"/>
          </w:tcPr>
          <w:p>
            <w:pPr>
              <w:pStyle w:val="39"/>
              <w:rPr>
                <w:rFonts w:ascii="Times New Roman" w:hAnsi="Times New Roman"/>
              </w:rPr>
            </w:pPr>
            <w:r>
              <w:rPr>
                <w:rFonts w:ascii="Times New Roman" w:hAnsi="Times New Roman"/>
              </w:rPr>
              <w:t>E107.84431993</w:t>
            </w:r>
          </w:p>
          <w:p>
            <w:pPr>
              <w:pStyle w:val="39"/>
              <w:rPr>
                <w:rFonts w:ascii="Times New Roman" w:hAnsi="Times New Roman"/>
              </w:rPr>
            </w:pPr>
            <w:r>
              <w:rPr>
                <w:rFonts w:ascii="Times New Roman" w:hAnsi="Times New Roman"/>
              </w:rPr>
              <w:t>N31.45138684</w:t>
            </w:r>
          </w:p>
        </w:tc>
        <w:tc>
          <w:tcPr>
            <w:tcW w:w="2337" w:type="dxa"/>
            <w:shd w:val="clear" w:color="auto" w:fill="auto"/>
            <w:vAlign w:val="center"/>
          </w:tcPr>
          <w:p>
            <w:pPr>
              <w:pStyle w:val="39"/>
              <w:rPr>
                <w:rFonts w:ascii="Times New Roman" w:hAnsi="Times New Roman"/>
              </w:rPr>
            </w:pPr>
            <w:r>
              <w:rPr>
                <w:rFonts w:ascii="Times New Roman" w:hAnsi="Times New Roman"/>
              </w:rPr>
              <w:t>泄漏点N方向上距离最近的分散居民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4</w:t>
            </w:r>
          </w:p>
        </w:tc>
        <w:tc>
          <w:tcPr>
            <w:tcW w:w="2008" w:type="dxa"/>
            <w:vAlign w:val="center"/>
          </w:tcPr>
          <w:p>
            <w:pPr>
              <w:pStyle w:val="39"/>
              <w:rPr>
                <w:rFonts w:ascii="Times New Roman" w:hAnsi="Times New Roman"/>
              </w:rPr>
            </w:pPr>
            <w:r>
              <w:rPr>
                <w:rFonts w:ascii="Times New Roman" w:hAnsi="Times New Roman"/>
              </w:rPr>
              <w:t>宣探1井-宣兴1井管线-关心点4</w:t>
            </w:r>
          </w:p>
        </w:tc>
        <w:tc>
          <w:tcPr>
            <w:tcW w:w="1233" w:type="dxa"/>
            <w:vAlign w:val="center"/>
          </w:tcPr>
          <w:p>
            <w:pPr>
              <w:pStyle w:val="39"/>
              <w:rPr>
                <w:rFonts w:ascii="Times New Roman" w:hAnsi="Times New Roman"/>
              </w:rPr>
            </w:pPr>
            <w:r>
              <w:rPr>
                <w:rFonts w:ascii="Times New Roman" w:hAnsi="Times New Roman"/>
              </w:rPr>
              <w:t>NE</w:t>
            </w:r>
          </w:p>
        </w:tc>
        <w:tc>
          <w:tcPr>
            <w:tcW w:w="1296" w:type="dxa"/>
            <w:vAlign w:val="center"/>
          </w:tcPr>
          <w:p>
            <w:pPr>
              <w:pStyle w:val="39"/>
              <w:rPr>
                <w:rFonts w:ascii="Times New Roman" w:hAnsi="Times New Roman"/>
              </w:rPr>
            </w:pPr>
            <w:r>
              <w:rPr>
                <w:rFonts w:ascii="Times New Roman" w:hAnsi="Times New Roman"/>
              </w:rPr>
              <w:t>606</w:t>
            </w:r>
          </w:p>
        </w:tc>
        <w:tc>
          <w:tcPr>
            <w:tcW w:w="1785" w:type="dxa"/>
            <w:vAlign w:val="center"/>
          </w:tcPr>
          <w:p>
            <w:pPr>
              <w:pStyle w:val="39"/>
              <w:rPr>
                <w:rFonts w:ascii="Times New Roman" w:hAnsi="Times New Roman"/>
              </w:rPr>
            </w:pPr>
            <w:r>
              <w:rPr>
                <w:rFonts w:ascii="Times New Roman" w:hAnsi="Times New Roman"/>
              </w:rPr>
              <w:t>E107.84936353</w:t>
            </w:r>
          </w:p>
          <w:p>
            <w:pPr>
              <w:pStyle w:val="39"/>
              <w:rPr>
                <w:rFonts w:ascii="Times New Roman" w:hAnsi="Times New Roman"/>
              </w:rPr>
            </w:pPr>
            <w:r>
              <w:rPr>
                <w:rFonts w:ascii="Times New Roman" w:hAnsi="Times New Roman"/>
              </w:rPr>
              <w:t>N31.44956543</w:t>
            </w:r>
          </w:p>
        </w:tc>
        <w:tc>
          <w:tcPr>
            <w:tcW w:w="2337" w:type="dxa"/>
            <w:shd w:val="clear" w:color="auto" w:fill="auto"/>
            <w:vAlign w:val="center"/>
          </w:tcPr>
          <w:p>
            <w:pPr>
              <w:pStyle w:val="39"/>
              <w:rPr>
                <w:rFonts w:ascii="Times New Roman" w:hAnsi="Times New Roman"/>
              </w:rPr>
            </w:pPr>
            <w:r>
              <w:rPr>
                <w:rFonts w:ascii="Times New Roman" w:hAnsi="Times New Roman"/>
              </w:rPr>
              <w:t>泄漏点NE方向上的分散居民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5</w:t>
            </w:r>
          </w:p>
        </w:tc>
        <w:tc>
          <w:tcPr>
            <w:tcW w:w="2008" w:type="dxa"/>
            <w:vAlign w:val="center"/>
          </w:tcPr>
          <w:p>
            <w:pPr>
              <w:pStyle w:val="39"/>
              <w:rPr>
                <w:rFonts w:ascii="Times New Roman" w:hAnsi="Times New Roman"/>
              </w:rPr>
            </w:pPr>
            <w:r>
              <w:rPr>
                <w:rFonts w:ascii="Times New Roman" w:hAnsi="Times New Roman"/>
              </w:rPr>
              <w:t>宣探1井-宣兴1井管线-关心点5</w:t>
            </w:r>
          </w:p>
        </w:tc>
        <w:tc>
          <w:tcPr>
            <w:tcW w:w="1233" w:type="dxa"/>
            <w:vAlign w:val="center"/>
          </w:tcPr>
          <w:p>
            <w:pPr>
              <w:pStyle w:val="39"/>
              <w:rPr>
                <w:rFonts w:ascii="Times New Roman" w:hAnsi="Times New Roman"/>
              </w:rPr>
            </w:pPr>
            <w:r>
              <w:rPr>
                <w:rFonts w:ascii="Times New Roman" w:hAnsi="Times New Roman"/>
              </w:rPr>
              <w:t>E</w:t>
            </w:r>
          </w:p>
        </w:tc>
        <w:tc>
          <w:tcPr>
            <w:tcW w:w="1296" w:type="dxa"/>
            <w:vAlign w:val="center"/>
          </w:tcPr>
          <w:p>
            <w:pPr>
              <w:pStyle w:val="39"/>
              <w:rPr>
                <w:rFonts w:ascii="Times New Roman" w:hAnsi="Times New Roman"/>
              </w:rPr>
            </w:pPr>
            <w:r>
              <w:rPr>
                <w:rFonts w:ascii="Times New Roman" w:hAnsi="Times New Roman"/>
              </w:rPr>
              <w:t>851</w:t>
            </w:r>
          </w:p>
        </w:tc>
        <w:tc>
          <w:tcPr>
            <w:tcW w:w="1785" w:type="dxa"/>
            <w:vAlign w:val="center"/>
          </w:tcPr>
          <w:p>
            <w:pPr>
              <w:pStyle w:val="39"/>
              <w:rPr>
                <w:rFonts w:ascii="Times New Roman" w:hAnsi="Times New Roman"/>
              </w:rPr>
            </w:pPr>
            <w:r>
              <w:rPr>
                <w:rFonts w:ascii="Times New Roman" w:hAnsi="Times New Roman"/>
              </w:rPr>
              <w:t>E107.85282069</w:t>
            </w:r>
          </w:p>
          <w:p>
            <w:pPr>
              <w:pStyle w:val="39"/>
              <w:rPr>
                <w:rFonts w:ascii="Times New Roman" w:hAnsi="Times New Roman"/>
              </w:rPr>
            </w:pPr>
            <w:r>
              <w:rPr>
                <w:rFonts w:ascii="Times New Roman" w:hAnsi="Times New Roman"/>
              </w:rPr>
              <w:t>N31.44780962</w:t>
            </w:r>
          </w:p>
        </w:tc>
        <w:tc>
          <w:tcPr>
            <w:tcW w:w="2337" w:type="dxa"/>
            <w:shd w:val="clear" w:color="auto" w:fill="auto"/>
            <w:vAlign w:val="center"/>
          </w:tcPr>
          <w:p>
            <w:pPr>
              <w:pStyle w:val="39"/>
              <w:rPr>
                <w:rFonts w:ascii="Times New Roman" w:hAnsi="Times New Roman"/>
              </w:rPr>
            </w:pPr>
            <w:r>
              <w:rPr>
                <w:rFonts w:ascii="Times New Roman" w:hAnsi="Times New Roman"/>
              </w:rPr>
              <w:t>泄漏点E方向上的分散居民</w:t>
            </w:r>
          </w:p>
        </w:tc>
      </w:tr>
    </w:tbl>
    <w:p>
      <w:pPr>
        <w:ind w:firstLine="480"/>
        <w:rPr>
          <w:rFonts w:ascii="Times New Roman" w:hAnsi="Times New Roman"/>
        </w:rPr>
      </w:pPr>
    </w:p>
    <w:p>
      <w:pPr>
        <w:ind w:firstLine="480"/>
        <w:rPr>
          <w:rFonts w:ascii="Times New Roman" w:hAnsi="Times New Roman"/>
        </w:rPr>
      </w:pPr>
      <w:r>
        <w:rPr>
          <w:rFonts w:ascii="Times New Roman" w:hAnsi="Times New Roman"/>
        </w:rPr>
        <w:t>3）预测结果</w:t>
      </w:r>
    </w:p>
    <w:p>
      <w:pPr>
        <w:ind w:firstLine="480"/>
        <w:rPr>
          <w:rFonts w:ascii="Times New Roman" w:hAnsi="Times New Roman"/>
        </w:rPr>
      </w:pPr>
      <w:r>
        <w:rPr>
          <w:rFonts w:ascii="Times New Roman" w:hAnsi="Times New Roman"/>
        </w:rPr>
        <w:t>宣探1井-宣兴1井段管道泄漏时，根据模拟预测，不同风向下，H</w:t>
      </w:r>
      <w:r>
        <w:rPr>
          <w:rFonts w:ascii="Times New Roman" w:hAnsi="Times New Roman"/>
          <w:vertAlign w:val="subscript"/>
        </w:rPr>
        <w:t>2</w:t>
      </w:r>
      <w:r>
        <w:rPr>
          <w:rFonts w:ascii="Times New Roman" w:hAnsi="Times New Roman"/>
        </w:rPr>
        <w:t>S毒性终点浓度1、毒性终点浓度2最大影响范围情况及相应到达时间如</w:t>
      </w:r>
      <w:r>
        <w:rPr>
          <w:rFonts w:ascii="Times New Roman" w:hAnsi="Times New Roman"/>
        </w:rPr>
        <w:fldChar w:fldCharType="begin"/>
      </w:r>
      <w:r>
        <w:rPr>
          <w:rFonts w:ascii="Times New Roman" w:hAnsi="Times New Roman"/>
        </w:rPr>
        <w:instrText xml:space="preserve"> REF _Ref158899841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52</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_Ref158899842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53</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_Ref158899875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12</w:t>
      </w:r>
      <w:r>
        <w:rPr>
          <w:rFonts w:ascii="Times New Roman" w:hAnsi="Times New Roman"/>
        </w:rPr>
        <w:fldChar w:fldCharType="end"/>
      </w:r>
      <w:r>
        <w:rPr>
          <w:rFonts w:ascii="Times New Roman" w:hAnsi="Times New Roman"/>
        </w:rPr>
        <w:t>所示。</w:t>
      </w:r>
    </w:p>
    <w:p>
      <w:pPr>
        <w:ind w:firstLine="480"/>
        <w:rPr>
          <w:rFonts w:ascii="Times New Roman" w:hAnsi="Times New Roman"/>
        </w:rPr>
      </w:pPr>
      <w:r>
        <w:rPr>
          <w:rFonts w:ascii="Times New Roman" w:hAnsi="Times New Roman"/>
        </w:rPr>
        <w:t>由表可知，在最不利气象条件下，当风向为北向时，H</w:t>
      </w:r>
      <w:r>
        <w:rPr>
          <w:rFonts w:ascii="Times New Roman" w:hAnsi="Times New Roman"/>
          <w:vertAlign w:val="subscript"/>
        </w:rPr>
        <w:t>2</w:t>
      </w:r>
      <w:r>
        <w:rPr>
          <w:rFonts w:ascii="Times New Roman" w:hAnsi="Times New Roman"/>
        </w:rPr>
        <w:t>S毒性终点浓度1影响范围最大，事故发生52min后，达到31m；当风向为西向时，H</w:t>
      </w:r>
      <w:r>
        <w:rPr>
          <w:rFonts w:ascii="Times New Roman" w:hAnsi="Times New Roman"/>
          <w:vertAlign w:val="subscript"/>
        </w:rPr>
        <w:t>2</w:t>
      </w:r>
      <w:r>
        <w:rPr>
          <w:rFonts w:ascii="Times New Roman" w:hAnsi="Times New Roman"/>
        </w:rPr>
        <w:t>S毒性终点浓度2影响范围最大，事故发生40min后，达到57m。具体汇总结果见</w:t>
      </w:r>
      <w:r>
        <w:rPr>
          <w:rFonts w:ascii="Times New Roman" w:hAnsi="Times New Roman"/>
        </w:rPr>
        <w:fldChar w:fldCharType="begin"/>
      </w:r>
      <w:r>
        <w:rPr>
          <w:rFonts w:ascii="Times New Roman" w:hAnsi="Times New Roman"/>
        </w:rPr>
        <w:instrText xml:space="preserve"> REF _Ref158899954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54</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以毒性终点浓度2影响范围最大的风向为例，当风向为西向时，对应H</w:t>
      </w:r>
      <w:r>
        <w:rPr>
          <w:rFonts w:ascii="Times New Roman" w:hAnsi="Times New Roman"/>
          <w:vertAlign w:val="subscript"/>
        </w:rPr>
        <w:t>2</w:t>
      </w:r>
      <w:r>
        <w:rPr>
          <w:rFonts w:ascii="Times New Roman" w:hAnsi="Times New Roman"/>
        </w:rPr>
        <w:t>S不同时刻最大浓度分布情况见</w:t>
      </w:r>
      <w:r>
        <w:rPr>
          <w:rFonts w:ascii="Times New Roman" w:hAnsi="Times New Roman"/>
        </w:rPr>
        <w:fldChar w:fldCharType="begin"/>
      </w:r>
      <w:r>
        <w:rPr>
          <w:rFonts w:ascii="Times New Roman" w:hAnsi="Times New Roman"/>
        </w:rPr>
        <w:instrText xml:space="preserve"> REF _Ref158900098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55</w:t>
      </w:r>
      <w:r>
        <w:rPr>
          <w:rFonts w:ascii="Times New Roman" w:hAnsi="Times New Roman"/>
        </w:rPr>
        <w:fldChar w:fldCharType="end"/>
      </w:r>
      <w:r>
        <w:rPr>
          <w:rFonts w:ascii="Times New Roman" w:hAnsi="Times New Roman"/>
        </w:rPr>
        <w:t>，H</w:t>
      </w:r>
      <w:r>
        <w:rPr>
          <w:rFonts w:ascii="Times New Roman" w:hAnsi="Times New Roman"/>
          <w:vertAlign w:val="subscript"/>
        </w:rPr>
        <w:t>2</w:t>
      </w:r>
      <w:r>
        <w:rPr>
          <w:rFonts w:ascii="Times New Roman" w:hAnsi="Times New Roman"/>
        </w:rPr>
        <w:t>S不同距离下最大浓度分布情况见</w:t>
      </w:r>
      <w:r>
        <w:rPr>
          <w:rFonts w:ascii="Times New Roman" w:hAnsi="Times New Roman"/>
        </w:rPr>
        <w:fldChar w:fldCharType="begin"/>
      </w:r>
      <w:r>
        <w:rPr>
          <w:rFonts w:ascii="Times New Roman" w:hAnsi="Times New Roman"/>
        </w:rPr>
        <w:instrText xml:space="preserve"> REF _Ref158900103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56</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风险源周边关心点中，以H</w:t>
      </w:r>
      <w:r>
        <w:rPr>
          <w:rFonts w:ascii="Times New Roman" w:hAnsi="Times New Roman"/>
          <w:vertAlign w:val="subscript"/>
        </w:rPr>
        <w:t>2</w:t>
      </w:r>
      <w:r>
        <w:rPr>
          <w:rFonts w:ascii="Times New Roman" w:hAnsi="Times New Roman"/>
        </w:rPr>
        <w:t>S毒性终点浓度2作为超标参考依据，各关心点均未超标，具体见</w:t>
      </w:r>
      <w:r>
        <w:rPr>
          <w:rFonts w:ascii="Times New Roman" w:hAnsi="Times New Roman"/>
        </w:rPr>
        <w:fldChar w:fldCharType="begin"/>
      </w:r>
      <w:r>
        <w:rPr>
          <w:rFonts w:ascii="Times New Roman" w:hAnsi="Times New Roman"/>
        </w:rPr>
        <w:instrText xml:space="preserve"> REF _Ref158900109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57</w:t>
      </w:r>
      <w:r>
        <w:rPr>
          <w:rFonts w:ascii="Times New Roman" w:hAnsi="Times New Roman"/>
        </w:rPr>
        <w:fldChar w:fldCharType="end"/>
      </w:r>
      <w:r>
        <w:rPr>
          <w:rFonts w:ascii="Times New Roman" w:hAnsi="Times New Roman"/>
        </w:rPr>
        <w:t>，主要受影响关心点处的浓度随时间变化情况如</w:t>
      </w:r>
      <w:r>
        <w:rPr>
          <w:rFonts w:ascii="Times New Roman" w:hAnsi="Times New Roman"/>
        </w:rPr>
        <w:fldChar w:fldCharType="begin"/>
      </w:r>
      <w:r>
        <w:rPr>
          <w:rFonts w:ascii="Times New Roman" w:hAnsi="Times New Roman"/>
        </w:rPr>
        <w:instrText xml:space="preserve"> REF _Ref158900125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13</w:t>
      </w:r>
      <w:r>
        <w:rPr>
          <w:rFonts w:ascii="Times New Roman" w:hAnsi="Times New Roman"/>
        </w:rPr>
        <w:fldChar w:fldCharType="end"/>
      </w:r>
      <w:r>
        <w:rPr>
          <w:rFonts w:ascii="Times New Roman" w:hAnsi="Times New Roman"/>
        </w:rPr>
        <w:t>所示。</w:t>
      </w:r>
    </w:p>
    <w:p>
      <w:pPr>
        <w:pStyle w:val="37"/>
        <w:rPr>
          <w:rFonts w:ascii="Times New Roman" w:hAnsi="Times New Roman" w:cs="Times New Roman"/>
        </w:rPr>
      </w:pPr>
      <w:bookmarkStart w:id="321" w:name="_Ref15889984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52</w:t>
      </w:r>
      <w:r>
        <w:rPr>
          <w:rFonts w:ascii="Times New Roman" w:hAnsi="Times New Roman" w:cs="Times New Roman"/>
        </w:rPr>
        <w:fldChar w:fldCharType="end"/>
      </w:r>
      <w:bookmarkEnd w:id="321"/>
      <w:r>
        <w:rPr>
          <w:rFonts w:ascii="Times New Roman" w:hAnsi="Times New Roman" w:cs="Times New Roman"/>
        </w:rPr>
        <w:t xml:space="preserve">   各风向下H</w:t>
      </w:r>
      <w:r>
        <w:rPr>
          <w:rFonts w:ascii="Times New Roman" w:hAnsi="Times New Roman" w:cs="Times New Roman"/>
          <w:vertAlign w:val="subscript"/>
        </w:rPr>
        <w:t>2</w:t>
      </w:r>
      <w:r>
        <w:rPr>
          <w:rFonts w:ascii="Times New Roman" w:hAnsi="Times New Roman" w:cs="Times New Roman"/>
        </w:rPr>
        <w:t>S毒性终点浓度1最大影响距离</w:t>
      </w:r>
    </w:p>
    <w:tbl>
      <w:tblPr>
        <w:tblStyle w:val="28"/>
        <w:tblW w:w="5123" w:type="pct"/>
        <w:jc w:val="center"/>
        <w:tblLayout w:type="autofit"/>
        <w:tblCellMar>
          <w:top w:w="0" w:type="dxa"/>
          <w:left w:w="108" w:type="dxa"/>
          <w:bottom w:w="0" w:type="dxa"/>
          <w:right w:w="108" w:type="dxa"/>
        </w:tblCellMar>
      </w:tblPr>
      <w:tblGrid>
        <w:gridCol w:w="931"/>
        <w:gridCol w:w="2108"/>
        <w:gridCol w:w="1787"/>
        <w:gridCol w:w="778"/>
        <w:gridCol w:w="1995"/>
        <w:gridCol w:w="1744"/>
      </w:tblGrid>
      <w:tr>
        <w:tblPrEx>
          <w:tblCellMar>
            <w:top w:w="0" w:type="dxa"/>
            <w:left w:w="108" w:type="dxa"/>
            <w:bottom w:w="0" w:type="dxa"/>
            <w:right w:w="108" w:type="dxa"/>
          </w:tblCellMar>
        </w:tblPrEx>
        <w:trPr>
          <w:trHeight w:val="20" w:hRule="atLeast"/>
          <w:jc w:val="center"/>
        </w:trPr>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210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87"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c>
          <w:tcPr>
            <w:tcW w:w="77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1995"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44"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b/>
                <w:bCs/>
              </w:rPr>
            </w:pPr>
            <w:r>
              <w:rPr>
                <w:rFonts w:ascii="Times New Roman" w:hAnsi="Times New Roman"/>
                <w:b/>
                <w:bCs/>
              </w:rPr>
              <w:t>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b/>
                <w:bCs/>
              </w:rPr>
            </w:pPr>
            <w:r>
              <w:rPr>
                <w:rFonts w:ascii="Times New Roman" w:hAnsi="Times New Roman"/>
                <w:b/>
                <w:bCs/>
              </w:rPr>
              <w:t>31</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b/>
                <w:bCs/>
              </w:rPr>
            </w:pPr>
            <w:r>
              <w:rPr>
                <w:rFonts w:ascii="Times New Roman" w:hAnsi="Times New Roman"/>
                <w:b/>
                <w:bCs/>
              </w:rPr>
              <w:t>52</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30</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48</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bl>
    <w:p>
      <w:pPr>
        <w:pStyle w:val="37"/>
        <w:rPr>
          <w:rFonts w:ascii="Times New Roman" w:hAnsi="Times New Roman" w:cs="Times New Roman"/>
        </w:rPr>
      </w:pPr>
      <w:bookmarkStart w:id="322" w:name="_Ref15889984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53</w:t>
      </w:r>
      <w:r>
        <w:rPr>
          <w:rFonts w:ascii="Times New Roman" w:hAnsi="Times New Roman" w:cs="Times New Roman"/>
        </w:rPr>
        <w:fldChar w:fldCharType="end"/>
      </w:r>
      <w:bookmarkEnd w:id="322"/>
      <w:r>
        <w:rPr>
          <w:rFonts w:ascii="Times New Roman" w:hAnsi="Times New Roman" w:cs="Times New Roman"/>
        </w:rPr>
        <w:t xml:space="preserve">   各风向下H</w:t>
      </w:r>
      <w:r>
        <w:rPr>
          <w:rFonts w:ascii="Times New Roman" w:hAnsi="Times New Roman" w:cs="Times New Roman"/>
          <w:vertAlign w:val="subscript"/>
        </w:rPr>
        <w:t>2</w:t>
      </w:r>
      <w:r>
        <w:rPr>
          <w:rFonts w:ascii="Times New Roman" w:hAnsi="Times New Roman" w:cs="Times New Roman"/>
        </w:rPr>
        <w:t>S毒性终点浓度2最大影响距离</w:t>
      </w:r>
    </w:p>
    <w:tbl>
      <w:tblPr>
        <w:tblStyle w:val="28"/>
        <w:tblW w:w="5123" w:type="pct"/>
        <w:jc w:val="center"/>
        <w:tblLayout w:type="autofit"/>
        <w:tblCellMar>
          <w:top w:w="0" w:type="dxa"/>
          <w:left w:w="108" w:type="dxa"/>
          <w:bottom w:w="0" w:type="dxa"/>
          <w:right w:w="108" w:type="dxa"/>
        </w:tblCellMar>
      </w:tblPr>
      <w:tblGrid>
        <w:gridCol w:w="931"/>
        <w:gridCol w:w="2108"/>
        <w:gridCol w:w="1787"/>
        <w:gridCol w:w="778"/>
        <w:gridCol w:w="1995"/>
        <w:gridCol w:w="1744"/>
      </w:tblGrid>
      <w:tr>
        <w:tblPrEx>
          <w:tblCellMar>
            <w:top w:w="0" w:type="dxa"/>
            <w:left w:w="108" w:type="dxa"/>
            <w:bottom w:w="0" w:type="dxa"/>
            <w:right w:w="108" w:type="dxa"/>
          </w:tblCellMar>
        </w:tblPrEx>
        <w:trPr>
          <w:trHeight w:val="20" w:hRule="atLeast"/>
          <w:jc w:val="center"/>
        </w:trPr>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210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87"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c>
          <w:tcPr>
            <w:tcW w:w="77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1995"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44"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50</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51</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50</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45</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37</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33</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45</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46</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48</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42</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b/>
                <w:bCs/>
              </w:rPr>
            </w:pPr>
            <w:r>
              <w:rPr>
                <w:rFonts w:ascii="Times New Roman" w:hAnsi="Times New Roman"/>
                <w:b/>
                <w:bCs/>
              </w:rPr>
              <w:t>西</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b/>
                <w:bCs/>
              </w:rPr>
            </w:pPr>
            <w:r>
              <w:rPr>
                <w:rFonts w:ascii="Times New Roman" w:hAnsi="Times New Roman"/>
                <w:b/>
                <w:bCs/>
              </w:rPr>
              <w:t>57</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b/>
                <w:bCs/>
              </w:rPr>
            </w:pPr>
            <w:r>
              <w:rPr>
                <w:rFonts w:ascii="Times New Roman" w:hAnsi="Times New Roman"/>
                <w:b/>
                <w:bCs/>
              </w:rPr>
              <w:t>40</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42</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37</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46</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41</w:t>
            </w:r>
          </w:p>
        </w:tc>
      </w:tr>
    </w:tbl>
    <w:p>
      <w:pPr>
        <w:pStyle w:val="37"/>
        <w:rPr>
          <w:rFonts w:ascii="Times New Roman" w:hAnsi="Times New Roman" w:cs="Times New Roman"/>
        </w:rPr>
      </w:pPr>
      <w:bookmarkStart w:id="323" w:name="_Ref158899954"/>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54</w:t>
      </w:r>
      <w:r>
        <w:rPr>
          <w:rFonts w:ascii="Times New Roman" w:hAnsi="Times New Roman" w:cs="Times New Roman"/>
        </w:rPr>
        <w:fldChar w:fldCharType="end"/>
      </w:r>
      <w:bookmarkEnd w:id="323"/>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S扩散后果预测统计表</w:t>
      </w:r>
    </w:p>
    <w:tbl>
      <w:tblPr>
        <w:tblStyle w:val="28"/>
        <w:tblW w:w="53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6"/>
        <w:gridCol w:w="2126"/>
        <w:gridCol w:w="933"/>
        <w:gridCol w:w="1168"/>
        <w:gridCol w:w="902"/>
        <w:gridCol w:w="2000"/>
        <w:gridCol w:w="1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vMerge w:val="restart"/>
            <w:shd w:val="clear" w:color="auto" w:fill="auto"/>
            <w:vAlign w:val="center"/>
          </w:tcPr>
          <w:p>
            <w:pPr>
              <w:pStyle w:val="39"/>
              <w:rPr>
                <w:rFonts w:ascii="Times New Roman" w:hAnsi="Times New Roman"/>
              </w:rPr>
            </w:pPr>
            <w:r>
              <w:rPr>
                <w:rFonts w:ascii="Times New Roman" w:hAnsi="Times New Roman"/>
              </w:rPr>
              <w:t>序号</w:t>
            </w:r>
          </w:p>
        </w:tc>
        <w:tc>
          <w:tcPr>
            <w:tcW w:w="2126" w:type="dxa"/>
            <w:vMerge w:val="restart"/>
            <w:shd w:val="clear" w:color="auto" w:fill="auto"/>
            <w:vAlign w:val="center"/>
          </w:tcPr>
          <w:p>
            <w:pPr>
              <w:pStyle w:val="39"/>
              <w:rPr>
                <w:rFonts w:ascii="Times New Roman" w:hAnsi="Times New Roman"/>
              </w:rPr>
            </w:pPr>
            <w:r>
              <w:rPr>
                <w:rFonts w:ascii="Times New Roman" w:hAnsi="Times New Roman"/>
              </w:rPr>
              <w:t>项目内容</w:t>
            </w:r>
          </w:p>
        </w:tc>
        <w:tc>
          <w:tcPr>
            <w:tcW w:w="933" w:type="dxa"/>
            <w:vMerge w:val="restart"/>
            <w:shd w:val="clear" w:color="auto" w:fill="auto"/>
            <w:vAlign w:val="center"/>
          </w:tcPr>
          <w:p>
            <w:pPr>
              <w:pStyle w:val="39"/>
              <w:rPr>
                <w:rFonts w:ascii="Times New Roman" w:hAnsi="Times New Roman"/>
              </w:rPr>
            </w:pPr>
            <w:r>
              <w:rPr>
                <w:rFonts w:ascii="Times New Roman" w:hAnsi="Times New Roman"/>
              </w:rPr>
              <w:t>浓度值/mg/m</w:t>
            </w:r>
            <w:r>
              <w:rPr>
                <w:rFonts w:ascii="Times New Roman" w:hAnsi="Times New Roman"/>
                <w:vertAlign w:val="superscript"/>
              </w:rPr>
              <w:t>3</w:t>
            </w:r>
          </w:p>
        </w:tc>
        <w:tc>
          <w:tcPr>
            <w:tcW w:w="1168" w:type="dxa"/>
            <w:vMerge w:val="restart"/>
            <w:shd w:val="clear" w:color="auto" w:fill="auto"/>
            <w:vAlign w:val="center"/>
          </w:tcPr>
          <w:p>
            <w:pPr>
              <w:pStyle w:val="39"/>
              <w:rPr>
                <w:rFonts w:ascii="Times New Roman" w:hAnsi="Times New Roman"/>
              </w:rPr>
            </w:pPr>
            <w:r>
              <w:rPr>
                <w:rFonts w:ascii="Times New Roman" w:hAnsi="Times New Roman"/>
              </w:rPr>
              <w:t>最远影响距离/m</w:t>
            </w:r>
          </w:p>
        </w:tc>
        <w:tc>
          <w:tcPr>
            <w:tcW w:w="902" w:type="dxa"/>
            <w:vMerge w:val="restart"/>
            <w:shd w:val="clear" w:color="auto" w:fill="auto"/>
            <w:vAlign w:val="center"/>
          </w:tcPr>
          <w:p>
            <w:pPr>
              <w:pStyle w:val="39"/>
              <w:rPr>
                <w:rFonts w:ascii="Times New Roman" w:hAnsi="Times New Roman"/>
              </w:rPr>
            </w:pPr>
            <w:r>
              <w:rPr>
                <w:rFonts w:ascii="Times New Roman" w:hAnsi="Times New Roman"/>
              </w:rPr>
              <w:t>到达时间/min</w:t>
            </w:r>
          </w:p>
        </w:tc>
        <w:tc>
          <w:tcPr>
            <w:tcW w:w="3981" w:type="dxa"/>
            <w:gridSpan w:val="2"/>
            <w:vAlign w:val="center"/>
          </w:tcPr>
          <w:p>
            <w:pPr>
              <w:pStyle w:val="39"/>
              <w:rPr>
                <w:rFonts w:ascii="Times New Roman" w:hAnsi="Times New Roman"/>
              </w:rPr>
            </w:pPr>
            <w:r>
              <w:rPr>
                <w:rFonts w:ascii="Times New Roman" w:hAnsi="Times New Roman"/>
                <w:vertAlign w:val="superscript"/>
              </w:rPr>
              <w:t>*</w:t>
            </w:r>
            <w:r>
              <w:rPr>
                <w:rFonts w:ascii="Times New Roman" w:hAnsi="Times New Roman"/>
              </w:rPr>
              <w:t>最长持续超标时间对应点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vMerge w:val="continue"/>
            <w:shd w:val="clear" w:color="auto" w:fill="auto"/>
            <w:vAlign w:val="center"/>
          </w:tcPr>
          <w:p>
            <w:pPr>
              <w:adjustRightInd w:val="0"/>
              <w:spacing w:line="240" w:lineRule="auto"/>
              <w:ind w:firstLine="480"/>
              <w:rPr>
                <w:rFonts w:ascii="Times New Roman" w:hAnsi="Times New Roman"/>
              </w:rPr>
            </w:pPr>
          </w:p>
        </w:tc>
        <w:tc>
          <w:tcPr>
            <w:tcW w:w="2126" w:type="dxa"/>
            <w:vMerge w:val="continue"/>
            <w:shd w:val="clear" w:color="auto" w:fill="auto"/>
            <w:vAlign w:val="center"/>
          </w:tcPr>
          <w:p>
            <w:pPr>
              <w:adjustRightInd w:val="0"/>
              <w:spacing w:line="240" w:lineRule="auto"/>
              <w:ind w:firstLine="480"/>
              <w:rPr>
                <w:rFonts w:ascii="Times New Roman" w:hAnsi="Times New Roman"/>
              </w:rPr>
            </w:pPr>
          </w:p>
        </w:tc>
        <w:tc>
          <w:tcPr>
            <w:tcW w:w="933" w:type="dxa"/>
            <w:vMerge w:val="continue"/>
            <w:shd w:val="clear" w:color="auto" w:fill="auto"/>
            <w:vAlign w:val="center"/>
          </w:tcPr>
          <w:p>
            <w:pPr>
              <w:adjustRightInd w:val="0"/>
              <w:spacing w:line="240" w:lineRule="auto"/>
              <w:ind w:firstLine="480"/>
              <w:rPr>
                <w:rFonts w:ascii="Times New Roman" w:hAnsi="Times New Roman"/>
              </w:rPr>
            </w:pPr>
          </w:p>
        </w:tc>
        <w:tc>
          <w:tcPr>
            <w:tcW w:w="1168" w:type="dxa"/>
            <w:vMerge w:val="continue"/>
            <w:shd w:val="clear" w:color="auto" w:fill="auto"/>
            <w:vAlign w:val="center"/>
          </w:tcPr>
          <w:p>
            <w:pPr>
              <w:adjustRightInd w:val="0"/>
              <w:spacing w:line="240" w:lineRule="auto"/>
              <w:ind w:firstLine="480"/>
              <w:rPr>
                <w:rFonts w:ascii="Times New Roman" w:hAnsi="Times New Roman"/>
              </w:rPr>
            </w:pPr>
          </w:p>
        </w:tc>
        <w:tc>
          <w:tcPr>
            <w:tcW w:w="902" w:type="dxa"/>
            <w:vMerge w:val="continue"/>
            <w:shd w:val="clear" w:color="auto" w:fill="auto"/>
            <w:vAlign w:val="center"/>
          </w:tcPr>
          <w:p>
            <w:pPr>
              <w:adjustRightInd w:val="0"/>
              <w:spacing w:line="240" w:lineRule="auto"/>
              <w:ind w:firstLine="480"/>
              <w:rPr>
                <w:rFonts w:ascii="Times New Roman" w:hAnsi="Times New Roman"/>
              </w:rPr>
            </w:pPr>
          </w:p>
        </w:tc>
        <w:tc>
          <w:tcPr>
            <w:tcW w:w="2000" w:type="dxa"/>
            <w:vAlign w:val="center"/>
          </w:tcPr>
          <w:p>
            <w:pPr>
              <w:pStyle w:val="39"/>
              <w:rPr>
                <w:rFonts w:ascii="Times New Roman" w:hAnsi="Times New Roman"/>
              </w:rPr>
            </w:pPr>
            <w:r>
              <w:rPr>
                <w:rFonts w:ascii="Times New Roman" w:hAnsi="Times New Roman"/>
              </w:rPr>
              <w:t>超标持续时间/min</w:t>
            </w:r>
          </w:p>
        </w:tc>
        <w:tc>
          <w:tcPr>
            <w:tcW w:w="1981" w:type="dxa"/>
            <w:vAlign w:val="center"/>
          </w:tcPr>
          <w:p>
            <w:pPr>
              <w:pStyle w:val="39"/>
              <w:rPr>
                <w:rFonts w:ascii="Times New Roman" w:hAnsi="Times New Roman"/>
              </w:rPr>
            </w:pPr>
            <w:r>
              <w:rPr>
                <w:rFonts w:ascii="Times New Roman" w:hAnsi="Times New Roman"/>
              </w:rPr>
              <w:t>相对风险源距离/m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shd w:val="clear" w:color="auto" w:fill="auto"/>
            <w:vAlign w:val="center"/>
          </w:tcPr>
          <w:p>
            <w:pPr>
              <w:pStyle w:val="39"/>
              <w:rPr>
                <w:rFonts w:ascii="Times New Roman" w:hAnsi="Times New Roman"/>
              </w:rPr>
            </w:pPr>
            <w:r>
              <w:rPr>
                <w:rFonts w:ascii="Times New Roman" w:hAnsi="Times New Roman"/>
              </w:rPr>
              <w:t>1</w:t>
            </w:r>
          </w:p>
        </w:tc>
        <w:tc>
          <w:tcPr>
            <w:tcW w:w="2126" w:type="dxa"/>
            <w:shd w:val="clear" w:color="auto" w:fill="auto"/>
            <w:vAlign w:val="center"/>
          </w:tcPr>
          <w:p>
            <w:pPr>
              <w:pStyle w:val="39"/>
              <w:rPr>
                <w:rFonts w:ascii="Times New Roman" w:hAnsi="Times New Roman"/>
              </w:rPr>
            </w:pPr>
            <w:r>
              <w:rPr>
                <w:rFonts w:ascii="Times New Roman" w:hAnsi="Times New Roman"/>
              </w:rPr>
              <w:t>大气毒性终点浓度-1</w:t>
            </w:r>
          </w:p>
        </w:tc>
        <w:tc>
          <w:tcPr>
            <w:tcW w:w="933" w:type="dxa"/>
            <w:shd w:val="clear" w:color="auto" w:fill="auto"/>
            <w:vAlign w:val="center"/>
          </w:tcPr>
          <w:p>
            <w:pPr>
              <w:pStyle w:val="39"/>
              <w:rPr>
                <w:rFonts w:ascii="Times New Roman" w:hAnsi="Times New Roman"/>
              </w:rPr>
            </w:pPr>
            <w:r>
              <w:rPr>
                <w:rFonts w:ascii="Times New Roman" w:hAnsi="Times New Roman"/>
              </w:rPr>
              <w:t>70</w:t>
            </w:r>
          </w:p>
        </w:tc>
        <w:tc>
          <w:tcPr>
            <w:tcW w:w="1168" w:type="dxa"/>
            <w:shd w:val="clear" w:color="auto" w:fill="auto"/>
            <w:vAlign w:val="center"/>
          </w:tcPr>
          <w:p>
            <w:pPr>
              <w:pStyle w:val="39"/>
              <w:rPr>
                <w:rFonts w:ascii="Times New Roman" w:hAnsi="Times New Roman"/>
              </w:rPr>
            </w:pPr>
            <w:r>
              <w:rPr>
                <w:rFonts w:ascii="Times New Roman" w:hAnsi="Times New Roman"/>
              </w:rPr>
              <w:t>31</w:t>
            </w:r>
          </w:p>
        </w:tc>
        <w:tc>
          <w:tcPr>
            <w:tcW w:w="902" w:type="dxa"/>
            <w:shd w:val="clear" w:color="auto" w:fill="auto"/>
            <w:vAlign w:val="center"/>
          </w:tcPr>
          <w:p>
            <w:pPr>
              <w:pStyle w:val="39"/>
              <w:rPr>
                <w:rFonts w:ascii="Times New Roman" w:hAnsi="Times New Roman"/>
              </w:rPr>
            </w:pPr>
            <w:r>
              <w:rPr>
                <w:rFonts w:ascii="Times New Roman" w:hAnsi="Times New Roman"/>
              </w:rPr>
              <w:t>52</w:t>
            </w:r>
          </w:p>
        </w:tc>
        <w:tc>
          <w:tcPr>
            <w:tcW w:w="2000" w:type="dxa"/>
            <w:vAlign w:val="center"/>
          </w:tcPr>
          <w:p>
            <w:pPr>
              <w:pStyle w:val="39"/>
              <w:rPr>
                <w:rFonts w:ascii="Times New Roman" w:hAnsi="Times New Roman"/>
              </w:rPr>
            </w:pPr>
            <w:r>
              <w:rPr>
                <w:rFonts w:ascii="Times New Roman" w:hAnsi="Times New Roman"/>
              </w:rPr>
              <w:t>43</w:t>
            </w:r>
          </w:p>
        </w:tc>
        <w:tc>
          <w:tcPr>
            <w:tcW w:w="1981" w:type="dxa"/>
            <w:shd w:val="clear" w:color="auto" w:fill="auto"/>
            <w:vAlign w:val="center"/>
          </w:tcPr>
          <w:p>
            <w:pPr>
              <w:pStyle w:val="39"/>
              <w:rPr>
                <w:rFonts w:ascii="Times New Roman" w:hAnsi="Times New Roman"/>
              </w:rPr>
            </w:pPr>
            <w:r>
              <w:rPr>
                <w:rFonts w:ascii="Times New Roman" w:hAnsi="Times New Roma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shd w:val="clear" w:color="auto" w:fill="auto"/>
            <w:vAlign w:val="center"/>
          </w:tcPr>
          <w:p>
            <w:pPr>
              <w:pStyle w:val="39"/>
              <w:rPr>
                <w:rFonts w:ascii="Times New Roman" w:hAnsi="Times New Roman"/>
              </w:rPr>
            </w:pPr>
            <w:r>
              <w:rPr>
                <w:rFonts w:ascii="Times New Roman" w:hAnsi="Times New Roman"/>
              </w:rPr>
              <w:t>2</w:t>
            </w:r>
          </w:p>
        </w:tc>
        <w:tc>
          <w:tcPr>
            <w:tcW w:w="2126" w:type="dxa"/>
            <w:shd w:val="clear" w:color="auto" w:fill="auto"/>
            <w:vAlign w:val="center"/>
          </w:tcPr>
          <w:p>
            <w:pPr>
              <w:pStyle w:val="39"/>
              <w:rPr>
                <w:rFonts w:ascii="Times New Roman" w:hAnsi="Times New Roman"/>
              </w:rPr>
            </w:pPr>
            <w:r>
              <w:rPr>
                <w:rFonts w:ascii="Times New Roman" w:hAnsi="Times New Roman"/>
              </w:rPr>
              <w:t>大气毒性终点浓度-2</w:t>
            </w:r>
          </w:p>
        </w:tc>
        <w:tc>
          <w:tcPr>
            <w:tcW w:w="933" w:type="dxa"/>
            <w:shd w:val="clear" w:color="auto" w:fill="auto"/>
            <w:vAlign w:val="center"/>
          </w:tcPr>
          <w:p>
            <w:pPr>
              <w:pStyle w:val="39"/>
              <w:rPr>
                <w:rFonts w:ascii="Times New Roman" w:hAnsi="Times New Roman"/>
              </w:rPr>
            </w:pPr>
            <w:r>
              <w:rPr>
                <w:rFonts w:ascii="Times New Roman" w:hAnsi="Times New Roman"/>
              </w:rPr>
              <w:t>38</w:t>
            </w:r>
          </w:p>
        </w:tc>
        <w:tc>
          <w:tcPr>
            <w:tcW w:w="1168" w:type="dxa"/>
            <w:shd w:val="clear" w:color="auto" w:fill="auto"/>
            <w:vAlign w:val="center"/>
          </w:tcPr>
          <w:p>
            <w:pPr>
              <w:pStyle w:val="39"/>
              <w:rPr>
                <w:rFonts w:ascii="Times New Roman" w:hAnsi="Times New Roman"/>
              </w:rPr>
            </w:pPr>
            <w:r>
              <w:rPr>
                <w:rFonts w:ascii="Times New Roman" w:hAnsi="Times New Roman"/>
              </w:rPr>
              <w:t>57</w:t>
            </w:r>
          </w:p>
        </w:tc>
        <w:tc>
          <w:tcPr>
            <w:tcW w:w="902" w:type="dxa"/>
            <w:shd w:val="clear" w:color="auto" w:fill="auto"/>
            <w:vAlign w:val="center"/>
          </w:tcPr>
          <w:p>
            <w:pPr>
              <w:pStyle w:val="39"/>
              <w:rPr>
                <w:rFonts w:ascii="Times New Roman" w:hAnsi="Times New Roman"/>
              </w:rPr>
            </w:pPr>
            <w:r>
              <w:rPr>
                <w:rFonts w:ascii="Times New Roman" w:hAnsi="Times New Roman"/>
              </w:rPr>
              <w:t>40</w:t>
            </w:r>
          </w:p>
        </w:tc>
        <w:tc>
          <w:tcPr>
            <w:tcW w:w="2000" w:type="dxa"/>
            <w:vAlign w:val="center"/>
          </w:tcPr>
          <w:p>
            <w:pPr>
              <w:pStyle w:val="39"/>
              <w:rPr>
                <w:rFonts w:ascii="Times New Roman" w:hAnsi="Times New Roman"/>
              </w:rPr>
            </w:pPr>
            <w:r>
              <w:rPr>
                <w:rFonts w:ascii="Times New Roman" w:hAnsi="Times New Roman"/>
              </w:rPr>
              <w:t>60</w:t>
            </w:r>
          </w:p>
        </w:tc>
        <w:tc>
          <w:tcPr>
            <w:tcW w:w="1981" w:type="dxa"/>
            <w:shd w:val="clear" w:color="auto" w:fill="auto"/>
            <w:vAlign w:val="center"/>
          </w:tcPr>
          <w:p>
            <w:pPr>
              <w:pStyle w:val="39"/>
              <w:rPr>
                <w:rFonts w:ascii="Times New Roman" w:hAnsi="Times New Roman"/>
              </w:rPr>
            </w:pPr>
            <w:r>
              <w:rPr>
                <w:rFonts w:ascii="Times New Roman" w:hAnsi="Times New Roman"/>
              </w:rPr>
              <w:t>60</w:t>
            </w:r>
          </w:p>
        </w:tc>
      </w:tr>
    </w:tbl>
    <w:p>
      <w:pPr>
        <w:snapToGrid w:val="0"/>
        <w:spacing w:line="240" w:lineRule="auto"/>
        <w:ind w:firstLine="0" w:firstLineChars="0"/>
        <w:rPr>
          <w:rFonts w:ascii="Times New Roman" w:hAnsi="Times New Roman"/>
          <w:sz w:val="18"/>
          <w:szCs w:val="18"/>
        </w:rPr>
      </w:pPr>
      <w:r>
        <w:rPr>
          <w:rFonts w:ascii="Times New Roman" w:hAnsi="Times New Roman"/>
          <w:sz w:val="18"/>
          <w:szCs w:val="18"/>
        </w:rPr>
        <w:t>*注：最长持续时间指在最大浓度出现位置（含敏感目标位置）保持不变的前提下，该位置浓度持续超过大气毒性终点浓度1或大气毒性终点浓度2的时间。</w:t>
      </w:r>
    </w:p>
    <w:p>
      <w:pPr>
        <w:pStyle w:val="37"/>
        <w:rPr>
          <w:rFonts w:ascii="Times New Roman" w:hAnsi="Times New Roman" w:cs="Times New Roman"/>
        </w:rPr>
      </w:pPr>
      <w:bookmarkStart w:id="324" w:name="_Ref158900098"/>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55</w:t>
      </w:r>
      <w:r>
        <w:rPr>
          <w:rFonts w:ascii="Times New Roman" w:hAnsi="Times New Roman" w:cs="Times New Roman"/>
        </w:rPr>
        <w:fldChar w:fldCharType="end"/>
      </w:r>
      <w:bookmarkEnd w:id="324"/>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S扩散不同时刻最大浓度出现时间和距离（部分结果，西风向）</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38"/>
        <w:gridCol w:w="3040"/>
        <w:gridCol w:w="3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释放后时刻/min</w:t>
            </w:r>
          </w:p>
        </w:tc>
        <w:tc>
          <w:tcPr>
            <w:tcW w:w="1667" w:type="pct"/>
            <w:vAlign w:val="center"/>
          </w:tcPr>
          <w:p>
            <w:pPr>
              <w:pStyle w:val="39"/>
              <w:rPr>
                <w:rFonts w:ascii="Times New Roman" w:hAnsi="Times New Roman"/>
              </w:rPr>
            </w:pPr>
            <w:r>
              <w:rPr>
                <w:rFonts w:ascii="Times New Roman" w:hAnsi="Times New Roman"/>
              </w:rPr>
              <w:t>距源点距离/m</w:t>
            </w:r>
          </w:p>
        </w:tc>
        <w:tc>
          <w:tcPr>
            <w:tcW w:w="1667" w:type="pct"/>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1</w:t>
            </w:r>
          </w:p>
        </w:tc>
        <w:tc>
          <w:tcPr>
            <w:tcW w:w="1667" w:type="pct"/>
            <w:vAlign w:val="center"/>
          </w:tcPr>
          <w:p>
            <w:pPr>
              <w:pStyle w:val="39"/>
              <w:rPr>
                <w:rFonts w:ascii="Times New Roman" w:hAnsi="Times New Roman"/>
              </w:rPr>
            </w:pPr>
            <w:r>
              <w:rPr>
                <w:rFonts w:ascii="Times New Roman" w:hAnsi="Times New Roman"/>
              </w:rPr>
              <w:t>0</w:t>
            </w:r>
          </w:p>
        </w:tc>
        <w:tc>
          <w:tcPr>
            <w:tcW w:w="1667" w:type="pct"/>
            <w:vAlign w:val="center"/>
          </w:tcPr>
          <w:p>
            <w:pPr>
              <w:pStyle w:val="39"/>
              <w:rPr>
                <w:rFonts w:ascii="Times New Roman" w:hAnsi="Times New Roman"/>
              </w:rPr>
            </w:pPr>
            <w:r>
              <w:rPr>
                <w:rFonts w:ascii="Times New Roman" w:hAnsi="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5</w:t>
            </w:r>
          </w:p>
        </w:tc>
        <w:tc>
          <w:tcPr>
            <w:tcW w:w="1667" w:type="pct"/>
            <w:vAlign w:val="center"/>
          </w:tcPr>
          <w:p>
            <w:pPr>
              <w:pStyle w:val="39"/>
              <w:rPr>
                <w:rFonts w:ascii="Times New Roman" w:hAnsi="Times New Roman"/>
              </w:rPr>
            </w:pPr>
            <w:r>
              <w:rPr>
                <w:rFonts w:ascii="Times New Roman" w:hAnsi="Times New Roman"/>
              </w:rPr>
              <w:t xml:space="preserve">60 </w:t>
            </w:r>
          </w:p>
        </w:tc>
        <w:tc>
          <w:tcPr>
            <w:tcW w:w="1667" w:type="pct"/>
            <w:vAlign w:val="center"/>
          </w:tcPr>
          <w:p>
            <w:pPr>
              <w:pStyle w:val="39"/>
              <w:rPr>
                <w:rFonts w:ascii="Times New Roman" w:hAnsi="Times New Roman"/>
              </w:rPr>
            </w:pPr>
            <w:r>
              <w:rPr>
                <w:rFonts w:ascii="Times New Roman" w:hAnsi="Times New Roman"/>
              </w:rPr>
              <w:t>7.02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10</w:t>
            </w:r>
          </w:p>
        </w:tc>
        <w:tc>
          <w:tcPr>
            <w:tcW w:w="1667" w:type="pct"/>
            <w:vAlign w:val="center"/>
          </w:tcPr>
          <w:p>
            <w:pPr>
              <w:pStyle w:val="39"/>
              <w:rPr>
                <w:rFonts w:ascii="Times New Roman" w:hAnsi="Times New Roman"/>
              </w:rPr>
            </w:pPr>
            <w:r>
              <w:rPr>
                <w:rFonts w:ascii="Times New Roman" w:hAnsi="Times New Roman"/>
              </w:rPr>
              <w:t xml:space="preserve">60 </w:t>
            </w:r>
          </w:p>
        </w:tc>
        <w:tc>
          <w:tcPr>
            <w:tcW w:w="1667" w:type="pct"/>
            <w:vAlign w:val="center"/>
          </w:tcPr>
          <w:p>
            <w:pPr>
              <w:pStyle w:val="39"/>
              <w:rPr>
                <w:rFonts w:ascii="Times New Roman" w:hAnsi="Times New Roman"/>
              </w:rPr>
            </w:pPr>
            <w:r>
              <w:rPr>
                <w:rFonts w:ascii="Times New Roman" w:hAnsi="Times New Roman"/>
              </w:rPr>
              <w:t>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15</w:t>
            </w:r>
          </w:p>
        </w:tc>
        <w:tc>
          <w:tcPr>
            <w:tcW w:w="1667" w:type="pct"/>
            <w:vAlign w:val="center"/>
          </w:tcPr>
          <w:p>
            <w:pPr>
              <w:pStyle w:val="39"/>
              <w:rPr>
                <w:rFonts w:ascii="Times New Roman" w:hAnsi="Times New Roman"/>
              </w:rPr>
            </w:pPr>
            <w:r>
              <w:rPr>
                <w:rFonts w:ascii="Times New Roman" w:hAnsi="Times New Roman"/>
              </w:rPr>
              <w:t xml:space="preserve">60 </w:t>
            </w:r>
          </w:p>
        </w:tc>
        <w:tc>
          <w:tcPr>
            <w:tcW w:w="1667" w:type="pct"/>
            <w:vAlign w:val="center"/>
          </w:tcPr>
          <w:p>
            <w:pPr>
              <w:pStyle w:val="39"/>
              <w:rPr>
                <w:rFonts w:ascii="Times New Roman" w:hAnsi="Times New Roman"/>
              </w:rPr>
            </w:pPr>
            <w:r>
              <w:rPr>
                <w:rFonts w:ascii="Times New Roman" w:hAnsi="Times New Roma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20</w:t>
            </w:r>
          </w:p>
        </w:tc>
        <w:tc>
          <w:tcPr>
            <w:tcW w:w="1667" w:type="pct"/>
            <w:vAlign w:val="center"/>
          </w:tcPr>
          <w:p>
            <w:pPr>
              <w:pStyle w:val="39"/>
              <w:rPr>
                <w:rFonts w:ascii="Times New Roman" w:hAnsi="Times New Roman"/>
              </w:rPr>
            </w:pPr>
            <w:r>
              <w:rPr>
                <w:rFonts w:ascii="Times New Roman" w:hAnsi="Times New Roman"/>
              </w:rPr>
              <w:t xml:space="preserve">60 </w:t>
            </w:r>
          </w:p>
        </w:tc>
        <w:tc>
          <w:tcPr>
            <w:tcW w:w="1667" w:type="pct"/>
            <w:vAlign w:val="center"/>
          </w:tcPr>
          <w:p>
            <w:pPr>
              <w:pStyle w:val="39"/>
              <w:rPr>
                <w:rFonts w:ascii="Times New Roman" w:hAnsi="Times New Roman"/>
              </w:rPr>
            </w:pPr>
            <w:r>
              <w:rPr>
                <w:rFonts w:ascii="Times New Roman" w:hAnsi="Times New Roman"/>
              </w:rPr>
              <w:t>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25</w:t>
            </w:r>
          </w:p>
        </w:tc>
        <w:tc>
          <w:tcPr>
            <w:tcW w:w="1667" w:type="pct"/>
            <w:vAlign w:val="center"/>
          </w:tcPr>
          <w:p>
            <w:pPr>
              <w:pStyle w:val="39"/>
              <w:rPr>
                <w:rFonts w:ascii="Times New Roman" w:hAnsi="Times New Roman"/>
              </w:rPr>
            </w:pPr>
            <w:r>
              <w:rPr>
                <w:rFonts w:ascii="Times New Roman" w:hAnsi="Times New Roman"/>
              </w:rPr>
              <w:t xml:space="preserve">60 </w:t>
            </w:r>
          </w:p>
        </w:tc>
        <w:tc>
          <w:tcPr>
            <w:tcW w:w="1667" w:type="pct"/>
            <w:vAlign w:val="center"/>
          </w:tcPr>
          <w:p>
            <w:pPr>
              <w:pStyle w:val="39"/>
              <w:rPr>
                <w:rFonts w:ascii="Times New Roman" w:hAnsi="Times New Roman"/>
              </w:rPr>
            </w:pPr>
            <w:r>
              <w:rPr>
                <w:rFonts w:ascii="Times New Roman" w:hAnsi="Times New Roman"/>
              </w:rPr>
              <w:t>65.1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30</w:t>
            </w:r>
          </w:p>
        </w:tc>
        <w:tc>
          <w:tcPr>
            <w:tcW w:w="1667" w:type="pct"/>
            <w:vAlign w:val="center"/>
          </w:tcPr>
          <w:p>
            <w:pPr>
              <w:pStyle w:val="39"/>
              <w:rPr>
                <w:rFonts w:ascii="Times New Roman" w:hAnsi="Times New Roman"/>
              </w:rPr>
            </w:pPr>
            <w:r>
              <w:rPr>
                <w:rFonts w:ascii="Times New Roman" w:hAnsi="Times New Roman"/>
              </w:rPr>
              <w:t xml:space="preserve">60 </w:t>
            </w:r>
          </w:p>
        </w:tc>
        <w:tc>
          <w:tcPr>
            <w:tcW w:w="1667" w:type="pct"/>
            <w:vAlign w:val="center"/>
          </w:tcPr>
          <w:p>
            <w:pPr>
              <w:pStyle w:val="39"/>
              <w:rPr>
                <w:rFonts w:ascii="Times New Roman" w:hAnsi="Times New Roman"/>
              </w:rPr>
            </w:pPr>
            <w:r>
              <w:rPr>
                <w:rFonts w:ascii="Times New Roman" w:hAnsi="Times New Roman"/>
              </w:rPr>
              <w:t>65.9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35</w:t>
            </w:r>
          </w:p>
        </w:tc>
        <w:tc>
          <w:tcPr>
            <w:tcW w:w="1667" w:type="pct"/>
            <w:vAlign w:val="center"/>
          </w:tcPr>
          <w:p>
            <w:pPr>
              <w:pStyle w:val="39"/>
              <w:rPr>
                <w:rFonts w:ascii="Times New Roman" w:hAnsi="Times New Roman"/>
              </w:rPr>
            </w:pPr>
            <w:r>
              <w:rPr>
                <w:rFonts w:ascii="Times New Roman" w:hAnsi="Times New Roman"/>
              </w:rPr>
              <w:t xml:space="preserve">60 </w:t>
            </w:r>
          </w:p>
        </w:tc>
        <w:tc>
          <w:tcPr>
            <w:tcW w:w="1667" w:type="pct"/>
            <w:vAlign w:val="center"/>
          </w:tcPr>
          <w:p>
            <w:pPr>
              <w:pStyle w:val="39"/>
              <w:rPr>
                <w:rFonts w:ascii="Times New Roman" w:hAnsi="Times New Roman"/>
              </w:rPr>
            </w:pPr>
            <w:r>
              <w:rPr>
                <w:rFonts w:ascii="Times New Roman" w:hAnsi="Times New Roma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40</w:t>
            </w:r>
          </w:p>
        </w:tc>
        <w:tc>
          <w:tcPr>
            <w:tcW w:w="1667" w:type="pct"/>
            <w:vAlign w:val="center"/>
          </w:tcPr>
          <w:p>
            <w:pPr>
              <w:pStyle w:val="39"/>
              <w:rPr>
                <w:rFonts w:ascii="Times New Roman" w:hAnsi="Times New Roman"/>
              </w:rPr>
            </w:pPr>
            <w:r>
              <w:rPr>
                <w:rFonts w:ascii="Times New Roman" w:hAnsi="Times New Roman"/>
              </w:rPr>
              <w:t xml:space="preserve">60 </w:t>
            </w:r>
          </w:p>
        </w:tc>
        <w:tc>
          <w:tcPr>
            <w:tcW w:w="1667" w:type="pct"/>
            <w:vAlign w:val="center"/>
          </w:tcPr>
          <w:p>
            <w:pPr>
              <w:pStyle w:val="39"/>
              <w:rPr>
                <w:rFonts w:ascii="Times New Roman" w:hAnsi="Times New Roman"/>
              </w:rPr>
            </w:pPr>
            <w:r>
              <w:rPr>
                <w:rFonts w:ascii="Times New Roman" w:hAnsi="Times New Roma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66" w:type="pct"/>
            <w:vAlign w:val="center"/>
          </w:tcPr>
          <w:p>
            <w:pPr>
              <w:pStyle w:val="39"/>
              <w:rPr>
                <w:rFonts w:ascii="Times New Roman" w:hAnsi="Times New Roman"/>
              </w:rPr>
            </w:pPr>
            <w:r>
              <w:rPr>
                <w:rFonts w:ascii="Times New Roman" w:hAnsi="Times New Roman"/>
              </w:rPr>
              <w:t>45</w:t>
            </w:r>
          </w:p>
        </w:tc>
        <w:tc>
          <w:tcPr>
            <w:tcW w:w="1667" w:type="pct"/>
            <w:vAlign w:val="center"/>
          </w:tcPr>
          <w:p>
            <w:pPr>
              <w:pStyle w:val="39"/>
              <w:rPr>
                <w:rFonts w:ascii="Times New Roman" w:hAnsi="Times New Roman"/>
              </w:rPr>
            </w:pPr>
            <w:r>
              <w:rPr>
                <w:rFonts w:ascii="Times New Roman" w:hAnsi="Times New Roman"/>
              </w:rPr>
              <w:t xml:space="preserve">60 </w:t>
            </w:r>
          </w:p>
        </w:tc>
        <w:tc>
          <w:tcPr>
            <w:tcW w:w="1667" w:type="pct"/>
            <w:vAlign w:val="center"/>
          </w:tcPr>
          <w:p>
            <w:pPr>
              <w:pStyle w:val="39"/>
              <w:rPr>
                <w:rFonts w:ascii="Times New Roman" w:hAnsi="Times New Roman"/>
              </w:rPr>
            </w:pPr>
            <w:r>
              <w:rPr>
                <w:rFonts w:ascii="Times New Roman" w:hAnsi="Times New Roma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50</w:t>
            </w:r>
          </w:p>
        </w:tc>
        <w:tc>
          <w:tcPr>
            <w:tcW w:w="1667" w:type="pct"/>
            <w:vAlign w:val="center"/>
          </w:tcPr>
          <w:p>
            <w:pPr>
              <w:pStyle w:val="39"/>
              <w:rPr>
                <w:rFonts w:ascii="Times New Roman" w:hAnsi="Times New Roman"/>
              </w:rPr>
            </w:pPr>
            <w:r>
              <w:rPr>
                <w:rFonts w:ascii="Times New Roman" w:hAnsi="Times New Roman"/>
              </w:rPr>
              <w:t xml:space="preserve">60 </w:t>
            </w:r>
          </w:p>
        </w:tc>
        <w:tc>
          <w:tcPr>
            <w:tcW w:w="1667" w:type="pct"/>
            <w:vAlign w:val="center"/>
          </w:tcPr>
          <w:p>
            <w:pPr>
              <w:pStyle w:val="39"/>
              <w:rPr>
                <w:rFonts w:ascii="Times New Roman" w:hAnsi="Times New Roman"/>
              </w:rPr>
            </w:pPr>
            <w:r>
              <w:rPr>
                <w:rFonts w:ascii="Times New Roman" w:hAnsi="Times New Roma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60</w:t>
            </w:r>
          </w:p>
        </w:tc>
        <w:tc>
          <w:tcPr>
            <w:tcW w:w="1667" w:type="pct"/>
            <w:vAlign w:val="center"/>
          </w:tcPr>
          <w:p>
            <w:pPr>
              <w:pStyle w:val="39"/>
              <w:rPr>
                <w:rFonts w:ascii="Times New Roman" w:hAnsi="Times New Roman"/>
              </w:rPr>
            </w:pPr>
            <w:r>
              <w:rPr>
                <w:rFonts w:ascii="Times New Roman" w:hAnsi="Times New Roman"/>
              </w:rPr>
              <w:t xml:space="preserve">60 </w:t>
            </w:r>
          </w:p>
        </w:tc>
        <w:tc>
          <w:tcPr>
            <w:tcW w:w="1667" w:type="pct"/>
            <w:vAlign w:val="center"/>
          </w:tcPr>
          <w:p>
            <w:pPr>
              <w:pStyle w:val="39"/>
              <w:rPr>
                <w:rFonts w:ascii="Times New Roman" w:hAnsi="Times New Roman"/>
              </w:rPr>
            </w:pPr>
            <w:r>
              <w:rPr>
                <w:rFonts w:ascii="Times New Roman" w:hAnsi="Times New Roma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70</w:t>
            </w:r>
          </w:p>
        </w:tc>
        <w:tc>
          <w:tcPr>
            <w:tcW w:w="1667" w:type="pct"/>
            <w:vAlign w:val="center"/>
          </w:tcPr>
          <w:p>
            <w:pPr>
              <w:pStyle w:val="39"/>
              <w:rPr>
                <w:rFonts w:ascii="Times New Roman" w:hAnsi="Times New Roman"/>
              </w:rPr>
            </w:pPr>
            <w:r>
              <w:rPr>
                <w:rFonts w:ascii="Times New Roman" w:hAnsi="Times New Roman"/>
              </w:rPr>
              <w:t xml:space="preserve">60 </w:t>
            </w:r>
          </w:p>
        </w:tc>
        <w:tc>
          <w:tcPr>
            <w:tcW w:w="1667" w:type="pct"/>
            <w:vAlign w:val="center"/>
          </w:tcPr>
          <w:p>
            <w:pPr>
              <w:pStyle w:val="39"/>
              <w:rPr>
                <w:rFonts w:ascii="Times New Roman" w:hAnsi="Times New Roman"/>
              </w:rPr>
            </w:pPr>
            <w:r>
              <w:rPr>
                <w:rFonts w:ascii="Times New Roman" w:hAnsi="Times New Roman"/>
              </w:rPr>
              <w:t>42.7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80</w:t>
            </w:r>
          </w:p>
        </w:tc>
        <w:tc>
          <w:tcPr>
            <w:tcW w:w="1667" w:type="pct"/>
            <w:vAlign w:val="center"/>
          </w:tcPr>
          <w:p>
            <w:pPr>
              <w:pStyle w:val="39"/>
              <w:rPr>
                <w:rFonts w:ascii="Times New Roman" w:hAnsi="Times New Roman"/>
              </w:rPr>
            </w:pPr>
            <w:r>
              <w:rPr>
                <w:rFonts w:ascii="Times New Roman" w:hAnsi="Times New Roman"/>
              </w:rPr>
              <w:t xml:space="preserve">60 </w:t>
            </w:r>
          </w:p>
        </w:tc>
        <w:tc>
          <w:tcPr>
            <w:tcW w:w="1667" w:type="pct"/>
            <w:vAlign w:val="center"/>
          </w:tcPr>
          <w:p>
            <w:pPr>
              <w:pStyle w:val="39"/>
              <w:rPr>
                <w:rFonts w:ascii="Times New Roman" w:hAnsi="Times New Roman"/>
              </w:rPr>
            </w:pPr>
            <w:r>
              <w:rPr>
                <w:rFonts w:ascii="Times New Roman" w:hAnsi="Times New Roman"/>
              </w:rPr>
              <w:t>7.33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90</w:t>
            </w:r>
          </w:p>
        </w:tc>
        <w:tc>
          <w:tcPr>
            <w:tcW w:w="1667" w:type="pct"/>
            <w:vAlign w:val="center"/>
          </w:tcPr>
          <w:p>
            <w:pPr>
              <w:pStyle w:val="39"/>
              <w:rPr>
                <w:rFonts w:ascii="Times New Roman" w:hAnsi="Times New Roman"/>
              </w:rPr>
            </w:pPr>
            <w:r>
              <w:rPr>
                <w:rFonts w:ascii="Times New Roman" w:hAnsi="Times New Roman"/>
              </w:rPr>
              <w:t>4920</w:t>
            </w:r>
          </w:p>
        </w:tc>
        <w:tc>
          <w:tcPr>
            <w:tcW w:w="1667" w:type="pct"/>
            <w:vAlign w:val="center"/>
          </w:tcPr>
          <w:p>
            <w:pPr>
              <w:pStyle w:val="39"/>
              <w:rPr>
                <w:rFonts w:ascii="Times New Roman" w:hAnsi="Times New Roman"/>
              </w:rPr>
            </w:pPr>
            <w:r>
              <w:rPr>
                <w:rFonts w:ascii="Times New Roman" w:hAnsi="Times New Roman"/>
              </w:rPr>
              <w:t>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100</w:t>
            </w:r>
          </w:p>
        </w:tc>
        <w:tc>
          <w:tcPr>
            <w:tcW w:w="1667" w:type="pct"/>
            <w:vAlign w:val="center"/>
          </w:tcPr>
          <w:p>
            <w:pPr>
              <w:pStyle w:val="39"/>
              <w:rPr>
                <w:rFonts w:ascii="Times New Roman" w:hAnsi="Times New Roman"/>
              </w:rPr>
            </w:pPr>
            <w:r>
              <w:rPr>
                <w:rFonts w:ascii="Times New Roman" w:hAnsi="Times New Roman"/>
              </w:rPr>
              <w:t>4920</w:t>
            </w:r>
          </w:p>
        </w:tc>
        <w:tc>
          <w:tcPr>
            <w:tcW w:w="1667" w:type="pct"/>
            <w:vAlign w:val="center"/>
          </w:tcPr>
          <w:p>
            <w:pPr>
              <w:pStyle w:val="39"/>
              <w:rPr>
                <w:rFonts w:ascii="Times New Roman" w:hAnsi="Times New Roman"/>
              </w:rPr>
            </w:pPr>
            <w:r>
              <w:rPr>
                <w:rFonts w:ascii="Times New Roman" w:hAnsi="Times New Roman"/>
              </w:rPr>
              <w:t>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110</w:t>
            </w:r>
          </w:p>
        </w:tc>
        <w:tc>
          <w:tcPr>
            <w:tcW w:w="1667" w:type="pct"/>
            <w:vAlign w:val="center"/>
          </w:tcPr>
          <w:p>
            <w:pPr>
              <w:pStyle w:val="39"/>
              <w:rPr>
                <w:rFonts w:ascii="Times New Roman" w:hAnsi="Times New Roman"/>
              </w:rPr>
            </w:pPr>
            <w:r>
              <w:rPr>
                <w:rFonts w:ascii="Times New Roman" w:hAnsi="Times New Roman"/>
              </w:rPr>
              <w:t>4970</w:t>
            </w:r>
          </w:p>
        </w:tc>
        <w:tc>
          <w:tcPr>
            <w:tcW w:w="1667" w:type="pct"/>
            <w:vAlign w:val="center"/>
          </w:tcPr>
          <w:p>
            <w:pPr>
              <w:pStyle w:val="39"/>
              <w:rPr>
                <w:rFonts w:ascii="Times New Roman" w:hAnsi="Times New Roman"/>
              </w:rPr>
            </w:pPr>
            <w:r>
              <w:rPr>
                <w:rFonts w:ascii="Times New Roman" w:hAnsi="Times New Roman"/>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120</w:t>
            </w:r>
          </w:p>
        </w:tc>
        <w:tc>
          <w:tcPr>
            <w:tcW w:w="1667" w:type="pct"/>
            <w:vAlign w:val="center"/>
          </w:tcPr>
          <w:p>
            <w:pPr>
              <w:pStyle w:val="39"/>
              <w:rPr>
                <w:rFonts w:ascii="Times New Roman" w:hAnsi="Times New Roman"/>
              </w:rPr>
            </w:pPr>
            <w:r>
              <w:rPr>
                <w:rFonts w:ascii="Times New Roman" w:hAnsi="Times New Roman"/>
              </w:rPr>
              <w:t>4980</w:t>
            </w:r>
          </w:p>
        </w:tc>
        <w:tc>
          <w:tcPr>
            <w:tcW w:w="1667" w:type="pct"/>
            <w:vAlign w:val="center"/>
          </w:tcPr>
          <w:p>
            <w:pPr>
              <w:pStyle w:val="39"/>
              <w:rPr>
                <w:rFonts w:ascii="Times New Roman" w:hAnsi="Times New Roman"/>
              </w:rPr>
            </w:pPr>
            <w:r>
              <w:rPr>
                <w:rFonts w:ascii="Times New Roman" w:hAnsi="Times New Roman"/>
              </w:rPr>
              <w:t>0.808</w:t>
            </w:r>
          </w:p>
        </w:tc>
      </w:tr>
    </w:tbl>
    <w:p>
      <w:pPr>
        <w:pStyle w:val="37"/>
        <w:rPr>
          <w:rFonts w:ascii="Times New Roman" w:hAnsi="Times New Roman" w:cs="Times New Roman"/>
        </w:rPr>
      </w:pPr>
      <w:bookmarkStart w:id="325" w:name="_Ref15890010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56</w:t>
      </w:r>
      <w:r>
        <w:rPr>
          <w:rFonts w:ascii="Times New Roman" w:hAnsi="Times New Roman" w:cs="Times New Roman"/>
        </w:rPr>
        <w:fldChar w:fldCharType="end"/>
      </w:r>
      <w:bookmarkEnd w:id="325"/>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S扩散不同距离下的最大浓度及到达时间（部分结果，西风向）</w:t>
      </w:r>
    </w:p>
    <w:tbl>
      <w:tblPr>
        <w:tblStyle w:val="28"/>
        <w:tblW w:w="90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24"/>
        <w:gridCol w:w="3058"/>
        <w:gridCol w:w="30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距离/m</w:t>
            </w:r>
          </w:p>
        </w:tc>
        <w:tc>
          <w:tcPr>
            <w:tcW w:w="3058" w:type="dxa"/>
            <w:noWrap/>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p>
        </w:tc>
        <w:tc>
          <w:tcPr>
            <w:tcW w:w="3003" w:type="dxa"/>
            <w:noWrap/>
            <w:vAlign w:val="center"/>
          </w:tcPr>
          <w:p>
            <w:pPr>
              <w:pStyle w:val="39"/>
              <w:rPr>
                <w:rFonts w:ascii="Times New Roman" w:hAnsi="Times New Roman"/>
              </w:rPr>
            </w:pPr>
            <w:r>
              <w:rPr>
                <w:rFonts w:ascii="Times New Roman" w:hAnsi="Times New Roman"/>
              </w:rPr>
              <w:t>到达时间/min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10</w:t>
            </w:r>
          </w:p>
        </w:tc>
        <w:tc>
          <w:tcPr>
            <w:tcW w:w="3058" w:type="dxa"/>
            <w:noWrap/>
            <w:vAlign w:val="center"/>
          </w:tcPr>
          <w:p>
            <w:pPr>
              <w:pStyle w:val="39"/>
              <w:rPr>
                <w:rFonts w:ascii="Times New Roman" w:hAnsi="Times New Roman"/>
              </w:rPr>
            </w:pPr>
            <w:r>
              <w:rPr>
                <w:rFonts w:ascii="Times New Roman" w:hAnsi="Times New Roman"/>
              </w:rPr>
              <w:t>38.7</w:t>
            </w:r>
          </w:p>
        </w:tc>
        <w:tc>
          <w:tcPr>
            <w:tcW w:w="3003" w:type="dxa"/>
            <w:noWrap/>
            <w:vAlign w:val="center"/>
          </w:tcPr>
          <w:p>
            <w:pPr>
              <w:pStyle w:val="39"/>
              <w:rPr>
                <w:rFonts w:ascii="Times New Roman" w:hAnsi="Times New Roman"/>
              </w:rPr>
            </w:pPr>
            <w:r>
              <w:rPr>
                <w:rFonts w:ascii="Times New Roman" w:hAnsi="Times New Roma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50</w:t>
            </w:r>
          </w:p>
        </w:tc>
        <w:tc>
          <w:tcPr>
            <w:tcW w:w="3058" w:type="dxa"/>
            <w:noWrap/>
            <w:vAlign w:val="center"/>
          </w:tcPr>
          <w:p>
            <w:pPr>
              <w:pStyle w:val="39"/>
              <w:rPr>
                <w:rFonts w:ascii="Times New Roman" w:hAnsi="Times New Roman"/>
              </w:rPr>
            </w:pPr>
            <w:r>
              <w:rPr>
                <w:rFonts w:ascii="Times New Roman" w:hAnsi="Times New Roman"/>
              </w:rPr>
              <w:t>35.8</w:t>
            </w:r>
          </w:p>
        </w:tc>
        <w:tc>
          <w:tcPr>
            <w:tcW w:w="3003" w:type="dxa"/>
            <w:noWrap/>
            <w:vAlign w:val="center"/>
          </w:tcPr>
          <w:p>
            <w:pPr>
              <w:pStyle w:val="39"/>
              <w:rPr>
                <w:rFonts w:ascii="Times New Roman" w:hAnsi="Times New Roman"/>
              </w:rPr>
            </w:pPr>
            <w:r>
              <w:rPr>
                <w:rFonts w:ascii="Times New Roman" w:hAnsi="Times New Roman"/>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100</w:t>
            </w:r>
          </w:p>
        </w:tc>
        <w:tc>
          <w:tcPr>
            <w:tcW w:w="3058" w:type="dxa"/>
            <w:noWrap/>
            <w:vAlign w:val="center"/>
          </w:tcPr>
          <w:p>
            <w:pPr>
              <w:pStyle w:val="39"/>
              <w:rPr>
                <w:rFonts w:ascii="Times New Roman" w:hAnsi="Times New Roman"/>
              </w:rPr>
            </w:pPr>
            <w:r>
              <w:rPr>
                <w:rFonts w:ascii="Times New Roman" w:hAnsi="Times New Roman"/>
              </w:rPr>
              <w:t>14.8</w:t>
            </w:r>
          </w:p>
        </w:tc>
        <w:tc>
          <w:tcPr>
            <w:tcW w:w="3003" w:type="dxa"/>
            <w:noWrap/>
            <w:vAlign w:val="center"/>
          </w:tcPr>
          <w:p>
            <w:pPr>
              <w:pStyle w:val="39"/>
              <w:rPr>
                <w:rFonts w:ascii="Times New Roman" w:hAnsi="Times New Roman"/>
              </w:rPr>
            </w:pPr>
            <w:r>
              <w:rPr>
                <w:rFonts w:ascii="Times New Roman" w:hAnsi="Times New Roman"/>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300</w:t>
            </w:r>
          </w:p>
        </w:tc>
        <w:tc>
          <w:tcPr>
            <w:tcW w:w="3058" w:type="dxa"/>
            <w:noWrap/>
            <w:vAlign w:val="center"/>
          </w:tcPr>
          <w:p>
            <w:pPr>
              <w:pStyle w:val="39"/>
              <w:rPr>
                <w:rFonts w:ascii="Times New Roman" w:hAnsi="Times New Roman"/>
              </w:rPr>
            </w:pPr>
            <w:r>
              <w:rPr>
                <w:rFonts w:ascii="Times New Roman" w:hAnsi="Times New Roman"/>
              </w:rPr>
              <w:t>0.416</w:t>
            </w:r>
          </w:p>
        </w:tc>
        <w:tc>
          <w:tcPr>
            <w:tcW w:w="3003" w:type="dxa"/>
            <w:noWrap/>
            <w:vAlign w:val="center"/>
          </w:tcPr>
          <w:p>
            <w:pPr>
              <w:pStyle w:val="39"/>
              <w:rPr>
                <w:rFonts w:ascii="Times New Roman" w:hAnsi="Times New Roman"/>
              </w:rPr>
            </w:pPr>
            <w:r>
              <w:rPr>
                <w:rFonts w:ascii="Times New Roman" w:hAnsi="Times New Roman"/>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600</w:t>
            </w:r>
          </w:p>
        </w:tc>
        <w:tc>
          <w:tcPr>
            <w:tcW w:w="3058" w:type="dxa"/>
            <w:noWrap/>
            <w:vAlign w:val="center"/>
          </w:tcPr>
          <w:p>
            <w:pPr>
              <w:pStyle w:val="39"/>
              <w:rPr>
                <w:rFonts w:ascii="Times New Roman" w:hAnsi="Times New Roman"/>
              </w:rPr>
            </w:pPr>
            <w:r>
              <w:rPr>
                <w:rFonts w:ascii="Times New Roman" w:hAnsi="Times New Roman"/>
              </w:rPr>
              <w:t>0.83</w:t>
            </w:r>
          </w:p>
        </w:tc>
        <w:tc>
          <w:tcPr>
            <w:tcW w:w="3003" w:type="dxa"/>
            <w:noWrap/>
            <w:vAlign w:val="center"/>
          </w:tcPr>
          <w:p>
            <w:pPr>
              <w:pStyle w:val="39"/>
              <w:rPr>
                <w:rFonts w:ascii="Times New Roman" w:hAnsi="Times New Roman"/>
              </w:rPr>
            </w:pPr>
            <w:r>
              <w:rPr>
                <w:rFonts w:ascii="Times New Roman" w:hAnsi="Times New Roman"/>
              </w:rPr>
              <w:t>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1000</w:t>
            </w:r>
          </w:p>
        </w:tc>
        <w:tc>
          <w:tcPr>
            <w:tcW w:w="3058" w:type="dxa"/>
            <w:noWrap/>
            <w:vAlign w:val="center"/>
          </w:tcPr>
          <w:p>
            <w:pPr>
              <w:pStyle w:val="39"/>
              <w:rPr>
                <w:rFonts w:ascii="Times New Roman" w:hAnsi="Times New Roman"/>
              </w:rPr>
            </w:pPr>
            <w:r>
              <w:rPr>
                <w:rFonts w:ascii="Times New Roman" w:hAnsi="Times New Roman"/>
              </w:rPr>
              <w:t>0.525</w:t>
            </w:r>
          </w:p>
        </w:tc>
        <w:tc>
          <w:tcPr>
            <w:tcW w:w="3003" w:type="dxa"/>
            <w:noWrap/>
            <w:vAlign w:val="center"/>
          </w:tcPr>
          <w:p>
            <w:pPr>
              <w:pStyle w:val="39"/>
              <w:rPr>
                <w:rFonts w:ascii="Times New Roman" w:hAnsi="Times New Roman"/>
              </w:rPr>
            </w:pPr>
            <w:r>
              <w:rPr>
                <w:rFonts w:ascii="Times New Roman" w:hAnsi="Times New Roman"/>
              </w:rPr>
              <w:t>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1500</w:t>
            </w:r>
          </w:p>
        </w:tc>
        <w:tc>
          <w:tcPr>
            <w:tcW w:w="3058" w:type="dxa"/>
            <w:noWrap/>
            <w:vAlign w:val="center"/>
          </w:tcPr>
          <w:p>
            <w:pPr>
              <w:pStyle w:val="39"/>
              <w:rPr>
                <w:rFonts w:ascii="Times New Roman" w:hAnsi="Times New Roman"/>
              </w:rPr>
            </w:pPr>
            <w:r>
              <w:rPr>
                <w:rFonts w:ascii="Times New Roman" w:hAnsi="Times New Roman"/>
              </w:rPr>
              <w:t>6.78E-03</w:t>
            </w:r>
          </w:p>
        </w:tc>
        <w:tc>
          <w:tcPr>
            <w:tcW w:w="3003" w:type="dxa"/>
            <w:noWrap/>
            <w:vAlign w:val="center"/>
          </w:tcPr>
          <w:p>
            <w:pPr>
              <w:pStyle w:val="39"/>
              <w:rPr>
                <w:rFonts w:ascii="Times New Roman" w:hAnsi="Times New Roman"/>
              </w:rPr>
            </w:pPr>
            <w:r>
              <w:rPr>
                <w:rFonts w:ascii="Times New Roman" w:hAnsi="Times New Roman"/>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2100</w:t>
            </w:r>
          </w:p>
        </w:tc>
        <w:tc>
          <w:tcPr>
            <w:tcW w:w="3058" w:type="dxa"/>
            <w:noWrap/>
            <w:vAlign w:val="center"/>
          </w:tcPr>
          <w:p>
            <w:pPr>
              <w:pStyle w:val="39"/>
              <w:rPr>
                <w:rFonts w:ascii="Times New Roman" w:hAnsi="Times New Roman"/>
              </w:rPr>
            </w:pPr>
            <w:r>
              <w:rPr>
                <w:rFonts w:ascii="Times New Roman" w:hAnsi="Times New Roman"/>
              </w:rPr>
              <w:t>2.13E-07</w:t>
            </w:r>
          </w:p>
        </w:tc>
        <w:tc>
          <w:tcPr>
            <w:tcW w:w="3003" w:type="dxa"/>
            <w:noWrap/>
            <w:vAlign w:val="center"/>
          </w:tcPr>
          <w:p>
            <w:pPr>
              <w:pStyle w:val="39"/>
              <w:rPr>
                <w:rFonts w:ascii="Times New Roman" w:hAnsi="Times New Roman"/>
              </w:rPr>
            </w:pPr>
            <w:r>
              <w:rPr>
                <w:rFonts w:ascii="Times New Roman" w:hAnsi="Times New Roman"/>
              </w:rPr>
              <w:t>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3000</w:t>
            </w:r>
          </w:p>
        </w:tc>
        <w:tc>
          <w:tcPr>
            <w:tcW w:w="3058" w:type="dxa"/>
            <w:noWrap/>
            <w:vAlign w:val="center"/>
          </w:tcPr>
          <w:p>
            <w:pPr>
              <w:pStyle w:val="39"/>
              <w:rPr>
                <w:rFonts w:ascii="Times New Roman" w:hAnsi="Times New Roman"/>
              </w:rPr>
            </w:pPr>
            <w:r>
              <w:rPr>
                <w:rFonts w:ascii="Times New Roman" w:hAnsi="Times New Roman"/>
              </w:rPr>
              <w:t>0.011</w:t>
            </w:r>
          </w:p>
        </w:tc>
        <w:tc>
          <w:tcPr>
            <w:tcW w:w="3003" w:type="dxa"/>
            <w:noWrap/>
            <w:vAlign w:val="center"/>
          </w:tcPr>
          <w:p>
            <w:pPr>
              <w:pStyle w:val="39"/>
              <w:rPr>
                <w:rFonts w:ascii="Times New Roman" w:hAnsi="Times New Roman"/>
              </w:rPr>
            </w:pPr>
            <w:r>
              <w:rPr>
                <w:rFonts w:ascii="Times New Roman" w:hAnsi="Times New Roman"/>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4000</w:t>
            </w:r>
          </w:p>
        </w:tc>
        <w:tc>
          <w:tcPr>
            <w:tcW w:w="3058" w:type="dxa"/>
            <w:noWrap/>
            <w:vAlign w:val="center"/>
          </w:tcPr>
          <w:p>
            <w:pPr>
              <w:pStyle w:val="39"/>
              <w:rPr>
                <w:rFonts w:ascii="Times New Roman" w:hAnsi="Times New Roman"/>
              </w:rPr>
            </w:pPr>
            <w:r>
              <w:rPr>
                <w:rFonts w:ascii="Times New Roman" w:hAnsi="Times New Roman"/>
              </w:rPr>
              <w:t>0.013</w:t>
            </w:r>
          </w:p>
        </w:tc>
        <w:tc>
          <w:tcPr>
            <w:tcW w:w="3003" w:type="dxa"/>
            <w:noWrap/>
            <w:vAlign w:val="center"/>
          </w:tcPr>
          <w:p>
            <w:pPr>
              <w:pStyle w:val="39"/>
              <w:rPr>
                <w:rFonts w:ascii="Times New Roman" w:hAnsi="Times New Roman"/>
              </w:rPr>
            </w:pPr>
            <w:r>
              <w:rPr>
                <w:rFonts w:ascii="Times New Roman" w:hAnsi="Times New Roman"/>
              </w:rPr>
              <w:t>70</w:t>
            </w:r>
          </w:p>
        </w:tc>
      </w:tr>
    </w:tbl>
    <w:p>
      <w:pPr>
        <w:ind w:firstLine="480"/>
        <w:rPr>
          <w:rFonts w:ascii="Times New Roman" w:hAnsi="Times New Roman"/>
        </w:rPr>
      </w:pPr>
    </w:p>
    <w:p>
      <w:pPr>
        <w:ind w:firstLine="480"/>
        <w:rPr>
          <w:rFonts w:ascii="Times New Roman" w:hAnsi="Times New Roman"/>
        </w:rPr>
      </w:pPr>
    </w:p>
    <w:p>
      <w:pPr>
        <w:keepNext/>
        <w:ind w:firstLine="0" w:firstLineChars="0"/>
        <w:jc w:val="center"/>
        <w:rPr>
          <w:rFonts w:ascii="Times New Roman" w:hAnsi="Times New Roman"/>
        </w:rPr>
        <w:sectPr>
          <w:headerReference r:id="rId31" w:type="first"/>
          <w:footerReference r:id="rId33" w:type="first"/>
          <w:headerReference r:id="rId30" w:type="even"/>
          <w:footerReference r:id="rId32" w:type="even"/>
          <w:pgSz w:w="11907" w:h="16840"/>
          <w:pgMar w:top="1417" w:right="1417" w:bottom="1417" w:left="1587" w:header="851" w:footer="992" w:gutter="0"/>
          <w:cols w:space="720" w:num="1"/>
          <w:docGrid w:linePitch="312" w:charSpace="0"/>
        </w:sectPr>
      </w:pPr>
    </w:p>
    <w:p>
      <w:pPr>
        <w:keepNext/>
        <w:ind w:firstLine="0" w:firstLineChars="0"/>
        <w:jc w:val="center"/>
        <w:rPr>
          <w:rFonts w:ascii="Times New Roman" w:hAnsi="Times New Roman"/>
        </w:rPr>
      </w:pPr>
      <w:r>
        <w:rPr>
          <w:rFonts w:ascii="Times New Roman" w:hAnsi="Times New Roman"/>
        </w:rPr>
        <w:drawing>
          <wp:inline distT="0" distB="0" distL="0" distR="0">
            <wp:extent cx="4792980" cy="3887470"/>
            <wp:effectExtent l="0" t="0" r="7620" b="0"/>
            <wp:docPr id="10363268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326801" name="图片 2"/>
                    <pic:cNvPicPr>
                      <a:picLocks noChangeAspect="1" noChangeArrowheads="1"/>
                    </pic:cNvPicPr>
                  </pic:nvPicPr>
                  <pic:blipFill>
                    <a:blip r:embed="rId152" cstate="print">
                      <a:extLst>
                        <a:ext uri="{28A0092B-C50C-407E-A947-70E740481C1C}">
                          <a14:useLocalDpi xmlns:a14="http://schemas.microsoft.com/office/drawing/2010/main" val="0"/>
                        </a:ext>
                      </a:extLst>
                    </a:blip>
                    <a:srcRect r="9115"/>
                    <a:stretch>
                      <a:fillRect/>
                    </a:stretch>
                  </pic:blipFill>
                  <pic:spPr>
                    <a:xfrm>
                      <a:off x="0" y="0"/>
                      <a:ext cx="4793547" cy="3887930"/>
                    </a:xfrm>
                    <a:prstGeom prst="rect">
                      <a:avLst/>
                    </a:prstGeom>
                    <a:noFill/>
                    <a:ln>
                      <a:noFill/>
                    </a:ln>
                  </pic:spPr>
                </pic:pic>
              </a:graphicData>
            </a:graphic>
          </wp:inline>
        </w:drawing>
      </w:r>
    </w:p>
    <w:p>
      <w:pPr>
        <w:pStyle w:val="37"/>
        <w:rPr>
          <w:rFonts w:ascii="Times New Roman" w:hAnsi="Times New Roman" w:cs="Times New Roman"/>
        </w:rPr>
      </w:pPr>
      <w:bookmarkStart w:id="326" w:name="_Ref158899875"/>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bookmarkEnd w:id="326"/>
      <w:r>
        <w:rPr>
          <w:rFonts w:ascii="Times New Roman" w:hAnsi="Times New Roman" w:cs="Times New Roman"/>
        </w:rPr>
        <w:t xml:space="preserve">   天然气泄漏H</w:t>
      </w:r>
      <w:r>
        <w:rPr>
          <w:rFonts w:ascii="Times New Roman" w:hAnsi="Times New Roman" w:cs="Times New Roman"/>
          <w:vertAlign w:val="subscript"/>
        </w:rPr>
        <w:t>2</w:t>
      </w:r>
      <w:r>
        <w:rPr>
          <w:rFonts w:ascii="Times New Roman" w:hAnsi="Times New Roman" w:cs="Times New Roman"/>
        </w:rPr>
        <w:t>S在西风向下最大影响范围平面示意图</w:t>
      </w:r>
    </w:p>
    <w:p>
      <w:pPr>
        <w:pStyle w:val="37"/>
        <w:rPr>
          <w:rFonts w:ascii="Times New Roman" w:hAnsi="Times New Roman" w:cs="Times New Roman"/>
        </w:rPr>
      </w:pPr>
      <w:bookmarkStart w:id="327" w:name="_Ref15890010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57</w:t>
      </w:r>
      <w:r>
        <w:rPr>
          <w:rFonts w:ascii="Times New Roman" w:hAnsi="Times New Roman" w:cs="Times New Roman"/>
        </w:rPr>
        <w:fldChar w:fldCharType="end"/>
      </w:r>
      <w:bookmarkEnd w:id="327"/>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S扩散对关心点的预测统计表</w:t>
      </w:r>
    </w:p>
    <w:tbl>
      <w:tblPr>
        <w:tblStyle w:val="28"/>
        <w:tblW w:w="52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3"/>
        <w:gridCol w:w="2067"/>
        <w:gridCol w:w="2362"/>
        <w:gridCol w:w="2163"/>
        <w:gridCol w:w="22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序号</w:t>
            </w:r>
          </w:p>
        </w:tc>
        <w:tc>
          <w:tcPr>
            <w:tcW w:w="1932" w:type="dxa"/>
            <w:shd w:val="clear" w:color="auto" w:fill="auto"/>
            <w:vAlign w:val="center"/>
          </w:tcPr>
          <w:p>
            <w:pPr>
              <w:pStyle w:val="39"/>
              <w:rPr>
                <w:rFonts w:ascii="Times New Roman" w:hAnsi="Times New Roman"/>
              </w:rPr>
            </w:pPr>
            <w:r>
              <w:rPr>
                <w:rFonts w:ascii="Times New Roman" w:hAnsi="Times New Roman"/>
              </w:rPr>
              <w:t>敏感目标名称</w:t>
            </w:r>
          </w:p>
        </w:tc>
        <w:tc>
          <w:tcPr>
            <w:tcW w:w="2207" w:type="dxa"/>
            <w:shd w:val="clear" w:color="auto" w:fill="auto"/>
            <w:vAlign w:val="center"/>
          </w:tcPr>
          <w:p>
            <w:pPr>
              <w:pStyle w:val="39"/>
              <w:rPr>
                <w:rFonts w:ascii="Times New Roman" w:hAnsi="Times New Roman"/>
              </w:rPr>
            </w:pPr>
            <w:r>
              <w:rPr>
                <w:rFonts w:ascii="Times New Roman" w:hAnsi="Times New Roman"/>
              </w:rPr>
              <w:t>*超标出现时间/min</w:t>
            </w:r>
          </w:p>
        </w:tc>
        <w:tc>
          <w:tcPr>
            <w:tcW w:w="2021" w:type="dxa"/>
            <w:shd w:val="clear" w:color="auto" w:fill="auto"/>
            <w:vAlign w:val="center"/>
          </w:tcPr>
          <w:p>
            <w:pPr>
              <w:pStyle w:val="39"/>
              <w:rPr>
                <w:rFonts w:ascii="Times New Roman" w:hAnsi="Times New Roman"/>
              </w:rPr>
            </w:pPr>
            <w:r>
              <w:rPr>
                <w:rFonts w:ascii="Times New Roman" w:hAnsi="Times New Roman"/>
              </w:rPr>
              <w:t>超标持续时间/min</w:t>
            </w:r>
          </w:p>
        </w:tc>
        <w:tc>
          <w:tcPr>
            <w:tcW w:w="2066" w:type="dxa"/>
            <w:shd w:val="clear" w:color="auto" w:fill="auto"/>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1</w:t>
            </w:r>
          </w:p>
        </w:tc>
        <w:tc>
          <w:tcPr>
            <w:tcW w:w="1932" w:type="dxa"/>
            <w:shd w:val="clear" w:color="auto" w:fill="auto"/>
            <w:vAlign w:val="center"/>
          </w:tcPr>
          <w:p>
            <w:pPr>
              <w:pStyle w:val="39"/>
              <w:rPr>
                <w:rFonts w:ascii="Times New Roman" w:hAnsi="Times New Roman"/>
              </w:rPr>
            </w:pPr>
            <w:r>
              <w:rPr>
                <w:rFonts w:ascii="Times New Roman" w:hAnsi="Times New Roman"/>
              </w:rPr>
              <w:t>关心点1</w:t>
            </w:r>
          </w:p>
        </w:tc>
        <w:tc>
          <w:tcPr>
            <w:tcW w:w="2207" w:type="dxa"/>
            <w:shd w:val="clear" w:color="auto" w:fill="auto"/>
          </w:tcPr>
          <w:p>
            <w:pPr>
              <w:pStyle w:val="39"/>
              <w:rPr>
                <w:rFonts w:ascii="Times New Roman" w:hAnsi="Times New Roman"/>
              </w:rPr>
            </w:pPr>
            <w:r>
              <w:rPr>
                <w:rFonts w:ascii="Times New Roman" w:hAnsi="Times New Roman"/>
              </w:rPr>
              <w:t>-</w:t>
            </w:r>
          </w:p>
        </w:tc>
        <w:tc>
          <w:tcPr>
            <w:tcW w:w="2021" w:type="dxa"/>
            <w:shd w:val="clear" w:color="auto" w:fill="auto"/>
          </w:tcPr>
          <w:p>
            <w:pPr>
              <w:pStyle w:val="39"/>
              <w:rPr>
                <w:rFonts w:ascii="Times New Roman" w:hAnsi="Times New Roman"/>
              </w:rPr>
            </w:pPr>
            <w:r>
              <w:rPr>
                <w:rFonts w:ascii="Times New Roman" w:hAnsi="Times New Roman"/>
              </w:rPr>
              <w:t>-</w:t>
            </w:r>
          </w:p>
        </w:tc>
        <w:tc>
          <w:tcPr>
            <w:tcW w:w="2066" w:type="dxa"/>
            <w:shd w:val="clear" w:color="auto" w:fill="auto"/>
          </w:tcPr>
          <w:p>
            <w:pPr>
              <w:pStyle w:val="39"/>
              <w:rPr>
                <w:rFonts w:ascii="Times New Roman" w:hAnsi="Times New Roman"/>
              </w:rPr>
            </w:pPr>
            <w:r>
              <w:rPr>
                <w:rFonts w:ascii="Times New Roman" w:hAnsi="Times New Roman"/>
              </w:rPr>
              <w:t>21.2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2</w:t>
            </w:r>
          </w:p>
        </w:tc>
        <w:tc>
          <w:tcPr>
            <w:tcW w:w="1932" w:type="dxa"/>
            <w:shd w:val="clear" w:color="auto" w:fill="auto"/>
            <w:vAlign w:val="center"/>
          </w:tcPr>
          <w:p>
            <w:pPr>
              <w:pStyle w:val="39"/>
              <w:rPr>
                <w:rFonts w:ascii="Times New Roman" w:hAnsi="Times New Roman"/>
              </w:rPr>
            </w:pPr>
            <w:r>
              <w:rPr>
                <w:rFonts w:ascii="Times New Roman" w:hAnsi="Times New Roman"/>
              </w:rPr>
              <w:t>关心点2</w:t>
            </w:r>
          </w:p>
        </w:tc>
        <w:tc>
          <w:tcPr>
            <w:tcW w:w="2207" w:type="dxa"/>
            <w:shd w:val="clear" w:color="auto" w:fill="auto"/>
          </w:tcPr>
          <w:p>
            <w:pPr>
              <w:pStyle w:val="39"/>
              <w:rPr>
                <w:rFonts w:ascii="Times New Roman" w:hAnsi="Times New Roman"/>
              </w:rPr>
            </w:pPr>
            <w:r>
              <w:rPr>
                <w:rFonts w:ascii="Times New Roman" w:hAnsi="Times New Roman"/>
              </w:rPr>
              <w:t>-</w:t>
            </w:r>
          </w:p>
        </w:tc>
        <w:tc>
          <w:tcPr>
            <w:tcW w:w="2021" w:type="dxa"/>
            <w:shd w:val="clear" w:color="auto" w:fill="auto"/>
          </w:tcPr>
          <w:p>
            <w:pPr>
              <w:pStyle w:val="39"/>
              <w:rPr>
                <w:rFonts w:ascii="Times New Roman" w:hAnsi="Times New Roman"/>
              </w:rPr>
            </w:pPr>
            <w:r>
              <w:rPr>
                <w:rFonts w:ascii="Times New Roman" w:hAnsi="Times New Roman"/>
              </w:rPr>
              <w:t>-</w:t>
            </w:r>
          </w:p>
        </w:tc>
        <w:tc>
          <w:tcPr>
            <w:tcW w:w="2066" w:type="dxa"/>
            <w:shd w:val="clear" w:color="auto" w:fill="auto"/>
          </w:tcPr>
          <w:p>
            <w:pPr>
              <w:pStyle w:val="39"/>
              <w:rPr>
                <w:rFonts w:ascii="Times New Roman" w:hAnsi="Times New Roman"/>
              </w:rPr>
            </w:pPr>
            <w:r>
              <w:rPr>
                <w:rFonts w:ascii="Times New Roman" w:hAnsi="Times New Roman"/>
              </w:rPr>
              <w:t>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3</w:t>
            </w:r>
          </w:p>
        </w:tc>
        <w:tc>
          <w:tcPr>
            <w:tcW w:w="1932" w:type="dxa"/>
            <w:shd w:val="clear" w:color="auto" w:fill="auto"/>
            <w:vAlign w:val="center"/>
          </w:tcPr>
          <w:p>
            <w:pPr>
              <w:pStyle w:val="39"/>
              <w:rPr>
                <w:rFonts w:ascii="Times New Roman" w:hAnsi="Times New Roman"/>
              </w:rPr>
            </w:pPr>
            <w:r>
              <w:rPr>
                <w:rFonts w:ascii="Times New Roman" w:hAnsi="Times New Roman"/>
              </w:rPr>
              <w:t>关心点3</w:t>
            </w:r>
          </w:p>
        </w:tc>
        <w:tc>
          <w:tcPr>
            <w:tcW w:w="2207" w:type="dxa"/>
            <w:shd w:val="clear" w:color="auto" w:fill="auto"/>
          </w:tcPr>
          <w:p>
            <w:pPr>
              <w:pStyle w:val="39"/>
              <w:rPr>
                <w:rFonts w:ascii="Times New Roman" w:hAnsi="Times New Roman"/>
              </w:rPr>
            </w:pPr>
            <w:r>
              <w:rPr>
                <w:rFonts w:ascii="Times New Roman" w:hAnsi="Times New Roman"/>
              </w:rPr>
              <w:t>-</w:t>
            </w:r>
          </w:p>
        </w:tc>
        <w:tc>
          <w:tcPr>
            <w:tcW w:w="2021" w:type="dxa"/>
            <w:shd w:val="clear" w:color="auto" w:fill="auto"/>
          </w:tcPr>
          <w:p>
            <w:pPr>
              <w:pStyle w:val="39"/>
              <w:rPr>
                <w:rFonts w:ascii="Times New Roman" w:hAnsi="Times New Roman"/>
              </w:rPr>
            </w:pPr>
            <w:r>
              <w:rPr>
                <w:rFonts w:ascii="Times New Roman" w:hAnsi="Times New Roman"/>
              </w:rPr>
              <w:t>-</w:t>
            </w:r>
          </w:p>
        </w:tc>
        <w:tc>
          <w:tcPr>
            <w:tcW w:w="2066" w:type="dxa"/>
            <w:shd w:val="clear" w:color="auto" w:fill="auto"/>
          </w:tcPr>
          <w:p>
            <w:pPr>
              <w:pStyle w:val="39"/>
              <w:rPr>
                <w:rFonts w:ascii="Times New Roman" w:hAnsi="Times New Roman"/>
              </w:rPr>
            </w:pPr>
            <w:r>
              <w:rPr>
                <w:rFonts w:ascii="Times New Roman" w:hAnsi="Times New Roma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4</w:t>
            </w:r>
          </w:p>
        </w:tc>
        <w:tc>
          <w:tcPr>
            <w:tcW w:w="1932" w:type="dxa"/>
            <w:shd w:val="clear" w:color="auto" w:fill="auto"/>
            <w:vAlign w:val="center"/>
          </w:tcPr>
          <w:p>
            <w:pPr>
              <w:pStyle w:val="39"/>
              <w:rPr>
                <w:rFonts w:ascii="Times New Roman" w:hAnsi="Times New Roman"/>
              </w:rPr>
            </w:pPr>
            <w:r>
              <w:rPr>
                <w:rFonts w:ascii="Times New Roman" w:hAnsi="Times New Roman"/>
              </w:rPr>
              <w:t>关心点4</w:t>
            </w:r>
          </w:p>
        </w:tc>
        <w:tc>
          <w:tcPr>
            <w:tcW w:w="2207" w:type="dxa"/>
            <w:shd w:val="clear" w:color="auto" w:fill="auto"/>
          </w:tcPr>
          <w:p>
            <w:pPr>
              <w:pStyle w:val="39"/>
              <w:rPr>
                <w:rFonts w:ascii="Times New Roman" w:hAnsi="Times New Roman"/>
              </w:rPr>
            </w:pPr>
            <w:r>
              <w:rPr>
                <w:rFonts w:ascii="Times New Roman" w:hAnsi="Times New Roman"/>
              </w:rPr>
              <w:t>-</w:t>
            </w:r>
          </w:p>
        </w:tc>
        <w:tc>
          <w:tcPr>
            <w:tcW w:w="2021" w:type="dxa"/>
            <w:shd w:val="clear" w:color="auto" w:fill="auto"/>
          </w:tcPr>
          <w:p>
            <w:pPr>
              <w:pStyle w:val="39"/>
              <w:rPr>
                <w:rFonts w:ascii="Times New Roman" w:hAnsi="Times New Roman"/>
              </w:rPr>
            </w:pPr>
            <w:r>
              <w:rPr>
                <w:rFonts w:ascii="Times New Roman" w:hAnsi="Times New Roman"/>
              </w:rPr>
              <w:t>-</w:t>
            </w:r>
          </w:p>
        </w:tc>
        <w:tc>
          <w:tcPr>
            <w:tcW w:w="2066" w:type="dxa"/>
            <w:shd w:val="clear" w:color="auto" w:fill="auto"/>
          </w:tcPr>
          <w:p>
            <w:pPr>
              <w:pStyle w:val="39"/>
              <w:rPr>
                <w:rFonts w:ascii="Times New Roman" w:hAnsi="Times New Roman"/>
              </w:rPr>
            </w:pPr>
            <w:r>
              <w:rPr>
                <w:rFonts w:ascii="Times New Roman" w:hAnsi="Times New Roman"/>
              </w:rPr>
              <w:t>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5</w:t>
            </w:r>
          </w:p>
        </w:tc>
        <w:tc>
          <w:tcPr>
            <w:tcW w:w="1932" w:type="dxa"/>
            <w:shd w:val="clear" w:color="auto" w:fill="auto"/>
            <w:vAlign w:val="center"/>
          </w:tcPr>
          <w:p>
            <w:pPr>
              <w:pStyle w:val="39"/>
              <w:rPr>
                <w:rFonts w:ascii="Times New Roman" w:hAnsi="Times New Roman"/>
              </w:rPr>
            </w:pPr>
            <w:r>
              <w:rPr>
                <w:rFonts w:ascii="Times New Roman" w:hAnsi="Times New Roman"/>
              </w:rPr>
              <w:t>关心点5</w:t>
            </w:r>
          </w:p>
        </w:tc>
        <w:tc>
          <w:tcPr>
            <w:tcW w:w="2207" w:type="dxa"/>
            <w:shd w:val="clear" w:color="auto" w:fill="auto"/>
          </w:tcPr>
          <w:p>
            <w:pPr>
              <w:pStyle w:val="39"/>
              <w:rPr>
                <w:rFonts w:ascii="Times New Roman" w:hAnsi="Times New Roman"/>
              </w:rPr>
            </w:pPr>
            <w:r>
              <w:rPr>
                <w:rFonts w:ascii="Times New Roman" w:hAnsi="Times New Roman"/>
              </w:rPr>
              <w:t>-</w:t>
            </w:r>
          </w:p>
        </w:tc>
        <w:tc>
          <w:tcPr>
            <w:tcW w:w="2021" w:type="dxa"/>
            <w:shd w:val="clear" w:color="auto" w:fill="auto"/>
          </w:tcPr>
          <w:p>
            <w:pPr>
              <w:pStyle w:val="39"/>
              <w:rPr>
                <w:rFonts w:ascii="Times New Roman" w:hAnsi="Times New Roman"/>
              </w:rPr>
            </w:pPr>
            <w:r>
              <w:rPr>
                <w:rFonts w:ascii="Times New Roman" w:hAnsi="Times New Roman"/>
              </w:rPr>
              <w:t>-</w:t>
            </w:r>
          </w:p>
        </w:tc>
        <w:tc>
          <w:tcPr>
            <w:tcW w:w="2066" w:type="dxa"/>
            <w:shd w:val="clear" w:color="auto" w:fill="auto"/>
          </w:tcPr>
          <w:p>
            <w:pPr>
              <w:pStyle w:val="39"/>
              <w:rPr>
                <w:rFonts w:ascii="Times New Roman" w:hAnsi="Times New Roman"/>
              </w:rPr>
            </w:pPr>
            <w:r>
              <w:rPr>
                <w:rFonts w:ascii="Times New Roman" w:hAnsi="Times New Roman"/>
              </w:rPr>
              <w:t>0.70</w:t>
            </w:r>
          </w:p>
        </w:tc>
      </w:tr>
    </w:tbl>
    <w:p>
      <w:pPr>
        <w:ind w:firstLine="0" w:firstLineChars="0"/>
        <w:rPr>
          <w:rFonts w:ascii="Times New Roman" w:hAnsi="Times New Roman"/>
          <w:sz w:val="18"/>
          <w:szCs w:val="18"/>
        </w:rPr>
      </w:pPr>
      <w:r>
        <w:rPr>
          <w:rFonts w:ascii="Times New Roman" w:hAnsi="Times New Roman"/>
          <w:sz w:val="18"/>
          <w:szCs w:val="18"/>
        </w:rPr>
        <w:t>*注：超标时间均指超过大气毒性终点浓度2的时间。</w:t>
      </w:r>
    </w:p>
    <w:p>
      <w:pPr>
        <w:keepNext/>
        <w:ind w:firstLine="0" w:firstLineChars="0"/>
        <w:jc w:val="center"/>
        <w:rPr>
          <w:rFonts w:ascii="Times New Roman" w:hAnsi="Times New Roman"/>
        </w:rPr>
      </w:pPr>
      <w:r>
        <w:rPr>
          <w:rFonts w:ascii="Times New Roman" w:hAnsi="Times New Roman"/>
          <w:sz w:val="18"/>
          <w:szCs w:val="18"/>
        </w:rPr>
        <w:drawing>
          <wp:inline distT="0" distB="0" distL="0" distR="0">
            <wp:extent cx="5274310" cy="2843530"/>
            <wp:effectExtent l="0" t="0" r="2540" b="0"/>
            <wp:docPr id="2071414419" name="图片 2"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14419" name="图片 2" descr="图表, 折线图&#10;&#10;描述已自动生成"/>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0" y="0"/>
                      <a:ext cx="5274310" cy="2844137"/>
                    </a:xfrm>
                    <a:prstGeom prst="rect">
                      <a:avLst/>
                    </a:prstGeom>
                    <a:noFill/>
                  </pic:spPr>
                </pic:pic>
              </a:graphicData>
            </a:graphic>
          </wp:inline>
        </w:drawing>
      </w:r>
    </w:p>
    <w:p>
      <w:pPr>
        <w:pStyle w:val="37"/>
        <w:rPr>
          <w:rFonts w:ascii="Times New Roman" w:hAnsi="Times New Roman" w:cs="Times New Roman"/>
        </w:rPr>
      </w:pPr>
      <w:bookmarkStart w:id="328" w:name="_Ref158900125"/>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13</w:t>
      </w:r>
      <w:r>
        <w:rPr>
          <w:rFonts w:ascii="Times New Roman" w:hAnsi="Times New Roman" w:cs="Times New Roman"/>
        </w:rPr>
        <w:fldChar w:fldCharType="end"/>
      </w:r>
      <w:bookmarkEnd w:id="328"/>
      <w:r>
        <w:rPr>
          <w:rFonts w:ascii="Times New Roman" w:hAnsi="Times New Roman" w:cs="Times New Roman"/>
        </w:rPr>
        <w:t xml:space="preserve">   主要受影响敏感点浓度随时间变化图</w:t>
      </w:r>
    </w:p>
    <w:p>
      <w:pPr>
        <w:ind w:firstLine="480"/>
        <w:rPr>
          <w:rFonts w:ascii="Times New Roman" w:hAnsi="Times New Roman"/>
        </w:rPr>
      </w:pPr>
      <w:r>
        <w:rPr>
          <w:rFonts w:ascii="Times New Roman" w:hAnsi="Times New Roman"/>
        </w:rPr>
        <w:t>4）小结</w:t>
      </w:r>
    </w:p>
    <w:p>
      <w:pPr>
        <w:ind w:firstLine="480"/>
        <w:rPr>
          <w:rFonts w:ascii="Times New Roman" w:hAnsi="Times New Roman"/>
        </w:rPr>
      </w:pPr>
      <w:r>
        <w:rPr>
          <w:rFonts w:ascii="Times New Roman" w:hAnsi="Times New Roman"/>
        </w:rPr>
        <w:t>宣探1井-宣兴1井段管道泄漏时，根据模拟预测，在最不利气象条件下，北风向下，毒性终点浓度1影响范围最大，泄漏发生52min后毒性终点浓度1影响范围达到31m；西风向下，毒性终点浓度2影响范围最大，泄漏发生40min后毒性终点浓度2影响范围达到57m。</w:t>
      </w:r>
    </w:p>
    <w:p>
      <w:pPr>
        <w:ind w:firstLine="480"/>
        <w:rPr>
          <w:rFonts w:ascii="Times New Roman" w:hAnsi="Times New Roman"/>
        </w:rPr>
      </w:pPr>
      <w:r>
        <w:rPr>
          <w:rFonts w:ascii="Times New Roman" w:hAnsi="Times New Roman"/>
        </w:rPr>
        <w:t>风险源周边关心点中，以H</w:t>
      </w:r>
      <w:r>
        <w:rPr>
          <w:rFonts w:ascii="Times New Roman" w:hAnsi="Times New Roman"/>
          <w:vertAlign w:val="subscript"/>
        </w:rPr>
        <w:t>2</w:t>
      </w:r>
      <w:r>
        <w:rPr>
          <w:rFonts w:ascii="Times New Roman" w:hAnsi="Times New Roman"/>
        </w:rPr>
        <w:t>S毒性终点浓度2作为超标参考依据，各关心点均未超标。</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58</w:t>
      </w:r>
      <w:r>
        <w:rPr>
          <w:rFonts w:ascii="Times New Roman" w:hAnsi="Times New Roman" w:cs="Times New Roman"/>
        </w:rPr>
        <w:fldChar w:fldCharType="end"/>
      </w:r>
      <w:r>
        <w:rPr>
          <w:rFonts w:ascii="Times New Roman" w:hAnsi="Times New Roman" w:cs="Times New Roman"/>
        </w:rPr>
        <w:t xml:space="preserve">  宣探1井-宣兴1井段管道泄漏事故基本信息表</w:t>
      </w:r>
    </w:p>
    <w:tbl>
      <w:tblPr>
        <w:tblStyle w:val="28"/>
        <w:tblW w:w="513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6"/>
        <w:gridCol w:w="1133"/>
        <w:gridCol w:w="2224"/>
        <w:gridCol w:w="1300"/>
        <w:gridCol w:w="1516"/>
        <w:gridCol w:w="1535"/>
        <w:gridCol w:w="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shd w:val="clear" w:color="auto" w:fill="auto"/>
            <w:tcMar>
              <w:left w:w="57" w:type="dxa"/>
              <w:right w:w="57" w:type="dxa"/>
            </w:tcMar>
            <w:vAlign w:val="center"/>
          </w:tcPr>
          <w:p>
            <w:pPr>
              <w:pStyle w:val="39"/>
              <w:rPr>
                <w:rFonts w:ascii="Times New Roman" w:hAnsi="Times New Roman"/>
              </w:rPr>
            </w:pPr>
            <w:r>
              <w:rPr>
                <w:rFonts w:ascii="Times New Roman" w:hAnsi="Times New Roman"/>
              </w:rPr>
              <w:t>风险事故情形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代表性风险事故情形描述</w:t>
            </w:r>
          </w:p>
        </w:tc>
        <w:tc>
          <w:tcPr>
            <w:tcW w:w="4163" w:type="pct"/>
            <w:gridSpan w:val="5"/>
            <w:shd w:val="clear" w:color="auto" w:fill="auto"/>
            <w:tcMar>
              <w:left w:w="57" w:type="dxa"/>
              <w:right w:w="57" w:type="dxa"/>
            </w:tcMar>
            <w:vAlign w:val="center"/>
          </w:tcPr>
          <w:p>
            <w:pPr>
              <w:pStyle w:val="39"/>
              <w:rPr>
                <w:rFonts w:ascii="Times New Roman" w:hAnsi="Times New Roman"/>
              </w:rPr>
            </w:pPr>
            <w:r>
              <w:rPr>
                <w:rFonts w:ascii="Times New Roman" w:hAnsi="Times New Roman"/>
              </w:rPr>
              <w:t>宣探集气支线（宣探1井-宣兴1井）管道断裂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环境风险类型</w:t>
            </w:r>
          </w:p>
        </w:tc>
        <w:tc>
          <w:tcPr>
            <w:tcW w:w="4163" w:type="pct"/>
            <w:gridSpan w:val="5"/>
            <w:shd w:val="clear" w:color="auto" w:fill="auto"/>
            <w:tcMar>
              <w:left w:w="57" w:type="dxa"/>
              <w:right w:w="57" w:type="dxa"/>
            </w:tcMar>
            <w:vAlign w:val="center"/>
          </w:tcPr>
          <w:p>
            <w:pPr>
              <w:pStyle w:val="39"/>
              <w:rPr>
                <w:rFonts w:ascii="Times New Roman" w:hAnsi="Times New Roman"/>
              </w:rPr>
            </w:pPr>
            <w:r>
              <w:rPr>
                <w:rFonts w:ascii="Times New Roman" w:hAnsi="Times New Roman"/>
              </w:rPr>
              <w:t>原料天然气垂直喷射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泄漏设备类型</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原料气集输管线</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操作温度（℃）</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40</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操作压力/MPa</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排放危险物质</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硫化氢</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最大存在量/kg</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1095.57</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泄漏孔径/mm</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排放速率/kg/s</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0.987</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稳定泄漏时间/（min）</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18.5</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泄漏量/kg</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1095.57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泄漏高度/m</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0</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泄漏液体蒸发量/kg</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泄漏频率</w:t>
            </w:r>
          </w:p>
        </w:tc>
        <w:tc>
          <w:tcPr>
            <w:tcW w:w="829" w:type="pct"/>
            <w:shd w:val="clear" w:color="auto" w:fill="auto"/>
            <w:tcMar>
              <w:left w:w="57" w:type="dxa"/>
              <w:right w:w="57" w:type="dxa"/>
            </w:tcMar>
            <w:vAlign w:val="center"/>
          </w:tcPr>
          <w:p>
            <w:pPr>
              <w:pStyle w:val="39"/>
              <w:rPr>
                <w:rFonts w:ascii="Times New Roman" w:hAnsi="Times New Roman"/>
                <w:vertAlign w:val="subscript"/>
              </w:rPr>
            </w:pPr>
            <w:r>
              <w:rPr>
                <w:rFonts w:ascii="Times New Roman" w:hAnsi="Times New Roman"/>
              </w:rPr>
              <w:t>1.05×10</w:t>
            </w:r>
            <w:r>
              <w:rPr>
                <w:rFonts w:ascii="Times New Roman" w:hAnsi="Times New Roman"/>
                <w:vertAlign w:val="superscript"/>
              </w:rPr>
              <w:t>-3</w:t>
            </w:r>
            <w:r>
              <w:rPr>
                <w:rFonts w:ascii="Times New Roman" w:hAnsi="Times New Roman"/>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shd w:val="clear" w:color="auto" w:fill="auto"/>
            <w:tcMar>
              <w:left w:w="57" w:type="dxa"/>
              <w:right w:w="57" w:type="dxa"/>
            </w:tcMar>
            <w:vAlign w:val="center"/>
          </w:tcPr>
          <w:p>
            <w:pPr>
              <w:pStyle w:val="39"/>
              <w:rPr>
                <w:rFonts w:ascii="Times New Roman" w:hAnsi="Times New Roman"/>
              </w:rPr>
            </w:pPr>
            <w:r>
              <w:rPr>
                <w:rFonts w:ascii="Times New Roman" w:hAnsi="Times New Roman"/>
              </w:rPr>
              <w:t>事故后果预测（最不利气象条件）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w:t>
            </w:r>
          </w:p>
        </w:tc>
        <w:tc>
          <w:tcPr>
            <w:tcW w:w="612"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危险物质</w:t>
            </w:r>
          </w:p>
        </w:tc>
        <w:tc>
          <w:tcPr>
            <w:tcW w:w="3551" w:type="pct"/>
            <w:gridSpan w:val="4"/>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大气环境影响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指标</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浓度值/mg/m</w:t>
            </w:r>
            <w:r>
              <w:rPr>
                <w:rFonts w:ascii="Times New Roman" w:hAnsi="Times New Roman"/>
                <w:vertAlign w:val="superscript"/>
              </w:rPr>
              <w:t>3</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最远影响距离/m</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到达时间/min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硫化氢</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大气毒性终点浓度-1</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70</w:t>
            </w:r>
          </w:p>
        </w:tc>
        <w:tc>
          <w:tcPr>
            <w:tcW w:w="819" w:type="pct"/>
            <w:shd w:val="clear" w:color="auto" w:fill="auto"/>
            <w:tcMar>
              <w:left w:w="57" w:type="dxa"/>
              <w:right w:w="57" w:type="dxa"/>
            </w:tcMar>
          </w:tcPr>
          <w:p>
            <w:pPr>
              <w:pStyle w:val="39"/>
              <w:rPr>
                <w:rFonts w:ascii="Times New Roman" w:hAnsi="Times New Roman"/>
              </w:rPr>
            </w:pPr>
            <w:r>
              <w:rPr>
                <w:rFonts w:ascii="Times New Roman" w:hAnsi="Times New Roman"/>
              </w:rPr>
              <w:t>31</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大气毒性终点浓度-2</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38</w:t>
            </w:r>
          </w:p>
        </w:tc>
        <w:tc>
          <w:tcPr>
            <w:tcW w:w="819" w:type="pct"/>
            <w:shd w:val="clear" w:color="auto" w:fill="auto"/>
            <w:tcMar>
              <w:left w:w="57" w:type="dxa"/>
              <w:right w:w="57" w:type="dxa"/>
            </w:tcMar>
          </w:tcPr>
          <w:p>
            <w:pPr>
              <w:pStyle w:val="39"/>
              <w:rPr>
                <w:rFonts w:ascii="Times New Roman" w:hAnsi="Times New Roman"/>
              </w:rPr>
            </w:pPr>
            <w:r>
              <w:rPr>
                <w:rFonts w:ascii="Times New Roman" w:hAnsi="Times New Roman"/>
              </w:rPr>
              <w:t>57</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敏感目标名称</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超标时间/min</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超标持续时间/min</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关心点1</w:t>
            </w:r>
          </w:p>
        </w:tc>
        <w:tc>
          <w:tcPr>
            <w:tcW w:w="702" w:type="pct"/>
            <w:shd w:val="clear" w:color="auto" w:fill="auto"/>
            <w:tcMar>
              <w:left w:w="57" w:type="dxa"/>
              <w:right w:w="57" w:type="dxa"/>
            </w:tcMar>
          </w:tcPr>
          <w:p>
            <w:pPr>
              <w:pStyle w:val="39"/>
              <w:rPr>
                <w:rFonts w:ascii="Times New Roman" w:hAnsi="Times New Roman"/>
              </w:rPr>
            </w:pPr>
            <w:r>
              <w:rPr>
                <w:rFonts w:ascii="Times New Roman" w:hAnsi="Times New Roman"/>
              </w:rPr>
              <w:t>-</w:t>
            </w:r>
          </w:p>
        </w:tc>
        <w:tc>
          <w:tcPr>
            <w:tcW w:w="819" w:type="pct"/>
            <w:shd w:val="clear" w:color="auto" w:fill="auto"/>
            <w:tcMar>
              <w:left w:w="57" w:type="dxa"/>
              <w:right w:w="57" w:type="dxa"/>
            </w:tcMar>
          </w:tcPr>
          <w:p>
            <w:pPr>
              <w:pStyle w:val="39"/>
              <w:rPr>
                <w:rFonts w:ascii="Times New Roman" w:hAnsi="Times New Roman"/>
              </w:rPr>
            </w:pPr>
            <w:r>
              <w:rPr>
                <w:rFonts w:ascii="Times New Roman" w:hAnsi="Times New Roman"/>
              </w:rPr>
              <w:t>-</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21.2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关心点2</w:t>
            </w:r>
          </w:p>
        </w:tc>
        <w:tc>
          <w:tcPr>
            <w:tcW w:w="702" w:type="pct"/>
            <w:shd w:val="clear" w:color="auto" w:fill="auto"/>
            <w:tcMar>
              <w:left w:w="57" w:type="dxa"/>
              <w:right w:w="57" w:type="dxa"/>
            </w:tcMar>
          </w:tcPr>
          <w:p>
            <w:pPr>
              <w:pStyle w:val="39"/>
              <w:rPr>
                <w:rFonts w:ascii="Times New Roman" w:hAnsi="Times New Roman"/>
              </w:rPr>
            </w:pPr>
            <w:r>
              <w:rPr>
                <w:rFonts w:ascii="Times New Roman" w:hAnsi="Times New Roman"/>
              </w:rPr>
              <w:t>-</w:t>
            </w:r>
          </w:p>
        </w:tc>
        <w:tc>
          <w:tcPr>
            <w:tcW w:w="819" w:type="pct"/>
            <w:shd w:val="clear" w:color="auto" w:fill="auto"/>
            <w:tcMar>
              <w:left w:w="57" w:type="dxa"/>
              <w:right w:w="57" w:type="dxa"/>
            </w:tcMar>
          </w:tcPr>
          <w:p>
            <w:pPr>
              <w:pStyle w:val="39"/>
              <w:rPr>
                <w:rFonts w:ascii="Times New Roman" w:hAnsi="Times New Roman"/>
              </w:rPr>
            </w:pPr>
            <w:r>
              <w:rPr>
                <w:rFonts w:ascii="Times New Roman" w:hAnsi="Times New Roman"/>
              </w:rPr>
              <w:t>-</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关心点3</w:t>
            </w:r>
          </w:p>
        </w:tc>
        <w:tc>
          <w:tcPr>
            <w:tcW w:w="702" w:type="pct"/>
            <w:shd w:val="clear" w:color="auto" w:fill="auto"/>
            <w:tcMar>
              <w:left w:w="57" w:type="dxa"/>
              <w:right w:w="57" w:type="dxa"/>
            </w:tcMar>
          </w:tcPr>
          <w:p>
            <w:pPr>
              <w:pStyle w:val="39"/>
              <w:rPr>
                <w:rFonts w:ascii="Times New Roman" w:hAnsi="Times New Roman"/>
              </w:rPr>
            </w:pPr>
            <w:r>
              <w:rPr>
                <w:rFonts w:ascii="Times New Roman" w:hAnsi="Times New Roman"/>
              </w:rPr>
              <w:t>-</w:t>
            </w:r>
          </w:p>
        </w:tc>
        <w:tc>
          <w:tcPr>
            <w:tcW w:w="819" w:type="pct"/>
            <w:shd w:val="clear" w:color="auto" w:fill="auto"/>
            <w:tcMar>
              <w:left w:w="57" w:type="dxa"/>
              <w:right w:w="57" w:type="dxa"/>
            </w:tcMar>
          </w:tcPr>
          <w:p>
            <w:pPr>
              <w:pStyle w:val="39"/>
              <w:rPr>
                <w:rFonts w:ascii="Times New Roman" w:hAnsi="Times New Roman"/>
              </w:rPr>
            </w:pPr>
            <w:r>
              <w:rPr>
                <w:rFonts w:ascii="Times New Roman" w:hAnsi="Times New Roman"/>
              </w:rPr>
              <w:t>-</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关心点4</w:t>
            </w:r>
          </w:p>
        </w:tc>
        <w:tc>
          <w:tcPr>
            <w:tcW w:w="702" w:type="pct"/>
            <w:shd w:val="clear" w:color="auto" w:fill="auto"/>
            <w:tcMar>
              <w:left w:w="57" w:type="dxa"/>
              <w:right w:w="57" w:type="dxa"/>
            </w:tcMar>
          </w:tcPr>
          <w:p>
            <w:pPr>
              <w:pStyle w:val="39"/>
              <w:rPr>
                <w:rFonts w:ascii="Times New Roman" w:hAnsi="Times New Roman"/>
              </w:rPr>
            </w:pPr>
            <w:r>
              <w:rPr>
                <w:rFonts w:ascii="Times New Roman" w:hAnsi="Times New Roman"/>
              </w:rPr>
              <w:t>-</w:t>
            </w:r>
          </w:p>
        </w:tc>
        <w:tc>
          <w:tcPr>
            <w:tcW w:w="819" w:type="pct"/>
            <w:shd w:val="clear" w:color="auto" w:fill="auto"/>
            <w:tcMar>
              <w:left w:w="57" w:type="dxa"/>
              <w:right w:w="57" w:type="dxa"/>
            </w:tcMar>
          </w:tcPr>
          <w:p>
            <w:pPr>
              <w:pStyle w:val="39"/>
              <w:rPr>
                <w:rFonts w:ascii="Times New Roman" w:hAnsi="Times New Roman"/>
              </w:rPr>
            </w:pPr>
            <w:r>
              <w:rPr>
                <w:rFonts w:ascii="Times New Roman" w:hAnsi="Times New Roman"/>
              </w:rPr>
              <w:t>-</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关心点5</w:t>
            </w:r>
          </w:p>
        </w:tc>
        <w:tc>
          <w:tcPr>
            <w:tcW w:w="702" w:type="pct"/>
            <w:shd w:val="clear" w:color="auto" w:fill="auto"/>
            <w:tcMar>
              <w:left w:w="57" w:type="dxa"/>
              <w:right w:w="57" w:type="dxa"/>
            </w:tcMar>
          </w:tcPr>
          <w:p>
            <w:pPr>
              <w:pStyle w:val="39"/>
              <w:rPr>
                <w:rFonts w:ascii="Times New Roman" w:hAnsi="Times New Roman" w:eastAsia="等线"/>
              </w:rPr>
            </w:pPr>
            <w:r>
              <w:rPr>
                <w:rFonts w:ascii="Times New Roman" w:hAnsi="Times New Roman"/>
              </w:rPr>
              <w:t>-</w:t>
            </w:r>
          </w:p>
        </w:tc>
        <w:tc>
          <w:tcPr>
            <w:tcW w:w="819" w:type="pct"/>
            <w:shd w:val="clear" w:color="auto" w:fill="auto"/>
            <w:tcMar>
              <w:left w:w="57" w:type="dxa"/>
              <w:right w:w="57" w:type="dxa"/>
            </w:tcMar>
          </w:tcPr>
          <w:p>
            <w:pPr>
              <w:pStyle w:val="39"/>
              <w:rPr>
                <w:rFonts w:ascii="Times New Roman" w:hAnsi="Times New Roman" w:eastAsia="等线"/>
              </w:rPr>
            </w:pPr>
            <w:r>
              <w:rPr>
                <w:rFonts w:ascii="Times New Roman" w:hAnsi="Times New Roman"/>
              </w:rPr>
              <w:t>-</w:t>
            </w:r>
          </w:p>
        </w:tc>
        <w:tc>
          <w:tcPr>
            <w:tcW w:w="829" w:type="pct"/>
            <w:shd w:val="clear" w:color="auto" w:fill="auto"/>
            <w:tcMar>
              <w:left w:w="57" w:type="dxa"/>
              <w:right w:w="57" w:type="dxa"/>
            </w:tcMar>
          </w:tcPr>
          <w:p>
            <w:pPr>
              <w:pStyle w:val="39"/>
              <w:rPr>
                <w:rFonts w:ascii="Times New Roman" w:hAnsi="Times New Roman"/>
                <w:kern w:val="0"/>
              </w:rPr>
            </w:pPr>
            <w:r>
              <w:rPr>
                <w:rFonts w:ascii="Times New Roman" w:hAnsi="Times New Roman"/>
              </w:rPr>
              <w:t>0.70</w:t>
            </w:r>
          </w:p>
        </w:tc>
      </w:tr>
    </w:tbl>
    <w:p>
      <w:pPr>
        <w:ind w:firstLine="480"/>
        <w:rPr>
          <w:rFonts w:ascii="Times New Roman" w:hAnsi="Times New Roman"/>
        </w:rPr>
      </w:pPr>
    </w:p>
    <w:p>
      <w:pPr>
        <w:adjustRightInd w:val="0"/>
        <w:snapToGrid w:val="0"/>
        <w:spacing w:line="240" w:lineRule="auto"/>
        <w:ind w:firstLine="0" w:firstLineChars="0"/>
        <w:rPr>
          <w:rFonts w:ascii="Times New Roman" w:hAnsi="Times New Roman"/>
        </w:rPr>
      </w:pPr>
    </w:p>
    <w:p>
      <w:pPr>
        <w:adjustRightInd w:val="0"/>
        <w:snapToGrid w:val="0"/>
        <w:spacing w:line="240" w:lineRule="auto"/>
        <w:ind w:firstLine="0" w:firstLineChars="0"/>
        <w:rPr>
          <w:rFonts w:ascii="Times New Roman" w:hAnsi="Times New Roman"/>
        </w:rPr>
      </w:pPr>
      <w:r>
        <w:rPr>
          <w:rFonts w:ascii="Times New Roman" w:hAnsi="Times New Roman"/>
        </w:rPr>
        <w:t>（5）宣探1井站（站内管道断裂）</w:t>
      </w:r>
    </w:p>
    <w:p>
      <w:pPr>
        <w:ind w:firstLine="480"/>
        <w:rPr>
          <w:rFonts w:ascii="Times New Roman" w:hAnsi="Times New Roman"/>
        </w:rPr>
      </w:pPr>
      <w:r>
        <w:rPr>
          <w:rFonts w:ascii="Times New Roman" w:hAnsi="Times New Roman"/>
        </w:rPr>
        <w:t>1）预测范围</w:t>
      </w:r>
    </w:p>
    <w:p>
      <w:pPr>
        <w:ind w:right="210" w:firstLine="480"/>
        <w:rPr>
          <w:rFonts w:ascii="Times New Roman" w:hAnsi="Times New Roman"/>
        </w:rPr>
      </w:pPr>
      <w:r>
        <w:rPr>
          <w:rFonts w:ascii="Times New Roman" w:hAnsi="Times New Roman"/>
        </w:rPr>
        <w:t>预测范围考虑以宣探1井站内管道断裂位置为中心各方向外延5km，最终形成10×10km的矩形区域。预测范围及范围内关心点分布情况如</w:t>
      </w:r>
      <w:r>
        <w:rPr>
          <w:rFonts w:ascii="Times New Roman" w:hAnsi="Times New Roman"/>
        </w:rPr>
        <w:fldChar w:fldCharType="begin"/>
      </w:r>
      <w:r>
        <w:rPr>
          <w:rFonts w:ascii="Times New Roman" w:hAnsi="Times New Roman"/>
        </w:rPr>
        <w:instrText xml:space="preserve"> REF _Ref159834342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14</w:t>
      </w:r>
      <w:r>
        <w:rPr>
          <w:rFonts w:ascii="Times New Roman" w:hAnsi="Times New Roman"/>
        </w:rPr>
        <w:fldChar w:fldCharType="end"/>
      </w:r>
      <w:r>
        <w:rPr>
          <w:rFonts w:ascii="Times New Roman" w:hAnsi="Times New Roman"/>
        </w:rPr>
        <w:t>所示。</w:t>
      </w:r>
    </w:p>
    <w:p>
      <w:pPr>
        <w:keepNext/>
        <w:ind w:right="210" w:firstLine="0" w:firstLineChars="0"/>
        <w:jc w:val="center"/>
        <w:rPr>
          <w:rFonts w:ascii="Times New Roman" w:hAnsi="Times New Roman"/>
        </w:rPr>
      </w:pPr>
      <w:r>
        <w:rPr>
          <w:rFonts w:ascii="Times New Roman" w:hAnsi="Times New Roman"/>
          <w14:ligatures w14:val="standardContextual"/>
        </w:rPr>
        <w:drawing>
          <wp:inline distT="0" distB="0" distL="0" distR="0">
            <wp:extent cx="5653405" cy="5653405"/>
            <wp:effectExtent l="0" t="0" r="4445" b="4445"/>
            <wp:docPr id="900846356"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846356" name="图片 1" descr="地图&#10;&#10;描述已自动生成"/>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653405" cy="5653405"/>
                    </a:xfrm>
                    <a:prstGeom prst="rect">
                      <a:avLst/>
                    </a:prstGeom>
                  </pic:spPr>
                </pic:pic>
              </a:graphicData>
            </a:graphic>
          </wp:inline>
        </w:drawing>
      </w:r>
    </w:p>
    <w:p>
      <w:pPr>
        <w:pStyle w:val="37"/>
        <w:rPr>
          <w:rFonts w:ascii="Times New Roman" w:hAnsi="Times New Roman" w:cs="Times New Roman"/>
        </w:rPr>
      </w:pPr>
      <w:bookmarkStart w:id="329" w:name="_Ref159834342"/>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14</w:t>
      </w:r>
      <w:r>
        <w:rPr>
          <w:rFonts w:ascii="Times New Roman" w:hAnsi="Times New Roman" w:cs="Times New Roman"/>
        </w:rPr>
        <w:fldChar w:fldCharType="end"/>
      </w:r>
      <w:bookmarkEnd w:id="329"/>
      <w:r>
        <w:rPr>
          <w:rFonts w:ascii="Times New Roman" w:hAnsi="Times New Roman" w:cs="Times New Roman"/>
        </w:rPr>
        <w:t xml:space="preserve">   宣探1井站站内管道断裂大气环境风险预测范围及关心点分布</w:t>
      </w:r>
    </w:p>
    <w:p>
      <w:pPr>
        <w:ind w:firstLine="480"/>
        <w:rPr>
          <w:rFonts w:ascii="Times New Roman" w:hAnsi="Times New Roman"/>
        </w:rPr>
      </w:pPr>
    </w:p>
    <w:p>
      <w:pPr>
        <w:ind w:firstLine="480"/>
        <w:rPr>
          <w:rFonts w:ascii="Times New Roman" w:hAnsi="Times New Roman"/>
        </w:rPr>
      </w:pPr>
      <w:r>
        <w:rPr>
          <w:rFonts w:ascii="Times New Roman" w:hAnsi="Times New Roman"/>
        </w:rPr>
        <w:t>2）预测关心点</w:t>
      </w:r>
    </w:p>
    <w:p>
      <w:pPr>
        <w:ind w:firstLine="480"/>
        <w:rPr>
          <w:rFonts w:ascii="Times New Roman" w:hAnsi="Times New Roman"/>
        </w:rPr>
      </w:pPr>
      <w:r>
        <w:rPr>
          <w:rFonts w:ascii="Times New Roman" w:hAnsi="Times New Roman"/>
        </w:rPr>
        <w:t>宣探1井站站内管道泄漏的位置以及选取的预测关心点见</w:t>
      </w:r>
      <w:r>
        <w:rPr>
          <w:rFonts w:ascii="Times New Roman" w:hAnsi="Times New Roman"/>
        </w:rPr>
        <w:fldChar w:fldCharType="begin"/>
      </w:r>
      <w:r>
        <w:rPr>
          <w:rFonts w:ascii="Times New Roman" w:hAnsi="Times New Roman"/>
        </w:rPr>
        <w:instrText xml:space="preserve"> REF _Ref159834383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59</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330" w:name="_Ref15983438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59</w:t>
      </w:r>
      <w:r>
        <w:rPr>
          <w:rFonts w:ascii="Times New Roman" w:hAnsi="Times New Roman" w:cs="Times New Roman"/>
        </w:rPr>
        <w:fldChar w:fldCharType="end"/>
      </w:r>
      <w:bookmarkEnd w:id="330"/>
      <w:r>
        <w:rPr>
          <w:rFonts w:ascii="Times New Roman" w:hAnsi="Times New Roman" w:cs="Times New Roman"/>
        </w:rPr>
        <w:t xml:space="preserve">   宣探1井站站内管道泄漏关心点位置</w:t>
      </w:r>
    </w:p>
    <w:tbl>
      <w:tblPr>
        <w:tblStyle w:val="28"/>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60"/>
        <w:gridCol w:w="2008"/>
        <w:gridCol w:w="1233"/>
        <w:gridCol w:w="1296"/>
        <w:gridCol w:w="1785"/>
        <w:gridCol w:w="2337"/>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序号</w:t>
            </w:r>
          </w:p>
        </w:tc>
        <w:tc>
          <w:tcPr>
            <w:tcW w:w="2008" w:type="dxa"/>
            <w:vAlign w:val="center"/>
          </w:tcPr>
          <w:p>
            <w:pPr>
              <w:pStyle w:val="39"/>
              <w:rPr>
                <w:rFonts w:ascii="Times New Roman" w:hAnsi="Times New Roman"/>
              </w:rPr>
            </w:pPr>
            <w:r>
              <w:rPr>
                <w:rFonts w:ascii="Times New Roman" w:hAnsi="Times New Roman"/>
              </w:rPr>
              <w:t>泄漏点/关心点</w:t>
            </w:r>
          </w:p>
        </w:tc>
        <w:tc>
          <w:tcPr>
            <w:tcW w:w="1233" w:type="dxa"/>
            <w:vAlign w:val="center"/>
          </w:tcPr>
          <w:p>
            <w:pPr>
              <w:pStyle w:val="39"/>
              <w:rPr>
                <w:rFonts w:ascii="Times New Roman" w:hAnsi="Times New Roman"/>
              </w:rPr>
            </w:pPr>
            <w:r>
              <w:rPr>
                <w:rFonts w:ascii="Times New Roman" w:hAnsi="Times New Roman"/>
              </w:rPr>
              <w:t>相对泄漏点的方位</w:t>
            </w:r>
          </w:p>
        </w:tc>
        <w:tc>
          <w:tcPr>
            <w:tcW w:w="1296" w:type="dxa"/>
            <w:vAlign w:val="center"/>
          </w:tcPr>
          <w:p>
            <w:pPr>
              <w:pStyle w:val="39"/>
              <w:rPr>
                <w:rFonts w:ascii="Times New Roman" w:hAnsi="Times New Roman"/>
              </w:rPr>
            </w:pPr>
            <w:r>
              <w:rPr>
                <w:rFonts w:ascii="Times New Roman" w:hAnsi="Times New Roman"/>
              </w:rPr>
              <w:t>相对泄漏点的距离/m</w:t>
            </w:r>
          </w:p>
        </w:tc>
        <w:tc>
          <w:tcPr>
            <w:tcW w:w="1785" w:type="dxa"/>
            <w:vAlign w:val="center"/>
          </w:tcPr>
          <w:p>
            <w:pPr>
              <w:pStyle w:val="39"/>
              <w:rPr>
                <w:rFonts w:ascii="Times New Roman" w:hAnsi="Times New Roman"/>
              </w:rPr>
            </w:pPr>
            <w:r>
              <w:rPr>
                <w:rFonts w:ascii="Times New Roman" w:hAnsi="Times New Roman"/>
              </w:rPr>
              <w:t>坐标</w:t>
            </w:r>
          </w:p>
        </w:tc>
        <w:tc>
          <w:tcPr>
            <w:tcW w:w="2337" w:type="dxa"/>
            <w:vAlign w:val="center"/>
          </w:tcPr>
          <w:p>
            <w:pPr>
              <w:pStyle w:val="39"/>
              <w:rPr>
                <w:rFonts w:ascii="Times New Roman" w:hAnsi="Times New Roman"/>
              </w:rPr>
            </w:pPr>
            <w:r>
              <w:rPr>
                <w:rFonts w:ascii="Times New Roman" w:hAnsi="Times New Roman"/>
              </w:rPr>
              <w:t>选择原因</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0</w:t>
            </w:r>
          </w:p>
        </w:tc>
        <w:tc>
          <w:tcPr>
            <w:tcW w:w="2008" w:type="dxa"/>
            <w:vAlign w:val="center"/>
          </w:tcPr>
          <w:p>
            <w:pPr>
              <w:pStyle w:val="39"/>
              <w:rPr>
                <w:rFonts w:ascii="Times New Roman" w:hAnsi="Times New Roman"/>
              </w:rPr>
            </w:pPr>
            <w:r>
              <w:rPr>
                <w:rFonts w:ascii="Times New Roman" w:hAnsi="Times New Roman"/>
              </w:rPr>
              <w:t>宣探1井站泄漏点</w:t>
            </w:r>
          </w:p>
        </w:tc>
        <w:tc>
          <w:tcPr>
            <w:tcW w:w="1233" w:type="dxa"/>
            <w:vAlign w:val="center"/>
          </w:tcPr>
          <w:p>
            <w:pPr>
              <w:pStyle w:val="39"/>
              <w:rPr>
                <w:rFonts w:ascii="Times New Roman" w:hAnsi="Times New Roman"/>
              </w:rPr>
            </w:pPr>
            <w:r>
              <w:rPr>
                <w:rFonts w:ascii="Times New Roman" w:hAnsi="Times New Roman"/>
              </w:rPr>
              <w:t>/</w:t>
            </w:r>
          </w:p>
        </w:tc>
        <w:tc>
          <w:tcPr>
            <w:tcW w:w="1296" w:type="dxa"/>
            <w:vAlign w:val="center"/>
          </w:tcPr>
          <w:p>
            <w:pPr>
              <w:pStyle w:val="39"/>
              <w:rPr>
                <w:rFonts w:ascii="Times New Roman" w:hAnsi="Times New Roman"/>
              </w:rPr>
            </w:pPr>
            <w:r>
              <w:rPr>
                <w:rFonts w:ascii="Times New Roman" w:hAnsi="Times New Roman"/>
              </w:rPr>
              <w:t>/</w:t>
            </w:r>
          </w:p>
        </w:tc>
        <w:tc>
          <w:tcPr>
            <w:tcW w:w="1785" w:type="dxa"/>
            <w:vAlign w:val="center"/>
          </w:tcPr>
          <w:p>
            <w:pPr>
              <w:pStyle w:val="39"/>
              <w:rPr>
                <w:rFonts w:ascii="Times New Roman" w:hAnsi="Times New Roman"/>
              </w:rPr>
            </w:pPr>
            <w:r>
              <w:rPr>
                <w:rFonts w:ascii="Times New Roman" w:hAnsi="Times New Roman"/>
              </w:rPr>
              <w:t>E107.84486415</w:t>
            </w:r>
          </w:p>
          <w:p>
            <w:pPr>
              <w:pStyle w:val="39"/>
              <w:rPr>
                <w:rFonts w:ascii="Times New Roman" w:hAnsi="Times New Roman"/>
              </w:rPr>
            </w:pPr>
            <w:r>
              <w:rPr>
                <w:rFonts w:ascii="Times New Roman" w:hAnsi="Times New Roman"/>
              </w:rPr>
              <w:t>N31.43542732</w:t>
            </w:r>
          </w:p>
        </w:tc>
        <w:tc>
          <w:tcPr>
            <w:tcW w:w="2337" w:type="dxa"/>
            <w:vAlign w:val="center"/>
          </w:tcPr>
          <w:p>
            <w:pPr>
              <w:pStyle w:val="39"/>
              <w:rPr>
                <w:rFonts w:ascii="Times New Roman" w:hAnsi="Times New Roman"/>
              </w:rPr>
            </w:pPr>
            <w:r>
              <w:rPr>
                <w:rFonts w:ascii="Times New Roman" w:hAnsi="Times New Roman"/>
              </w:rPr>
              <w:t>关键生产场所</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1</w:t>
            </w:r>
          </w:p>
        </w:tc>
        <w:tc>
          <w:tcPr>
            <w:tcW w:w="2008" w:type="dxa"/>
            <w:vAlign w:val="center"/>
          </w:tcPr>
          <w:p>
            <w:pPr>
              <w:pStyle w:val="39"/>
              <w:rPr>
                <w:rFonts w:ascii="Times New Roman" w:hAnsi="Times New Roman"/>
              </w:rPr>
            </w:pPr>
            <w:r>
              <w:rPr>
                <w:rFonts w:ascii="Times New Roman" w:hAnsi="Times New Roman"/>
              </w:rPr>
              <w:t>宣探1井站-关心点1-分散居民</w:t>
            </w:r>
          </w:p>
        </w:tc>
        <w:tc>
          <w:tcPr>
            <w:tcW w:w="1233" w:type="dxa"/>
            <w:vAlign w:val="center"/>
          </w:tcPr>
          <w:p>
            <w:pPr>
              <w:pStyle w:val="39"/>
              <w:rPr>
                <w:rFonts w:ascii="Times New Roman" w:hAnsi="Times New Roman"/>
              </w:rPr>
            </w:pPr>
            <w:r>
              <w:rPr>
                <w:rFonts w:ascii="Times New Roman" w:hAnsi="Times New Roman"/>
              </w:rPr>
              <w:t>SE</w:t>
            </w:r>
          </w:p>
        </w:tc>
        <w:tc>
          <w:tcPr>
            <w:tcW w:w="1296" w:type="dxa"/>
            <w:vAlign w:val="center"/>
          </w:tcPr>
          <w:p>
            <w:pPr>
              <w:pStyle w:val="39"/>
              <w:rPr>
                <w:rFonts w:ascii="Times New Roman" w:hAnsi="Times New Roman"/>
              </w:rPr>
            </w:pPr>
            <w:r>
              <w:rPr>
                <w:rFonts w:ascii="Times New Roman" w:hAnsi="Times New Roman"/>
              </w:rPr>
              <w:t>328</w:t>
            </w:r>
          </w:p>
        </w:tc>
        <w:tc>
          <w:tcPr>
            <w:tcW w:w="1785" w:type="dxa"/>
            <w:vAlign w:val="center"/>
          </w:tcPr>
          <w:p>
            <w:pPr>
              <w:pStyle w:val="39"/>
              <w:rPr>
                <w:rFonts w:ascii="Times New Roman" w:hAnsi="Times New Roman"/>
              </w:rPr>
            </w:pPr>
            <w:r>
              <w:rPr>
                <w:rFonts w:ascii="Times New Roman" w:hAnsi="Times New Roman"/>
              </w:rPr>
              <w:t>E107.8483000</w:t>
            </w:r>
          </w:p>
          <w:p>
            <w:pPr>
              <w:pStyle w:val="39"/>
              <w:rPr>
                <w:rFonts w:ascii="Times New Roman" w:hAnsi="Times New Roman"/>
              </w:rPr>
            </w:pPr>
            <w:r>
              <w:rPr>
                <w:rFonts w:ascii="Times New Roman" w:hAnsi="Times New Roman"/>
              </w:rPr>
              <w:t>N31.43480639</w:t>
            </w:r>
          </w:p>
        </w:tc>
        <w:tc>
          <w:tcPr>
            <w:tcW w:w="2337" w:type="dxa"/>
            <w:vAlign w:val="center"/>
          </w:tcPr>
          <w:p>
            <w:pPr>
              <w:pStyle w:val="39"/>
              <w:rPr>
                <w:rFonts w:ascii="Times New Roman" w:hAnsi="Times New Roman"/>
              </w:rPr>
            </w:pPr>
            <w:r>
              <w:rPr>
                <w:rFonts w:ascii="Times New Roman" w:hAnsi="Times New Roman"/>
              </w:rPr>
              <w:t>泄漏点距离最近的分散居民（拆迁后）</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2</w:t>
            </w:r>
          </w:p>
        </w:tc>
        <w:tc>
          <w:tcPr>
            <w:tcW w:w="2008" w:type="dxa"/>
            <w:vAlign w:val="center"/>
          </w:tcPr>
          <w:p>
            <w:pPr>
              <w:pStyle w:val="39"/>
              <w:rPr>
                <w:rFonts w:ascii="Times New Roman" w:hAnsi="Times New Roman"/>
              </w:rPr>
            </w:pPr>
            <w:r>
              <w:rPr>
                <w:rFonts w:ascii="Times New Roman" w:hAnsi="Times New Roman"/>
              </w:rPr>
              <w:t>宣探1井站-关心点2-分散居民</w:t>
            </w:r>
          </w:p>
        </w:tc>
        <w:tc>
          <w:tcPr>
            <w:tcW w:w="1233" w:type="dxa"/>
            <w:vAlign w:val="center"/>
          </w:tcPr>
          <w:p>
            <w:pPr>
              <w:pStyle w:val="39"/>
              <w:rPr>
                <w:rFonts w:ascii="Times New Roman" w:hAnsi="Times New Roman"/>
              </w:rPr>
            </w:pPr>
            <w:r>
              <w:rPr>
                <w:rFonts w:ascii="Times New Roman" w:hAnsi="Times New Roman"/>
              </w:rPr>
              <w:t>SE</w:t>
            </w:r>
          </w:p>
        </w:tc>
        <w:tc>
          <w:tcPr>
            <w:tcW w:w="1296" w:type="dxa"/>
            <w:vAlign w:val="center"/>
          </w:tcPr>
          <w:p>
            <w:pPr>
              <w:pStyle w:val="39"/>
              <w:rPr>
                <w:rFonts w:ascii="Times New Roman" w:hAnsi="Times New Roman"/>
              </w:rPr>
            </w:pPr>
            <w:r>
              <w:rPr>
                <w:rFonts w:ascii="Times New Roman" w:hAnsi="Times New Roman"/>
              </w:rPr>
              <w:t>313</w:t>
            </w:r>
          </w:p>
        </w:tc>
        <w:tc>
          <w:tcPr>
            <w:tcW w:w="1785" w:type="dxa"/>
            <w:vAlign w:val="center"/>
          </w:tcPr>
          <w:p>
            <w:pPr>
              <w:pStyle w:val="39"/>
              <w:rPr>
                <w:rFonts w:ascii="Times New Roman" w:hAnsi="Times New Roman"/>
              </w:rPr>
            </w:pPr>
            <w:r>
              <w:rPr>
                <w:rFonts w:ascii="Times New Roman" w:hAnsi="Times New Roman"/>
              </w:rPr>
              <w:t>E107.84791561</w:t>
            </w:r>
          </w:p>
          <w:p>
            <w:pPr>
              <w:pStyle w:val="39"/>
              <w:rPr>
                <w:rFonts w:ascii="Times New Roman" w:hAnsi="Times New Roman"/>
              </w:rPr>
            </w:pPr>
            <w:r>
              <w:rPr>
                <w:rFonts w:ascii="Times New Roman" w:hAnsi="Times New Roman"/>
              </w:rPr>
              <w:t>N31.43421769</w:t>
            </w:r>
          </w:p>
        </w:tc>
        <w:tc>
          <w:tcPr>
            <w:tcW w:w="2337" w:type="dxa"/>
            <w:vAlign w:val="center"/>
          </w:tcPr>
          <w:p>
            <w:pPr>
              <w:pStyle w:val="39"/>
              <w:rPr>
                <w:rFonts w:ascii="Times New Roman" w:hAnsi="Times New Roman"/>
              </w:rPr>
            </w:pPr>
            <w:r>
              <w:rPr>
                <w:rFonts w:ascii="Times New Roman" w:hAnsi="Times New Roman"/>
              </w:rPr>
              <w:t>泄漏点距离最近的分散居民（拆迁后）</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3</w:t>
            </w:r>
          </w:p>
        </w:tc>
        <w:tc>
          <w:tcPr>
            <w:tcW w:w="2008" w:type="dxa"/>
            <w:vAlign w:val="center"/>
          </w:tcPr>
          <w:p>
            <w:pPr>
              <w:pStyle w:val="39"/>
              <w:rPr>
                <w:rFonts w:ascii="Times New Roman" w:hAnsi="Times New Roman"/>
              </w:rPr>
            </w:pPr>
            <w:r>
              <w:rPr>
                <w:rFonts w:ascii="Times New Roman" w:hAnsi="Times New Roman"/>
              </w:rPr>
              <w:t>宣探1井站-关心点3-马伏村卫生所</w:t>
            </w:r>
          </w:p>
        </w:tc>
        <w:tc>
          <w:tcPr>
            <w:tcW w:w="1233" w:type="dxa"/>
            <w:vAlign w:val="center"/>
          </w:tcPr>
          <w:p>
            <w:pPr>
              <w:pStyle w:val="39"/>
              <w:rPr>
                <w:rFonts w:ascii="Times New Roman" w:hAnsi="Times New Roman"/>
              </w:rPr>
            </w:pPr>
            <w:r>
              <w:rPr>
                <w:rFonts w:ascii="Times New Roman" w:hAnsi="Times New Roman"/>
              </w:rPr>
              <w:t>SE</w:t>
            </w:r>
          </w:p>
        </w:tc>
        <w:tc>
          <w:tcPr>
            <w:tcW w:w="1296" w:type="dxa"/>
            <w:vAlign w:val="center"/>
          </w:tcPr>
          <w:p>
            <w:pPr>
              <w:pStyle w:val="39"/>
              <w:rPr>
                <w:rFonts w:ascii="Times New Roman" w:hAnsi="Times New Roman"/>
              </w:rPr>
            </w:pPr>
            <w:r>
              <w:rPr>
                <w:rFonts w:ascii="Times New Roman" w:hAnsi="Times New Roman"/>
              </w:rPr>
              <w:t>484</w:t>
            </w:r>
          </w:p>
        </w:tc>
        <w:tc>
          <w:tcPr>
            <w:tcW w:w="1785" w:type="dxa"/>
            <w:vAlign w:val="center"/>
          </w:tcPr>
          <w:p>
            <w:pPr>
              <w:pStyle w:val="39"/>
              <w:rPr>
                <w:rFonts w:ascii="Times New Roman" w:hAnsi="Times New Roman"/>
              </w:rPr>
            </w:pPr>
            <w:r>
              <w:rPr>
                <w:rFonts w:ascii="Times New Roman" w:hAnsi="Times New Roman"/>
              </w:rPr>
              <w:t>E107.84833245</w:t>
            </w:r>
          </w:p>
          <w:p>
            <w:pPr>
              <w:pStyle w:val="39"/>
              <w:rPr>
                <w:rFonts w:ascii="Times New Roman" w:hAnsi="Times New Roman"/>
              </w:rPr>
            </w:pPr>
            <w:r>
              <w:rPr>
                <w:rFonts w:ascii="Times New Roman" w:hAnsi="Times New Roman"/>
              </w:rPr>
              <w:t>N31.43220256</w:t>
            </w:r>
          </w:p>
        </w:tc>
        <w:tc>
          <w:tcPr>
            <w:tcW w:w="2337" w:type="dxa"/>
            <w:shd w:val="clear" w:color="auto" w:fill="auto"/>
            <w:vAlign w:val="center"/>
          </w:tcPr>
          <w:p>
            <w:pPr>
              <w:pStyle w:val="39"/>
              <w:rPr>
                <w:rFonts w:ascii="Times New Roman" w:hAnsi="Times New Roman"/>
              </w:rPr>
            </w:pPr>
            <w:r>
              <w:rPr>
                <w:rFonts w:ascii="Times New Roman" w:hAnsi="Times New Roman"/>
              </w:rPr>
              <w:t>泄漏点SE方向上的村级卫生所</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4</w:t>
            </w:r>
          </w:p>
        </w:tc>
        <w:tc>
          <w:tcPr>
            <w:tcW w:w="2008" w:type="dxa"/>
            <w:vAlign w:val="center"/>
          </w:tcPr>
          <w:p>
            <w:pPr>
              <w:pStyle w:val="39"/>
              <w:rPr>
                <w:rFonts w:ascii="Times New Roman" w:hAnsi="Times New Roman"/>
              </w:rPr>
            </w:pPr>
            <w:r>
              <w:rPr>
                <w:rFonts w:ascii="Times New Roman" w:hAnsi="Times New Roman"/>
              </w:rPr>
              <w:t>宣探1井站-关心点4-分散居民</w:t>
            </w:r>
          </w:p>
        </w:tc>
        <w:tc>
          <w:tcPr>
            <w:tcW w:w="1233" w:type="dxa"/>
            <w:vAlign w:val="center"/>
          </w:tcPr>
          <w:p>
            <w:pPr>
              <w:pStyle w:val="39"/>
              <w:rPr>
                <w:rFonts w:ascii="Times New Roman" w:hAnsi="Times New Roman"/>
              </w:rPr>
            </w:pPr>
            <w:r>
              <w:rPr>
                <w:rFonts w:ascii="Times New Roman" w:hAnsi="Times New Roman"/>
              </w:rPr>
              <w:t>S</w:t>
            </w:r>
          </w:p>
        </w:tc>
        <w:tc>
          <w:tcPr>
            <w:tcW w:w="1296" w:type="dxa"/>
            <w:vAlign w:val="center"/>
          </w:tcPr>
          <w:p>
            <w:pPr>
              <w:pStyle w:val="39"/>
              <w:rPr>
                <w:rFonts w:ascii="Times New Roman" w:hAnsi="Times New Roman"/>
              </w:rPr>
            </w:pPr>
            <w:r>
              <w:rPr>
                <w:rFonts w:ascii="Times New Roman" w:hAnsi="Times New Roman"/>
              </w:rPr>
              <w:t>295</w:t>
            </w:r>
          </w:p>
        </w:tc>
        <w:tc>
          <w:tcPr>
            <w:tcW w:w="1785" w:type="dxa"/>
            <w:vAlign w:val="center"/>
          </w:tcPr>
          <w:p>
            <w:pPr>
              <w:pStyle w:val="39"/>
              <w:rPr>
                <w:rFonts w:ascii="Times New Roman" w:hAnsi="Times New Roman"/>
              </w:rPr>
            </w:pPr>
            <w:r>
              <w:rPr>
                <w:rFonts w:ascii="Times New Roman" w:hAnsi="Times New Roman"/>
              </w:rPr>
              <w:t>E107.8449450</w:t>
            </w:r>
          </w:p>
          <w:p>
            <w:pPr>
              <w:pStyle w:val="39"/>
              <w:rPr>
                <w:rFonts w:ascii="Times New Roman" w:hAnsi="Times New Roman"/>
              </w:rPr>
            </w:pPr>
            <w:r>
              <w:rPr>
                <w:rFonts w:ascii="Times New Roman" w:hAnsi="Times New Roman"/>
              </w:rPr>
              <w:t>N31.43267715</w:t>
            </w:r>
          </w:p>
        </w:tc>
        <w:tc>
          <w:tcPr>
            <w:tcW w:w="2337" w:type="dxa"/>
            <w:shd w:val="clear" w:color="auto" w:fill="auto"/>
            <w:vAlign w:val="center"/>
          </w:tcPr>
          <w:p>
            <w:pPr>
              <w:pStyle w:val="39"/>
              <w:rPr>
                <w:rFonts w:ascii="Times New Roman" w:hAnsi="Times New Roman"/>
              </w:rPr>
            </w:pPr>
            <w:r>
              <w:rPr>
                <w:rFonts w:ascii="Times New Roman" w:hAnsi="Times New Roman"/>
              </w:rPr>
              <w:t>泄漏点S方向上距离最近的分散居民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5</w:t>
            </w:r>
          </w:p>
        </w:tc>
        <w:tc>
          <w:tcPr>
            <w:tcW w:w="2008" w:type="dxa"/>
            <w:vAlign w:val="center"/>
          </w:tcPr>
          <w:p>
            <w:pPr>
              <w:pStyle w:val="39"/>
              <w:rPr>
                <w:rFonts w:ascii="Times New Roman" w:hAnsi="Times New Roman"/>
              </w:rPr>
            </w:pPr>
            <w:r>
              <w:rPr>
                <w:rFonts w:ascii="Times New Roman" w:hAnsi="Times New Roman"/>
              </w:rPr>
              <w:t>宣探1井站-关心点5-桂花小学</w:t>
            </w:r>
          </w:p>
        </w:tc>
        <w:tc>
          <w:tcPr>
            <w:tcW w:w="1233" w:type="dxa"/>
            <w:vAlign w:val="center"/>
          </w:tcPr>
          <w:p>
            <w:pPr>
              <w:pStyle w:val="39"/>
              <w:rPr>
                <w:rFonts w:ascii="Times New Roman" w:hAnsi="Times New Roman"/>
              </w:rPr>
            </w:pPr>
            <w:r>
              <w:rPr>
                <w:rFonts w:ascii="Times New Roman" w:hAnsi="Times New Roman"/>
              </w:rPr>
              <w:t>S</w:t>
            </w:r>
          </w:p>
        </w:tc>
        <w:tc>
          <w:tcPr>
            <w:tcW w:w="1296" w:type="dxa"/>
            <w:vAlign w:val="center"/>
          </w:tcPr>
          <w:p>
            <w:pPr>
              <w:pStyle w:val="39"/>
              <w:rPr>
                <w:rFonts w:ascii="Times New Roman" w:hAnsi="Times New Roman"/>
              </w:rPr>
            </w:pPr>
            <w:r>
              <w:rPr>
                <w:rFonts w:ascii="Times New Roman" w:hAnsi="Times New Roman"/>
              </w:rPr>
              <w:t>864</w:t>
            </w:r>
          </w:p>
        </w:tc>
        <w:tc>
          <w:tcPr>
            <w:tcW w:w="1785" w:type="dxa"/>
            <w:vAlign w:val="center"/>
          </w:tcPr>
          <w:p>
            <w:pPr>
              <w:pStyle w:val="39"/>
              <w:rPr>
                <w:rFonts w:ascii="Times New Roman" w:hAnsi="Times New Roman"/>
              </w:rPr>
            </w:pPr>
            <w:r>
              <w:rPr>
                <w:rFonts w:ascii="Times New Roman" w:hAnsi="Times New Roman"/>
              </w:rPr>
              <w:t>E107.84576803</w:t>
            </w:r>
          </w:p>
          <w:p>
            <w:pPr>
              <w:pStyle w:val="39"/>
              <w:rPr>
                <w:rFonts w:ascii="Times New Roman" w:hAnsi="Times New Roman"/>
              </w:rPr>
            </w:pPr>
            <w:r>
              <w:rPr>
                <w:rFonts w:ascii="Times New Roman" w:hAnsi="Times New Roman"/>
              </w:rPr>
              <w:t>N31.42763770</w:t>
            </w:r>
          </w:p>
        </w:tc>
        <w:tc>
          <w:tcPr>
            <w:tcW w:w="2337" w:type="dxa"/>
            <w:shd w:val="clear" w:color="auto" w:fill="auto"/>
            <w:vAlign w:val="center"/>
          </w:tcPr>
          <w:p>
            <w:pPr>
              <w:pStyle w:val="39"/>
              <w:rPr>
                <w:rFonts w:ascii="Times New Roman" w:hAnsi="Times New Roman"/>
              </w:rPr>
            </w:pPr>
            <w:r>
              <w:rPr>
                <w:rFonts w:ascii="Times New Roman" w:hAnsi="Times New Roman"/>
              </w:rPr>
              <w:t>泄漏点S方向上的小学</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6</w:t>
            </w:r>
          </w:p>
        </w:tc>
        <w:tc>
          <w:tcPr>
            <w:tcW w:w="2008" w:type="dxa"/>
            <w:vAlign w:val="center"/>
          </w:tcPr>
          <w:p>
            <w:pPr>
              <w:pStyle w:val="39"/>
              <w:rPr>
                <w:rFonts w:ascii="Times New Roman" w:hAnsi="Times New Roman"/>
              </w:rPr>
            </w:pPr>
            <w:r>
              <w:rPr>
                <w:rFonts w:ascii="Times New Roman" w:hAnsi="Times New Roman"/>
              </w:rPr>
              <w:t>宣探1井站-关心点6-分散居民</w:t>
            </w:r>
          </w:p>
        </w:tc>
        <w:tc>
          <w:tcPr>
            <w:tcW w:w="1233" w:type="dxa"/>
            <w:vAlign w:val="center"/>
          </w:tcPr>
          <w:p>
            <w:pPr>
              <w:pStyle w:val="39"/>
              <w:rPr>
                <w:rFonts w:ascii="Times New Roman" w:hAnsi="Times New Roman"/>
              </w:rPr>
            </w:pPr>
            <w:r>
              <w:rPr>
                <w:rFonts w:ascii="Times New Roman" w:hAnsi="Times New Roman"/>
              </w:rPr>
              <w:t>SW</w:t>
            </w:r>
          </w:p>
        </w:tc>
        <w:tc>
          <w:tcPr>
            <w:tcW w:w="1296" w:type="dxa"/>
            <w:vAlign w:val="center"/>
          </w:tcPr>
          <w:p>
            <w:pPr>
              <w:pStyle w:val="39"/>
              <w:rPr>
                <w:rFonts w:ascii="Times New Roman" w:hAnsi="Times New Roman"/>
              </w:rPr>
            </w:pPr>
            <w:r>
              <w:rPr>
                <w:rFonts w:ascii="Times New Roman" w:hAnsi="Times New Roman"/>
              </w:rPr>
              <w:t>504</w:t>
            </w:r>
          </w:p>
        </w:tc>
        <w:tc>
          <w:tcPr>
            <w:tcW w:w="1785" w:type="dxa"/>
            <w:vAlign w:val="center"/>
          </w:tcPr>
          <w:p>
            <w:pPr>
              <w:pStyle w:val="39"/>
              <w:rPr>
                <w:rFonts w:ascii="Times New Roman" w:hAnsi="Times New Roman"/>
              </w:rPr>
            </w:pPr>
            <w:r>
              <w:rPr>
                <w:rFonts w:ascii="Times New Roman" w:hAnsi="Times New Roman"/>
              </w:rPr>
              <w:t>E107.84170805</w:t>
            </w:r>
          </w:p>
          <w:p>
            <w:pPr>
              <w:pStyle w:val="39"/>
              <w:rPr>
                <w:rFonts w:ascii="Times New Roman" w:hAnsi="Times New Roman"/>
              </w:rPr>
            </w:pPr>
            <w:r>
              <w:rPr>
                <w:rFonts w:ascii="Times New Roman" w:hAnsi="Times New Roman"/>
              </w:rPr>
              <w:t>N31.43165083</w:t>
            </w:r>
          </w:p>
        </w:tc>
        <w:tc>
          <w:tcPr>
            <w:tcW w:w="2337" w:type="dxa"/>
            <w:shd w:val="clear" w:color="auto" w:fill="auto"/>
            <w:vAlign w:val="center"/>
          </w:tcPr>
          <w:p>
            <w:pPr>
              <w:pStyle w:val="39"/>
              <w:rPr>
                <w:rFonts w:ascii="Times New Roman" w:hAnsi="Times New Roman"/>
              </w:rPr>
            </w:pPr>
            <w:r>
              <w:rPr>
                <w:rFonts w:ascii="Times New Roman" w:hAnsi="Times New Roman"/>
              </w:rPr>
              <w:t>泄漏点SW方向上距离最近的分散居民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7</w:t>
            </w:r>
          </w:p>
        </w:tc>
        <w:tc>
          <w:tcPr>
            <w:tcW w:w="2008" w:type="dxa"/>
            <w:vAlign w:val="center"/>
          </w:tcPr>
          <w:p>
            <w:pPr>
              <w:pStyle w:val="39"/>
              <w:rPr>
                <w:rFonts w:ascii="Times New Roman" w:hAnsi="Times New Roman"/>
              </w:rPr>
            </w:pPr>
            <w:r>
              <w:rPr>
                <w:rFonts w:ascii="Times New Roman" w:hAnsi="Times New Roman"/>
              </w:rPr>
              <w:t>宣探1井站-关心点7-分散居民</w:t>
            </w:r>
          </w:p>
        </w:tc>
        <w:tc>
          <w:tcPr>
            <w:tcW w:w="1233" w:type="dxa"/>
            <w:vAlign w:val="center"/>
          </w:tcPr>
          <w:p>
            <w:pPr>
              <w:pStyle w:val="39"/>
              <w:rPr>
                <w:rFonts w:ascii="Times New Roman" w:hAnsi="Times New Roman"/>
              </w:rPr>
            </w:pPr>
            <w:r>
              <w:rPr>
                <w:rFonts w:ascii="Times New Roman" w:hAnsi="Times New Roman"/>
              </w:rPr>
              <w:t>SW</w:t>
            </w:r>
          </w:p>
        </w:tc>
        <w:tc>
          <w:tcPr>
            <w:tcW w:w="1296" w:type="dxa"/>
            <w:vAlign w:val="center"/>
          </w:tcPr>
          <w:p>
            <w:pPr>
              <w:pStyle w:val="39"/>
              <w:rPr>
                <w:rFonts w:ascii="Times New Roman" w:hAnsi="Times New Roman"/>
              </w:rPr>
            </w:pPr>
            <w:r>
              <w:rPr>
                <w:rFonts w:ascii="Times New Roman" w:hAnsi="Times New Roman"/>
              </w:rPr>
              <w:t>691</w:t>
            </w:r>
          </w:p>
        </w:tc>
        <w:tc>
          <w:tcPr>
            <w:tcW w:w="1785" w:type="dxa"/>
            <w:vAlign w:val="center"/>
          </w:tcPr>
          <w:p>
            <w:pPr>
              <w:pStyle w:val="39"/>
              <w:rPr>
                <w:rFonts w:ascii="Times New Roman" w:hAnsi="Times New Roman"/>
              </w:rPr>
            </w:pPr>
            <w:r>
              <w:rPr>
                <w:rFonts w:ascii="Times New Roman" w:hAnsi="Times New Roman"/>
              </w:rPr>
              <w:t>E107.8380917</w:t>
            </w:r>
          </w:p>
          <w:p>
            <w:pPr>
              <w:pStyle w:val="39"/>
              <w:rPr>
                <w:rFonts w:ascii="Times New Roman" w:hAnsi="Times New Roman"/>
              </w:rPr>
            </w:pPr>
            <w:r>
              <w:rPr>
                <w:rFonts w:ascii="Times New Roman" w:hAnsi="Times New Roman"/>
              </w:rPr>
              <w:t>N31.43295304</w:t>
            </w:r>
          </w:p>
        </w:tc>
        <w:tc>
          <w:tcPr>
            <w:tcW w:w="2337" w:type="dxa"/>
            <w:shd w:val="clear" w:color="auto" w:fill="auto"/>
            <w:vAlign w:val="center"/>
          </w:tcPr>
          <w:p>
            <w:pPr>
              <w:pStyle w:val="39"/>
              <w:rPr>
                <w:rFonts w:ascii="Times New Roman" w:hAnsi="Times New Roman"/>
              </w:rPr>
            </w:pPr>
            <w:r>
              <w:rPr>
                <w:rFonts w:ascii="Times New Roman" w:hAnsi="Times New Roman"/>
              </w:rPr>
              <w:t>泄漏点SW方向上的分散居民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8</w:t>
            </w:r>
          </w:p>
        </w:tc>
        <w:tc>
          <w:tcPr>
            <w:tcW w:w="2008" w:type="dxa"/>
            <w:vAlign w:val="center"/>
          </w:tcPr>
          <w:p>
            <w:pPr>
              <w:pStyle w:val="39"/>
              <w:rPr>
                <w:rFonts w:ascii="Times New Roman" w:hAnsi="Times New Roman"/>
              </w:rPr>
            </w:pPr>
            <w:r>
              <w:rPr>
                <w:rFonts w:ascii="Times New Roman" w:hAnsi="Times New Roman"/>
              </w:rPr>
              <w:t>宣探1井站-关心点8-分散居民</w:t>
            </w:r>
          </w:p>
        </w:tc>
        <w:tc>
          <w:tcPr>
            <w:tcW w:w="1233" w:type="dxa"/>
            <w:vAlign w:val="center"/>
          </w:tcPr>
          <w:p>
            <w:pPr>
              <w:pStyle w:val="39"/>
              <w:rPr>
                <w:rFonts w:ascii="Times New Roman" w:hAnsi="Times New Roman"/>
              </w:rPr>
            </w:pPr>
            <w:r>
              <w:rPr>
                <w:rFonts w:ascii="Times New Roman" w:hAnsi="Times New Roman"/>
              </w:rPr>
              <w:t>W</w:t>
            </w:r>
          </w:p>
        </w:tc>
        <w:tc>
          <w:tcPr>
            <w:tcW w:w="1296" w:type="dxa"/>
            <w:vAlign w:val="center"/>
          </w:tcPr>
          <w:p>
            <w:pPr>
              <w:pStyle w:val="39"/>
              <w:rPr>
                <w:rFonts w:ascii="Times New Roman" w:hAnsi="Times New Roman"/>
              </w:rPr>
            </w:pPr>
            <w:r>
              <w:rPr>
                <w:rFonts w:ascii="Times New Roman" w:hAnsi="Times New Roman"/>
              </w:rPr>
              <w:t>688</w:t>
            </w:r>
          </w:p>
        </w:tc>
        <w:tc>
          <w:tcPr>
            <w:tcW w:w="1785" w:type="dxa"/>
            <w:vAlign w:val="center"/>
          </w:tcPr>
          <w:p>
            <w:pPr>
              <w:pStyle w:val="39"/>
              <w:rPr>
                <w:rFonts w:ascii="Times New Roman" w:hAnsi="Times New Roman"/>
              </w:rPr>
            </w:pPr>
            <w:r>
              <w:rPr>
                <w:rFonts w:ascii="Times New Roman" w:hAnsi="Times New Roman"/>
              </w:rPr>
              <w:t>E107.83762644</w:t>
            </w:r>
          </w:p>
          <w:p>
            <w:pPr>
              <w:pStyle w:val="39"/>
              <w:rPr>
                <w:rFonts w:ascii="Times New Roman" w:hAnsi="Times New Roman"/>
              </w:rPr>
            </w:pPr>
            <w:r>
              <w:rPr>
                <w:rFonts w:ascii="Times New Roman" w:hAnsi="Times New Roman"/>
              </w:rPr>
              <w:t>N31.43458590</w:t>
            </w:r>
          </w:p>
        </w:tc>
        <w:tc>
          <w:tcPr>
            <w:tcW w:w="2337" w:type="dxa"/>
            <w:shd w:val="clear" w:color="auto" w:fill="auto"/>
            <w:vAlign w:val="center"/>
          </w:tcPr>
          <w:p>
            <w:pPr>
              <w:pStyle w:val="39"/>
              <w:rPr>
                <w:rFonts w:ascii="Times New Roman" w:hAnsi="Times New Roman"/>
              </w:rPr>
            </w:pPr>
            <w:r>
              <w:rPr>
                <w:rFonts w:ascii="Times New Roman" w:hAnsi="Times New Roman"/>
              </w:rPr>
              <w:t>泄漏点W方向上距离最近的分散居民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9</w:t>
            </w:r>
          </w:p>
        </w:tc>
        <w:tc>
          <w:tcPr>
            <w:tcW w:w="2008" w:type="dxa"/>
            <w:vAlign w:val="center"/>
          </w:tcPr>
          <w:p>
            <w:pPr>
              <w:pStyle w:val="39"/>
              <w:rPr>
                <w:rFonts w:ascii="Times New Roman" w:hAnsi="Times New Roman"/>
              </w:rPr>
            </w:pPr>
            <w:r>
              <w:rPr>
                <w:rFonts w:ascii="Times New Roman" w:hAnsi="Times New Roman"/>
              </w:rPr>
              <w:t>宣探1井站-关心点9-分散居民</w:t>
            </w:r>
          </w:p>
        </w:tc>
        <w:tc>
          <w:tcPr>
            <w:tcW w:w="1233" w:type="dxa"/>
            <w:vAlign w:val="center"/>
          </w:tcPr>
          <w:p>
            <w:pPr>
              <w:pStyle w:val="39"/>
              <w:rPr>
                <w:rFonts w:ascii="Times New Roman" w:hAnsi="Times New Roman"/>
              </w:rPr>
            </w:pPr>
            <w:r>
              <w:rPr>
                <w:rFonts w:ascii="Times New Roman" w:hAnsi="Times New Roman"/>
              </w:rPr>
              <w:t>NW</w:t>
            </w:r>
          </w:p>
        </w:tc>
        <w:tc>
          <w:tcPr>
            <w:tcW w:w="1296" w:type="dxa"/>
            <w:vAlign w:val="center"/>
          </w:tcPr>
          <w:p>
            <w:pPr>
              <w:pStyle w:val="39"/>
              <w:rPr>
                <w:rFonts w:ascii="Times New Roman" w:hAnsi="Times New Roman"/>
              </w:rPr>
            </w:pPr>
            <w:r>
              <w:rPr>
                <w:rFonts w:ascii="Times New Roman" w:hAnsi="Times New Roman"/>
              </w:rPr>
              <w:t>435</w:t>
            </w:r>
          </w:p>
        </w:tc>
        <w:tc>
          <w:tcPr>
            <w:tcW w:w="1785" w:type="dxa"/>
            <w:vAlign w:val="center"/>
          </w:tcPr>
          <w:p>
            <w:pPr>
              <w:pStyle w:val="39"/>
              <w:rPr>
                <w:rFonts w:ascii="Times New Roman" w:hAnsi="Times New Roman"/>
              </w:rPr>
            </w:pPr>
            <w:r>
              <w:rPr>
                <w:rFonts w:ascii="Times New Roman" w:hAnsi="Times New Roman"/>
              </w:rPr>
              <w:t>E107.84032038</w:t>
            </w:r>
          </w:p>
          <w:p>
            <w:pPr>
              <w:pStyle w:val="39"/>
              <w:rPr>
                <w:rFonts w:ascii="Times New Roman" w:hAnsi="Times New Roman"/>
              </w:rPr>
            </w:pPr>
            <w:r>
              <w:rPr>
                <w:rFonts w:ascii="Times New Roman" w:hAnsi="Times New Roman"/>
              </w:rPr>
              <w:t>N31.43630691</w:t>
            </w:r>
          </w:p>
        </w:tc>
        <w:tc>
          <w:tcPr>
            <w:tcW w:w="2337" w:type="dxa"/>
            <w:shd w:val="clear" w:color="auto" w:fill="auto"/>
            <w:vAlign w:val="center"/>
          </w:tcPr>
          <w:p>
            <w:pPr>
              <w:pStyle w:val="39"/>
              <w:rPr>
                <w:rFonts w:ascii="Times New Roman" w:hAnsi="Times New Roman"/>
              </w:rPr>
            </w:pPr>
            <w:r>
              <w:rPr>
                <w:rFonts w:ascii="Times New Roman" w:hAnsi="Times New Roman"/>
              </w:rPr>
              <w:t>泄漏点NW方向上距离最近的分散居民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10</w:t>
            </w:r>
          </w:p>
        </w:tc>
        <w:tc>
          <w:tcPr>
            <w:tcW w:w="2008" w:type="dxa"/>
            <w:vAlign w:val="center"/>
          </w:tcPr>
          <w:p>
            <w:pPr>
              <w:pStyle w:val="39"/>
              <w:rPr>
                <w:rFonts w:ascii="Times New Roman" w:hAnsi="Times New Roman"/>
              </w:rPr>
            </w:pPr>
            <w:r>
              <w:rPr>
                <w:rFonts w:ascii="Times New Roman" w:hAnsi="Times New Roman"/>
              </w:rPr>
              <w:t>宣探1井站-关心点10-分散居民</w:t>
            </w:r>
          </w:p>
        </w:tc>
        <w:tc>
          <w:tcPr>
            <w:tcW w:w="1233" w:type="dxa"/>
            <w:vAlign w:val="center"/>
          </w:tcPr>
          <w:p>
            <w:pPr>
              <w:pStyle w:val="39"/>
              <w:rPr>
                <w:rFonts w:ascii="Times New Roman" w:hAnsi="Times New Roman"/>
              </w:rPr>
            </w:pPr>
            <w:r>
              <w:rPr>
                <w:rFonts w:ascii="Times New Roman" w:hAnsi="Times New Roman"/>
              </w:rPr>
              <w:t>NE</w:t>
            </w:r>
          </w:p>
        </w:tc>
        <w:tc>
          <w:tcPr>
            <w:tcW w:w="1296" w:type="dxa"/>
            <w:vAlign w:val="center"/>
          </w:tcPr>
          <w:p>
            <w:pPr>
              <w:pStyle w:val="39"/>
              <w:rPr>
                <w:rFonts w:ascii="Times New Roman" w:hAnsi="Times New Roman"/>
              </w:rPr>
            </w:pPr>
            <w:r>
              <w:rPr>
                <w:rFonts w:ascii="Times New Roman" w:hAnsi="Times New Roman"/>
              </w:rPr>
              <w:t>578</w:t>
            </w:r>
          </w:p>
        </w:tc>
        <w:tc>
          <w:tcPr>
            <w:tcW w:w="1785" w:type="dxa"/>
            <w:vAlign w:val="center"/>
          </w:tcPr>
          <w:p>
            <w:pPr>
              <w:pStyle w:val="39"/>
              <w:rPr>
                <w:rFonts w:ascii="Times New Roman" w:hAnsi="Times New Roman"/>
              </w:rPr>
            </w:pPr>
            <w:r>
              <w:rPr>
                <w:rFonts w:ascii="Times New Roman" w:hAnsi="Times New Roman"/>
              </w:rPr>
              <w:t>E107.84725115</w:t>
            </w:r>
          </w:p>
          <w:p>
            <w:pPr>
              <w:pStyle w:val="39"/>
              <w:rPr>
                <w:rFonts w:ascii="Times New Roman" w:hAnsi="Times New Roman"/>
              </w:rPr>
            </w:pPr>
            <w:r>
              <w:rPr>
                <w:rFonts w:ascii="Times New Roman" w:hAnsi="Times New Roman"/>
              </w:rPr>
              <w:t>N31.44023181</w:t>
            </w:r>
          </w:p>
        </w:tc>
        <w:tc>
          <w:tcPr>
            <w:tcW w:w="2337" w:type="dxa"/>
            <w:shd w:val="clear" w:color="auto" w:fill="auto"/>
            <w:vAlign w:val="center"/>
          </w:tcPr>
          <w:p>
            <w:pPr>
              <w:pStyle w:val="39"/>
              <w:rPr>
                <w:rFonts w:ascii="Times New Roman" w:hAnsi="Times New Roman"/>
              </w:rPr>
            </w:pPr>
            <w:r>
              <w:rPr>
                <w:rFonts w:ascii="Times New Roman" w:hAnsi="Times New Roman"/>
              </w:rPr>
              <w:t>泄漏点NE方向上距离最近的分散居民</w:t>
            </w:r>
          </w:p>
        </w:tc>
      </w:tr>
    </w:tbl>
    <w:p>
      <w:pPr>
        <w:ind w:firstLine="480"/>
        <w:rPr>
          <w:rFonts w:ascii="Times New Roman" w:hAnsi="Times New Roman"/>
        </w:rPr>
      </w:pPr>
    </w:p>
    <w:p>
      <w:pPr>
        <w:ind w:firstLine="480"/>
        <w:rPr>
          <w:rFonts w:ascii="Times New Roman" w:hAnsi="Times New Roman"/>
        </w:rPr>
      </w:pPr>
      <w:r>
        <w:rPr>
          <w:rFonts w:ascii="Times New Roman" w:hAnsi="Times New Roman"/>
        </w:rPr>
        <w:t>3）预测结果</w:t>
      </w:r>
    </w:p>
    <w:p>
      <w:pPr>
        <w:ind w:firstLine="480"/>
        <w:rPr>
          <w:rFonts w:ascii="Times New Roman" w:hAnsi="Times New Roman"/>
        </w:rPr>
      </w:pPr>
      <w:r>
        <w:rPr>
          <w:rFonts w:ascii="Times New Roman" w:hAnsi="Times New Roman"/>
        </w:rPr>
        <w:t>宣探1井站站内管道泄漏时，根据模拟预测，不同风向下，H</w:t>
      </w:r>
      <w:r>
        <w:rPr>
          <w:rFonts w:ascii="Times New Roman" w:hAnsi="Times New Roman"/>
          <w:vertAlign w:val="subscript"/>
        </w:rPr>
        <w:t>2</w:t>
      </w:r>
      <w:r>
        <w:rPr>
          <w:rFonts w:ascii="Times New Roman" w:hAnsi="Times New Roman"/>
        </w:rPr>
        <w:t>S毒性终点浓度1、毒性终点浓度2最大影响范围情况及相应到达时间如</w:t>
      </w:r>
      <w:r>
        <w:rPr>
          <w:rFonts w:ascii="Times New Roman" w:hAnsi="Times New Roman"/>
        </w:rPr>
        <w:fldChar w:fldCharType="begin"/>
      </w:r>
      <w:r>
        <w:rPr>
          <w:rFonts w:ascii="Times New Roman" w:hAnsi="Times New Roman"/>
        </w:rPr>
        <w:instrText xml:space="preserve"> REF _Ref159834512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60</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_Ref159834514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61</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_Ref159834534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15</w:t>
      </w:r>
      <w:r>
        <w:rPr>
          <w:rFonts w:ascii="Times New Roman" w:hAnsi="Times New Roman"/>
        </w:rPr>
        <w:fldChar w:fldCharType="end"/>
      </w:r>
      <w:r>
        <w:rPr>
          <w:rFonts w:ascii="Times New Roman" w:hAnsi="Times New Roman"/>
        </w:rPr>
        <w:t>所示。</w:t>
      </w:r>
    </w:p>
    <w:p>
      <w:pPr>
        <w:ind w:firstLine="480"/>
        <w:rPr>
          <w:rFonts w:ascii="Times New Roman" w:hAnsi="Times New Roman"/>
        </w:rPr>
      </w:pPr>
      <w:r>
        <w:rPr>
          <w:rFonts w:ascii="Times New Roman" w:hAnsi="Times New Roman"/>
        </w:rPr>
        <w:t>由表可知，在最不利气象条件下，大气扩散过程中，H</w:t>
      </w:r>
      <w:r>
        <w:rPr>
          <w:rFonts w:ascii="Times New Roman" w:hAnsi="Times New Roman"/>
          <w:vertAlign w:val="subscript"/>
        </w:rPr>
        <w:t>2</w:t>
      </w:r>
      <w:r>
        <w:rPr>
          <w:rFonts w:ascii="Times New Roman" w:hAnsi="Times New Roman"/>
        </w:rPr>
        <w:t>S扩散浓度始终小于毒性终点浓度1和H</w:t>
      </w:r>
      <w:r>
        <w:rPr>
          <w:rFonts w:ascii="Times New Roman" w:hAnsi="Times New Roman"/>
          <w:vertAlign w:val="subscript"/>
        </w:rPr>
        <w:t>2</w:t>
      </w:r>
      <w:r>
        <w:rPr>
          <w:rFonts w:ascii="Times New Roman" w:hAnsi="Times New Roman"/>
        </w:rPr>
        <w:t>S毒性终点浓度，未出现超过毒性终点浓度1和毒性终点浓度2的超标影响范围，具体汇总结果见</w:t>
      </w:r>
      <w:r>
        <w:rPr>
          <w:rFonts w:ascii="Times New Roman" w:hAnsi="Times New Roman"/>
        </w:rPr>
        <w:fldChar w:fldCharType="begin"/>
      </w:r>
      <w:r>
        <w:rPr>
          <w:rFonts w:ascii="Times New Roman" w:hAnsi="Times New Roman"/>
        </w:rPr>
        <w:instrText xml:space="preserve"> REF _Ref159834566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62</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各风向均未出现毒性终点浓度，以北风向为例（该风向下的关心点浓度最大），该风向下，对应H</w:t>
      </w:r>
      <w:r>
        <w:rPr>
          <w:rFonts w:ascii="Times New Roman" w:hAnsi="Times New Roman"/>
          <w:vertAlign w:val="subscript"/>
        </w:rPr>
        <w:t>2</w:t>
      </w:r>
      <w:r>
        <w:rPr>
          <w:rFonts w:ascii="Times New Roman" w:hAnsi="Times New Roman"/>
        </w:rPr>
        <w:t>S不同时刻最大浓度分布情况见</w:t>
      </w:r>
      <w:r>
        <w:rPr>
          <w:rFonts w:ascii="Times New Roman" w:hAnsi="Times New Roman"/>
        </w:rPr>
        <w:fldChar w:fldCharType="begin"/>
      </w:r>
      <w:r>
        <w:rPr>
          <w:rFonts w:ascii="Times New Roman" w:hAnsi="Times New Roman"/>
        </w:rPr>
        <w:instrText xml:space="preserve"> REF _Ref159834575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63</w:t>
      </w:r>
      <w:r>
        <w:rPr>
          <w:rFonts w:ascii="Times New Roman" w:hAnsi="Times New Roman"/>
        </w:rPr>
        <w:fldChar w:fldCharType="end"/>
      </w:r>
      <w:r>
        <w:rPr>
          <w:rFonts w:ascii="Times New Roman" w:hAnsi="Times New Roman"/>
        </w:rPr>
        <w:t>，H</w:t>
      </w:r>
      <w:r>
        <w:rPr>
          <w:rFonts w:ascii="Times New Roman" w:hAnsi="Times New Roman"/>
          <w:vertAlign w:val="subscript"/>
        </w:rPr>
        <w:t>2</w:t>
      </w:r>
      <w:r>
        <w:rPr>
          <w:rFonts w:ascii="Times New Roman" w:hAnsi="Times New Roman"/>
        </w:rPr>
        <w:t>S不同距离下最大浓度分布情况见</w:t>
      </w:r>
      <w:r>
        <w:rPr>
          <w:rFonts w:ascii="Times New Roman" w:hAnsi="Times New Roman"/>
        </w:rPr>
        <w:fldChar w:fldCharType="begin"/>
      </w:r>
      <w:r>
        <w:rPr>
          <w:rFonts w:ascii="Times New Roman" w:hAnsi="Times New Roman"/>
        </w:rPr>
        <w:instrText xml:space="preserve"> REF _Ref159834580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64</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风险源周边关心点中，以H</w:t>
      </w:r>
      <w:r>
        <w:rPr>
          <w:rFonts w:ascii="Times New Roman" w:hAnsi="Times New Roman"/>
          <w:vertAlign w:val="subscript"/>
        </w:rPr>
        <w:t>2</w:t>
      </w:r>
      <w:r>
        <w:rPr>
          <w:rFonts w:ascii="Times New Roman" w:hAnsi="Times New Roman"/>
        </w:rPr>
        <w:t>S毒性终点浓度2作为超标参考依据，各关心点均未超标，具体见</w:t>
      </w:r>
      <w:r>
        <w:rPr>
          <w:rFonts w:ascii="Times New Roman" w:hAnsi="Times New Roman"/>
        </w:rPr>
        <w:fldChar w:fldCharType="begin"/>
      </w:r>
      <w:r>
        <w:rPr>
          <w:rFonts w:ascii="Times New Roman" w:hAnsi="Times New Roman"/>
        </w:rPr>
        <w:instrText xml:space="preserve"> REF _Ref159834586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65</w:t>
      </w:r>
      <w:r>
        <w:rPr>
          <w:rFonts w:ascii="Times New Roman" w:hAnsi="Times New Roman"/>
        </w:rPr>
        <w:fldChar w:fldCharType="end"/>
      </w:r>
      <w:r>
        <w:rPr>
          <w:rFonts w:ascii="Times New Roman" w:hAnsi="Times New Roman"/>
        </w:rPr>
        <w:t>，主要受影响关心点处的浓度随时间变化情况如</w:t>
      </w:r>
      <w:r>
        <w:rPr>
          <w:rFonts w:ascii="Times New Roman" w:hAnsi="Times New Roman"/>
        </w:rPr>
        <w:fldChar w:fldCharType="begin"/>
      </w:r>
      <w:r>
        <w:rPr>
          <w:rFonts w:ascii="Times New Roman" w:hAnsi="Times New Roman"/>
        </w:rPr>
        <w:instrText xml:space="preserve"> REF _Ref159834615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16</w:t>
      </w:r>
      <w:r>
        <w:rPr>
          <w:rFonts w:ascii="Times New Roman" w:hAnsi="Times New Roman"/>
        </w:rPr>
        <w:fldChar w:fldCharType="end"/>
      </w:r>
      <w:r>
        <w:rPr>
          <w:rFonts w:ascii="Times New Roman" w:hAnsi="Times New Roman"/>
        </w:rPr>
        <w:t>所示。</w:t>
      </w:r>
    </w:p>
    <w:p>
      <w:pPr>
        <w:pStyle w:val="37"/>
        <w:rPr>
          <w:rFonts w:ascii="Times New Roman" w:hAnsi="Times New Roman" w:cs="Times New Roman"/>
        </w:rPr>
      </w:pPr>
      <w:bookmarkStart w:id="331" w:name="_Ref15983451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60</w:t>
      </w:r>
      <w:r>
        <w:rPr>
          <w:rFonts w:ascii="Times New Roman" w:hAnsi="Times New Roman" w:cs="Times New Roman"/>
        </w:rPr>
        <w:fldChar w:fldCharType="end"/>
      </w:r>
      <w:bookmarkEnd w:id="331"/>
      <w:r>
        <w:rPr>
          <w:rFonts w:ascii="Times New Roman" w:hAnsi="Times New Roman" w:cs="Times New Roman"/>
        </w:rPr>
        <w:t xml:space="preserve">   各风向下H</w:t>
      </w:r>
      <w:r>
        <w:rPr>
          <w:rFonts w:ascii="Times New Roman" w:hAnsi="Times New Roman" w:cs="Times New Roman"/>
          <w:vertAlign w:val="subscript"/>
        </w:rPr>
        <w:t>2</w:t>
      </w:r>
      <w:r>
        <w:rPr>
          <w:rFonts w:ascii="Times New Roman" w:hAnsi="Times New Roman" w:cs="Times New Roman"/>
        </w:rPr>
        <w:t>S毒性终点浓度1最大影响距离</w:t>
      </w:r>
    </w:p>
    <w:tbl>
      <w:tblPr>
        <w:tblStyle w:val="28"/>
        <w:tblW w:w="5123" w:type="pct"/>
        <w:jc w:val="center"/>
        <w:tblLayout w:type="autofit"/>
        <w:tblCellMar>
          <w:top w:w="0" w:type="dxa"/>
          <w:left w:w="108" w:type="dxa"/>
          <w:bottom w:w="0" w:type="dxa"/>
          <w:right w:w="108" w:type="dxa"/>
        </w:tblCellMar>
      </w:tblPr>
      <w:tblGrid>
        <w:gridCol w:w="931"/>
        <w:gridCol w:w="2108"/>
        <w:gridCol w:w="1787"/>
        <w:gridCol w:w="778"/>
        <w:gridCol w:w="1995"/>
        <w:gridCol w:w="1744"/>
      </w:tblGrid>
      <w:tr>
        <w:tblPrEx>
          <w:tblCellMar>
            <w:top w:w="0" w:type="dxa"/>
            <w:left w:w="108" w:type="dxa"/>
            <w:bottom w:w="0" w:type="dxa"/>
            <w:right w:w="108" w:type="dxa"/>
          </w:tblCellMar>
        </w:tblPrEx>
        <w:trPr>
          <w:trHeight w:val="20" w:hRule="atLeast"/>
          <w:jc w:val="center"/>
        </w:trPr>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210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87"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c>
          <w:tcPr>
            <w:tcW w:w="77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1995"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44"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bl>
    <w:p>
      <w:pPr>
        <w:pStyle w:val="37"/>
        <w:rPr>
          <w:rFonts w:ascii="Times New Roman" w:hAnsi="Times New Roman" w:cs="Times New Roman"/>
        </w:rPr>
      </w:pPr>
      <w:bookmarkStart w:id="332" w:name="_Ref159834514"/>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61</w:t>
      </w:r>
      <w:r>
        <w:rPr>
          <w:rFonts w:ascii="Times New Roman" w:hAnsi="Times New Roman" w:cs="Times New Roman"/>
        </w:rPr>
        <w:fldChar w:fldCharType="end"/>
      </w:r>
      <w:bookmarkEnd w:id="332"/>
      <w:r>
        <w:rPr>
          <w:rFonts w:ascii="Times New Roman" w:hAnsi="Times New Roman" w:cs="Times New Roman"/>
        </w:rPr>
        <w:t xml:space="preserve">   各风向下H</w:t>
      </w:r>
      <w:r>
        <w:rPr>
          <w:rFonts w:ascii="Times New Roman" w:hAnsi="Times New Roman" w:cs="Times New Roman"/>
          <w:vertAlign w:val="subscript"/>
        </w:rPr>
        <w:t>2</w:t>
      </w:r>
      <w:r>
        <w:rPr>
          <w:rFonts w:ascii="Times New Roman" w:hAnsi="Times New Roman" w:cs="Times New Roman"/>
        </w:rPr>
        <w:t>S毒性终点浓度2最大影响距离</w:t>
      </w:r>
    </w:p>
    <w:tbl>
      <w:tblPr>
        <w:tblStyle w:val="28"/>
        <w:tblW w:w="5123" w:type="pct"/>
        <w:jc w:val="center"/>
        <w:tblLayout w:type="autofit"/>
        <w:tblCellMar>
          <w:top w:w="0" w:type="dxa"/>
          <w:left w:w="108" w:type="dxa"/>
          <w:bottom w:w="0" w:type="dxa"/>
          <w:right w:w="108" w:type="dxa"/>
        </w:tblCellMar>
      </w:tblPr>
      <w:tblGrid>
        <w:gridCol w:w="931"/>
        <w:gridCol w:w="2108"/>
        <w:gridCol w:w="1787"/>
        <w:gridCol w:w="778"/>
        <w:gridCol w:w="1995"/>
        <w:gridCol w:w="1744"/>
      </w:tblGrid>
      <w:tr>
        <w:tblPrEx>
          <w:tblCellMar>
            <w:top w:w="0" w:type="dxa"/>
            <w:left w:w="108" w:type="dxa"/>
            <w:bottom w:w="0" w:type="dxa"/>
            <w:right w:w="108" w:type="dxa"/>
          </w:tblCellMar>
        </w:tblPrEx>
        <w:trPr>
          <w:trHeight w:val="20" w:hRule="atLeast"/>
          <w:tblHeader/>
          <w:jc w:val="center"/>
        </w:trPr>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210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87"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c>
          <w:tcPr>
            <w:tcW w:w="77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1995"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44"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bl>
    <w:p>
      <w:pPr>
        <w:pStyle w:val="37"/>
        <w:rPr>
          <w:rFonts w:ascii="Times New Roman" w:hAnsi="Times New Roman" w:cs="Times New Roman"/>
        </w:rPr>
      </w:pPr>
      <w:bookmarkStart w:id="333" w:name="_Ref159834566"/>
      <w:bookmarkStart w:id="334" w:name="_Ref15983455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62</w:t>
      </w:r>
      <w:r>
        <w:rPr>
          <w:rFonts w:ascii="Times New Roman" w:hAnsi="Times New Roman" w:cs="Times New Roman"/>
        </w:rPr>
        <w:fldChar w:fldCharType="end"/>
      </w:r>
      <w:bookmarkEnd w:id="333"/>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S扩散后果预测统计表</w:t>
      </w:r>
      <w:bookmarkEnd w:id="334"/>
    </w:p>
    <w:tbl>
      <w:tblPr>
        <w:tblStyle w:val="28"/>
        <w:tblW w:w="53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6"/>
        <w:gridCol w:w="2126"/>
        <w:gridCol w:w="933"/>
        <w:gridCol w:w="1168"/>
        <w:gridCol w:w="902"/>
        <w:gridCol w:w="2000"/>
        <w:gridCol w:w="1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vMerge w:val="restart"/>
            <w:shd w:val="clear" w:color="auto" w:fill="auto"/>
            <w:vAlign w:val="center"/>
          </w:tcPr>
          <w:p>
            <w:pPr>
              <w:pStyle w:val="39"/>
              <w:rPr>
                <w:rFonts w:ascii="Times New Roman" w:hAnsi="Times New Roman"/>
              </w:rPr>
            </w:pPr>
            <w:r>
              <w:rPr>
                <w:rFonts w:ascii="Times New Roman" w:hAnsi="Times New Roman"/>
              </w:rPr>
              <w:t>序号</w:t>
            </w:r>
          </w:p>
        </w:tc>
        <w:tc>
          <w:tcPr>
            <w:tcW w:w="2126" w:type="dxa"/>
            <w:vMerge w:val="restart"/>
            <w:shd w:val="clear" w:color="auto" w:fill="auto"/>
            <w:vAlign w:val="center"/>
          </w:tcPr>
          <w:p>
            <w:pPr>
              <w:pStyle w:val="39"/>
              <w:rPr>
                <w:rFonts w:ascii="Times New Roman" w:hAnsi="Times New Roman"/>
              </w:rPr>
            </w:pPr>
            <w:r>
              <w:rPr>
                <w:rFonts w:ascii="Times New Roman" w:hAnsi="Times New Roman"/>
              </w:rPr>
              <w:t>项目内容</w:t>
            </w:r>
          </w:p>
        </w:tc>
        <w:tc>
          <w:tcPr>
            <w:tcW w:w="933" w:type="dxa"/>
            <w:vMerge w:val="restart"/>
            <w:shd w:val="clear" w:color="auto" w:fill="auto"/>
            <w:vAlign w:val="center"/>
          </w:tcPr>
          <w:p>
            <w:pPr>
              <w:pStyle w:val="39"/>
              <w:rPr>
                <w:rFonts w:ascii="Times New Roman" w:hAnsi="Times New Roman"/>
              </w:rPr>
            </w:pPr>
            <w:r>
              <w:rPr>
                <w:rFonts w:ascii="Times New Roman" w:hAnsi="Times New Roman"/>
              </w:rPr>
              <w:t>浓度值/mg/m</w:t>
            </w:r>
            <w:r>
              <w:rPr>
                <w:rFonts w:ascii="Times New Roman" w:hAnsi="Times New Roman"/>
                <w:vertAlign w:val="superscript"/>
              </w:rPr>
              <w:t>3</w:t>
            </w:r>
          </w:p>
        </w:tc>
        <w:tc>
          <w:tcPr>
            <w:tcW w:w="1168" w:type="dxa"/>
            <w:vMerge w:val="restart"/>
            <w:shd w:val="clear" w:color="auto" w:fill="auto"/>
            <w:vAlign w:val="center"/>
          </w:tcPr>
          <w:p>
            <w:pPr>
              <w:pStyle w:val="39"/>
              <w:rPr>
                <w:rFonts w:ascii="Times New Roman" w:hAnsi="Times New Roman"/>
              </w:rPr>
            </w:pPr>
            <w:r>
              <w:rPr>
                <w:rFonts w:ascii="Times New Roman" w:hAnsi="Times New Roman"/>
              </w:rPr>
              <w:t>最远影响距离/m</w:t>
            </w:r>
          </w:p>
        </w:tc>
        <w:tc>
          <w:tcPr>
            <w:tcW w:w="902" w:type="dxa"/>
            <w:vMerge w:val="restart"/>
            <w:shd w:val="clear" w:color="auto" w:fill="auto"/>
            <w:vAlign w:val="center"/>
          </w:tcPr>
          <w:p>
            <w:pPr>
              <w:pStyle w:val="39"/>
              <w:rPr>
                <w:rFonts w:ascii="Times New Roman" w:hAnsi="Times New Roman"/>
              </w:rPr>
            </w:pPr>
            <w:r>
              <w:rPr>
                <w:rFonts w:ascii="Times New Roman" w:hAnsi="Times New Roman"/>
              </w:rPr>
              <w:t>到达时间/min</w:t>
            </w:r>
          </w:p>
        </w:tc>
        <w:tc>
          <w:tcPr>
            <w:tcW w:w="3981" w:type="dxa"/>
            <w:gridSpan w:val="2"/>
            <w:vAlign w:val="center"/>
          </w:tcPr>
          <w:p>
            <w:pPr>
              <w:pStyle w:val="39"/>
              <w:rPr>
                <w:rFonts w:ascii="Times New Roman" w:hAnsi="Times New Roman"/>
              </w:rPr>
            </w:pPr>
            <w:r>
              <w:rPr>
                <w:rFonts w:ascii="Times New Roman" w:hAnsi="Times New Roman"/>
                <w:vertAlign w:val="superscript"/>
              </w:rPr>
              <w:t>*</w:t>
            </w:r>
            <w:r>
              <w:rPr>
                <w:rFonts w:ascii="Times New Roman" w:hAnsi="Times New Roman"/>
              </w:rPr>
              <w:t>最长持续超标时间对应点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vMerge w:val="continue"/>
            <w:shd w:val="clear" w:color="auto" w:fill="auto"/>
            <w:vAlign w:val="center"/>
          </w:tcPr>
          <w:p>
            <w:pPr>
              <w:adjustRightInd w:val="0"/>
              <w:spacing w:line="240" w:lineRule="auto"/>
              <w:ind w:firstLine="480"/>
              <w:rPr>
                <w:rFonts w:ascii="Times New Roman" w:hAnsi="Times New Roman"/>
              </w:rPr>
            </w:pPr>
          </w:p>
        </w:tc>
        <w:tc>
          <w:tcPr>
            <w:tcW w:w="2126" w:type="dxa"/>
            <w:vMerge w:val="continue"/>
            <w:shd w:val="clear" w:color="auto" w:fill="auto"/>
            <w:vAlign w:val="center"/>
          </w:tcPr>
          <w:p>
            <w:pPr>
              <w:adjustRightInd w:val="0"/>
              <w:spacing w:line="240" w:lineRule="auto"/>
              <w:ind w:firstLine="480"/>
              <w:rPr>
                <w:rFonts w:ascii="Times New Roman" w:hAnsi="Times New Roman"/>
              </w:rPr>
            </w:pPr>
          </w:p>
        </w:tc>
        <w:tc>
          <w:tcPr>
            <w:tcW w:w="933" w:type="dxa"/>
            <w:vMerge w:val="continue"/>
            <w:shd w:val="clear" w:color="auto" w:fill="auto"/>
            <w:vAlign w:val="center"/>
          </w:tcPr>
          <w:p>
            <w:pPr>
              <w:adjustRightInd w:val="0"/>
              <w:spacing w:line="240" w:lineRule="auto"/>
              <w:ind w:firstLine="480"/>
              <w:rPr>
                <w:rFonts w:ascii="Times New Roman" w:hAnsi="Times New Roman"/>
              </w:rPr>
            </w:pPr>
          </w:p>
        </w:tc>
        <w:tc>
          <w:tcPr>
            <w:tcW w:w="1168" w:type="dxa"/>
            <w:vMerge w:val="continue"/>
            <w:shd w:val="clear" w:color="auto" w:fill="auto"/>
            <w:vAlign w:val="center"/>
          </w:tcPr>
          <w:p>
            <w:pPr>
              <w:adjustRightInd w:val="0"/>
              <w:spacing w:line="240" w:lineRule="auto"/>
              <w:ind w:firstLine="480"/>
              <w:rPr>
                <w:rFonts w:ascii="Times New Roman" w:hAnsi="Times New Roman"/>
              </w:rPr>
            </w:pPr>
          </w:p>
        </w:tc>
        <w:tc>
          <w:tcPr>
            <w:tcW w:w="902" w:type="dxa"/>
            <w:vMerge w:val="continue"/>
            <w:shd w:val="clear" w:color="auto" w:fill="auto"/>
            <w:vAlign w:val="center"/>
          </w:tcPr>
          <w:p>
            <w:pPr>
              <w:adjustRightInd w:val="0"/>
              <w:spacing w:line="240" w:lineRule="auto"/>
              <w:ind w:firstLine="480"/>
              <w:rPr>
                <w:rFonts w:ascii="Times New Roman" w:hAnsi="Times New Roman"/>
              </w:rPr>
            </w:pPr>
          </w:p>
        </w:tc>
        <w:tc>
          <w:tcPr>
            <w:tcW w:w="2000" w:type="dxa"/>
            <w:vAlign w:val="center"/>
          </w:tcPr>
          <w:p>
            <w:pPr>
              <w:pStyle w:val="39"/>
              <w:rPr>
                <w:rFonts w:ascii="Times New Roman" w:hAnsi="Times New Roman"/>
              </w:rPr>
            </w:pPr>
            <w:r>
              <w:rPr>
                <w:rFonts w:ascii="Times New Roman" w:hAnsi="Times New Roman"/>
              </w:rPr>
              <w:t>超标持续时间/min</w:t>
            </w:r>
          </w:p>
        </w:tc>
        <w:tc>
          <w:tcPr>
            <w:tcW w:w="1981" w:type="dxa"/>
            <w:vAlign w:val="center"/>
          </w:tcPr>
          <w:p>
            <w:pPr>
              <w:pStyle w:val="39"/>
              <w:rPr>
                <w:rFonts w:ascii="Times New Roman" w:hAnsi="Times New Roman"/>
              </w:rPr>
            </w:pPr>
            <w:r>
              <w:rPr>
                <w:rFonts w:ascii="Times New Roman" w:hAnsi="Times New Roman"/>
              </w:rPr>
              <w:t>相对风险源距离/m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shd w:val="clear" w:color="auto" w:fill="auto"/>
            <w:vAlign w:val="center"/>
          </w:tcPr>
          <w:p>
            <w:pPr>
              <w:pStyle w:val="39"/>
              <w:rPr>
                <w:rFonts w:ascii="Times New Roman" w:hAnsi="Times New Roman"/>
              </w:rPr>
            </w:pPr>
            <w:r>
              <w:rPr>
                <w:rFonts w:ascii="Times New Roman" w:hAnsi="Times New Roman"/>
              </w:rPr>
              <w:t>1</w:t>
            </w:r>
          </w:p>
        </w:tc>
        <w:tc>
          <w:tcPr>
            <w:tcW w:w="2126" w:type="dxa"/>
            <w:shd w:val="clear" w:color="auto" w:fill="auto"/>
            <w:vAlign w:val="center"/>
          </w:tcPr>
          <w:p>
            <w:pPr>
              <w:pStyle w:val="39"/>
              <w:rPr>
                <w:rFonts w:ascii="Times New Roman" w:hAnsi="Times New Roman"/>
              </w:rPr>
            </w:pPr>
            <w:r>
              <w:rPr>
                <w:rFonts w:ascii="Times New Roman" w:hAnsi="Times New Roman"/>
              </w:rPr>
              <w:t>大气毒性终点浓度-1</w:t>
            </w:r>
          </w:p>
        </w:tc>
        <w:tc>
          <w:tcPr>
            <w:tcW w:w="933" w:type="dxa"/>
            <w:shd w:val="clear" w:color="auto" w:fill="auto"/>
          </w:tcPr>
          <w:p>
            <w:pPr>
              <w:pStyle w:val="39"/>
              <w:rPr>
                <w:rFonts w:ascii="Times New Roman" w:hAnsi="Times New Roman"/>
              </w:rPr>
            </w:pPr>
            <w:r>
              <w:rPr>
                <w:rFonts w:ascii="Times New Roman" w:hAnsi="Times New Roman"/>
              </w:rPr>
              <w:t>-</w:t>
            </w:r>
          </w:p>
        </w:tc>
        <w:tc>
          <w:tcPr>
            <w:tcW w:w="1168" w:type="dxa"/>
            <w:shd w:val="clear" w:color="auto" w:fill="auto"/>
          </w:tcPr>
          <w:p>
            <w:pPr>
              <w:pStyle w:val="39"/>
              <w:rPr>
                <w:rFonts w:ascii="Times New Roman" w:hAnsi="Times New Roman"/>
              </w:rPr>
            </w:pPr>
            <w:r>
              <w:rPr>
                <w:rFonts w:ascii="Times New Roman" w:hAnsi="Times New Roman"/>
              </w:rPr>
              <w:t>-</w:t>
            </w:r>
          </w:p>
        </w:tc>
        <w:tc>
          <w:tcPr>
            <w:tcW w:w="902" w:type="dxa"/>
            <w:shd w:val="clear" w:color="auto" w:fill="auto"/>
          </w:tcPr>
          <w:p>
            <w:pPr>
              <w:pStyle w:val="39"/>
              <w:rPr>
                <w:rFonts w:ascii="Times New Roman" w:hAnsi="Times New Roman"/>
              </w:rPr>
            </w:pPr>
            <w:r>
              <w:rPr>
                <w:rFonts w:ascii="Times New Roman" w:hAnsi="Times New Roman"/>
              </w:rPr>
              <w:t>-</w:t>
            </w:r>
          </w:p>
        </w:tc>
        <w:tc>
          <w:tcPr>
            <w:tcW w:w="2000" w:type="dxa"/>
          </w:tcPr>
          <w:p>
            <w:pPr>
              <w:pStyle w:val="39"/>
              <w:rPr>
                <w:rFonts w:ascii="Times New Roman" w:hAnsi="Times New Roman"/>
              </w:rPr>
            </w:pPr>
            <w:r>
              <w:rPr>
                <w:rFonts w:ascii="Times New Roman" w:hAnsi="Times New Roman"/>
              </w:rPr>
              <w:t>-</w:t>
            </w:r>
          </w:p>
        </w:tc>
        <w:tc>
          <w:tcPr>
            <w:tcW w:w="1981" w:type="dxa"/>
            <w:shd w:val="clear" w:color="auto" w:fill="auto"/>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shd w:val="clear" w:color="auto" w:fill="auto"/>
            <w:vAlign w:val="center"/>
          </w:tcPr>
          <w:p>
            <w:pPr>
              <w:pStyle w:val="39"/>
              <w:rPr>
                <w:rFonts w:ascii="Times New Roman" w:hAnsi="Times New Roman"/>
              </w:rPr>
            </w:pPr>
            <w:r>
              <w:rPr>
                <w:rFonts w:ascii="Times New Roman" w:hAnsi="Times New Roman"/>
              </w:rPr>
              <w:t>2</w:t>
            </w:r>
          </w:p>
        </w:tc>
        <w:tc>
          <w:tcPr>
            <w:tcW w:w="2126" w:type="dxa"/>
            <w:shd w:val="clear" w:color="auto" w:fill="auto"/>
            <w:vAlign w:val="center"/>
          </w:tcPr>
          <w:p>
            <w:pPr>
              <w:pStyle w:val="39"/>
              <w:rPr>
                <w:rFonts w:ascii="Times New Roman" w:hAnsi="Times New Roman"/>
              </w:rPr>
            </w:pPr>
            <w:r>
              <w:rPr>
                <w:rFonts w:ascii="Times New Roman" w:hAnsi="Times New Roman"/>
              </w:rPr>
              <w:t>大气毒性终点浓度-2</w:t>
            </w:r>
          </w:p>
        </w:tc>
        <w:tc>
          <w:tcPr>
            <w:tcW w:w="933" w:type="dxa"/>
            <w:shd w:val="clear" w:color="auto" w:fill="auto"/>
          </w:tcPr>
          <w:p>
            <w:pPr>
              <w:pStyle w:val="39"/>
              <w:rPr>
                <w:rFonts w:ascii="Times New Roman" w:hAnsi="Times New Roman"/>
              </w:rPr>
            </w:pPr>
            <w:r>
              <w:rPr>
                <w:rFonts w:ascii="Times New Roman" w:hAnsi="Times New Roman"/>
              </w:rPr>
              <w:t>-</w:t>
            </w:r>
          </w:p>
        </w:tc>
        <w:tc>
          <w:tcPr>
            <w:tcW w:w="1168" w:type="dxa"/>
            <w:shd w:val="clear" w:color="auto" w:fill="auto"/>
          </w:tcPr>
          <w:p>
            <w:pPr>
              <w:pStyle w:val="39"/>
              <w:rPr>
                <w:rFonts w:ascii="Times New Roman" w:hAnsi="Times New Roman"/>
              </w:rPr>
            </w:pPr>
            <w:r>
              <w:rPr>
                <w:rFonts w:ascii="Times New Roman" w:hAnsi="Times New Roman"/>
              </w:rPr>
              <w:t>-</w:t>
            </w:r>
          </w:p>
        </w:tc>
        <w:tc>
          <w:tcPr>
            <w:tcW w:w="902" w:type="dxa"/>
            <w:shd w:val="clear" w:color="auto" w:fill="auto"/>
          </w:tcPr>
          <w:p>
            <w:pPr>
              <w:pStyle w:val="39"/>
              <w:rPr>
                <w:rFonts w:ascii="Times New Roman" w:hAnsi="Times New Roman"/>
              </w:rPr>
            </w:pPr>
            <w:r>
              <w:rPr>
                <w:rFonts w:ascii="Times New Roman" w:hAnsi="Times New Roman"/>
              </w:rPr>
              <w:t>-</w:t>
            </w:r>
          </w:p>
        </w:tc>
        <w:tc>
          <w:tcPr>
            <w:tcW w:w="2000" w:type="dxa"/>
          </w:tcPr>
          <w:p>
            <w:pPr>
              <w:pStyle w:val="39"/>
              <w:rPr>
                <w:rFonts w:ascii="Times New Roman" w:hAnsi="Times New Roman"/>
              </w:rPr>
            </w:pPr>
            <w:r>
              <w:rPr>
                <w:rFonts w:ascii="Times New Roman" w:hAnsi="Times New Roman"/>
              </w:rPr>
              <w:t>-</w:t>
            </w:r>
          </w:p>
        </w:tc>
        <w:tc>
          <w:tcPr>
            <w:tcW w:w="1981" w:type="dxa"/>
            <w:shd w:val="clear" w:color="auto" w:fill="auto"/>
          </w:tcPr>
          <w:p>
            <w:pPr>
              <w:pStyle w:val="39"/>
              <w:rPr>
                <w:rFonts w:ascii="Times New Roman" w:hAnsi="Times New Roman"/>
              </w:rPr>
            </w:pPr>
            <w:r>
              <w:rPr>
                <w:rFonts w:ascii="Times New Roman" w:hAnsi="Times New Roman"/>
              </w:rPr>
              <w:t>-</w:t>
            </w:r>
          </w:p>
        </w:tc>
      </w:tr>
    </w:tbl>
    <w:p>
      <w:pPr>
        <w:snapToGrid w:val="0"/>
        <w:spacing w:line="240" w:lineRule="auto"/>
        <w:ind w:firstLine="0" w:firstLineChars="0"/>
        <w:rPr>
          <w:rFonts w:ascii="Times New Roman" w:hAnsi="Times New Roman"/>
          <w:sz w:val="18"/>
          <w:szCs w:val="18"/>
        </w:rPr>
      </w:pPr>
      <w:r>
        <w:rPr>
          <w:rFonts w:ascii="Times New Roman" w:hAnsi="Times New Roman"/>
          <w:sz w:val="18"/>
          <w:szCs w:val="18"/>
        </w:rPr>
        <w:t>*注：最长持续时间指在最大浓度出现位置（含敏感目标位置）保持不变的前提下，该位置浓度持续超过大气毒性终点浓度1或大气毒性终点浓度2的时间。</w:t>
      </w:r>
    </w:p>
    <w:p>
      <w:pPr>
        <w:pStyle w:val="37"/>
        <w:rPr>
          <w:rFonts w:ascii="Times New Roman" w:hAnsi="Times New Roman" w:cs="Times New Roman"/>
        </w:rPr>
      </w:pPr>
      <w:bookmarkStart w:id="335" w:name="_Ref159834575"/>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63</w:t>
      </w:r>
      <w:r>
        <w:rPr>
          <w:rFonts w:ascii="Times New Roman" w:hAnsi="Times New Roman" w:cs="Times New Roman"/>
        </w:rPr>
        <w:fldChar w:fldCharType="end"/>
      </w:r>
      <w:bookmarkEnd w:id="335"/>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S扩散不同时刻最大浓度出现时间和距离（部分结果，北风向）</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38"/>
        <w:gridCol w:w="3040"/>
        <w:gridCol w:w="3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释放后时刻/min</w:t>
            </w:r>
          </w:p>
        </w:tc>
        <w:tc>
          <w:tcPr>
            <w:tcW w:w="1667" w:type="pct"/>
            <w:vAlign w:val="center"/>
          </w:tcPr>
          <w:p>
            <w:pPr>
              <w:pStyle w:val="39"/>
              <w:rPr>
                <w:rFonts w:ascii="Times New Roman" w:hAnsi="Times New Roman"/>
              </w:rPr>
            </w:pPr>
            <w:r>
              <w:rPr>
                <w:rFonts w:ascii="Times New Roman" w:hAnsi="Times New Roman"/>
              </w:rPr>
              <w:t>距源点距离/m</w:t>
            </w:r>
          </w:p>
        </w:tc>
        <w:tc>
          <w:tcPr>
            <w:tcW w:w="1667" w:type="pct"/>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w:t>
            </w:r>
          </w:p>
        </w:tc>
        <w:tc>
          <w:tcPr>
            <w:tcW w:w="1667" w:type="pct"/>
          </w:tcPr>
          <w:p>
            <w:pPr>
              <w:pStyle w:val="39"/>
              <w:rPr>
                <w:rFonts w:ascii="Times New Roman" w:hAnsi="Times New Roman"/>
              </w:rPr>
            </w:pPr>
            <w:r>
              <w:rPr>
                <w:rFonts w:ascii="Times New Roman" w:hAnsi="Times New Roman"/>
              </w:rPr>
              <w:t>0</w:t>
            </w:r>
          </w:p>
        </w:tc>
        <w:tc>
          <w:tcPr>
            <w:tcW w:w="1667" w:type="pct"/>
          </w:tcPr>
          <w:p>
            <w:pPr>
              <w:pStyle w:val="39"/>
              <w:rPr>
                <w:rFonts w:ascii="Times New Roman" w:hAnsi="Times New Roman"/>
              </w:rPr>
            </w:pPr>
            <w:r>
              <w:rPr>
                <w:rFonts w:ascii="Times New Roman" w:hAnsi="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5</w:t>
            </w:r>
          </w:p>
        </w:tc>
        <w:tc>
          <w:tcPr>
            <w:tcW w:w="1667" w:type="pct"/>
          </w:tcPr>
          <w:p>
            <w:pPr>
              <w:pStyle w:val="39"/>
              <w:rPr>
                <w:rFonts w:ascii="Times New Roman" w:hAnsi="Times New Roman"/>
              </w:rPr>
            </w:pPr>
            <w:r>
              <w:rPr>
                <w:rFonts w:ascii="Times New Roman" w:hAnsi="Times New Roman"/>
              </w:rPr>
              <w:t xml:space="preserve">70 </w:t>
            </w:r>
          </w:p>
        </w:tc>
        <w:tc>
          <w:tcPr>
            <w:tcW w:w="1667" w:type="pct"/>
          </w:tcPr>
          <w:p>
            <w:pPr>
              <w:pStyle w:val="39"/>
              <w:rPr>
                <w:rFonts w:ascii="Times New Roman" w:hAnsi="Times New Roman"/>
              </w:rPr>
            </w:pPr>
            <w:r>
              <w:rPr>
                <w:rFonts w:ascii="Times New Roman" w:hAnsi="Times New Roman"/>
              </w:rPr>
              <w:t>0.431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10</w:t>
            </w:r>
          </w:p>
        </w:tc>
        <w:tc>
          <w:tcPr>
            <w:tcW w:w="1667" w:type="pct"/>
          </w:tcPr>
          <w:p>
            <w:pPr>
              <w:pStyle w:val="39"/>
              <w:rPr>
                <w:rFonts w:ascii="Times New Roman" w:hAnsi="Times New Roman"/>
              </w:rPr>
            </w:pPr>
            <w:r>
              <w:rPr>
                <w:rFonts w:ascii="Times New Roman" w:hAnsi="Times New Roman"/>
              </w:rPr>
              <w:t xml:space="preserve">70 </w:t>
            </w:r>
          </w:p>
        </w:tc>
        <w:tc>
          <w:tcPr>
            <w:tcW w:w="1667" w:type="pct"/>
          </w:tcPr>
          <w:p>
            <w:pPr>
              <w:pStyle w:val="39"/>
              <w:rPr>
                <w:rFonts w:ascii="Times New Roman" w:hAnsi="Times New Roman"/>
              </w:rPr>
            </w:pPr>
            <w:r>
              <w:rPr>
                <w:rFonts w:ascii="Times New Roman" w:hAnsi="Times New Roman"/>
              </w:rPr>
              <w:t>0.431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15</w:t>
            </w:r>
          </w:p>
        </w:tc>
        <w:tc>
          <w:tcPr>
            <w:tcW w:w="1667" w:type="pct"/>
          </w:tcPr>
          <w:p>
            <w:pPr>
              <w:pStyle w:val="39"/>
              <w:rPr>
                <w:rFonts w:ascii="Times New Roman" w:hAnsi="Times New Roman"/>
              </w:rPr>
            </w:pPr>
            <w:r>
              <w:rPr>
                <w:rFonts w:ascii="Times New Roman" w:hAnsi="Times New Roman"/>
              </w:rPr>
              <w:t xml:space="preserve">70 </w:t>
            </w:r>
          </w:p>
        </w:tc>
        <w:tc>
          <w:tcPr>
            <w:tcW w:w="1667" w:type="pct"/>
          </w:tcPr>
          <w:p>
            <w:pPr>
              <w:pStyle w:val="39"/>
              <w:rPr>
                <w:rFonts w:ascii="Times New Roman" w:hAnsi="Times New Roman"/>
              </w:rPr>
            </w:pPr>
            <w:r>
              <w:rPr>
                <w:rFonts w:ascii="Times New Roman" w:hAnsi="Times New Roman"/>
              </w:rPr>
              <w:t>0.431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20</w:t>
            </w:r>
          </w:p>
        </w:tc>
        <w:tc>
          <w:tcPr>
            <w:tcW w:w="1667" w:type="pct"/>
          </w:tcPr>
          <w:p>
            <w:pPr>
              <w:pStyle w:val="39"/>
              <w:rPr>
                <w:rFonts w:ascii="Times New Roman" w:hAnsi="Times New Roman"/>
              </w:rPr>
            </w:pPr>
            <w:r>
              <w:rPr>
                <w:rFonts w:ascii="Times New Roman" w:hAnsi="Times New Roman"/>
              </w:rPr>
              <w:t xml:space="preserve">70 </w:t>
            </w:r>
          </w:p>
        </w:tc>
        <w:tc>
          <w:tcPr>
            <w:tcW w:w="1667" w:type="pct"/>
          </w:tcPr>
          <w:p>
            <w:pPr>
              <w:pStyle w:val="39"/>
              <w:rPr>
                <w:rFonts w:ascii="Times New Roman" w:hAnsi="Times New Roman"/>
              </w:rPr>
            </w:pPr>
            <w:r>
              <w:rPr>
                <w:rFonts w:ascii="Times New Roman" w:hAnsi="Times New Roman"/>
              </w:rPr>
              <w:t>0.431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25</w:t>
            </w:r>
          </w:p>
        </w:tc>
        <w:tc>
          <w:tcPr>
            <w:tcW w:w="1667" w:type="pct"/>
          </w:tcPr>
          <w:p>
            <w:pPr>
              <w:pStyle w:val="39"/>
              <w:rPr>
                <w:rFonts w:ascii="Times New Roman" w:hAnsi="Times New Roman"/>
              </w:rPr>
            </w:pPr>
            <w:r>
              <w:rPr>
                <w:rFonts w:ascii="Times New Roman" w:hAnsi="Times New Roman"/>
              </w:rPr>
              <w:t xml:space="preserve">70 </w:t>
            </w:r>
          </w:p>
        </w:tc>
        <w:tc>
          <w:tcPr>
            <w:tcW w:w="1667" w:type="pct"/>
          </w:tcPr>
          <w:p>
            <w:pPr>
              <w:pStyle w:val="39"/>
              <w:rPr>
                <w:rFonts w:ascii="Times New Roman" w:hAnsi="Times New Roman"/>
              </w:rPr>
            </w:pPr>
            <w:r>
              <w:rPr>
                <w:rFonts w:ascii="Times New Roman" w:hAnsi="Times New Roman"/>
              </w:rPr>
              <w:t>0.431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30</w:t>
            </w:r>
          </w:p>
        </w:tc>
        <w:tc>
          <w:tcPr>
            <w:tcW w:w="1667" w:type="pct"/>
          </w:tcPr>
          <w:p>
            <w:pPr>
              <w:pStyle w:val="39"/>
              <w:rPr>
                <w:rFonts w:ascii="Times New Roman" w:hAnsi="Times New Roman"/>
              </w:rPr>
            </w:pPr>
            <w:r>
              <w:rPr>
                <w:rFonts w:ascii="Times New Roman" w:hAnsi="Times New Roman"/>
              </w:rPr>
              <w:t xml:space="preserve">70 </w:t>
            </w:r>
          </w:p>
        </w:tc>
        <w:tc>
          <w:tcPr>
            <w:tcW w:w="1667" w:type="pct"/>
          </w:tcPr>
          <w:p>
            <w:pPr>
              <w:pStyle w:val="39"/>
              <w:rPr>
                <w:rFonts w:ascii="Times New Roman" w:hAnsi="Times New Roman"/>
              </w:rPr>
            </w:pPr>
            <w:r>
              <w:rPr>
                <w:rFonts w:ascii="Times New Roman" w:hAnsi="Times New Roman"/>
              </w:rPr>
              <w:t>0.431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35</w:t>
            </w:r>
          </w:p>
        </w:tc>
        <w:tc>
          <w:tcPr>
            <w:tcW w:w="1667" w:type="pct"/>
          </w:tcPr>
          <w:p>
            <w:pPr>
              <w:pStyle w:val="39"/>
              <w:rPr>
                <w:rFonts w:ascii="Times New Roman" w:hAnsi="Times New Roman"/>
              </w:rPr>
            </w:pPr>
            <w:r>
              <w:rPr>
                <w:rFonts w:ascii="Times New Roman" w:hAnsi="Times New Roman"/>
              </w:rPr>
              <w:t xml:space="preserve">70 </w:t>
            </w:r>
          </w:p>
        </w:tc>
        <w:tc>
          <w:tcPr>
            <w:tcW w:w="1667" w:type="pct"/>
          </w:tcPr>
          <w:p>
            <w:pPr>
              <w:pStyle w:val="39"/>
              <w:rPr>
                <w:rFonts w:ascii="Times New Roman" w:hAnsi="Times New Roman"/>
              </w:rPr>
            </w:pPr>
            <w:r>
              <w:rPr>
                <w:rFonts w:ascii="Times New Roman" w:hAnsi="Times New Roman"/>
              </w:rPr>
              <w:t>0.431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40</w:t>
            </w:r>
          </w:p>
        </w:tc>
        <w:tc>
          <w:tcPr>
            <w:tcW w:w="1667" w:type="pct"/>
          </w:tcPr>
          <w:p>
            <w:pPr>
              <w:pStyle w:val="39"/>
              <w:rPr>
                <w:rFonts w:ascii="Times New Roman" w:hAnsi="Times New Roman"/>
              </w:rPr>
            </w:pPr>
            <w:r>
              <w:rPr>
                <w:rFonts w:ascii="Times New Roman" w:hAnsi="Times New Roman"/>
              </w:rPr>
              <w:t xml:space="preserve">70 </w:t>
            </w:r>
          </w:p>
        </w:tc>
        <w:tc>
          <w:tcPr>
            <w:tcW w:w="1667" w:type="pct"/>
          </w:tcPr>
          <w:p>
            <w:pPr>
              <w:pStyle w:val="39"/>
              <w:rPr>
                <w:rFonts w:ascii="Times New Roman" w:hAnsi="Times New Roman"/>
              </w:rPr>
            </w:pPr>
            <w:r>
              <w:rPr>
                <w:rFonts w:ascii="Times New Roman" w:hAnsi="Times New Roman"/>
              </w:rPr>
              <w:t>0.431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66" w:type="pct"/>
          </w:tcPr>
          <w:p>
            <w:pPr>
              <w:pStyle w:val="39"/>
              <w:rPr>
                <w:rFonts w:ascii="Times New Roman" w:hAnsi="Times New Roman"/>
              </w:rPr>
            </w:pPr>
            <w:r>
              <w:rPr>
                <w:rFonts w:ascii="Times New Roman" w:hAnsi="Times New Roman"/>
              </w:rPr>
              <w:t>45</w:t>
            </w:r>
          </w:p>
        </w:tc>
        <w:tc>
          <w:tcPr>
            <w:tcW w:w="1667" w:type="pct"/>
          </w:tcPr>
          <w:p>
            <w:pPr>
              <w:pStyle w:val="39"/>
              <w:rPr>
                <w:rFonts w:ascii="Times New Roman" w:hAnsi="Times New Roman"/>
              </w:rPr>
            </w:pPr>
            <w:r>
              <w:rPr>
                <w:rFonts w:ascii="Times New Roman" w:hAnsi="Times New Roman"/>
              </w:rPr>
              <w:t xml:space="preserve">70 </w:t>
            </w:r>
          </w:p>
        </w:tc>
        <w:tc>
          <w:tcPr>
            <w:tcW w:w="1667" w:type="pct"/>
          </w:tcPr>
          <w:p>
            <w:pPr>
              <w:pStyle w:val="39"/>
              <w:rPr>
                <w:rFonts w:ascii="Times New Roman" w:hAnsi="Times New Roman"/>
              </w:rPr>
            </w:pPr>
            <w:r>
              <w:rPr>
                <w:rFonts w:ascii="Times New Roman" w:hAnsi="Times New Roman"/>
              </w:rPr>
              <w:t>0.431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50</w:t>
            </w:r>
          </w:p>
        </w:tc>
        <w:tc>
          <w:tcPr>
            <w:tcW w:w="1667" w:type="pct"/>
          </w:tcPr>
          <w:p>
            <w:pPr>
              <w:pStyle w:val="39"/>
              <w:rPr>
                <w:rFonts w:ascii="Times New Roman" w:hAnsi="Times New Roman"/>
              </w:rPr>
            </w:pPr>
            <w:r>
              <w:rPr>
                <w:rFonts w:ascii="Times New Roman" w:hAnsi="Times New Roman"/>
              </w:rPr>
              <w:t xml:space="preserve">70 </w:t>
            </w:r>
          </w:p>
        </w:tc>
        <w:tc>
          <w:tcPr>
            <w:tcW w:w="1667" w:type="pct"/>
          </w:tcPr>
          <w:p>
            <w:pPr>
              <w:pStyle w:val="39"/>
              <w:rPr>
                <w:rFonts w:ascii="Times New Roman" w:hAnsi="Times New Roman"/>
              </w:rPr>
            </w:pPr>
            <w:r>
              <w:rPr>
                <w:rFonts w:ascii="Times New Roman" w:hAnsi="Times New Roman"/>
              </w:rPr>
              <w:t>0.431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60</w:t>
            </w:r>
          </w:p>
        </w:tc>
        <w:tc>
          <w:tcPr>
            <w:tcW w:w="1667" w:type="pct"/>
          </w:tcPr>
          <w:p>
            <w:pPr>
              <w:pStyle w:val="39"/>
              <w:rPr>
                <w:rFonts w:ascii="Times New Roman" w:hAnsi="Times New Roman"/>
              </w:rPr>
            </w:pPr>
            <w:r>
              <w:rPr>
                <w:rFonts w:ascii="Times New Roman" w:hAnsi="Times New Roman"/>
              </w:rPr>
              <w:t xml:space="preserve">70 </w:t>
            </w:r>
          </w:p>
        </w:tc>
        <w:tc>
          <w:tcPr>
            <w:tcW w:w="1667" w:type="pct"/>
          </w:tcPr>
          <w:p>
            <w:pPr>
              <w:pStyle w:val="39"/>
              <w:rPr>
                <w:rFonts w:ascii="Times New Roman" w:hAnsi="Times New Roman"/>
              </w:rPr>
            </w:pPr>
            <w:r>
              <w:rPr>
                <w:rFonts w:ascii="Times New Roman" w:hAnsi="Times New Roman"/>
              </w:rPr>
              <w:t>0.431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70</w:t>
            </w:r>
          </w:p>
        </w:tc>
        <w:tc>
          <w:tcPr>
            <w:tcW w:w="1667" w:type="pct"/>
          </w:tcPr>
          <w:p>
            <w:pPr>
              <w:pStyle w:val="39"/>
              <w:rPr>
                <w:rFonts w:ascii="Times New Roman" w:hAnsi="Times New Roman"/>
              </w:rPr>
            </w:pPr>
            <w:r>
              <w:rPr>
                <w:rFonts w:ascii="Times New Roman" w:hAnsi="Times New Roman"/>
              </w:rPr>
              <w:t>1450</w:t>
            </w:r>
          </w:p>
        </w:tc>
        <w:tc>
          <w:tcPr>
            <w:tcW w:w="1667" w:type="pct"/>
          </w:tcPr>
          <w:p>
            <w:pPr>
              <w:pStyle w:val="39"/>
              <w:rPr>
                <w:rFonts w:ascii="Times New Roman" w:hAnsi="Times New Roman"/>
              </w:rPr>
            </w:pPr>
            <w:r>
              <w:rPr>
                <w:rFonts w:ascii="Times New Roman" w:hAnsi="Times New Roman"/>
              </w:rPr>
              <w:t>0.0174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80</w:t>
            </w:r>
          </w:p>
        </w:tc>
        <w:tc>
          <w:tcPr>
            <w:tcW w:w="1667" w:type="pct"/>
          </w:tcPr>
          <w:p>
            <w:pPr>
              <w:pStyle w:val="39"/>
              <w:rPr>
                <w:rFonts w:ascii="Times New Roman" w:hAnsi="Times New Roman"/>
              </w:rPr>
            </w:pPr>
            <w:r>
              <w:rPr>
                <w:rFonts w:ascii="Times New Roman" w:hAnsi="Times New Roman"/>
              </w:rPr>
              <w:t>1450</w:t>
            </w:r>
          </w:p>
        </w:tc>
        <w:tc>
          <w:tcPr>
            <w:tcW w:w="1667" w:type="pct"/>
          </w:tcPr>
          <w:p>
            <w:pPr>
              <w:pStyle w:val="39"/>
              <w:rPr>
                <w:rFonts w:ascii="Times New Roman" w:hAnsi="Times New Roman"/>
              </w:rPr>
            </w:pPr>
            <w:r>
              <w:rPr>
                <w:rFonts w:ascii="Times New Roman" w:hAnsi="Times New Roman"/>
              </w:rPr>
              <w:t>0.0181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90</w:t>
            </w:r>
          </w:p>
        </w:tc>
        <w:tc>
          <w:tcPr>
            <w:tcW w:w="1667" w:type="pct"/>
          </w:tcPr>
          <w:p>
            <w:pPr>
              <w:pStyle w:val="39"/>
              <w:rPr>
                <w:rFonts w:ascii="Times New Roman" w:hAnsi="Times New Roman"/>
              </w:rPr>
            </w:pPr>
            <w:r>
              <w:rPr>
                <w:rFonts w:ascii="Times New Roman" w:hAnsi="Times New Roman"/>
              </w:rPr>
              <w:t>1450</w:t>
            </w:r>
          </w:p>
        </w:tc>
        <w:tc>
          <w:tcPr>
            <w:tcW w:w="1667" w:type="pct"/>
          </w:tcPr>
          <w:p>
            <w:pPr>
              <w:pStyle w:val="39"/>
              <w:rPr>
                <w:rFonts w:ascii="Times New Roman" w:hAnsi="Times New Roman"/>
              </w:rPr>
            </w:pPr>
            <w:r>
              <w:rPr>
                <w:rFonts w:ascii="Times New Roman" w:hAnsi="Times New Roman"/>
              </w:rPr>
              <w:t>0.0175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100</w:t>
            </w:r>
          </w:p>
        </w:tc>
        <w:tc>
          <w:tcPr>
            <w:tcW w:w="1667" w:type="pct"/>
          </w:tcPr>
          <w:p>
            <w:pPr>
              <w:pStyle w:val="39"/>
              <w:rPr>
                <w:rFonts w:ascii="Times New Roman" w:hAnsi="Times New Roman"/>
              </w:rPr>
            </w:pPr>
            <w:r>
              <w:rPr>
                <w:rFonts w:ascii="Times New Roman" w:hAnsi="Times New Roman"/>
              </w:rPr>
              <w:t xml:space="preserve">3679 </w:t>
            </w:r>
          </w:p>
        </w:tc>
        <w:tc>
          <w:tcPr>
            <w:tcW w:w="1667" w:type="pct"/>
          </w:tcPr>
          <w:p>
            <w:pPr>
              <w:pStyle w:val="39"/>
              <w:rPr>
                <w:rFonts w:ascii="Times New Roman" w:hAnsi="Times New Roman"/>
              </w:rPr>
            </w:pPr>
            <w:r>
              <w:rPr>
                <w:rFonts w:ascii="Times New Roman" w:hAnsi="Times New Roman"/>
              </w:rPr>
              <w:t>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110</w:t>
            </w:r>
          </w:p>
        </w:tc>
        <w:tc>
          <w:tcPr>
            <w:tcW w:w="1667" w:type="pct"/>
          </w:tcPr>
          <w:p>
            <w:pPr>
              <w:pStyle w:val="39"/>
              <w:rPr>
                <w:rFonts w:ascii="Times New Roman" w:hAnsi="Times New Roman"/>
              </w:rPr>
            </w:pPr>
            <w:r>
              <w:rPr>
                <w:rFonts w:ascii="Times New Roman" w:hAnsi="Times New Roman"/>
              </w:rPr>
              <w:t xml:space="preserve">3679 </w:t>
            </w:r>
          </w:p>
        </w:tc>
        <w:tc>
          <w:tcPr>
            <w:tcW w:w="1667" w:type="pct"/>
          </w:tcPr>
          <w:p>
            <w:pPr>
              <w:pStyle w:val="39"/>
              <w:rPr>
                <w:rFonts w:ascii="Times New Roman" w:hAnsi="Times New Roman"/>
              </w:rPr>
            </w:pPr>
            <w:r>
              <w:rPr>
                <w:rFonts w:ascii="Times New Roman" w:hAnsi="Times New Roman"/>
              </w:rPr>
              <w:t>0.0147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120</w:t>
            </w:r>
          </w:p>
        </w:tc>
        <w:tc>
          <w:tcPr>
            <w:tcW w:w="1667" w:type="pct"/>
          </w:tcPr>
          <w:p>
            <w:pPr>
              <w:pStyle w:val="39"/>
              <w:rPr>
                <w:rFonts w:ascii="Times New Roman" w:hAnsi="Times New Roman"/>
              </w:rPr>
            </w:pPr>
            <w:r>
              <w:rPr>
                <w:rFonts w:ascii="Times New Roman" w:hAnsi="Times New Roman"/>
              </w:rPr>
              <w:t xml:space="preserve">3679 </w:t>
            </w:r>
          </w:p>
        </w:tc>
        <w:tc>
          <w:tcPr>
            <w:tcW w:w="1667" w:type="pct"/>
          </w:tcPr>
          <w:p>
            <w:pPr>
              <w:pStyle w:val="39"/>
              <w:rPr>
                <w:rFonts w:ascii="Times New Roman" w:hAnsi="Times New Roman"/>
              </w:rPr>
            </w:pPr>
            <w:r>
              <w:rPr>
                <w:rFonts w:ascii="Times New Roman" w:hAnsi="Times New Roman"/>
              </w:rPr>
              <w:t>0.0144</w:t>
            </w:r>
          </w:p>
        </w:tc>
      </w:tr>
    </w:tbl>
    <w:p>
      <w:pPr>
        <w:pStyle w:val="37"/>
        <w:rPr>
          <w:rFonts w:ascii="Times New Roman" w:hAnsi="Times New Roman" w:cs="Times New Roman"/>
        </w:rPr>
      </w:pPr>
      <w:bookmarkStart w:id="336" w:name="_Ref159834580"/>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64</w:t>
      </w:r>
      <w:r>
        <w:rPr>
          <w:rFonts w:ascii="Times New Roman" w:hAnsi="Times New Roman" w:cs="Times New Roman"/>
        </w:rPr>
        <w:fldChar w:fldCharType="end"/>
      </w:r>
      <w:bookmarkEnd w:id="336"/>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S扩散不同距离下的最大浓度及到达时间（部分结果，北风向）</w:t>
      </w:r>
    </w:p>
    <w:tbl>
      <w:tblPr>
        <w:tblStyle w:val="28"/>
        <w:tblW w:w="90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24"/>
        <w:gridCol w:w="3058"/>
        <w:gridCol w:w="30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距离/m</w:t>
            </w:r>
          </w:p>
        </w:tc>
        <w:tc>
          <w:tcPr>
            <w:tcW w:w="3058" w:type="dxa"/>
            <w:noWrap/>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p>
        </w:tc>
        <w:tc>
          <w:tcPr>
            <w:tcW w:w="3003" w:type="dxa"/>
            <w:noWrap/>
            <w:vAlign w:val="center"/>
          </w:tcPr>
          <w:p>
            <w:pPr>
              <w:pStyle w:val="39"/>
              <w:rPr>
                <w:rFonts w:ascii="Times New Roman" w:hAnsi="Times New Roman"/>
              </w:rPr>
            </w:pPr>
            <w:r>
              <w:rPr>
                <w:rFonts w:ascii="Times New Roman" w:hAnsi="Times New Roman"/>
              </w:rPr>
              <w:t>到达时间/min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10</w:t>
            </w:r>
          </w:p>
        </w:tc>
        <w:tc>
          <w:tcPr>
            <w:tcW w:w="3058" w:type="dxa"/>
            <w:noWrap/>
            <w:vAlign w:val="center"/>
          </w:tcPr>
          <w:p>
            <w:pPr>
              <w:pStyle w:val="39"/>
              <w:rPr>
                <w:rFonts w:ascii="Times New Roman" w:hAnsi="Times New Roman"/>
              </w:rPr>
            </w:pPr>
            <w:r>
              <w:rPr>
                <w:rFonts w:ascii="Times New Roman" w:hAnsi="Times New Roman"/>
              </w:rPr>
              <w:t>0.216</w:t>
            </w:r>
          </w:p>
        </w:tc>
        <w:tc>
          <w:tcPr>
            <w:tcW w:w="3003" w:type="dxa"/>
            <w:noWrap/>
            <w:vAlign w:val="center"/>
          </w:tcPr>
          <w:p>
            <w:pPr>
              <w:pStyle w:val="39"/>
              <w:rPr>
                <w:rFonts w:ascii="Times New Roman" w:hAnsi="Times New Roman"/>
              </w:rPr>
            </w:pPr>
            <w:r>
              <w:rPr>
                <w:rFonts w:ascii="Times New Roman" w:hAnsi="Times New Roma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50</w:t>
            </w:r>
          </w:p>
        </w:tc>
        <w:tc>
          <w:tcPr>
            <w:tcW w:w="3058" w:type="dxa"/>
            <w:noWrap/>
            <w:vAlign w:val="center"/>
          </w:tcPr>
          <w:p>
            <w:pPr>
              <w:pStyle w:val="39"/>
              <w:rPr>
                <w:rFonts w:ascii="Times New Roman" w:hAnsi="Times New Roman"/>
              </w:rPr>
            </w:pPr>
            <w:r>
              <w:rPr>
                <w:rFonts w:ascii="Times New Roman" w:hAnsi="Times New Roman"/>
              </w:rPr>
              <w:t>0.327</w:t>
            </w:r>
          </w:p>
        </w:tc>
        <w:tc>
          <w:tcPr>
            <w:tcW w:w="3003" w:type="dxa"/>
            <w:noWrap/>
            <w:vAlign w:val="center"/>
          </w:tcPr>
          <w:p>
            <w:pPr>
              <w:pStyle w:val="39"/>
              <w:rPr>
                <w:rFonts w:ascii="Times New Roman" w:hAnsi="Times New Roman"/>
              </w:rPr>
            </w:pPr>
            <w:r>
              <w:rPr>
                <w:rFonts w:ascii="Times New Roman" w:hAnsi="Times New Roma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100</w:t>
            </w:r>
          </w:p>
        </w:tc>
        <w:tc>
          <w:tcPr>
            <w:tcW w:w="3058" w:type="dxa"/>
            <w:noWrap/>
            <w:vAlign w:val="center"/>
          </w:tcPr>
          <w:p>
            <w:pPr>
              <w:pStyle w:val="39"/>
              <w:rPr>
                <w:rFonts w:ascii="Times New Roman" w:hAnsi="Times New Roman"/>
              </w:rPr>
            </w:pPr>
            <w:r>
              <w:rPr>
                <w:rFonts w:ascii="Times New Roman" w:hAnsi="Times New Roman"/>
              </w:rPr>
              <w:t>0.321</w:t>
            </w:r>
          </w:p>
        </w:tc>
        <w:tc>
          <w:tcPr>
            <w:tcW w:w="3003" w:type="dxa"/>
            <w:noWrap/>
            <w:vAlign w:val="center"/>
          </w:tcPr>
          <w:p>
            <w:pPr>
              <w:pStyle w:val="39"/>
              <w:rPr>
                <w:rFonts w:ascii="Times New Roman" w:hAnsi="Times New Roman"/>
              </w:rPr>
            </w:pPr>
            <w:r>
              <w:rPr>
                <w:rFonts w:ascii="Times New Roman" w:hAnsi="Times New Roma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300</w:t>
            </w:r>
          </w:p>
        </w:tc>
        <w:tc>
          <w:tcPr>
            <w:tcW w:w="3058" w:type="dxa"/>
            <w:noWrap/>
            <w:vAlign w:val="center"/>
          </w:tcPr>
          <w:p>
            <w:pPr>
              <w:pStyle w:val="39"/>
              <w:rPr>
                <w:rFonts w:ascii="Times New Roman" w:hAnsi="Times New Roman"/>
              </w:rPr>
            </w:pPr>
            <w:r>
              <w:rPr>
                <w:rFonts w:ascii="Times New Roman" w:hAnsi="Times New Roman"/>
              </w:rPr>
              <w:t>0.265</w:t>
            </w:r>
          </w:p>
        </w:tc>
        <w:tc>
          <w:tcPr>
            <w:tcW w:w="3003" w:type="dxa"/>
            <w:noWrap/>
            <w:vAlign w:val="center"/>
          </w:tcPr>
          <w:p>
            <w:pPr>
              <w:pStyle w:val="39"/>
              <w:rPr>
                <w:rFonts w:ascii="Times New Roman" w:hAnsi="Times New Roman"/>
              </w:rPr>
            </w:pPr>
            <w:r>
              <w:rPr>
                <w:rFonts w:ascii="Times New Roman" w:hAnsi="Times New Roma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600</w:t>
            </w:r>
          </w:p>
        </w:tc>
        <w:tc>
          <w:tcPr>
            <w:tcW w:w="3058" w:type="dxa"/>
            <w:noWrap/>
            <w:vAlign w:val="center"/>
          </w:tcPr>
          <w:p>
            <w:pPr>
              <w:pStyle w:val="39"/>
              <w:rPr>
                <w:rFonts w:ascii="Times New Roman" w:hAnsi="Times New Roman"/>
              </w:rPr>
            </w:pPr>
            <w:r>
              <w:rPr>
                <w:rFonts w:ascii="Times New Roman" w:hAnsi="Times New Roman"/>
              </w:rPr>
              <w:t>0.223</w:t>
            </w:r>
          </w:p>
        </w:tc>
        <w:tc>
          <w:tcPr>
            <w:tcW w:w="3003" w:type="dxa"/>
            <w:noWrap/>
            <w:vAlign w:val="center"/>
          </w:tcPr>
          <w:p>
            <w:pPr>
              <w:pStyle w:val="39"/>
              <w:rPr>
                <w:rFonts w:ascii="Times New Roman" w:hAnsi="Times New Roman"/>
              </w:rPr>
            </w:pPr>
            <w:r>
              <w:rPr>
                <w:rFonts w:ascii="Times New Roman" w:hAnsi="Times New Roma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1000</w:t>
            </w:r>
          </w:p>
        </w:tc>
        <w:tc>
          <w:tcPr>
            <w:tcW w:w="3058" w:type="dxa"/>
            <w:noWrap/>
            <w:vAlign w:val="center"/>
          </w:tcPr>
          <w:p>
            <w:pPr>
              <w:pStyle w:val="39"/>
              <w:rPr>
                <w:rFonts w:ascii="Times New Roman" w:hAnsi="Times New Roman"/>
              </w:rPr>
            </w:pPr>
            <w:r>
              <w:rPr>
                <w:rFonts w:ascii="Times New Roman" w:hAnsi="Times New Roman"/>
              </w:rPr>
              <w:t>5.44E-06</w:t>
            </w:r>
          </w:p>
        </w:tc>
        <w:tc>
          <w:tcPr>
            <w:tcW w:w="3003" w:type="dxa"/>
            <w:noWrap/>
            <w:vAlign w:val="center"/>
          </w:tcPr>
          <w:p>
            <w:pPr>
              <w:pStyle w:val="39"/>
              <w:rPr>
                <w:rFonts w:ascii="Times New Roman" w:hAnsi="Times New Roman"/>
              </w:rPr>
            </w:pPr>
            <w:r>
              <w:rPr>
                <w:rFonts w:ascii="Times New Roman" w:hAnsi="Times New Roma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1500</w:t>
            </w:r>
          </w:p>
        </w:tc>
        <w:tc>
          <w:tcPr>
            <w:tcW w:w="3058" w:type="dxa"/>
            <w:noWrap/>
            <w:vAlign w:val="center"/>
          </w:tcPr>
          <w:p>
            <w:pPr>
              <w:pStyle w:val="39"/>
              <w:rPr>
                <w:rFonts w:ascii="Times New Roman" w:hAnsi="Times New Roman"/>
              </w:rPr>
            </w:pPr>
            <w:r>
              <w:rPr>
                <w:rFonts w:ascii="Times New Roman" w:hAnsi="Times New Roman"/>
              </w:rPr>
              <w:t>2.10E-07</w:t>
            </w:r>
          </w:p>
        </w:tc>
        <w:tc>
          <w:tcPr>
            <w:tcW w:w="3003" w:type="dxa"/>
            <w:noWrap/>
            <w:vAlign w:val="center"/>
          </w:tcPr>
          <w:p>
            <w:pPr>
              <w:pStyle w:val="39"/>
              <w:rPr>
                <w:rFonts w:ascii="Times New Roman" w:hAnsi="Times New Roman"/>
              </w:rPr>
            </w:pPr>
            <w:r>
              <w:rPr>
                <w:rFonts w:ascii="Times New Roman" w:hAnsi="Times New Roman"/>
              </w:rPr>
              <w:t>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2100</w:t>
            </w:r>
          </w:p>
        </w:tc>
        <w:tc>
          <w:tcPr>
            <w:tcW w:w="3058" w:type="dxa"/>
            <w:noWrap/>
            <w:vAlign w:val="center"/>
          </w:tcPr>
          <w:p>
            <w:pPr>
              <w:pStyle w:val="39"/>
              <w:rPr>
                <w:rFonts w:ascii="Times New Roman" w:hAnsi="Times New Roman"/>
              </w:rPr>
            </w:pPr>
            <w:r>
              <w:rPr>
                <w:rFonts w:ascii="Times New Roman" w:hAnsi="Times New Roman"/>
              </w:rPr>
              <w:t>2.97E-09</w:t>
            </w:r>
          </w:p>
        </w:tc>
        <w:tc>
          <w:tcPr>
            <w:tcW w:w="3003" w:type="dxa"/>
            <w:noWrap/>
            <w:vAlign w:val="center"/>
          </w:tcPr>
          <w:p>
            <w:pPr>
              <w:pStyle w:val="39"/>
              <w:rPr>
                <w:rFonts w:ascii="Times New Roman" w:hAnsi="Times New Roman"/>
              </w:rPr>
            </w:pPr>
            <w:r>
              <w:rPr>
                <w:rFonts w:ascii="Times New Roman" w:hAnsi="Times New Roman"/>
              </w:rPr>
              <w:t>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3000</w:t>
            </w:r>
          </w:p>
        </w:tc>
        <w:tc>
          <w:tcPr>
            <w:tcW w:w="3058" w:type="dxa"/>
            <w:noWrap/>
            <w:vAlign w:val="center"/>
          </w:tcPr>
          <w:p>
            <w:pPr>
              <w:pStyle w:val="39"/>
              <w:rPr>
                <w:rFonts w:ascii="Times New Roman" w:hAnsi="Times New Roman"/>
              </w:rPr>
            </w:pPr>
            <w:r>
              <w:rPr>
                <w:rFonts w:ascii="Times New Roman" w:hAnsi="Times New Roman"/>
              </w:rPr>
              <w:t>0.216</w:t>
            </w:r>
          </w:p>
        </w:tc>
        <w:tc>
          <w:tcPr>
            <w:tcW w:w="3003" w:type="dxa"/>
            <w:noWrap/>
            <w:vAlign w:val="center"/>
          </w:tcPr>
          <w:p>
            <w:pPr>
              <w:pStyle w:val="39"/>
              <w:rPr>
                <w:rFonts w:ascii="Times New Roman" w:hAnsi="Times New Roman"/>
              </w:rPr>
            </w:pPr>
            <w:r>
              <w:rPr>
                <w:rFonts w:ascii="Times New Roman" w:hAnsi="Times New Roma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4000</w:t>
            </w:r>
          </w:p>
        </w:tc>
        <w:tc>
          <w:tcPr>
            <w:tcW w:w="3058" w:type="dxa"/>
            <w:noWrap/>
            <w:vAlign w:val="center"/>
          </w:tcPr>
          <w:p>
            <w:pPr>
              <w:pStyle w:val="39"/>
              <w:rPr>
                <w:rFonts w:ascii="Times New Roman" w:hAnsi="Times New Roman"/>
              </w:rPr>
            </w:pPr>
            <w:r>
              <w:rPr>
                <w:rFonts w:ascii="Times New Roman" w:hAnsi="Times New Roman"/>
              </w:rPr>
              <w:t>0.327</w:t>
            </w:r>
          </w:p>
        </w:tc>
        <w:tc>
          <w:tcPr>
            <w:tcW w:w="3003" w:type="dxa"/>
            <w:noWrap/>
            <w:vAlign w:val="center"/>
          </w:tcPr>
          <w:p>
            <w:pPr>
              <w:pStyle w:val="39"/>
              <w:rPr>
                <w:rFonts w:ascii="Times New Roman" w:hAnsi="Times New Roman"/>
              </w:rPr>
            </w:pPr>
            <w:r>
              <w:rPr>
                <w:rFonts w:ascii="Times New Roman" w:hAnsi="Times New Roman"/>
              </w:rPr>
              <w:t>2</w:t>
            </w:r>
          </w:p>
        </w:tc>
      </w:tr>
    </w:tbl>
    <w:p>
      <w:pPr>
        <w:ind w:firstLine="480"/>
        <w:rPr>
          <w:rFonts w:ascii="Times New Roman" w:hAnsi="Times New Roman"/>
        </w:rPr>
      </w:pPr>
    </w:p>
    <w:p>
      <w:pPr>
        <w:ind w:firstLine="480"/>
        <w:rPr>
          <w:rFonts w:ascii="Times New Roman" w:hAnsi="Times New Roman"/>
        </w:rPr>
      </w:pPr>
    </w:p>
    <w:p>
      <w:pPr>
        <w:keepNext/>
        <w:ind w:firstLine="0" w:firstLineChars="0"/>
        <w:jc w:val="center"/>
        <w:rPr>
          <w:rFonts w:ascii="Times New Roman" w:hAnsi="Times New Roman"/>
        </w:rPr>
        <w:sectPr>
          <w:headerReference r:id="rId35" w:type="first"/>
          <w:footerReference r:id="rId37" w:type="first"/>
          <w:headerReference r:id="rId34" w:type="even"/>
          <w:footerReference r:id="rId36" w:type="even"/>
          <w:pgSz w:w="11907" w:h="16840"/>
          <w:pgMar w:top="1417" w:right="1417" w:bottom="1417" w:left="1587" w:header="851" w:footer="992" w:gutter="0"/>
          <w:cols w:space="720" w:num="1"/>
          <w:docGrid w:linePitch="312" w:charSpace="0"/>
        </w:sectPr>
      </w:pPr>
    </w:p>
    <w:p>
      <w:pPr>
        <w:keepNext/>
        <w:ind w:firstLine="0" w:firstLineChars="0"/>
        <w:jc w:val="center"/>
        <w:rPr>
          <w:rFonts w:ascii="Times New Roman" w:hAnsi="Times New Roman"/>
        </w:rPr>
      </w:pPr>
      <w:r>
        <w:rPr>
          <w:rFonts w:ascii="Times New Roman" w:hAnsi="Times New Roman"/>
          <w14:ligatures w14:val="standardContextual"/>
        </w:rPr>
        <w:drawing>
          <wp:inline distT="0" distB="0" distL="0" distR="0">
            <wp:extent cx="4785360" cy="3794125"/>
            <wp:effectExtent l="0" t="0" r="0" b="0"/>
            <wp:docPr id="2009080982"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080982" name="图片 1" descr="地图&#10;&#10;描述已自动生成"/>
                    <pic:cNvPicPr>
                      <a:picLocks noChangeAspect="1"/>
                    </pic:cNvPicPr>
                  </pic:nvPicPr>
                  <pic:blipFill>
                    <a:blip r:embed="rId155"/>
                    <a:srcRect r="9265"/>
                    <a:stretch>
                      <a:fillRect/>
                    </a:stretch>
                  </pic:blipFill>
                  <pic:spPr>
                    <a:xfrm>
                      <a:off x="0" y="0"/>
                      <a:ext cx="4785634" cy="3794342"/>
                    </a:xfrm>
                    <a:prstGeom prst="rect">
                      <a:avLst/>
                    </a:prstGeom>
                    <a:ln>
                      <a:noFill/>
                    </a:ln>
                  </pic:spPr>
                </pic:pic>
              </a:graphicData>
            </a:graphic>
          </wp:inline>
        </w:drawing>
      </w:r>
    </w:p>
    <w:p>
      <w:pPr>
        <w:pStyle w:val="37"/>
        <w:rPr>
          <w:rFonts w:ascii="Times New Roman" w:hAnsi="Times New Roman" w:cs="Times New Roman"/>
        </w:rPr>
      </w:pPr>
      <w:bookmarkStart w:id="337" w:name="_Ref159834534"/>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15</w:t>
      </w:r>
      <w:r>
        <w:rPr>
          <w:rFonts w:ascii="Times New Roman" w:hAnsi="Times New Roman" w:cs="Times New Roman"/>
        </w:rPr>
        <w:fldChar w:fldCharType="end"/>
      </w:r>
      <w:bookmarkEnd w:id="337"/>
      <w:r>
        <w:rPr>
          <w:rFonts w:ascii="Times New Roman" w:hAnsi="Times New Roman" w:cs="Times New Roman"/>
        </w:rPr>
        <w:t xml:space="preserve">   天然气泄漏H</w:t>
      </w:r>
      <w:r>
        <w:rPr>
          <w:rFonts w:ascii="Times New Roman" w:hAnsi="Times New Roman" w:cs="Times New Roman"/>
          <w:vertAlign w:val="subscript"/>
        </w:rPr>
        <w:t>2</w:t>
      </w:r>
      <w:r>
        <w:rPr>
          <w:rFonts w:ascii="Times New Roman" w:hAnsi="Times New Roman" w:cs="Times New Roman"/>
        </w:rPr>
        <w:t>S在北风向下最大影响范围平面示意图</w:t>
      </w:r>
    </w:p>
    <w:p>
      <w:pPr>
        <w:pStyle w:val="37"/>
        <w:rPr>
          <w:rFonts w:ascii="Times New Roman" w:hAnsi="Times New Roman" w:cs="Times New Roman"/>
        </w:rPr>
      </w:pPr>
      <w:bookmarkStart w:id="338" w:name="_Ref15983458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65</w:t>
      </w:r>
      <w:r>
        <w:rPr>
          <w:rFonts w:ascii="Times New Roman" w:hAnsi="Times New Roman" w:cs="Times New Roman"/>
        </w:rPr>
        <w:fldChar w:fldCharType="end"/>
      </w:r>
      <w:bookmarkEnd w:id="338"/>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S扩散对关心点的预测统计表</w:t>
      </w:r>
    </w:p>
    <w:tbl>
      <w:tblPr>
        <w:tblStyle w:val="28"/>
        <w:tblW w:w="52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932"/>
        <w:gridCol w:w="2207"/>
        <w:gridCol w:w="2021"/>
        <w:gridCol w:w="2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序号</w:t>
            </w:r>
          </w:p>
        </w:tc>
        <w:tc>
          <w:tcPr>
            <w:tcW w:w="1932" w:type="dxa"/>
            <w:shd w:val="clear" w:color="auto" w:fill="auto"/>
            <w:vAlign w:val="center"/>
          </w:tcPr>
          <w:p>
            <w:pPr>
              <w:pStyle w:val="39"/>
              <w:rPr>
                <w:rFonts w:ascii="Times New Roman" w:hAnsi="Times New Roman"/>
              </w:rPr>
            </w:pPr>
            <w:r>
              <w:rPr>
                <w:rFonts w:ascii="Times New Roman" w:hAnsi="Times New Roman"/>
              </w:rPr>
              <w:t>敏感目标名称</w:t>
            </w:r>
          </w:p>
        </w:tc>
        <w:tc>
          <w:tcPr>
            <w:tcW w:w="2207" w:type="dxa"/>
            <w:shd w:val="clear" w:color="auto" w:fill="auto"/>
            <w:vAlign w:val="center"/>
          </w:tcPr>
          <w:p>
            <w:pPr>
              <w:pStyle w:val="39"/>
              <w:rPr>
                <w:rFonts w:ascii="Times New Roman" w:hAnsi="Times New Roman"/>
              </w:rPr>
            </w:pPr>
            <w:r>
              <w:rPr>
                <w:rFonts w:ascii="Times New Roman" w:hAnsi="Times New Roman"/>
              </w:rPr>
              <w:t>*超标出现时间/min</w:t>
            </w:r>
          </w:p>
        </w:tc>
        <w:tc>
          <w:tcPr>
            <w:tcW w:w="2021" w:type="dxa"/>
            <w:shd w:val="clear" w:color="auto" w:fill="auto"/>
            <w:vAlign w:val="center"/>
          </w:tcPr>
          <w:p>
            <w:pPr>
              <w:pStyle w:val="39"/>
              <w:rPr>
                <w:rFonts w:ascii="Times New Roman" w:hAnsi="Times New Roman"/>
              </w:rPr>
            </w:pPr>
            <w:r>
              <w:rPr>
                <w:rFonts w:ascii="Times New Roman" w:hAnsi="Times New Roman"/>
              </w:rPr>
              <w:t>超标持续时间/min</w:t>
            </w:r>
          </w:p>
        </w:tc>
        <w:tc>
          <w:tcPr>
            <w:tcW w:w="2066" w:type="dxa"/>
            <w:shd w:val="clear" w:color="auto" w:fill="auto"/>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1</w:t>
            </w:r>
          </w:p>
        </w:tc>
        <w:tc>
          <w:tcPr>
            <w:tcW w:w="1932" w:type="dxa"/>
            <w:shd w:val="clear" w:color="auto" w:fill="auto"/>
            <w:vAlign w:val="center"/>
          </w:tcPr>
          <w:p>
            <w:pPr>
              <w:pStyle w:val="39"/>
              <w:rPr>
                <w:rFonts w:ascii="Times New Roman" w:hAnsi="Times New Roman"/>
              </w:rPr>
            </w:pPr>
            <w:r>
              <w:rPr>
                <w:rFonts w:ascii="Times New Roman" w:hAnsi="Times New Roman"/>
              </w:rPr>
              <w:t>关心点1</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vAlign w:val="center"/>
          </w:tcPr>
          <w:p>
            <w:pPr>
              <w:pStyle w:val="39"/>
              <w:rPr>
                <w:rFonts w:ascii="Times New Roman" w:hAnsi="Times New Roman"/>
              </w:rPr>
            </w:pPr>
            <w:r>
              <w:rPr>
                <w:rFonts w:ascii="Times New Roman" w:hAnsi="Times New Roman"/>
              </w:rPr>
              <w:t>5.90E-02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2</w:t>
            </w:r>
          </w:p>
        </w:tc>
        <w:tc>
          <w:tcPr>
            <w:tcW w:w="1932" w:type="dxa"/>
            <w:shd w:val="clear" w:color="auto" w:fill="auto"/>
            <w:vAlign w:val="center"/>
          </w:tcPr>
          <w:p>
            <w:pPr>
              <w:pStyle w:val="39"/>
              <w:rPr>
                <w:rFonts w:ascii="Times New Roman" w:hAnsi="Times New Roman"/>
              </w:rPr>
            </w:pPr>
            <w:r>
              <w:rPr>
                <w:rFonts w:ascii="Times New Roman" w:hAnsi="Times New Roman"/>
              </w:rPr>
              <w:t>关心点2</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vAlign w:val="center"/>
          </w:tcPr>
          <w:p>
            <w:pPr>
              <w:pStyle w:val="39"/>
              <w:rPr>
                <w:rFonts w:ascii="Times New Roman" w:hAnsi="Times New Roman"/>
              </w:rPr>
            </w:pPr>
            <w:r>
              <w:rPr>
                <w:rFonts w:ascii="Times New Roman" w:hAnsi="Times New Roman"/>
              </w:rPr>
              <w:t>6.07E-02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3</w:t>
            </w:r>
          </w:p>
        </w:tc>
        <w:tc>
          <w:tcPr>
            <w:tcW w:w="1932" w:type="dxa"/>
            <w:shd w:val="clear" w:color="auto" w:fill="auto"/>
            <w:vAlign w:val="center"/>
          </w:tcPr>
          <w:p>
            <w:pPr>
              <w:pStyle w:val="39"/>
              <w:rPr>
                <w:rFonts w:ascii="Times New Roman" w:hAnsi="Times New Roman"/>
              </w:rPr>
            </w:pPr>
            <w:r>
              <w:rPr>
                <w:rFonts w:ascii="Times New Roman" w:hAnsi="Times New Roman"/>
              </w:rPr>
              <w:t>关心点3</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vAlign w:val="center"/>
          </w:tcPr>
          <w:p>
            <w:pPr>
              <w:pStyle w:val="39"/>
              <w:rPr>
                <w:rFonts w:ascii="Times New Roman" w:hAnsi="Times New Roman"/>
              </w:rPr>
            </w:pPr>
            <w:r>
              <w:rPr>
                <w:rFonts w:ascii="Times New Roman" w:hAnsi="Times New Roman"/>
              </w:rPr>
              <w:t>7.02E-02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4</w:t>
            </w:r>
          </w:p>
        </w:tc>
        <w:tc>
          <w:tcPr>
            <w:tcW w:w="1932" w:type="dxa"/>
            <w:shd w:val="clear" w:color="auto" w:fill="auto"/>
            <w:vAlign w:val="center"/>
          </w:tcPr>
          <w:p>
            <w:pPr>
              <w:pStyle w:val="39"/>
              <w:rPr>
                <w:rFonts w:ascii="Times New Roman" w:hAnsi="Times New Roman"/>
              </w:rPr>
            </w:pPr>
            <w:r>
              <w:rPr>
                <w:rFonts w:ascii="Times New Roman" w:hAnsi="Times New Roman"/>
              </w:rPr>
              <w:t>关心点4</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vAlign w:val="center"/>
          </w:tcPr>
          <w:p>
            <w:pPr>
              <w:pStyle w:val="39"/>
              <w:rPr>
                <w:rFonts w:ascii="Times New Roman" w:hAnsi="Times New Roman"/>
              </w:rPr>
            </w:pPr>
            <w:r>
              <w:rPr>
                <w:rFonts w:ascii="Times New Roman" w:hAnsi="Times New Roman"/>
              </w:rPr>
              <w:t>2.66E-01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5</w:t>
            </w:r>
          </w:p>
        </w:tc>
        <w:tc>
          <w:tcPr>
            <w:tcW w:w="1932" w:type="dxa"/>
            <w:shd w:val="clear" w:color="auto" w:fill="auto"/>
          </w:tcPr>
          <w:p>
            <w:pPr>
              <w:pStyle w:val="39"/>
              <w:rPr>
                <w:rFonts w:ascii="Times New Roman" w:hAnsi="Times New Roman"/>
              </w:rPr>
            </w:pPr>
            <w:r>
              <w:rPr>
                <w:rFonts w:ascii="Times New Roman" w:hAnsi="Times New Roman"/>
              </w:rPr>
              <w:t>关心点5</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vAlign w:val="center"/>
          </w:tcPr>
          <w:p>
            <w:pPr>
              <w:pStyle w:val="39"/>
              <w:rPr>
                <w:rFonts w:ascii="Times New Roman" w:hAnsi="Times New Roman"/>
              </w:rPr>
            </w:pPr>
            <w:r>
              <w:rPr>
                <w:rFonts w:ascii="Times New Roman" w:hAnsi="Times New Roman"/>
              </w:rPr>
              <w:t>8.93E-05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6</w:t>
            </w:r>
          </w:p>
        </w:tc>
        <w:tc>
          <w:tcPr>
            <w:tcW w:w="1932" w:type="dxa"/>
            <w:shd w:val="clear" w:color="auto" w:fill="auto"/>
          </w:tcPr>
          <w:p>
            <w:pPr>
              <w:pStyle w:val="39"/>
              <w:rPr>
                <w:rFonts w:ascii="Times New Roman" w:hAnsi="Times New Roman"/>
              </w:rPr>
            </w:pPr>
            <w:r>
              <w:rPr>
                <w:rFonts w:ascii="Times New Roman" w:hAnsi="Times New Roman"/>
              </w:rPr>
              <w:t>关心点6</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vAlign w:val="center"/>
          </w:tcPr>
          <w:p>
            <w:pPr>
              <w:pStyle w:val="39"/>
              <w:rPr>
                <w:rFonts w:ascii="Times New Roman" w:hAnsi="Times New Roman"/>
              </w:rPr>
            </w:pPr>
            <w:r>
              <w:rPr>
                <w:rFonts w:ascii="Times New Roman" w:hAnsi="Times New Roman"/>
              </w:rPr>
              <w:t>5.14E-02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7</w:t>
            </w:r>
          </w:p>
        </w:tc>
        <w:tc>
          <w:tcPr>
            <w:tcW w:w="1932" w:type="dxa"/>
            <w:shd w:val="clear" w:color="auto" w:fill="auto"/>
          </w:tcPr>
          <w:p>
            <w:pPr>
              <w:pStyle w:val="39"/>
              <w:rPr>
                <w:rFonts w:ascii="Times New Roman" w:hAnsi="Times New Roman"/>
              </w:rPr>
            </w:pPr>
            <w:r>
              <w:rPr>
                <w:rFonts w:ascii="Times New Roman" w:hAnsi="Times New Roman"/>
              </w:rPr>
              <w:t>关心点7</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vAlign w:val="center"/>
          </w:tcPr>
          <w:p>
            <w:pPr>
              <w:pStyle w:val="39"/>
              <w:rPr>
                <w:rFonts w:ascii="Times New Roman" w:hAnsi="Times New Roman"/>
              </w:rPr>
            </w:pPr>
            <w:r>
              <w:rPr>
                <w:rFonts w:ascii="Times New Roman" w:hAnsi="Times New Roman"/>
                <w:kern w:val="0"/>
              </w:rPr>
              <w:t>5.02E-02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8</w:t>
            </w:r>
          </w:p>
        </w:tc>
        <w:tc>
          <w:tcPr>
            <w:tcW w:w="1932" w:type="dxa"/>
            <w:shd w:val="clear" w:color="auto" w:fill="auto"/>
          </w:tcPr>
          <w:p>
            <w:pPr>
              <w:pStyle w:val="39"/>
              <w:rPr>
                <w:rFonts w:ascii="Times New Roman" w:hAnsi="Times New Roman"/>
              </w:rPr>
            </w:pPr>
            <w:r>
              <w:rPr>
                <w:rFonts w:ascii="Times New Roman" w:hAnsi="Times New Roman"/>
              </w:rPr>
              <w:t>关心点8</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vAlign w:val="center"/>
          </w:tcPr>
          <w:p>
            <w:pPr>
              <w:pStyle w:val="39"/>
              <w:rPr>
                <w:rFonts w:ascii="Times New Roman" w:hAnsi="Times New Roman"/>
              </w:rPr>
            </w:pPr>
            <w:r>
              <w:rPr>
                <w:rFonts w:ascii="Times New Roman" w:hAnsi="Times New Roman"/>
                <w:kern w:val="0"/>
              </w:rPr>
              <w:t>2.04E-01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9</w:t>
            </w:r>
          </w:p>
        </w:tc>
        <w:tc>
          <w:tcPr>
            <w:tcW w:w="1932" w:type="dxa"/>
            <w:shd w:val="clear" w:color="auto" w:fill="auto"/>
          </w:tcPr>
          <w:p>
            <w:pPr>
              <w:pStyle w:val="39"/>
              <w:rPr>
                <w:rFonts w:ascii="Times New Roman" w:hAnsi="Times New Roman"/>
              </w:rPr>
            </w:pPr>
            <w:r>
              <w:rPr>
                <w:rFonts w:ascii="Times New Roman" w:hAnsi="Times New Roman"/>
              </w:rPr>
              <w:t>关心点9</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vAlign w:val="center"/>
          </w:tcPr>
          <w:p>
            <w:pPr>
              <w:pStyle w:val="39"/>
              <w:rPr>
                <w:rFonts w:ascii="Times New Roman" w:hAnsi="Times New Roman"/>
              </w:rPr>
            </w:pPr>
            <w:r>
              <w:rPr>
                <w:rFonts w:ascii="Times New Roman" w:hAnsi="Times New Roman"/>
                <w:kern w:val="0"/>
              </w:rPr>
              <w:t>1.24E-4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10</w:t>
            </w:r>
          </w:p>
        </w:tc>
        <w:tc>
          <w:tcPr>
            <w:tcW w:w="1932" w:type="dxa"/>
            <w:shd w:val="clear" w:color="auto" w:fill="auto"/>
          </w:tcPr>
          <w:p>
            <w:pPr>
              <w:pStyle w:val="39"/>
              <w:rPr>
                <w:rFonts w:ascii="Times New Roman" w:hAnsi="Times New Roman"/>
              </w:rPr>
            </w:pPr>
            <w:r>
              <w:rPr>
                <w:rFonts w:ascii="Times New Roman" w:hAnsi="Times New Roman"/>
              </w:rPr>
              <w:t>关心点10</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vAlign w:val="center"/>
          </w:tcPr>
          <w:p>
            <w:pPr>
              <w:pStyle w:val="39"/>
              <w:rPr>
                <w:rFonts w:ascii="Times New Roman" w:hAnsi="Times New Roman"/>
              </w:rPr>
            </w:pPr>
            <w:r>
              <w:rPr>
                <w:rFonts w:ascii="Times New Roman" w:hAnsi="Times New Roman"/>
                <w:kern w:val="0"/>
              </w:rPr>
              <w:t>3.10E-03</w:t>
            </w:r>
          </w:p>
        </w:tc>
      </w:tr>
    </w:tbl>
    <w:p>
      <w:pPr>
        <w:ind w:firstLine="0" w:firstLineChars="0"/>
        <w:rPr>
          <w:rFonts w:ascii="Times New Roman" w:hAnsi="Times New Roman"/>
          <w:sz w:val="18"/>
          <w:szCs w:val="18"/>
        </w:rPr>
      </w:pPr>
      <w:r>
        <w:rPr>
          <w:rFonts w:ascii="Times New Roman" w:hAnsi="Times New Roman"/>
          <w:sz w:val="18"/>
          <w:szCs w:val="18"/>
        </w:rPr>
        <w:t>*注：超标时间均指超过大气毒性终点浓度2的时间。</w:t>
      </w:r>
    </w:p>
    <w:p>
      <w:pPr>
        <w:keepNext/>
        <w:ind w:firstLine="0" w:firstLineChars="0"/>
        <w:jc w:val="center"/>
        <w:rPr>
          <w:rFonts w:ascii="Times New Roman" w:hAnsi="Times New Roman"/>
        </w:rPr>
      </w:pPr>
      <w:r>
        <w:rPr>
          <w:rFonts w:ascii="Times New Roman" w:hAnsi="Times New Roman"/>
          <w:sz w:val="18"/>
          <w:szCs w:val="18"/>
        </w:rPr>
        <w:drawing>
          <wp:inline distT="0" distB="0" distL="0" distR="0">
            <wp:extent cx="5010150" cy="2981325"/>
            <wp:effectExtent l="0" t="0" r="0" b="9525"/>
            <wp:docPr id="411629822" name="图片 2"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29822" name="图片 2" descr="图表, 折线图&#10;&#10;描述已自动生成"/>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a:xfrm>
                      <a:off x="0" y="0"/>
                      <a:ext cx="5017584" cy="2986131"/>
                    </a:xfrm>
                    <a:prstGeom prst="rect">
                      <a:avLst/>
                    </a:prstGeom>
                    <a:noFill/>
                  </pic:spPr>
                </pic:pic>
              </a:graphicData>
            </a:graphic>
          </wp:inline>
        </w:drawing>
      </w:r>
    </w:p>
    <w:p>
      <w:pPr>
        <w:pStyle w:val="37"/>
        <w:rPr>
          <w:rFonts w:ascii="Times New Roman" w:hAnsi="Times New Roman" w:cs="Times New Roman"/>
        </w:rPr>
      </w:pPr>
      <w:bookmarkStart w:id="339" w:name="_Ref159834615"/>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16</w:t>
      </w:r>
      <w:r>
        <w:rPr>
          <w:rFonts w:ascii="Times New Roman" w:hAnsi="Times New Roman" w:cs="Times New Roman"/>
        </w:rPr>
        <w:fldChar w:fldCharType="end"/>
      </w:r>
      <w:bookmarkEnd w:id="339"/>
      <w:r>
        <w:rPr>
          <w:rFonts w:ascii="Times New Roman" w:hAnsi="Times New Roman" w:cs="Times New Roman"/>
        </w:rPr>
        <w:t xml:space="preserve">   主要受影响敏感点浓度随时间变化图</w:t>
      </w:r>
    </w:p>
    <w:p>
      <w:pPr>
        <w:ind w:firstLine="480"/>
        <w:rPr>
          <w:rFonts w:ascii="Times New Roman" w:hAnsi="Times New Roman"/>
        </w:rPr>
      </w:pPr>
      <w:r>
        <w:rPr>
          <w:rFonts w:ascii="Times New Roman" w:hAnsi="Times New Roman"/>
        </w:rPr>
        <w:t>4）小结</w:t>
      </w:r>
    </w:p>
    <w:p>
      <w:pPr>
        <w:ind w:firstLine="480"/>
        <w:rPr>
          <w:rFonts w:ascii="Times New Roman" w:hAnsi="Times New Roman"/>
        </w:rPr>
      </w:pPr>
      <w:r>
        <w:rPr>
          <w:rFonts w:ascii="Times New Roman" w:hAnsi="Times New Roman"/>
        </w:rPr>
        <w:t>宣探1井站站内管道泄漏时，根据模拟预测，在最不利气象条件下，大气扩散过程中，H</w:t>
      </w:r>
      <w:r>
        <w:rPr>
          <w:rFonts w:ascii="Times New Roman" w:hAnsi="Times New Roman"/>
          <w:vertAlign w:val="subscript"/>
        </w:rPr>
        <w:t>2</w:t>
      </w:r>
      <w:r>
        <w:rPr>
          <w:rFonts w:ascii="Times New Roman" w:hAnsi="Times New Roman"/>
        </w:rPr>
        <w:t>S扩散浓度始终小于毒性终点浓度1和H</w:t>
      </w:r>
      <w:r>
        <w:rPr>
          <w:rFonts w:ascii="Times New Roman" w:hAnsi="Times New Roman"/>
          <w:vertAlign w:val="subscript"/>
        </w:rPr>
        <w:t>2</w:t>
      </w:r>
      <w:r>
        <w:rPr>
          <w:rFonts w:ascii="Times New Roman" w:hAnsi="Times New Roman"/>
        </w:rPr>
        <w:t>S毒性终点浓度，未出现超过毒性终点浓度1和毒性终点浓度2的超标影响范围。风险源周边关心点中，以H</w:t>
      </w:r>
      <w:r>
        <w:rPr>
          <w:rFonts w:ascii="Times New Roman" w:hAnsi="Times New Roman"/>
          <w:vertAlign w:val="subscript"/>
        </w:rPr>
        <w:t>2</w:t>
      </w:r>
      <w:r>
        <w:rPr>
          <w:rFonts w:ascii="Times New Roman" w:hAnsi="Times New Roman"/>
        </w:rPr>
        <w:t>S毒性终点浓度2作为超标参考依据，各关心点均未超标。该事故情形对大气环境风险影响较小</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66</w:t>
      </w:r>
      <w:r>
        <w:rPr>
          <w:rFonts w:ascii="Times New Roman" w:hAnsi="Times New Roman" w:cs="Times New Roman"/>
        </w:rPr>
        <w:fldChar w:fldCharType="end"/>
      </w:r>
      <w:r>
        <w:rPr>
          <w:rFonts w:ascii="Times New Roman" w:hAnsi="Times New Roman" w:cs="Times New Roman"/>
        </w:rPr>
        <w:t xml:space="preserve">  宣探1井站站内管道泄漏事故基本信息表</w:t>
      </w:r>
    </w:p>
    <w:tbl>
      <w:tblPr>
        <w:tblStyle w:val="28"/>
        <w:tblW w:w="513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5"/>
        <w:gridCol w:w="1058"/>
        <w:gridCol w:w="2076"/>
        <w:gridCol w:w="1214"/>
        <w:gridCol w:w="1416"/>
        <w:gridCol w:w="1433"/>
        <w:gridCol w:w="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shd w:val="clear" w:color="auto" w:fill="auto"/>
            <w:tcMar>
              <w:left w:w="57" w:type="dxa"/>
              <w:right w:w="57" w:type="dxa"/>
            </w:tcMar>
            <w:vAlign w:val="center"/>
          </w:tcPr>
          <w:p>
            <w:pPr>
              <w:pStyle w:val="39"/>
              <w:rPr>
                <w:rFonts w:ascii="Times New Roman" w:hAnsi="Times New Roman"/>
              </w:rPr>
            </w:pPr>
            <w:r>
              <w:rPr>
                <w:rFonts w:ascii="Times New Roman" w:hAnsi="Times New Roman"/>
              </w:rPr>
              <w:t>风险事故情形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代表性风险事故情形描述</w:t>
            </w:r>
          </w:p>
        </w:tc>
        <w:tc>
          <w:tcPr>
            <w:tcW w:w="4163" w:type="pct"/>
            <w:gridSpan w:val="5"/>
            <w:shd w:val="clear" w:color="auto" w:fill="auto"/>
            <w:tcMar>
              <w:left w:w="57" w:type="dxa"/>
              <w:right w:w="57" w:type="dxa"/>
            </w:tcMar>
            <w:vAlign w:val="center"/>
          </w:tcPr>
          <w:p>
            <w:pPr>
              <w:pStyle w:val="39"/>
              <w:rPr>
                <w:rFonts w:ascii="Times New Roman" w:hAnsi="Times New Roman"/>
              </w:rPr>
            </w:pPr>
            <w:r>
              <w:rPr>
                <w:rFonts w:ascii="Times New Roman" w:hAnsi="Times New Roman"/>
              </w:rPr>
              <w:t>宣探1井站站内管道断裂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环境风险类型</w:t>
            </w:r>
          </w:p>
        </w:tc>
        <w:tc>
          <w:tcPr>
            <w:tcW w:w="4163" w:type="pct"/>
            <w:gridSpan w:val="5"/>
            <w:shd w:val="clear" w:color="auto" w:fill="auto"/>
            <w:tcMar>
              <w:left w:w="57" w:type="dxa"/>
              <w:right w:w="57" w:type="dxa"/>
            </w:tcMar>
            <w:vAlign w:val="center"/>
          </w:tcPr>
          <w:p>
            <w:pPr>
              <w:pStyle w:val="39"/>
              <w:rPr>
                <w:rFonts w:ascii="Times New Roman" w:hAnsi="Times New Roman"/>
              </w:rPr>
            </w:pPr>
            <w:r>
              <w:rPr>
                <w:rFonts w:ascii="Times New Roman" w:hAnsi="Times New Roman"/>
              </w:rPr>
              <w:t>原料天然气垂直喷射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泄漏设备类型</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原料气集输管线</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操作温度（℃）</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40</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操作压力/MPa</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排放危险物质</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硫化氢</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最大存在量/kg</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148.026</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泄漏孔径/mm</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排放速率/kg/s</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2.467</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稳定泄漏时间/（min）</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泄漏量/kg</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148.026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泄漏高度/m</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0</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泄漏液体蒸发量/kg</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泄漏频率</w:t>
            </w:r>
          </w:p>
        </w:tc>
        <w:tc>
          <w:tcPr>
            <w:tcW w:w="829" w:type="pct"/>
            <w:shd w:val="clear" w:color="auto" w:fill="auto"/>
            <w:tcMar>
              <w:left w:w="57" w:type="dxa"/>
              <w:right w:w="57" w:type="dxa"/>
            </w:tcMar>
            <w:vAlign w:val="center"/>
          </w:tcPr>
          <w:p>
            <w:pPr>
              <w:pStyle w:val="39"/>
              <w:rPr>
                <w:rFonts w:ascii="Times New Roman" w:hAnsi="Times New Roman"/>
                <w:vertAlign w:val="subscript"/>
              </w:rPr>
            </w:pPr>
            <w:r>
              <w:rPr>
                <w:rFonts w:ascii="Times New Roman" w:hAnsi="Times New Roman"/>
              </w:rPr>
              <w:t>3.0×10</w:t>
            </w:r>
            <w:r>
              <w:rPr>
                <w:rFonts w:ascii="Times New Roman" w:hAnsi="Times New Roman"/>
                <w:vertAlign w:val="superscript"/>
              </w:rPr>
              <w:t>-7</w:t>
            </w:r>
            <w:r>
              <w:rPr>
                <w:rFonts w:ascii="Times New Roman" w:hAnsi="Times New Roman"/>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shd w:val="clear" w:color="auto" w:fill="auto"/>
            <w:tcMar>
              <w:left w:w="57" w:type="dxa"/>
              <w:right w:w="57" w:type="dxa"/>
            </w:tcMar>
            <w:vAlign w:val="center"/>
          </w:tcPr>
          <w:p>
            <w:pPr>
              <w:pStyle w:val="39"/>
              <w:rPr>
                <w:rFonts w:ascii="Times New Roman" w:hAnsi="Times New Roman"/>
              </w:rPr>
            </w:pPr>
            <w:r>
              <w:rPr>
                <w:rFonts w:ascii="Times New Roman" w:hAnsi="Times New Roman"/>
              </w:rPr>
              <w:t>事故后果预测（最不利气象条件）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大</w:t>
            </w:r>
          </w:p>
          <w:p>
            <w:pPr>
              <w:pStyle w:val="39"/>
              <w:rPr>
                <w:rFonts w:ascii="Times New Roman" w:hAnsi="Times New Roman"/>
              </w:rPr>
            </w:pPr>
            <w:r>
              <w:rPr>
                <w:rFonts w:ascii="Times New Roman" w:hAnsi="Times New Roman"/>
              </w:rPr>
              <w:t>气</w:t>
            </w:r>
          </w:p>
        </w:tc>
        <w:tc>
          <w:tcPr>
            <w:tcW w:w="612"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危险物质</w:t>
            </w:r>
          </w:p>
        </w:tc>
        <w:tc>
          <w:tcPr>
            <w:tcW w:w="3551" w:type="pct"/>
            <w:gridSpan w:val="4"/>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大气环境影响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指标</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浓度值/mg/m</w:t>
            </w:r>
            <w:r>
              <w:rPr>
                <w:rFonts w:ascii="Times New Roman" w:hAnsi="Times New Roman"/>
                <w:vertAlign w:val="superscript"/>
              </w:rPr>
              <w:t>3</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最远影响距离/m</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到达时间/min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硫化氢</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大气毒性终点浓度-1</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70</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大气毒性终点浓度-2</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38</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敏感目标名称</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超标时间/min</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超标持续时间/min</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关心点1</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5.90E-02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关心点2</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6.07E-02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关心点3</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7.02E-02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关心点4</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2.66E-01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tcPr>
          <w:p>
            <w:pPr>
              <w:pStyle w:val="39"/>
              <w:rPr>
                <w:rFonts w:ascii="Times New Roman" w:hAnsi="Times New Roman"/>
              </w:rPr>
            </w:pPr>
            <w:r>
              <w:rPr>
                <w:rFonts w:ascii="Times New Roman" w:hAnsi="Times New Roman"/>
              </w:rPr>
              <w:t>关心点5</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8.93E-05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tcPr>
          <w:p>
            <w:pPr>
              <w:pStyle w:val="39"/>
              <w:rPr>
                <w:rFonts w:ascii="Times New Roman" w:hAnsi="Times New Roman"/>
              </w:rPr>
            </w:pPr>
            <w:r>
              <w:rPr>
                <w:rFonts w:ascii="Times New Roman" w:hAnsi="Times New Roman"/>
              </w:rPr>
              <w:t>关心点6</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5.14E-02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tcPr>
          <w:p>
            <w:pPr>
              <w:pStyle w:val="39"/>
              <w:rPr>
                <w:rFonts w:ascii="Times New Roman" w:hAnsi="Times New Roman"/>
              </w:rPr>
            </w:pPr>
            <w:r>
              <w:rPr>
                <w:rFonts w:ascii="Times New Roman" w:hAnsi="Times New Roman"/>
              </w:rPr>
              <w:t>关心点7</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kern w:val="0"/>
              </w:rPr>
              <w:t>5.02E-02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tcPr>
          <w:p>
            <w:pPr>
              <w:pStyle w:val="39"/>
              <w:rPr>
                <w:rFonts w:ascii="Times New Roman" w:hAnsi="Times New Roman"/>
              </w:rPr>
            </w:pPr>
            <w:r>
              <w:rPr>
                <w:rFonts w:ascii="Times New Roman" w:hAnsi="Times New Roman"/>
              </w:rPr>
              <w:t>关心点8</w:t>
            </w:r>
          </w:p>
        </w:tc>
        <w:tc>
          <w:tcPr>
            <w:tcW w:w="702" w:type="pct"/>
            <w:shd w:val="clear" w:color="auto" w:fill="auto"/>
            <w:tcMar>
              <w:left w:w="57" w:type="dxa"/>
              <w:right w:w="57" w:type="dxa"/>
            </w:tcMar>
            <w:vAlign w:val="center"/>
          </w:tcPr>
          <w:p>
            <w:pPr>
              <w:pStyle w:val="39"/>
              <w:rPr>
                <w:rFonts w:ascii="Times New Roman" w:hAnsi="Times New Roman" w:eastAsia="等线"/>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eastAsia="等线"/>
              </w:rPr>
            </w:pPr>
            <w:r>
              <w:rPr>
                <w:rFonts w:ascii="Times New Roman" w:hAnsi="Times New Roman" w:eastAsia="等线"/>
              </w:rPr>
              <w:t>-</w:t>
            </w:r>
          </w:p>
        </w:tc>
        <w:tc>
          <w:tcPr>
            <w:tcW w:w="829" w:type="pct"/>
            <w:shd w:val="clear" w:color="auto" w:fill="auto"/>
            <w:tcMar>
              <w:left w:w="57" w:type="dxa"/>
              <w:right w:w="57" w:type="dxa"/>
            </w:tcMar>
            <w:vAlign w:val="center"/>
          </w:tcPr>
          <w:p>
            <w:pPr>
              <w:pStyle w:val="39"/>
              <w:rPr>
                <w:rFonts w:ascii="Times New Roman" w:hAnsi="Times New Roman"/>
                <w:kern w:val="0"/>
              </w:rPr>
            </w:pPr>
            <w:r>
              <w:rPr>
                <w:rFonts w:ascii="Times New Roman" w:hAnsi="Times New Roman"/>
                <w:kern w:val="0"/>
              </w:rPr>
              <w:t>2.04E-01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tcPr>
          <w:p>
            <w:pPr>
              <w:pStyle w:val="39"/>
              <w:rPr>
                <w:rFonts w:ascii="Times New Roman" w:hAnsi="Times New Roman"/>
              </w:rPr>
            </w:pPr>
            <w:r>
              <w:rPr>
                <w:rFonts w:ascii="Times New Roman" w:hAnsi="Times New Roman"/>
              </w:rPr>
              <w:t>关心点9</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kern w:val="0"/>
              </w:rPr>
              <w:t>1.24E-4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tcPr>
          <w:p>
            <w:pPr>
              <w:pStyle w:val="39"/>
              <w:rPr>
                <w:rFonts w:ascii="Times New Roman" w:hAnsi="Times New Roman"/>
              </w:rPr>
            </w:pPr>
            <w:r>
              <w:rPr>
                <w:rFonts w:ascii="Times New Roman" w:hAnsi="Times New Roman"/>
              </w:rPr>
              <w:t>关心点10</w:t>
            </w:r>
          </w:p>
        </w:tc>
        <w:tc>
          <w:tcPr>
            <w:tcW w:w="702" w:type="pct"/>
            <w:shd w:val="clear" w:color="auto" w:fill="auto"/>
            <w:tcMar>
              <w:left w:w="57" w:type="dxa"/>
              <w:right w:w="57" w:type="dxa"/>
            </w:tcMar>
            <w:vAlign w:val="center"/>
          </w:tcPr>
          <w:p>
            <w:pPr>
              <w:pStyle w:val="39"/>
              <w:rPr>
                <w:rFonts w:ascii="Times New Roman" w:hAnsi="Times New Roman" w:eastAsia="等线"/>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eastAsia="等线"/>
              </w:rPr>
            </w:pPr>
            <w:r>
              <w:rPr>
                <w:rFonts w:ascii="Times New Roman" w:hAnsi="Times New Roman" w:eastAsia="等线"/>
              </w:rPr>
              <w:t>-</w:t>
            </w:r>
          </w:p>
        </w:tc>
        <w:tc>
          <w:tcPr>
            <w:tcW w:w="829" w:type="pct"/>
            <w:shd w:val="clear" w:color="auto" w:fill="auto"/>
            <w:tcMar>
              <w:left w:w="57" w:type="dxa"/>
              <w:right w:w="57" w:type="dxa"/>
            </w:tcMar>
            <w:vAlign w:val="center"/>
          </w:tcPr>
          <w:p>
            <w:pPr>
              <w:pStyle w:val="39"/>
              <w:rPr>
                <w:rFonts w:ascii="Times New Roman" w:hAnsi="Times New Roman"/>
                <w:kern w:val="0"/>
              </w:rPr>
            </w:pPr>
            <w:r>
              <w:rPr>
                <w:rFonts w:ascii="Times New Roman" w:hAnsi="Times New Roman"/>
                <w:kern w:val="0"/>
              </w:rPr>
              <w:t>3.10E-03</w:t>
            </w:r>
          </w:p>
        </w:tc>
      </w:tr>
    </w:tbl>
    <w:p>
      <w:pPr>
        <w:adjustRightInd w:val="0"/>
        <w:snapToGrid w:val="0"/>
        <w:spacing w:line="240" w:lineRule="auto"/>
        <w:ind w:firstLine="0" w:firstLineChars="0"/>
        <w:rPr>
          <w:rFonts w:ascii="Times New Roman" w:hAnsi="Times New Roman"/>
        </w:rPr>
      </w:pPr>
    </w:p>
    <w:p>
      <w:pPr>
        <w:adjustRightInd w:val="0"/>
        <w:snapToGrid w:val="0"/>
        <w:spacing w:line="240" w:lineRule="auto"/>
        <w:ind w:firstLine="0" w:firstLineChars="0"/>
        <w:rPr>
          <w:rFonts w:ascii="Times New Roman" w:hAnsi="Times New Roman"/>
        </w:rPr>
      </w:pPr>
    </w:p>
    <w:p>
      <w:pPr>
        <w:adjustRightInd w:val="0"/>
        <w:snapToGrid w:val="0"/>
        <w:spacing w:line="240" w:lineRule="auto"/>
        <w:ind w:firstLine="0" w:firstLineChars="0"/>
        <w:rPr>
          <w:rFonts w:ascii="Times New Roman" w:hAnsi="Times New Roman"/>
        </w:rPr>
      </w:pPr>
      <w:r>
        <w:rPr>
          <w:rFonts w:ascii="Times New Roman" w:hAnsi="Times New Roman"/>
        </w:rPr>
        <w:t>（6）宣兴1井站内管线断裂</w:t>
      </w:r>
    </w:p>
    <w:p>
      <w:pPr>
        <w:ind w:firstLine="480"/>
        <w:rPr>
          <w:rFonts w:ascii="Times New Roman" w:hAnsi="Times New Roman"/>
        </w:rPr>
      </w:pPr>
      <w:r>
        <w:rPr>
          <w:rFonts w:ascii="Times New Roman" w:hAnsi="Times New Roman"/>
        </w:rPr>
        <w:t>1）预测范围</w:t>
      </w:r>
    </w:p>
    <w:p>
      <w:pPr>
        <w:ind w:right="210" w:firstLine="480"/>
        <w:rPr>
          <w:rFonts w:ascii="Times New Roman" w:hAnsi="Times New Roman"/>
        </w:rPr>
      </w:pPr>
      <w:r>
        <w:rPr>
          <w:rFonts w:ascii="Times New Roman" w:hAnsi="Times New Roman"/>
        </w:rPr>
        <w:t>预测范围考虑以宣兴1井站内管道断裂位置为中心各方向外延5km，最终形成10×10km的矩形区域。预测范围及范围内关心点分布情况如</w:t>
      </w:r>
      <w:r>
        <w:rPr>
          <w:rFonts w:ascii="Times New Roman" w:hAnsi="Times New Roman"/>
        </w:rPr>
        <w:fldChar w:fldCharType="begin"/>
      </w:r>
      <w:r>
        <w:rPr>
          <w:rFonts w:ascii="Times New Roman" w:hAnsi="Times New Roman"/>
        </w:rPr>
        <w:instrText xml:space="preserve"> REF _Ref159835446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17</w:t>
      </w:r>
      <w:r>
        <w:rPr>
          <w:rFonts w:ascii="Times New Roman" w:hAnsi="Times New Roman"/>
        </w:rPr>
        <w:fldChar w:fldCharType="end"/>
      </w:r>
      <w:r>
        <w:rPr>
          <w:rFonts w:ascii="Times New Roman" w:hAnsi="Times New Roman"/>
        </w:rPr>
        <w:t>所示。</w:t>
      </w:r>
    </w:p>
    <w:p>
      <w:pPr>
        <w:keepNext/>
        <w:ind w:right="210" w:firstLine="0" w:firstLineChars="0"/>
        <w:jc w:val="center"/>
        <w:rPr>
          <w:rFonts w:ascii="Times New Roman" w:hAnsi="Times New Roman"/>
        </w:rPr>
      </w:pPr>
      <w:r>
        <w:rPr>
          <w:rFonts w:ascii="Times New Roman" w:hAnsi="Times New Roman"/>
          <w14:ligatures w14:val="standardContextual"/>
        </w:rPr>
        <w:drawing>
          <wp:inline distT="0" distB="0" distL="0" distR="0">
            <wp:extent cx="5653405" cy="5653405"/>
            <wp:effectExtent l="0" t="0" r="4445" b="4445"/>
            <wp:docPr id="466256798" name="图片 2"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56798" name="图片 2" descr="地图&#10;&#10;描述已自动生成"/>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653405" cy="5653405"/>
                    </a:xfrm>
                    <a:prstGeom prst="rect">
                      <a:avLst/>
                    </a:prstGeom>
                  </pic:spPr>
                </pic:pic>
              </a:graphicData>
            </a:graphic>
          </wp:inline>
        </w:drawing>
      </w:r>
    </w:p>
    <w:p>
      <w:pPr>
        <w:pStyle w:val="37"/>
        <w:rPr>
          <w:rFonts w:ascii="Times New Roman" w:hAnsi="Times New Roman" w:cs="Times New Roman"/>
        </w:rPr>
      </w:pPr>
      <w:bookmarkStart w:id="340" w:name="_Ref159835446"/>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17</w:t>
      </w:r>
      <w:r>
        <w:rPr>
          <w:rFonts w:ascii="Times New Roman" w:hAnsi="Times New Roman" w:cs="Times New Roman"/>
        </w:rPr>
        <w:fldChar w:fldCharType="end"/>
      </w:r>
      <w:bookmarkEnd w:id="340"/>
      <w:r>
        <w:rPr>
          <w:rFonts w:ascii="Times New Roman" w:hAnsi="Times New Roman" w:cs="Times New Roman"/>
        </w:rPr>
        <w:t xml:space="preserve">   宣兴1井站站内管道断裂大气环境风险预测范围及关心点分布</w:t>
      </w:r>
    </w:p>
    <w:p>
      <w:pPr>
        <w:ind w:firstLine="480"/>
        <w:rPr>
          <w:rFonts w:ascii="Times New Roman" w:hAnsi="Times New Roman"/>
        </w:rPr>
      </w:pPr>
    </w:p>
    <w:p>
      <w:pPr>
        <w:ind w:firstLine="480"/>
        <w:rPr>
          <w:rFonts w:ascii="Times New Roman" w:hAnsi="Times New Roman"/>
        </w:rPr>
      </w:pPr>
      <w:r>
        <w:rPr>
          <w:rFonts w:ascii="Times New Roman" w:hAnsi="Times New Roman"/>
        </w:rPr>
        <w:t>2）预测关心点</w:t>
      </w:r>
    </w:p>
    <w:p>
      <w:pPr>
        <w:ind w:firstLine="480"/>
        <w:rPr>
          <w:rFonts w:ascii="Times New Roman" w:hAnsi="Times New Roman"/>
        </w:rPr>
      </w:pPr>
      <w:r>
        <w:rPr>
          <w:rFonts w:ascii="Times New Roman" w:hAnsi="Times New Roman"/>
        </w:rPr>
        <w:t>宣兴1井站站内管道泄漏的位置以及选取的预测关心点见</w:t>
      </w:r>
      <w:r>
        <w:rPr>
          <w:rFonts w:ascii="Times New Roman" w:hAnsi="Times New Roman"/>
        </w:rPr>
        <w:fldChar w:fldCharType="begin"/>
      </w:r>
      <w:r>
        <w:rPr>
          <w:rFonts w:ascii="Times New Roman" w:hAnsi="Times New Roman"/>
        </w:rPr>
        <w:instrText xml:space="preserve"> REF _Ref159835473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67</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341" w:name="_Ref15983547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67</w:t>
      </w:r>
      <w:r>
        <w:rPr>
          <w:rFonts w:ascii="Times New Roman" w:hAnsi="Times New Roman" w:cs="Times New Roman"/>
        </w:rPr>
        <w:fldChar w:fldCharType="end"/>
      </w:r>
      <w:bookmarkEnd w:id="341"/>
      <w:r>
        <w:rPr>
          <w:rFonts w:ascii="Times New Roman" w:hAnsi="Times New Roman" w:cs="Times New Roman"/>
        </w:rPr>
        <w:t xml:space="preserve">   宣兴1井站站内管道泄漏关心点位置</w:t>
      </w:r>
    </w:p>
    <w:tbl>
      <w:tblPr>
        <w:tblStyle w:val="28"/>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42"/>
        <w:gridCol w:w="1871"/>
        <w:gridCol w:w="1156"/>
        <w:gridCol w:w="1214"/>
        <w:gridCol w:w="1665"/>
        <w:gridCol w:w="217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序号</w:t>
            </w:r>
          </w:p>
        </w:tc>
        <w:tc>
          <w:tcPr>
            <w:tcW w:w="2008" w:type="dxa"/>
            <w:vAlign w:val="center"/>
          </w:tcPr>
          <w:p>
            <w:pPr>
              <w:pStyle w:val="39"/>
              <w:rPr>
                <w:rFonts w:ascii="Times New Roman" w:hAnsi="Times New Roman"/>
              </w:rPr>
            </w:pPr>
            <w:r>
              <w:rPr>
                <w:rFonts w:ascii="Times New Roman" w:hAnsi="Times New Roman"/>
              </w:rPr>
              <w:t>泄漏点/关心点</w:t>
            </w:r>
          </w:p>
        </w:tc>
        <w:tc>
          <w:tcPr>
            <w:tcW w:w="1233" w:type="dxa"/>
            <w:vAlign w:val="center"/>
          </w:tcPr>
          <w:p>
            <w:pPr>
              <w:pStyle w:val="39"/>
              <w:rPr>
                <w:rFonts w:ascii="Times New Roman" w:hAnsi="Times New Roman"/>
              </w:rPr>
            </w:pPr>
            <w:r>
              <w:rPr>
                <w:rFonts w:ascii="Times New Roman" w:hAnsi="Times New Roman"/>
              </w:rPr>
              <w:t>相对泄漏点的方位</w:t>
            </w:r>
          </w:p>
        </w:tc>
        <w:tc>
          <w:tcPr>
            <w:tcW w:w="1296" w:type="dxa"/>
            <w:vAlign w:val="center"/>
          </w:tcPr>
          <w:p>
            <w:pPr>
              <w:pStyle w:val="39"/>
              <w:rPr>
                <w:rFonts w:ascii="Times New Roman" w:hAnsi="Times New Roman"/>
              </w:rPr>
            </w:pPr>
            <w:r>
              <w:rPr>
                <w:rFonts w:ascii="Times New Roman" w:hAnsi="Times New Roman"/>
              </w:rPr>
              <w:t>相对泄漏点的距离/m</w:t>
            </w:r>
          </w:p>
        </w:tc>
        <w:tc>
          <w:tcPr>
            <w:tcW w:w="1785" w:type="dxa"/>
            <w:vAlign w:val="center"/>
          </w:tcPr>
          <w:p>
            <w:pPr>
              <w:pStyle w:val="39"/>
              <w:rPr>
                <w:rFonts w:ascii="Times New Roman" w:hAnsi="Times New Roman"/>
              </w:rPr>
            </w:pPr>
            <w:r>
              <w:rPr>
                <w:rFonts w:ascii="Times New Roman" w:hAnsi="Times New Roman"/>
              </w:rPr>
              <w:t>坐标</w:t>
            </w:r>
          </w:p>
        </w:tc>
        <w:tc>
          <w:tcPr>
            <w:tcW w:w="2337" w:type="dxa"/>
            <w:vAlign w:val="center"/>
          </w:tcPr>
          <w:p>
            <w:pPr>
              <w:pStyle w:val="39"/>
              <w:rPr>
                <w:rFonts w:ascii="Times New Roman" w:hAnsi="Times New Roman"/>
              </w:rPr>
            </w:pPr>
            <w:r>
              <w:rPr>
                <w:rFonts w:ascii="Times New Roman" w:hAnsi="Times New Roman"/>
              </w:rPr>
              <w:t>选择原因</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0</w:t>
            </w:r>
          </w:p>
        </w:tc>
        <w:tc>
          <w:tcPr>
            <w:tcW w:w="2008" w:type="dxa"/>
            <w:vAlign w:val="center"/>
          </w:tcPr>
          <w:p>
            <w:pPr>
              <w:pStyle w:val="39"/>
              <w:rPr>
                <w:rFonts w:ascii="Times New Roman" w:hAnsi="Times New Roman"/>
              </w:rPr>
            </w:pPr>
            <w:r>
              <w:rPr>
                <w:rFonts w:ascii="Times New Roman" w:hAnsi="Times New Roman"/>
              </w:rPr>
              <w:t>宣兴1井站泄漏点</w:t>
            </w:r>
          </w:p>
        </w:tc>
        <w:tc>
          <w:tcPr>
            <w:tcW w:w="1233" w:type="dxa"/>
            <w:vAlign w:val="center"/>
          </w:tcPr>
          <w:p>
            <w:pPr>
              <w:pStyle w:val="39"/>
              <w:rPr>
                <w:rFonts w:ascii="Times New Roman" w:hAnsi="Times New Roman"/>
              </w:rPr>
            </w:pPr>
            <w:r>
              <w:rPr>
                <w:rFonts w:ascii="Times New Roman" w:hAnsi="Times New Roman"/>
              </w:rPr>
              <w:t>/</w:t>
            </w:r>
          </w:p>
        </w:tc>
        <w:tc>
          <w:tcPr>
            <w:tcW w:w="1296" w:type="dxa"/>
            <w:vAlign w:val="center"/>
          </w:tcPr>
          <w:p>
            <w:pPr>
              <w:pStyle w:val="39"/>
              <w:rPr>
                <w:rFonts w:ascii="Times New Roman" w:hAnsi="Times New Roman"/>
              </w:rPr>
            </w:pPr>
            <w:r>
              <w:rPr>
                <w:rFonts w:ascii="Times New Roman" w:hAnsi="Times New Roman"/>
              </w:rPr>
              <w:t>/</w:t>
            </w:r>
          </w:p>
        </w:tc>
        <w:tc>
          <w:tcPr>
            <w:tcW w:w="1785" w:type="dxa"/>
            <w:vAlign w:val="center"/>
          </w:tcPr>
          <w:p>
            <w:pPr>
              <w:pStyle w:val="39"/>
              <w:rPr>
                <w:rFonts w:ascii="Times New Roman" w:hAnsi="Times New Roman"/>
              </w:rPr>
            </w:pPr>
            <w:r>
              <w:rPr>
                <w:rFonts w:ascii="Times New Roman" w:hAnsi="Times New Roman"/>
              </w:rPr>
              <w:t>E107.84769636</w:t>
            </w:r>
          </w:p>
          <w:p>
            <w:pPr>
              <w:pStyle w:val="39"/>
              <w:rPr>
                <w:rFonts w:ascii="Times New Roman" w:hAnsi="Times New Roman"/>
              </w:rPr>
            </w:pPr>
            <w:r>
              <w:rPr>
                <w:rFonts w:ascii="Times New Roman" w:hAnsi="Times New Roman"/>
              </w:rPr>
              <w:t>N31.45524297</w:t>
            </w:r>
          </w:p>
        </w:tc>
        <w:tc>
          <w:tcPr>
            <w:tcW w:w="2337" w:type="dxa"/>
            <w:vAlign w:val="center"/>
          </w:tcPr>
          <w:p>
            <w:pPr>
              <w:pStyle w:val="39"/>
              <w:rPr>
                <w:rFonts w:ascii="Times New Roman" w:hAnsi="Times New Roman"/>
              </w:rPr>
            </w:pPr>
            <w:r>
              <w:rPr>
                <w:rFonts w:ascii="Times New Roman" w:hAnsi="Times New Roman"/>
              </w:rPr>
              <w:t>关键生产场所</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1</w:t>
            </w:r>
          </w:p>
        </w:tc>
        <w:tc>
          <w:tcPr>
            <w:tcW w:w="2008" w:type="dxa"/>
            <w:vAlign w:val="center"/>
          </w:tcPr>
          <w:p>
            <w:pPr>
              <w:pStyle w:val="39"/>
              <w:rPr>
                <w:rFonts w:ascii="Times New Roman" w:hAnsi="Times New Roman"/>
              </w:rPr>
            </w:pPr>
            <w:r>
              <w:rPr>
                <w:rFonts w:ascii="Times New Roman" w:hAnsi="Times New Roman"/>
              </w:rPr>
              <w:t>宣兴1井站-关心点1-分散居民</w:t>
            </w:r>
          </w:p>
        </w:tc>
        <w:tc>
          <w:tcPr>
            <w:tcW w:w="1233" w:type="dxa"/>
            <w:vAlign w:val="center"/>
          </w:tcPr>
          <w:p>
            <w:pPr>
              <w:pStyle w:val="39"/>
              <w:rPr>
                <w:rFonts w:ascii="Times New Roman" w:hAnsi="Times New Roman"/>
              </w:rPr>
            </w:pPr>
            <w:r>
              <w:rPr>
                <w:rFonts w:ascii="Times New Roman" w:hAnsi="Times New Roman"/>
              </w:rPr>
              <w:t>NW</w:t>
            </w:r>
          </w:p>
        </w:tc>
        <w:tc>
          <w:tcPr>
            <w:tcW w:w="1296" w:type="dxa"/>
            <w:vAlign w:val="center"/>
          </w:tcPr>
          <w:p>
            <w:pPr>
              <w:pStyle w:val="39"/>
              <w:rPr>
                <w:rFonts w:ascii="Times New Roman" w:hAnsi="Times New Roman"/>
              </w:rPr>
            </w:pPr>
            <w:r>
              <w:rPr>
                <w:rFonts w:ascii="Times New Roman" w:hAnsi="Times New Roman"/>
              </w:rPr>
              <w:t>360</w:t>
            </w:r>
          </w:p>
        </w:tc>
        <w:tc>
          <w:tcPr>
            <w:tcW w:w="1785" w:type="dxa"/>
            <w:vAlign w:val="center"/>
          </w:tcPr>
          <w:p>
            <w:pPr>
              <w:pStyle w:val="39"/>
              <w:rPr>
                <w:rFonts w:ascii="Times New Roman" w:hAnsi="Times New Roman"/>
              </w:rPr>
            </w:pPr>
            <w:r>
              <w:rPr>
                <w:rFonts w:ascii="Times New Roman" w:hAnsi="Times New Roman"/>
              </w:rPr>
              <w:t>E107.84510991</w:t>
            </w:r>
          </w:p>
          <w:p>
            <w:pPr>
              <w:pStyle w:val="39"/>
              <w:rPr>
                <w:rFonts w:ascii="Times New Roman" w:hAnsi="Times New Roman"/>
              </w:rPr>
            </w:pPr>
            <w:r>
              <w:rPr>
                <w:rFonts w:ascii="Times New Roman" w:hAnsi="Times New Roman"/>
              </w:rPr>
              <w:t>N31.45771137</w:t>
            </w:r>
          </w:p>
        </w:tc>
        <w:tc>
          <w:tcPr>
            <w:tcW w:w="2337" w:type="dxa"/>
            <w:vAlign w:val="center"/>
          </w:tcPr>
          <w:p>
            <w:pPr>
              <w:pStyle w:val="39"/>
              <w:rPr>
                <w:rFonts w:ascii="Times New Roman" w:hAnsi="Times New Roman"/>
              </w:rPr>
            </w:pPr>
            <w:r>
              <w:rPr>
                <w:rFonts w:ascii="Times New Roman" w:hAnsi="Times New Roman"/>
              </w:rPr>
              <w:t>泄漏点距离最近的分散居民（拆迁后）</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2</w:t>
            </w:r>
          </w:p>
        </w:tc>
        <w:tc>
          <w:tcPr>
            <w:tcW w:w="2008" w:type="dxa"/>
            <w:vAlign w:val="center"/>
          </w:tcPr>
          <w:p>
            <w:pPr>
              <w:pStyle w:val="39"/>
              <w:rPr>
                <w:rFonts w:ascii="Times New Roman" w:hAnsi="Times New Roman"/>
              </w:rPr>
            </w:pPr>
            <w:r>
              <w:rPr>
                <w:rFonts w:ascii="Times New Roman" w:hAnsi="Times New Roman"/>
              </w:rPr>
              <w:t>宣兴1井站-关心点2-分散居民</w:t>
            </w:r>
          </w:p>
        </w:tc>
        <w:tc>
          <w:tcPr>
            <w:tcW w:w="1233" w:type="dxa"/>
            <w:vAlign w:val="center"/>
          </w:tcPr>
          <w:p>
            <w:pPr>
              <w:pStyle w:val="39"/>
              <w:rPr>
                <w:rFonts w:ascii="Times New Roman" w:hAnsi="Times New Roman"/>
              </w:rPr>
            </w:pPr>
            <w:r>
              <w:rPr>
                <w:rFonts w:ascii="Times New Roman" w:hAnsi="Times New Roman"/>
              </w:rPr>
              <w:t>N</w:t>
            </w:r>
          </w:p>
        </w:tc>
        <w:tc>
          <w:tcPr>
            <w:tcW w:w="1296" w:type="dxa"/>
            <w:vAlign w:val="center"/>
          </w:tcPr>
          <w:p>
            <w:pPr>
              <w:pStyle w:val="39"/>
              <w:rPr>
                <w:rFonts w:ascii="Times New Roman" w:hAnsi="Times New Roman"/>
              </w:rPr>
            </w:pPr>
            <w:r>
              <w:rPr>
                <w:rFonts w:ascii="Times New Roman" w:hAnsi="Times New Roman"/>
              </w:rPr>
              <w:t>536</w:t>
            </w:r>
          </w:p>
        </w:tc>
        <w:tc>
          <w:tcPr>
            <w:tcW w:w="1785" w:type="dxa"/>
            <w:vAlign w:val="center"/>
          </w:tcPr>
          <w:p>
            <w:pPr>
              <w:pStyle w:val="39"/>
              <w:rPr>
                <w:rFonts w:ascii="Times New Roman" w:hAnsi="Times New Roman"/>
              </w:rPr>
            </w:pPr>
            <w:r>
              <w:rPr>
                <w:rFonts w:ascii="Times New Roman" w:hAnsi="Times New Roman"/>
              </w:rPr>
              <w:t>E107.84655076</w:t>
            </w:r>
          </w:p>
          <w:p>
            <w:pPr>
              <w:pStyle w:val="39"/>
              <w:rPr>
                <w:rFonts w:ascii="Times New Roman" w:hAnsi="Times New Roman"/>
              </w:rPr>
            </w:pPr>
            <w:r>
              <w:rPr>
                <w:rFonts w:ascii="Times New Roman" w:hAnsi="Times New Roman"/>
              </w:rPr>
              <w:t>N31.46001750</w:t>
            </w:r>
          </w:p>
        </w:tc>
        <w:tc>
          <w:tcPr>
            <w:tcW w:w="2337" w:type="dxa"/>
            <w:vAlign w:val="center"/>
          </w:tcPr>
          <w:p>
            <w:pPr>
              <w:pStyle w:val="39"/>
              <w:rPr>
                <w:rFonts w:ascii="Times New Roman" w:hAnsi="Times New Roman"/>
              </w:rPr>
            </w:pPr>
            <w:r>
              <w:rPr>
                <w:rFonts w:ascii="Times New Roman" w:hAnsi="Times New Roman"/>
              </w:rPr>
              <w:t>泄漏点N方向上距离最近的分散居民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3</w:t>
            </w:r>
          </w:p>
        </w:tc>
        <w:tc>
          <w:tcPr>
            <w:tcW w:w="2008" w:type="dxa"/>
            <w:vAlign w:val="center"/>
          </w:tcPr>
          <w:p>
            <w:pPr>
              <w:pStyle w:val="39"/>
              <w:rPr>
                <w:rFonts w:ascii="Times New Roman" w:hAnsi="Times New Roman"/>
              </w:rPr>
            </w:pPr>
            <w:r>
              <w:rPr>
                <w:rFonts w:ascii="Times New Roman" w:hAnsi="Times New Roman"/>
              </w:rPr>
              <w:t>宣兴1井站-关心点3-分散居民</w:t>
            </w:r>
          </w:p>
        </w:tc>
        <w:tc>
          <w:tcPr>
            <w:tcW w:w="1233" w:type="dxa"/>
            <w:vAlign w:val="center"/>
          </w:tcPr>
          <w:p>
            <w:pPr>
              <w:pStyle w:val="39"/>
              <w:rPr>
                <w:rFonts w:ascii="Times New Roman" w:hAnsi="Times New Roman"/>
              </w:rPr>
            </w:pPr>
            <w:r>
              <w:rPr>
                <w:rFonts w:ascii="Times New Roman" w:hAnsi="Times New Roman"/>
              </w:rPr>
              <w:t>NE</w:t>
            </w:r>
          </w:p>
        </w:tc>
        <w:tc>
          <w:tcPr>
            <w:tcW w:w="1296" w:type="dxa"/>
            <w:vAlign w:val="center"/>
          </w:tcPr>
          <w:p>
            <w:pPr>
              <w:pStyle w:val="39"/>
              <w:rPr>
                <w:rFonts w:ascii="Times New Roman" w:hAnsi="Times New Roman"/>
              </w:rPr>
            </w:pPr>
            <w:r>
              <w:rPr>
                <w:rFonts w:ascii="Times New Roman" w:hAnsi="Times New Roman"/>
              </w:rPr>
              <w:t>699</w:t>
            </w:r>
          </w:p>
        </w:tc>
        <w:tc>
          <w:tcPr>
            <w:tcW w:w="1785" w:type="dxa"/>
            <w:vAlign w:val="center"/>
          </w:tcPr>
          <w:p>
            <w:pPr>
              <w:pStyle w:val="39"/>
              <w:rPr>
                <w:rFonts w:ascii="Times New Roman" w:hAnsi="Times New Roman"/>
              </w:rPr>
            </w:pPr>
            <w:r>
              <w:rPr>
                <w:rFonts w:ascii="Times New Roman" w:hAnsi="Times New Roman"/>
              </w:rPr>
              <w:t>E107.85255236</w:t>
            </w:r>
          </w:p>
          <w:p>
            <w:pPr>
              <w:pStyle w:val="39"/>
              <w:rPr>
                <w:rFonts w:ascii="Times New Roman" w:hAnsi="Times New Roman"/>
              </w:rPr>
            </w:pPr>
            <w:r>
              <w:rPr>
                <w:rFonts w:ascii="Times New Roman" w:hAnsi="Times New Roman"/>
              </w:rPr>
              <w:t>N31.45999226</w:t>
            </w:r>
          </w:p>
        </w:tc>
        <w:tc>
          <w:tcPr>
            <w:tcW w:w="2337" w:type="dxa"/>
            <w:shd w:val="clear" w:color="auto" w:fill="auto"/>
            <w:vAlign w:val="center"/>
          </w:tcPr>
          <w:p>
            <w:pPr>
              <w:pStyle w:val="39"/>
              <w:rPr>
                <w:rFonts w:ascii="Times New Roman" w:hAnsi="Times New Roman"/>
              </w:rPr>
            </w:pPr>
            <w:r>
              <w:rPr>
                <w:rFonts w:ascii="Times New Roman" w:hAnsi="Times New Roman"/>
              </w:rPr>
              <w:t>泄漏点NE方向上距离最近的分散居民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4</w:t>
            </w:r>
          </w:p>
        </w:tc>
        <w:tc>
          <w:tcPr>
            <w:tcW w:w="2008" w:type="dxa"/>
            <w:vAlign w:val="center"/>
          </w:tcPr>
          <w:p>
            <w:pPr>
              <w:pStyle w:val="39"/>
              <w:rPr>
                <w:rFonts w:ascii="Times New Roman" w:hAnsi="Times New Roman"/>
              </w:rPr>
            </w:pPr>
            <w:r>
              <w:rPr>
                <w:rFonts w:ascii="Times New Roman" w:hAnsi="Times New Roman"/>
              </w:rPr>
              <w:t>宣兴1井站-关心点4-分散居民</w:t>
            </w:r>
          </w:p>
        </w:tc>
        <w:tc>
          <w:tcPr>
            <w:tcW w:w="1233" w:type="dxa"/>
            <w:vAlign w:val="center"/>
          </w:tcPr>
          <w:p>
            <w:pPr>
              <w:pStyle w:val="39"/>
              <w:rPr>
                <w:rFonts w:ascii="Times New Roman" w:hAnsi="Times New Roman"/>
              </w:rPr>
            </w:pPr>
            <w:r>
              <w:rPr>
                <w:rFonts w:ascii="Times New Roman" w:hAnsi="Times New Roman"/>
              </w:rPr>
              <w:t>E</w:t>
            </w:r>
          </w:p>
        </w:tc>
        <w:tc>
          <w:tcPr>
            <w:tcW w:w="1296" w:type="dxa"/>
            <w:vAlign w:val="center"/>
          </w:tcPr>
          <w:p>
            <w:pPr>
              <w:pStyle w:val="39"/>
              <w:rPr>
                <w:rFonts w:ascii="Times New Roman" w:hAnsi="Times New Roman"/>
              </w:rPr>
            </w:pPr>
            <w:r>
              <w:rPr>
                <w:rFonts w:ascii="Times New Roman" w:hAnsi="Times New Roman"/>
              </w:rPr>
              <w:t>672</w:t>
            </w:r>
          </w:p>
        </w:tc>
        <w:tc>
          <w:tcPr>
            <w:tcW w:w="1785" w:type="dxa"/>
            <w:vAlign w:val="center"/>
          </w:tcPr>
          <w:p>
            <w:pPr>
              <w:pStyle w:val="39"/>
              <w:rPr>
                <w:rFonts w:ascii="Times New Roman" w:hAnsi="Times New Roman"/>
              </w:rPr>
            </w:pPr>
            <w:r>
              <w:rPr>
                <w:rFonts w:ascii="Times New Roman" w:hAnsi="Times New Roman"/>
              </w:rPr>
              <w:t>E107.85478246</w:t>
            </w:r>
          </w:p>
          <w:p>
            <w:pPr>
              <w:pStyle w:val="39"/>
              <w:rPr>
                <w:rFonts w:ascii="Times New Roman" w:hAnsi="Times New Roman"/>
              </w:rPr>
            </w:pPr>
            <w:r>
              <w:rPr>
                <w:rFonts w:ascii="Times New Roman" w:hAnsi="Times New Roman"/>
              </w:rPr>
              <w:t>N31.45505465</w:t>
            </w:r>
          </w:p>
        </w:tc>
        <w:tc>
          <w:tcPr>
            <w:tcW w:w="2337" w:type="dxa"/>
            <w:shd w:val="clear" w:color="auto" w:fill="auto"/>
            <w:vAlign w:val="center"/>
          </w:tcPr>
          <w:p>
            <w:pPr>
              <w:pStyle w:val="39"/>
              <w:rPr>
                <w:rFonts w:ascii="Times New Roman" w:hAnsi="Times New Roman"/>
              </w:rPr>
            </w:pPr>
            <w:r>
              <w:rPr>
                <w:rFonts w:ascii="Times New Roman" w:hAnsi="Times New Roman"/>
              </w:rPr>
              <w:t>泄漏点E方向上距离最近的分散居民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5</w:t>
            </w:r>
          </w:p>
        </w:tc>
        <w:tc>
          <w:tcPr>
            <w:tcW w:w="2008" w:type="dxa"/>
            <w:vAlign w:val="center"/>
          </w:tcPr>
          <w:p>
            <w:pPr>
              <w:pStyle w:val="39"/>
              <w:rPr>
                <w:rFonts w:ascii="Times New Roman" w:hAnsi="Times New Roman"/>
              </w:rPr>
            </w:pPr>
            <w:r>
              <w:rPr>
                <w:rFonts w:ascii="Times New Roman" w:hAnsi="Times New Roman"/>
              </w:rPr>
              <w:t>宣兴1井站-关心点5-分散居民</w:t>
            </w:r>
          </w:p>
        </w:tc>
        <w:tc>
          <w:tcPr>
            <w:tcW w:w="1233" w:type="dxa"/>
            <w:vAlign w:val="center"/>
          </w:tcPr>
          <w:p>
            <w:pPr>
              <w:pStyle w:val="39"/>
              <w:rPr>
                <w:rFonts w:ascii="Times New Roman" w:hAnsi="Times New Roman"/>
              </w:rPr>
            </w:pPr>
            <w:r>
              <w:rPr>
                <w:rFonts w:ascii="Times New Roman" w:hAnsi="Times New Roman"/>
              </w:rPr>
              <w:t>SE</w:t>
            </w:r>
          </w:p>
        </w:tc>
        <w:tc>
          <w:tcPr>
            <w:tcW w:w="1296" w:type="dxa"/>
            <w:vAlign w:val="center"/>
          </w:tcPr>
          <w:p>
            <w:pPr>
              <w:pStyle w:val="39"/>
              <w:rPr>
                <w:rFonts w:ascii="Times New Roman" w:hAnsi="Times New Roman"/>
              </w:rPr>
            </w:pPr>
            <w:r>
              <w:rPr>
                <w:rFonts w:ascii="Times New Roman" w:hAnsi="Times New Roman"/>
              </w:rPr>
              <w:t>374</w:t>
            </w:r>
          </w:p>
        </w:tc>
        <w:tc>
          <w:tcPr>
            <w:tcW w:w="1785" w:type="dxa"/>
            <w:vAlign w:val="center"/>
          </w:tcPr>
          <w:p>
            <w:pPr>
              <w:pStyle w:val="39"/>
              <w:rPr>
                <w:rFonts w:ascii="Times New Roman" w:hAnsi="Times New Roman"/>
              </w:rPr>
            </w:pPr>
            <w:r>
              <w:rPr>
                <w:rFonts w:ascii="Times New Roman" w:hAnsi="Times New Roman"/>
              </w:rPr>
              <w:t>E107.85150036</w:t>
            </w:r>
          </w:p>
          <w:p>
            <w:pPr>
              <w:pStyle w:val="39"/>
              <w:rPr>
                <w:rFonts w:ascii="Times New Roman" w:hAnsi="Times New Roman"/>
              </w:rPr>
            </w:pPr>
            <w:r>
              <w:rPr>
                <w:rFonts w:ascii="Times New Roman" w:hAnsi="Times New Roman"/>
              </w:rPr>
              <w:t>N31.45420398</w:t>
            </w:r>
          </w:p>
        </w:tc>
        <w:tc>
          <w:tcPr>
            <w:tcW w:w="2337" w:type="dxa"/>
            <w:shd w:val="clear" w:color="auto" w:fill="auto"/>
            <w:vAlign w:val="center"/>
          </w:tcPr>
          <w:p>
            <w:pPr>
              <w:pStyle w:val="39"/>
              <w:rPr>
                <w:rFonts w:ascii="Times New Roman" w:hAnsi="Times New Roman"/>
              </w:rPr>
            </w:pPr>
            <w:r>
              <w:rPr>
                <w:rFonts w:ascii="Times New Roman" w:hAnsi="Times New Roman"/>
              </w:rPr>
              <w:t>泄漏点SE方向上距离最近的分散居民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6</w:t>
            </w:r>
          </w:p>
        </w:tc>
        <w:tc>
          <w:tcPr>
            <w:tcW w:w="2008" w:type="dxa"/>
            <w:vAlign w:val="center"/>
          </w:tcPr>
          <w:p>
            <w:pPr>
              <w:pStyle w:val="39"/>
              <w:rPr>
                <w:rFonts w:ascii="Times New Roman" w:hAnsi="Times New Roman"/>
              </w:rPr>
            </w:pPr>
            <w:r>
              <w:rPr>
                <w:rFonts w:ascii="Times New Roman" w:hAnsi="Times New Roman"/>
              </w:rPr>
              <w:t>宣兴1井站-关心点6-分散居民</w:t>
            </w:r>
          </w:p>
        </w:tc>
        <w:tc>
          <w:tcPr>
            <w:tcW w:w="1233" w:type="dxa"/>
            <w:vAlign w:val="center"/>
          </w:tcPr>
          <w:p>
            <w:pPr>
              <w:pStyle w:val="39"/>
              <w:rPr>
                <w:rFonts w:ascii="Times New Roman" w:hAnsi="Times New Roman"/>
              </w:rPr>
            </w:pPr>
            <w:r>
              <w:rPr>
                <w:rFonts w:ascii="Times New Roman" w:hAnsi="Times New Roman"/>
              </w:rPr>
              <w:t>S</w:t>
            </w:r>
          </w:p>
        </w:tc>
        <w:tc>
          <w:tcPr>
            <w:tcW w:w="1296" w:type="dxa"/>
            <w:vAlign w:val="center"/>
          </w:tcPr>
          <w:p>
            <w:pPr>
              <w:pStyle w:val="39"/>
              <w:rPr>
                <w:rFonts w:ascii="Times New Roman" w:hAnsi="Times New Roman"/>
              </w:rPr>
            </w:pPr>
            <w:r>
              <w:rPr>
                <w:rFonts w:ascii="Times New Roman" w:hAnsi="Times New Roman"/>
              </w:rPr>
              <w:t>312</w:t>
            </w:r>
          </w:p>
        </w:tc>
        <w:tc>
          <w:tcPr>
            <w:tcW w:w="1785" w:type="dxa"/>
            <w:vAlign w:val="center"/>
          </w:tcPr>
          <w:p>
            <w:pPr>
              <w:pStyle w:val="39"/>
              <w:rPr>
                <w:rFonts w:ascii="Times New Roman" w:hAnsi="Times New Roman"/>
              </w:rPr>
            </w:pPr>
            <w:r>
              <w:rPr>
                <w:rFonts w:ascii="Times New Roman" w:hAnsi="Times New Roman"/>
              </w:rPr>
              <w:t>E107.84660371</w:t>
            </w:r>
          </w:p>
          <w:p>
            <w:pPr>
              <w:pStyle w:val="39"/>
              <w:rPr>
                <w:rFonts w:ascii="Times New Roman" w:hAnsi="Times New Roman"/>
              </w:rPr>
            </w:pPr>
            <w:r>
              <w:rPr>
                <w:rFonts w:ascii="Times New Roman" w:hAnsi="Times New Roman"/>
              </w:rPr>
              <w:t>N31.45256104</w:t>
            </w:r>
          </w:p>
        </w:tc>
        <w:tc>
          <w:tcPr>
            <w:tcW w:w="2337" w:type="dxa"/>
            <w:shd w:val="clear" w:color="auto" w:fill="auto"/>
            <w:vAlign w:val="center"/>
          </w:tcPr>
          <w:p>
            <w:pPr>
              <w:pStyle w:val="39"/>
              <w:rPr>
                <w:rFonts w:ascii="Times New Roman" w:hAnsi="Times New Roman"/>
              </w:rPr>
            </w:pPr>
            <w:r>
              <w:rPr>
                <w:rFonts w:ascii="Times New Roman" w:hAnsi="Times New Roman"/>
              </w:rPr>
              <w:t>泄漏点S方向上的分散居民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60" w:type="dxa"/>
            <w:vAlign w:val="center"/>
          </w:tcPr>
          <w:p>
            <w:pPr>
              <w:pStyle w:val="39"/>
              <w:rPr>
                <w:rFonts w:ascii="Times New Roman" w:hAnsi="Times New Roman"/>
              </w:rPr>
            </w:pPr>
            <w:r>
              <w:rPr>
                <w:rFonts w:ascii="Times New Roman" w:hAnsi="Times New Roman"/>
              </w:rPr>
              <w:t>7</w:t>
            </w:r>
          </w:p>
        </w:tc>
        <w:tc>
          <w:tcPr>
            <w:tcW w:w="2008" w:type="dxa"/>
            <w:vAlign w:val="center"/>
          </w:tcPr>
          <w:p>
            <w:pPr>
              <w:pStyle w:val="39"/>
              <w:rPr>
                <w:rFonts w:ascii="Times New Roman" w:hAnsi="Times New Roman"/>
              </w:rPr>
            </w:pPr>
            <w:r>
              <w:rPr>
                <w:rFonts w:ascii="Times New Roman" w:hAnsi="Times New Roman"/>
              </w:rPr>
              <w:t>宣兴1井站-关心点7-分散居民</w:t>
            </w:r>
          </w:p>
        </w:tc>
        <w:tc>
          <w:tcPr>
            <w:tcW w:w="1233" w:type="dxa"/>
            <w:vAlign w:val="center"/>
          </w:tcPr>
          <w:p>
            <w:pPr>
              <w:pStyle w:val="39"/>
              <w:rPr>
                <w:rFonts w:ascii="Times New Roman" w:hAnsi="Times New Roman"/>
              </w:rPr>
            </w:pPr>
            <w:r>
              <w:rPr>
                <w:rFonts w:ascii="Times New Roman" w:hAnsi="Times New Roman"/>
              </w:rPr>
              <w:t>SW</w:t>
            </w:r>
          </w:p>
        </w:tc>
        <w:tc>
          <w:tcPr>
            <w:tcW w:w="1296" w:type="dxa"/>
            <w:vAlign w:val="center"/>
          </w:tcPr>
          <w:p>
            <w:pPr>
              <w:pStyle w:val="39"/>
              <w:rPr>
                <w:rFonts w:ascii="Times New Roman" w:hAnsi="Times New Roman"/>
              </w:rPr>
            </w:pPr>
            <w:r>
              <w:rPr>
                <w:rFonts w:ascii="Times New Roman" w:hAnsi="Times New Roman"/>
              </w:rPr>
              <w:t>310</w:t>
            </w:r>
          </w:p>
        </w:tc>
        <w:tc>
          <w:tcPr>
            <w:tcW w:w="1785" w:type="dxa"/>
            <w:vAlign w:val="center"/>
          </w:tcPr>
          <w:p>
            <w:pPr>
              <w:pStyle w:val="39"/>
              <w:rPr>
                <w:rFonts w:ascii="Times New Roman" w:hAnsi="Times New Roman"/>
              </w:rPr>
            </w:pPr>
            <w:r>
              <w:rPr>
                <w:rFonts w:ascii="Times New Roman" w:hAnsi="Times New Roman"/>
              </w:rPr>
              <w:t>E107.84496233</w:t>
            </w:r>
          </w:p>
          <w:p>
            <w:pPr>
              <w:pStyle w:val="39"/>
              <w:rPr>
                <w:rFonts w:ascii="Times New Roman" w:hAnsi="Times New Roman"/>
              </w:rPr>
            </w:pPr>
            <w:r>
              <w:rPr>
                <w:rFonts w:ascii="Times New Roman" w:hAnsi="Times New Roman"/>
              </w:rPr>
              <w:t>N31.45361393</w:t>
            </w:r>
          </w:p>
        </w:tc>
        <w:tc>
          <w:tcPr>
            <w:tcW w:w="2337" w:type="dxa"/>
            <w:shd w:val="clear" w:color="auto" w:fill="auto"/>
            <w:vAlign w:val="center"/>
          </w:tcPr>
          <w:p>
            <w:pPr>
              <w:pStyle w:val="39"/>
              <w:rPr>
                <w:rFonts w:ascii="Times New Roman" w:hAnsi="Times New Roman"/>
              </w:rPr>
            </w:pPr>
            <w:r>
              <w:rPr>
                <w:rFonts w:ascii="Times New Roman" w:hAnsi="Times New Roman"/>
              </w:rPr>
              <w:t>泄漏点SW方向上距离最近的分散居民</w:t>
            </w:r>
          </w:p>
        </w:tc>
      </w:tr>
    </w:tbl>
    <w:p>
      <w:pPr>
        <w:ind w:firstLine="480"/>
        <w:rPr>
          <w:rFonts w:ascii="Times New Roman" w:hAnsi="Times New Roman"/>
        </w:rPr>
      </w:pPr>
    </w:p>
    <w:p>
      <w:pPr>
        <w:ind w:firstLine="480"/>
        <w:rPr>
          <w:rFonts w:ascii="Times New Roman" w:hAnsi="Times New Roman"/>
        </w:rPr>
      </w:pPr>
      <w:r>
        <w:rPr>
          <w:rFonts w:ascii="Times New Roman" w:hAnsi="Times New Roman"/>
        </w:rPr>
        <w:t>3）预测结果</w:t>
      </w:r>
    </w:p>
    <w:p>
      <w:pPr>
        <w:ind w:firstLine="480"/>
        <w:rPr>
          <w:rFonts w:ascii="Times New Roman" w:hAnsi="Times New Roman"/>
        </w:rPr>
      </w:pPr>
      <w:r>
        <w:rPr>
          <w:rFonts w:ascii="Times New Roman" w:hAnsi="Times New Roman"/>
        </w:rPr>
        <w:t>宣兴1井站站内管道泄漏时，根据模拟预测，不同风向下，H</w:t>
      </w:r>
      <w:r>
        <w:rPr>
          <w:rFonts w:ascii="Times New Roman" w:hAnsi="Times New Roman"/>
          <w:vertAlign w:val="subscript"/>
        </w:rPr>
        <w:t>2</w:t>
      </w:r>
      <w:r>
        <w:rPr>
          <w:rFonts w:ascii="Times New Roman" w:hAnsi="Times New Roman"/>
        </w:rPr>
        <w:t>S毒性终点浓度1、毒性终点浓度2最大影响范围情况及相应到达时间如</w:t>
      </w:r>
      <w:r>
        <w:rPr>
          <w:rFonts w:ascii="Times New Roman" w:hAnsi="Times New Roman"/>
        </w:rPr>
        <w:fldChar w:fldCharType="begin"/>
      </w:r>
      <w:r>
        <w:rPr>
          <w:rFonts w:ascii="Times New Roman" w:hAnsi="Times New Roman"/>
        </w:rPr>
        <w:instrText xml:space="preserve"> REF _Ref159835481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68</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_Ref159835483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69</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_Ref159835447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18</w:t>
      </w:r>
      <w:r>
        <w:rPr>
          <w:rFonts w:ascii="Times New Roman" w:hAnsi="Times New Roman"/>
        </w:rPr>
        <w:fldChar w:fldCharType="end"/>
      </w:r>
      <w:r>
        <w:rPr>
          <w:rFonts w:ascii="Times New Roman" w:hAnsi="Times New Roman"/>
        </w:rPr>
        <w:t>所示。</w:t>
      </w:r>
    </w:p>
    <w:p>
      <w:pPr>
        <w:ind w:firstLine="480"/>
        <w:rPr>
          <w:rFonts w:ascii="Times New Roman" w:hAnsi="Times New Roman"/>
        </w:rPr>
      </w:pPr>
      <w:r>
        <w:rPr>
          <w:rFonts w:ascii="Times New Roman" w:hAnsi="Times New Roman"/>
        </w:rPr>
        <w:t>由表可知，在最不利气象条件下，大气扩散过程中，H</w:t>
      </w:r>
      <w:r>
        <w:rPr>
          <w:rFonts w:ascii="Times New Roman" w:hAnsi="Times New Roman"/>
          <w:vertAlign w:val="subscript"/>
        </w:rPr>
        <w:t>2</w:t>
      </w:r>
      <w:r>
        <w:rPr>
          <w:rFonts w:ascii="Times New Roman" w:hAnsi="Times New Roman"/>
        </w:rPr>
        <w:t>S扩散浓度始终小于毒性终点浓度1和H</w:t>
      </w:r>
      <w:r>
        <w:rPr>
          <w:rFonts w:ascii="Times New Roman" w:hAnsi="Times New Roman"/>
          <w:vertAlign w:val="subscript"/>
        </w:rPr>
        <w:t>2</w:t>
      </w:r>
      <w:r>
        <w:rPr>
          <w:rFonts w:ascii="Times New Roman" w:hAnsi="Times New Roman"/>
        </w:rPr>
        <w:t>S毒性终点浓度，未出现超过毒性终点浓度1和毒性终点浓度2的超标影响范围。具体汇总结果见</w:t>
      </w:r>
      <w:r>
        <w:rPr>
          <w:rFonts w:ascii="Times New Roman" w:hAnsi="Times New Roman"/>
        </w:rPr>
        <w:fldChar w:fldCharType="begin"/>
      </w:r>
      <w:r>
        <w:rPr>
          <w:rFonts w:ascii="Times New Roman" w:hAnsi="Times New Roman"/>
        </w:rPr>
        <w:instrText xml:space="preserve"> REF _Ref159835490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70</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各风向均未出现毒性终点浓度，以北风向为例（该风向下的关心点浓度最大），该风向下，对应H</w:t>
      </w:r>
      <w:r>
        <w:rPr>
          <w:rFonts w:ascii="Times New Roman" w:hAnsi="Times New Roman"/>
          <w:vertAlign w:val="subscript"/>
        </w:rPr>
        <w:t>2</w:t>
      </w:r>
      <w:r>
        <w:rPr>
          <w:rFonts w:ascii="Times New Roman" w:hAnsi="Times New Roman"/>
        </w:rPr>
        <w:t>S不同时刻最大浓度分布情况见</w:t>
      </w:r>
      <w:r>
        <w:rPr>
          <w:rFonts w:ascii="Times New Roman" w:hAnsi="Times New Roman"/>
        </w:rPr>
        <w:fldChar w:fldCharType="begin"/>
      </w:r>
      <w:r>
        <w:rPr>
          <w:rFonts w:ascii="Times New Roman" w:hAnsi="Times New Roman"/>
        </w:rPr>
        <w:instrText xml:space="preserve"> REF _Ref159835501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71</w:t>
      </w:r>
      <w:r>
        <w:rPr>
          <w:rFonts w:ascii="Times New Roman" w:hAnsi="Times New Roman"/>
        </w:rPr>
        <w:fldChar w:fldCharType="end"/>
      </w:r>
      <w:r>
        <w:rPr>
          <w:rFonts w:ascii="Times New Roman" w:hAnsi="Times New Roman"/>
        </w:rPr>
        <w:t>，H</w:t>
      </w:r>
      <w:r>
        <w:rPr>
          <w:rFonts w:ascii="Times New Roman" w:hAnsi="Times New Roman"/>
          <w:vertAlign w:val="subscript"/>
        </w:rPr>
        <w:t>2</w:t>
      </w:r>
      <w:r>
        <w:rPr>
          <w:rFonts w:ascii="Times New Roman" w:hAnsi="Times New Roman"/>
        </w:rPr>
        <w:t>S不同距离下最大浓度分布情况见</w:t>
      </w:r>
      <w:r>
        <w:rPr>
          <w:rFonts w:ascii="Times New Roman" w:hAnsi="Times New Roman"/>
        </w:rPr>
        <w:fldChar w:fldCharType="begin"/>
      </w:r>
      <w:r>
        <w:rPr>
          <w:rFonts w:ascii="Times New Roman" w:hAnsi="Times New Roman"/>
        </w:rPr>
        <w:instrText xml:space="preserve"> REF _Ref159835507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72</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风险源周边关心点中，以H</w:t>
      </w:r>
      <w:r>
        <w:rPr>
          <w:rFonts w:ascii="Times New Roman" w:hAnsi="Times New Roman"/>
          <w:vertAlign w:val="subscript"/>
        </w:rPr>
        <w:t>2</w:t>
      </w:r>
      <w:r>
        <w:rPr>
          <w:rFonts w:ascii="Times New Roman" w:hAnsi="Times New Roman"/>
        </w:rPr>
        <w:t>S毒性终点浓度2作为超标参考依据，各关心点均未超标，具体见</w:t>
      </w:r>
      <w:r>
        <w:rPr>
          <w:rFonts w:ascii="Times New Roman" w:hAnsi="Times New Roman"/>
        </w:rPr>
        <w:fldChar w:fldCharType="begin"/>
      </w:r>
      <w:r>
        <w:rPr>
          <w:rFonts w:ascii="Times New Roman" w:hAnsi="Times New Roman"/>
        </w:rPr>
        <w:instrText xml:space="preserve"> REF _Ref159835513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73</w:t>
      </w:r>
      <w:r>
        <w:rPr>
          <w:rFonts w:ascii="Times New Roman" w:hAnsi="Times New Roman"/>
        </w:rPr>
        <w:fldChar w:fldCharType="end"/>
      </w:r>
      <w:r>
        <w:rPr>
          <w:rFonts w:ascii="Times New Roman" w:hAnsi="Times New Roman"/>
        </w:rPr>
        <w:t>，主要受影响关心点处的浓度随时间变化情况如</w:t>
      </w:r>
      <w:r>
        <w:rPr>
          <w:rFonts w:ascii="Times New Roman" w:hAnsi="Times New Roman"/>
        </w:rPr>
        <w:fldChar w:fldCharType="begin"/>
      </w:r>
      <w:r>
        <w:rPr>
          <w:rFonts w:ascii="Times New Roman" w:hAnsi="Times New Roman"/>
        </w:rPr>
        <w:instrText xml:space="preserve"> REF _Ref159835448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19</w:t>
      </w:r>
      <w:r>
        <w:rPr>
          <w:rFonts w:ascii="Times New Roman" w:hAnsi="Times New Roman"/>
        </w:rPr>
        <w:fldChar w:fldCharType="end"/>
      </w:r>
      <w:r>
        <w:rPr>
          <w:rFonts w:ascii="Times New Roman" w:hAnsi="Times New Roman"/>
        </w:rPr>
        <w:t>所示。</w:t>
      </w:r>
    </w:p>
    <w:p>
      <w:pPr>
        <w:pStyle w:val="37"/>
        <w:rPr>
          <w:rFonts w:ascii="Times New Roman" w:hAnsi="Times New Roman" w:cs="Times New Roman"/>
        </w:rPr>
      </w:pPr>
      <w:bookmarkStart w:id="342" w:name="_Ref15983548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68</w:t>
      </w:r>
      <w:r>
        <w:rPr>
          <w:rFonts w:ascii="Times New Roman" w:hAnsi="Times New Roman" w:cs="Times New Roman"/>
        </w:rPr>
        <w:fldChar w:fldCharType="end"/>
      </w:r>
      <w:bookmarkEnd w:id="342"/>
      <w:r>
        <w:rPr>
          <w:rFonts w:ascii="Times New Roman" w:hAnsi="Times New Roman" w:cs="Times New Roman"/>
        </w:rPr>
        <w:t xml:space="preserve">   各风向下H</w:t>
      </w:r>
      <w:r>
        <w:rPr>
          <w:rFonts w:ascii="Times New Roman" w:hAnsi="Times New Roman" w:cs="Times New Roman"/>
          <w:vertAlign w:val="subscript"/>
        </w:rPr>
        <w:t>2</w:t>
      </w:r>
      <w:r>
        <w:rPr>
          <w:rFonts w:ascii="Times New Roman" w:hAnsi="Times New Roman" w:cs="Times New Roman"/>
        </w:rPr>
        <w:t>S毒性终点浓度1最大影响距离</w:t>
      </w:r>
    </w:p>
    <w:tbl>
      <w:tblPr>
        <w:tblStyle w:val="28"/>
        <w:tblW w:w="5123" w:type="pct"/>
        <w:jc w:val="center"/>
        <w:tblLayout w:type="autofit"/>
        <w:tblCellMar>
          <w:top w:w="0" w:type="dxa"/>
          <w:left w:w="108" w:type="dxa"/>
          <w:bottom w:w="0" w:type="dxa"/>
          <w:right w:w="108" w:type="dxa"/>
        </w:tblCellMar>
      </w:tblPr>
      <w:tblGrid>
        <w:gridCol w:w="883"/>
        <w:gridCol w:w="1949"/>
        <w:gridCol w:w="1674"/>
        <w:gridCol w:w="744"/>
        <w:gridCol w:w="1847"/>
        <w:gridCol w:w="1635"/>
      </w:tblGrid>
      <w:tr>
        <w:tblPrEx>
          <w:tblCellMar>
            <w:top w:w="0" w:type="dxa"/>
            <w:left w:w="108" w:type="dxa"/>
            <w:bottom w:w="0" w:type="dxa"/>
            <w:right w:w="108" w:type="dxa"/>
          </w:tblCellMar>
        </w:tblPrEx>
        <w:trPr>
          <w:trHeight w:val="20" w:hRule="atLeast"/>
          <w:jc w:val="center"/>
        </w:trPr>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210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87"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c>
          <w:tcPr>
            <w:tcW w:w="77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1995"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44"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bl>
    <w:p>
      <w:pPr>
        <w:pStyle w:val="37"/>
        <w:rPr>
          <w:rFonts w:ascii="Times New Roman" w:hAnsi="Times New Roman" w:cs="Times New Roman"/>
        </w:rPr>
      </w:pPr>
      <w:bookmarkStart w:id="343" w:name="_Ref15983548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69</w:t>
      </w:r>
      <w:r>
        <w:rPr>
          <w:rFonts w:ascii="Times New Roman" w:hAnsi="Times New Roman" w:cs="Times New Roman"/>
        </w:rPr>
        <w:fldChar w:fldCharType="end"/>
      </w:r>
      <w:bookmarkEnd w:id="343"/>
      <w:r>
        <w:rPr>
          <w:rFonts w:ascii="Times New Roman" w:hAnsi="Times New Roman" w:cs="Times New Roman"/>
        </w:rPr>
        <w:t xml:space="preserve">   各风向下H</w:t>
      </w:r>
      <w:r>
        <w:rPr>
          <w:rFonts w:ascii="Times New Roman" w:hAnsi="Times New Roman" w:cs="Times New Roman"/>
          <w:vertAlign w:val="subscript"/>
        </w:rPr>
        <w:t>2</w:t>
      </w:r>
      <w:r>
        <w:rPr>
          <w:rFonts w:ascii="Times New Roman" w:hAnsi="Times New Roman" w:cs="Times New Roman"/>
        </w:rPr>
        <w:t>S毒性终点浓度2最大影响距离</w:t>
      </w:r>
    </w:p>
    <w:tbl>
      <w:tblPr>
        <w:tblStyle w:val="28"/>
        <w:tblW w:w="5123" w:type="pct"/>
        <w:jc w:val="center"/>
        <w:tblLayout w:type="autofit"/>
        <w:tblCellMar>
          <w:top w:w="0" w:type="dxa"/>
          <w:left w:w="108" w:type="dxa"/>
          <w:bottom w:w="0" w:type="dxa"/>
          <w:right w:w="108" w:type="dxa"/>
        </w:tblCellMar>
      </w:tblPr>
      <w:tblGrid>
        <w:gridCol w:w="883"/>
        <w:gridCol w:w="1949"/>
        <w:gridCol w:w="1674"/>
        <w:gridCol w:w="744"/>
        <w:gridCol w:w="1847"/>
        <w:gridCol w:w="1635"/>
      </w:tblGrid>
      <w:tr>
        <w:tblPrEx>
          <w:tblCellMar>
            <w:top w:w="0" w:type="dxa"/>
            <w:left w:w="108" w:type="dxa"/>
            <w:bottom w:w="0" w:type="dxa"/>
            <w:right w:w="108" w:type="dxa"/>
          </w:tblCellMar>
        </w:tblPrEx>
        <w:trPr>
          <w:trHeight w:val="20" w:hRule="atLeast"/>
          <w:tblHeader/>
          <w:jc w:val="center"/>
        </w:trPr>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210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87"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c>
          <w:tcPr>
            <w:tcW w:w="778"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风向</w:t>
            </w:r>
          </w:p>
        </w:tc>
        <w:tc>
          <w:tcPr>
            <w:tcW w:w="1995"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最大影响距离/m</w:t>
            </w:r>
          </w:p>
        </w:tc>
        <w:tc>
          <w:tcPr>
            <w:tcW w:w="1744" w:type="dxa"/>
            <w:tcBorders>
              <w:top w:val="single" w:color="auto" w:sz="4" w:space="0"/>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到达时间/min</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r>
        <w:tblPrEx>
          <w:tblCellMar>
            <w:top w:w="0" w:type="dxa"/>
            <w:left w:w="108" w:type="dxa"/>
            <w:bottom w:w="0" w:type="dxa"/>
            <w:right w:w="108" w:type="dxa"/>
          </w:tblCellMar>
        </w:tblPrEx>
        <w:trPr>
          <w:trHeight w:val="20" w:hRule="atLeast"/>
          <w:jc w:val="center"/>
        </w:trPr>
        <w:tc>
          <w:tcPr>
            <w:tcW w:w="931" w:type="dxa"/>
            <w:tcBorders>
              <w:top w:val="nil"/>
              <w:left w:val="single" w:color="auto" w:sz="4" w:space="0"/>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东南</w:t>
            </w:r>
          </w:p>
        </w:tc>
        <w:tc>
          <w:tcPr>
            <w:tcW w:w="210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87"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778"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西北</w:t>
            </w:r>
          </w:p>
        </w:tc>
        <w:tc>
          <w:tcPr>
            <w:tcW w:w="1995"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c>
          <w:tcPr>
            <w:tcW w:w="1744" w:type="dxa"/>
            <w:tcBorders>
              <w:top w:val="nil"/>
              <w:left w:val="nil"/>
              <w:bottom w:val="single" w:color="auto" w:sz="4" w:space="0"/>
              <w:right w:val="single" w:color="auto" w:sz="4" w:space="0"/>
            </w:tcBorders>
            <w:shd w:val="clear" w:color="auto" w:fill="auto"/>
            <w:vAlign w:val="center"/>
          </w:tcPr>
          <w:p>
            <w:pPr>
              <w:pStyle w:val="39"/>
              <w:rPr>
                <w:rFonts w:ascii="Times New Roman" w:hAnsi="Times New Roman"/>
              </w:rPr>
            </w:pPr>
            <w:r>
              <w:rPr>
                <w:rFonts w:ascii="Times New Roman" w:hAnsi="Times New Roman"/>
              </w:rPr>
              <w:t>-</w:t>
            </w:r>
          </w:p>
        </w:tc>
      </w:tr>
    </w:tbl>
    <w:p>
      <w:pPr>
        <w:pStyle w:val="37"/>
        <w:rPr>
          <w:rFonts w:ascii="Times New Roman" w:hAnsi="Times New Roman" w:cs="Times New Roman"/>
        </w:rPr>
      </w:pPr>
      <w:bookmarkStart w:id="344" w:name="_Ref159835490"/>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70</w:t>
      </w:r>
      <w:r>
        <w:rPr>
          <w:rFonts w:ascii="Times New Roman" w:hAnsi="Times New Roman" w:cs="Times New Roman"/>
        </w:rPr>
        <w:fldChar w:fldCharType="end"/>
      </w:r>
      <w:bookmarkEnd w:id="344"/>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S扩散后果预测统计表</w:t>
      </w:r>
    </w:p>
    <w:tbl>
      <w:tblPr>
        <w:tblStyle w:val="28"/>
        <w:tblW w:w="53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0"/>
        <w:gridCol w:w="1944"/>
        <w:gridCol w:w="922"/>
        <w:gridCol w:w="1090"/>
        <w:gridCol w:w="870"/>
        <w:gridCol w:w="1850"/>
        <w:gridCol w:w="1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vMerge w:val="restart"/>
            <w:shd w:val="clear" w:color="auto" w:fill="auto"/>
            <w:vAlign w:val="center"/>
          </w:tcPr>
          <w:p>
            <w:pPr>
              <w:pStyle w:val="39"/>
              <w:rPr>
                <w:rFonts w:ascii="Times New Roman" w:hAnsi="Times New Roman"/>
              </w:rPr>
            </w:pPr>
            <w:r>
              <w:rPr>
                <w:rFonts w:ascii="Times New Roman" w:hAnsi="Times New Roman"/>
              </w:rPr>
              <w:t>序号</w:t>
            </w:r>
          </w:p>
        </w:tc>
        <w:tc>
          <w:tcPr>
            <w:tcW w:w="2126" w:type="dxa"/>
            <w:vMerge w:val="restart"/>
            <w:shd w:val="clear" w:color="auto" w:fill="auto"/>
            <w:vAlign w:val="center"/>
          </w:tcPr>
          <w:p>
            <w:pPr>
              <w:pStyle w:val="39"/>
              <w:rPr>
                <w:rFonts w:ascii="Times New Roman" w:hAnsi="Times New Roman"/>
              </w:rPr>
            </w:pPr>
            <w:r>
              <w:rPr>
                <w:rFonts w:ascii="Times New Roman" w:hAnsi="Times New Roman"/>
              </w:rPr>
              <w:t>项目内容</w:t>
            </w:r>
          </w:p>
        </w:tc>
        <w:tc>
          <w:tcPr>
            <w:tcW w:w="933" w:type="dxa"/>
            <w:vMerge w:val="restart"/>
            <w:shd w:val="clear" w:color="auto" w:fill="auto"/>
            <w:vAlign w:val="center"/>
          </w:tcPr>
          <w:p>
            <w:pPr>
              <w:pStyle w:val="39"/>
              <w:rPr>
                <w:rFonts w:ascii="Times New Roman" w:hAnsi="Times New Roman"/>
              </w:rPr>
            </w:pPr>
            <w:r>
              <w:rPr>
                <w:rFonts w:ascii="Times New Roman" w:hAnsi="Times New Roman"/>
              </w:rPr>
              <w:t>浓度值/mg/m</w:t>
            </w:r>
            <w:r>
              <w:rPr>
                <w:rFonts w:ascii="Times New Roman" w:hAnsi="Times New Roman"/>
                <w:vertAlign w:val="superscript"/>
              </w:rPr>
              <w:t>3</w:t>
            </w:r>
          </w:p>
        </w:tc>
        <w:tc>
          <w:tcPr>
            <w:tcW w:w="1168" w:type="dxa"/>
            <w:vMerge w:val="restart"/>
            <w:shd w:val="clear" w:color="auto" w:fill="auto"/>
            <w:vAlign w:val="center"/>
          </w:tcPr>
          <w:p>
            <w:pPr>
              <w:pStyle w:val="39"/>
              <w:rPr>
                <w:rFonts w:ascii="Times New Roman" w:hAnsi="Times New Roman"/>
              </w:rPr>
            </w:pPr>
            <w:r>
              <w:rPr>
                <w:rFonts w:ascii="Times New Roman" w:hAnsi="Times New Roman"/>
              </w:rPr>
              <w:t>最远影响距离/m</w:t>
            </w:r>
          </w:p>
        </w:tc>
        <w:tc>
          <w:tcPr>
            <w:tcW w:w="902" w:type="dxa"/>
            <w:vMerge w:val="restart"/>
            <w:shd w:val="clear" w:color="auto" w:fill="auto"/>
            <w:vAlign w:val="center"/>
          </w:tcPr>
          <w:p>
            <w:pPr>
              <w:pStyle w:val="39"/>
              <w:rPr>
                <w:rFonts w:ascii="Times New Roman" w:hAnsi="Times New Roman"/>
              </w:rPr>
            </w:pPr>
            <w:r>
              <w:rPr>
                <w:rFonts w:ascii="Times New Roman" w:hAnsi="Times New Roman"/>
              </w:rPr>
              <w:t>到达时间/min</w:t>
            </w:r>
          </w:p>
        </w:tc>
        <w:tc>
          <w:tcPr>
            <w:tcW w:w="3981" w:type="dxa"/>
            <w:gridSpan w:val="2"/>
            <w:vAlign w:val="center"/>
          </w:tcPr>
          <w:p>
            <w:pPr>
              <w:pStyle w:val="39"/>
              <w:rPr>
                <w:rFonts w:ascii="Times New Roman" w:hAnsi="Times New Roman"/>
              </w:rPr>
            </w:pPr>
            <w:r>
              <w:rPr>
                <w:rFonts w:ascii="Times New Roman" w:hAnsi="Times New Roman"/>
                <w:vertAlign w:val="superscript"/>
              </w:rPr>
              <w:t>*</w:t>
            </w:r>
            <w:r>
              <w:rPr>
                <w:rFonts w:ascii="Times New Roman" w:hAnsi="Times New Roman"/>
              </w:rPr>
              <w:t>最长持续超标时间对应点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vMerge w:val="continue"/>
            <w:shd w:val="clear" w:color="auto" w:fill="auto"/>
            <w:vAlign w:val="center"/>
          </w:tcPr>
          <w:p>
            <w:pPr>
              <w:adjustRightInd w:val="0"/>
              <w:spacing w:line="240" w:lineRule="auto"/>
              <w:ind w:firstLine="480"/>
              <w:rPr>
                <w:rFonts w:ascii="Times New Roman" w:hAnsi="Times New Roman"/>
              </w:rPr>
            </w:pPr>
          </w:p>
        </w:tc>
        <w:tc>
          <w:tcPr>
            <w:tcW w:w="2126" w:type="dxa"/>
            <w:vMerge w:val="continue"/>
            <w:shd w:val="clear" w:color="auto" w:fill="auto"/>
            <w:vAlign w:val="center"/>
          </w:tcPr>
          <w:p>
            <w:pPr>
              <w:adjustRightInd w:val="0"/>
              <w:spacing w:line="240" w:lineRule="auto"/>
              <w:ind w:firstLine="480"/>
              <w:rPr>
                <w:rFonts w:ascii="Times New Roman" w:hAnsi="Times New Roman"/>
              </w:rPr>
            </w:pPr>
          </w:p>
        </w:tc>
        <w:tc>
          <w:tcPr>
            <w:tcW w:w="933" w:type="dxa"/>
            <w:vMerge w:val="continue"/>
            <w:shd w:val="clear" w:color="auto" w:fill="auto"/>
            <w:vAlign w:val="center"/>
          </w:tcPr>
          <w:p>
            <w:pPr>
              <w:adjustRightInd w:val="0"/>
              <w:spacing w:line="240" w:lineRule="auto"/>
              <w:ind w:firstLine="480"/>
              <w:rPr>
                <w:rFonts w:ascii="Times New Roman" w:hAnsi="Times New Roman"/>
              </w:rPr>
            </w:pPr>
          </w:p>
        </w:tc>
        <w:tc>
          <w:tcPr>
            <w:tcW w:w="1168" w:type="dxa"/>
            <w:vMerge w:val="continue"/>
            <w:shd w:val="clear" w:color="auto" w:fill="auto"/>
            <w:vAlign w:val="center"/>
          </w:tcPr>
          <w:p>
            <w:pPr>
              <w:adjustRightInd w:val="0"/>
              <w:spacing w:line="240" w:lineRule="auto"/>
              <w:ind w:firstLine="480"/>
              <w:rPr>
                <w:rFonts w:ascii="Times New Roman" w:hAnsi="Times New Roman"/>
              </w:rPr>
            </w:pPr>
          </w:p>
        </w:tc>
        <w:tc>
          <w:tcPr>
            <w:tcW w:w="902" w:type="dxa"/>
            <w:vMerge w:val="continue"/>
            <w:shd w:val="clear" w:color="auto" w:fill="auto"/>
            <w:vAlign w:val="center"/>
          </w:tcPr>
          <w:p>
            <w:pPr>
              <w:adjustRightInd w:val="0"/>
              <w:spacing w:line="240" w:lineRule="auto"/>
              <w:ind w:firstLine="480"/>
              <w:rPr>
                <w:rFonts w:ascii="Times New Roman" w:hAnsi="Times New Roman"/>
              </w:rPr>
            </w:pPr>
          </w:p>
        </w:tc>
        <w:tc>
          <w:tcPr>
            <w:tcW w:w="2000" w:type="dxa"/>
            <w:vAlign w:val="center"/>
          </w:tcPr>
          <w:p>
            <w:pPr>
              <w:pStyle w:val="39"/>
              <w:rPr>
                <w:rFonts w:ascii="Times New Roman" w:hAnsi="Times New Roman"/>
              </w:rPr>
            </w:pPr>
            <w:r>
              <w:rPr>
                <w:rFonts w:ascii="Times New Roman" w:hAnsi="Times New Roman"/>
              </w:rPr>
              <w:t>超标持续时间/min</w:t>
            </w:r>
          </w:p>
        </w:tc>
        <w:tc>
          <w:tcPr>
            <w:tcW w:w="1981" w:type="dxa"/>
            <w:vAlign w:val="center"/>
          </w:tcPr>
          <w:p>
            <w:pPr>
              <w:pStyle w:val="39"/>
              <w:rPr>
                <w:rFonts w:ascii="Times New Roman" w:hAnsi="Times New Roman"/>
              </w:rPr>
            </w:pPr>
            <w:r>
              <w:rPr>
                <w:rFonts w:ascii="Times New Roman" w:hAnsi="Times New Roman"/>
              </w:rPr>
              <w:t>相对风险源距离/m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shd w:val="clear" w:color="auto" w:fill="auto"/>
            <w:vAlign w:val="center"/>
          </w:tcPr>
          <w:p>
            <w:pPr>
              <w:pStyle w:val="39"/>
              <w:rPr>
                <w:rFonts w:ascii="Times New Roman" w:hAnsi="Times New Roman"/>
              </w:rPr>
            </w:pPr>
            <w:r>
              <w:rPr>
                <w:rFonts w:ascii="Times New Roman" w:hAnsi="Times New Roman"/>
              </w:rPr>
              <w:t>1</w:t>
            </w:r>
          </w:p>
        </w:tc>
        <w:tc>
          <w:tcPr>
            <w:tcW w:w="2126" w:type="dxa"/>
            <w:shd w:val="clear" w:color="auto" w:fill="auto"/>
            <w:vAlign w:val="center"/>
          </w:tcPr>
          <w:p>
            <w:pPr>
              <w:pStyle w:val="39"/>
              <w:rPr>
                <w:rFonts w:ascii="Times New Roman" w:hAnsi="Times New Roman"/>
              </w:rPr>
            </w:pPr>
            <w:r>
              <w:rPr>
                <w:rFonts w:ascii="Times New Roman" w:hAnsi="Times New Roman"/>
              </w:rPr>
              <w:t>大气毒性终点浓度-1</w:t>
            </w:r>
          </w:p>
        </w:tc>
        <w:tc>
          <w:tcPr>
            <w:tcW w:w="933" w:type="dxa"/>
            <w:shd w:val="clear" w:color="auto" w:fill="auto"/>
          </w:tcPr>
          <w:p>
            <w:pPr>
              <w:pStyle w:val="39"/>
              <w:rPr>
                <w:rFonts w:ascii="Times New Roman" w:hAnsi="Times New Roman"/>
              </w:rPr>
            </w:pPr>
            <w:r>
              <w:rPr>
                <w:rFonts w:ascii="Times New Roman" w:hAnsi="Times New Roman"/>
              </w:rPr>
              <w:t>-</w:t>
            </w:r>
          </w:p>
        </w:tc>
        <w:tc>
          <w:tcPr>
            <w:tcW w:w="1168" w:type="dxa"/>
            <w:shd w:val="clear" w:color="auto" w:fill="auto"/>
          </w:tcPr>
          <w:p>
            <w:pPr>
              <w:pStyle w:val="39"/>
              <w:rPr>
                <w:rFonts w:ascii="Times New Roman" w:hAnsi="Times New Roman"/>
              </w:rPr>
            </w:pPr>
            <w:r>
              <w:rPr>
                <w:rFonts w:ascii="Times New Roman" w:hAnsi="Times New Roman"/>
              </w:rPr>
              <w:t>-</w:t>
            </w:r>
          </w:p>
        </w:tc>
        <w:tc>
          <w:tcPr>
            <w:tcW w:w="902" w:type="dxa"/>
            <w:shd w:val="clear" w:color="auto" w:fill="auto"/>
          </w:tcPr>
          <w:p>
            <w:pPr>
              <w:pStyle w:val="39"/>
              <w:rPr>
                <w:rFonts w:ascii="Times New Roman" w:hAnsi="Times New Roman"/>
              </w:rPr>
            </w:pPr>
            <w:r>
              <w:rPr>
                <w:rFonts w:ascii="Times New Roman" w:hAnsi="Times New Roman"/>
              </w:rPr>
              <w:t>-</w:t>
            </w:r>
          </w:p>
        </w:tc>
        <w:tc>
          <w:tcPr>
            <w:tcW w:w="2000" w:type="dxa"/>
          </w:tcPr>
          <w:p>
            <w:pPr>
              <w:pStyle w:val="39"/>
              <w:rPr>
                <w:rFonts w:ascii="Times New Roman" w:hAnsi="Times New Roman"/>
              </w:rPr>
            </w:pPr>
            <w:r>
              <w:rPr>
                <w:rFonts w:ascii="Times New Roman" w:hAnsi="Times New Roman"/>
              </w:rPr>
              <w:t>-</w:t>
            </w:r>
          </w:p>
        </w:tc>
        <w:tc>
          <w:tcPr>
            <w:tcW w:w="1981" w:type="dxa"/>
            <w:shd w:val="clear" w:color="auto" w:fill="auto"/>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6" w:type="dxa"/>
            <w:shd w:val="clear" w:color="auto" w:fill="auto"/>
            <w:vAlign w:val="center"/>
          </w:tcPr>
          <w:p>
            <w:pPr>
              <w:pStyle w:val="39"/>
              <w:rPr>
                <w:rFonts w:ascii="Times New Roman" w:hAnsi="Times New Roman"/>
              </w:rPr>
            </w:pPr>
            <w:r>
              <w:rPr>
                <w:rFonts w:ascii="Times New Roman" w:hAnsi="Times New Roman"/>
              </w:rPr>
              <w:t>2</w:t>
            </w:r>
          </w:p>
        </w:tc>
        <w:tc>
          <w:tcPr>
            <w:tcW w:w="2126" w:type="dxa"/>
            <w:shd w:val="clear" w:color="auto" w:fill="auto"/>
            <w:vAlign w:val="center"/>
          </w:tcPr>
          <w:p>
            <w:pPr>
              <w:pStyle w:val="39"/>
              <w:rPr>
                <w:rFonts w:ascii="Times New Roman" w:hAnsi="Times New Roman"/>
              </w:rPr>
            </w:pPr>
            <w:r>
              <w:rPr>
                <w:rFonts w:ascii="Times New Roman" w:hAnsi="Times New Roman"/>
              </w:rPr>
              <w:t>大气毒性终点浓度-2</w:t>
            </w:r>
          </w:p>
        </w:tc>
        <w:tc>
          <w:tcPr>
            <w:tcW w:w="933" w:type="dxa"/>
            <w:shd w:val="clear" w:color="auto" w:fill="auto"/>
          </w:tcPr>
          <w:p>
            <w:pPr>
              <w:pStyle w:val="39"/>
              <w:rPr>
                <w:rFonts w:ascii="Times New Roman" w:hAnsi="Times New Roman"/>
              </w:rPr>
            </w:pPr>
            <w:r>
              <w:rPr>
                <w:rFonts w:ascii="Times New Roman" w:hAnsi="Times New Roman"/>
              </w:rPr>
              <w:t>-</w:t>
            </w:r>
          </w:p>
        </w:tc>
        <w:tc>
          <w:tcPr>
            <w:tcW w:w="1168" w:type="dxa"/>
            <w:shd w:val="clear" w:color="auto" w:fill="auto"/>
          </w:tcPr>
          <w:p>
            <w:pPr>
              <w:pStyle w:val="39"/>
              <w:rPr>
                <w:rFonts w:ascii="Times New Roman" w:hAnsi="Times New Roman"/>
              </w:rPr>
            </w:pPr>
            <w:r>
              <w:rPr>
                <w:rFonts w:ascii="Times New Roman" w:hAnsi="Times New Roman"/>
              </w:rPr>
              <w:t>-</w:t>
            </w:r>
          </w:p>
        </w:tc>
        <w:tc>
          <w:tcPr>
            <w:tcW w:w="902" w:type="dxa"/>
            <w:shd w:val="clear" w:color="auto" w:fill="auto"/>
          </w:tcPr>
          <w:p>
            <w:pPr>
              <w:pStyle w:val="39"/>
              <w:rPr>
                <w:rFonts w:ascii="Times New Roman" w:hAnsi="Times New Roman"/>
              </w:rPr>
            </w:pPr>
            <w:r>
              <w:rPr>
                <w:rFonts w:ascii="Times New Roman" w:hAnsi="Times New Roman"/>
              </w:rPr>
              <w:t>-</w:t>
            </w:r>
          </w:p>
        </w:tc>
        <w:tc>
          <w:tcPr>
            <w:tcW w:w="2000" w:type="dxa"/>
          </w:tcPr>
          <w:p>
            <w:pPr>
              <w:pStyle w:val="39"/>
              <w:rPr>
                <w:rFonts w:ascii="Times New Roman" w:hAnsi="Times New Roman"/>
              </w:rPr>
            </w:pPr>
            <w:r>
              <w:rPr>
                <w:rFonts w:ascii="Times New Roman" w:hAnsi="Times New Roman"/>
              </w:rPr>
              <w:t>-</w:t>
            </w:r>
          </w:p>
        </w:tc>
        <w:tc>
          <w:tcPr>
            <w:tcW w:w="1981" w:type="dxa"/>
            <w:shd w:val="clear" w:color="auto" w:fill="auto"/>
          </w:tcPr>
          <w:p>
            <w:pPr>
              <w:pStyle w:val="39"/>
              <w:rPr>
                <w:rFonts w:ascii="Times New Roman" w:hAnsi="Times New Roman"/>
              </w:rPr>
            </w:pPr>
            <w:r>
              <w:rPr>
                <w:rFonts w:ascii="Times New Roman" w:hAnsi="Times New Roman"/>
              </w:rPr>
              <w:t>-</w:t>
            </w:r>
          </w:p>
        </w:tc>
      </w:tr>
    </w:tbl>
    <w:p>
      <w:pPr>
        <w:snapToGrid w:val="0"/>
        <w:spacing w:line="240" w:lineRule="auto"/>
        <w:ind w:firstLine="0" w:firstLineChars="0"/>
        <w:rPr>
          <w:rFonts w:ascii="Times New Roman" w:hAnsi="Times New Roman"/>
          <w:sz w:val="18"/>
          <w:szCs w:val="18"/>
        </w:rPr>
      </w:pPr>
      <w:r>
        <w:rPr>
          <w:rFonts w:ascii="Times New Roman" w:hAnsi="Times New Roman"/>
          <w:sz w:val="18"/>
          <w:szCs w:val="18"/>
        </w:rPr>
        <w:t>*注：最长持续时间指在最大浓度出现位置（含敏感目标位置）保持不变的前提下，该位置浓度持续超过大气毒性终点浓度1或大气毒性终点浓度2的时间。</w:t>
      </w:r>
    </w:p>
    <w:p>
      <w:pPr>
        <w:pStyle w:val="37"/>
        <w:rPr>
          <w:rFonts w:ascii="Times New Roman" w:hAnsi="Times New Roman" w:cs="Times New Roman"/>
        </w:rPr>
      </w:pPr>
      <w:bookmarkStart w:id="345" w:name="_Ref15983550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71</w:t>
      </w:r>
      <w:r>
        <w:rPr>
          <w:rFonts w:ascii="Times New Roman" w:hAnsi="Times New Roman" w:cs="Times New Roman"/>
        </w:rPr>
        <w:fldChar w:fldCharType="end"/>
      </w:r>
      <w:bookmarkEnd w:id="345"/>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S扩散不同时刻最大浓度出现时间和距离（部分结果，北风向）</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pStyle w:val="39"/>
              <w:rPr>
                <w:rFonts w:ascii="Times New Roman" w:hAnsi="Times New Roman"/>
              </w:rPr>
            </w:pPr>
            <w:r>
              <w:rPr>
                <w:rFonts w:ascii="Times New Roman" w:hAnsi="Times New Roman"/>
              </w:rPr>
              <w:t>释放后时刻/min</w:t>
            </w:r>
          </w:p>
        </w:tc>
        <w:tc>
          <w:tcPr>
            <w:tcW w:w="1667" w:type="pct"/>
            <w:vAlign w:val="center"/>
          </w:tcPr>
          <w:p>
            <w:pPr>
              <w:pStyle w:val="39"/>
              <w:rPr>
                <w:rFonts w:ascii="Times New Roman" w:hAnsi="Times New Roman"/>
              </w:rPr>
            </w:pPr>
            <w:r>
              <w:rPr>
                <w:rFonts w:ascii="Times New Roman" w:hAnsi="Times New Roman"/>
              </w:rPr>
              <w:t>距源点距离/m</w:t>
            </w:r>
          </w:p>
        </w:tc>
        <w:tc>
          <w:tcPr>
            <w:tcW w:w="1667" w:type="pct"/>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w:t>
            </w:r>
          </w:p>
        </w:tc>
        <w:tc>
          <w:tcPr>
            <w:tcW w:w="1667" w:type="pct"/>
          </w:tcPr>
          <w:p>
            <w:pPr>
              <w:pStyle w:val="39"/>
              <w:rPr>
                <w:rFonts w:ascii="Times New Roman" w:hAnsi="Times New Roman"/>
              </w:rPr>
            </w:pPr>
            <w:r>
              <w:rPr>
                <w:rFonts w:ascii="Times New Roman" w:hAnsi="Times New Roman"/>
              </w:rPr>
              <w:t>0</w:t>
            </w:r>
          </w:p>
        </w:tc>
        <w:tc>
          <w:tcPr>
            <w:tcW w:w="1667" w:type="pct"/>
          </w:tcPr>
          <w:p>
            <w:pPr>
              <w:pStyle w:val="39"/>
              <w:rPr>
                <w:rFonts w:ascii="Times New Roman" w:hAnsi="Times New Roman"/>
              </w:rPr>
            </w:pPr>
            <w:r>
              <w:rPr>
                <w:rFonts w:ascii="Times New Roman" w:hAnsi="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5</w:t>
            </w:r>
          </w:p>
        </w:tc>
        <w:tc>
          <w:tcPr>
            <w:tcW w:w="1667" w:type="pct"/>
          </w:tcPr>
          <w:p>
            <w:pPr>
              <w:pStyle w:val="39"/>
              <w:rPr>
                <w:rFonts w:ascii="Times New Roman" w:hAnsi="Times New Roman"/>
              </w:rPr>
            </w:pPr>
            <w:r>
              <w:rPr>
                <w:rFonts w:ascii="Times New Roman" w:hAnsi="Times New Roman"/>
              </w:rPr>
              <w:t xml:space="preserve">62 </w:t>
            </w:r>
          </w:p>
        </w:tc>
        <w:tc>
          <w:tcPr>
            <w:tcW w:w="1667" w:type="pct"/>
          </w:tcPr>
          <w:p>
            <w:pPr>
              <w:pStyle w:val="39"/>
              <w:rPr>
                <w:rFonts w:ascii="Times New Roman" w:hAnsi="Times New Roman"/>
              </w:rPr>
            </w:pPr>
            <w:r>
              <w:rPr>
                <w:rFonts w:ascii="Times New Roman" w:hAnsi="Times New Roman"/>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10</w:t>
            </w:r>
          </w:p>
        </w:tc>
        <w:tc>
          <w:tcPr>
            <w:tcW w:w="1667" w:type="pct"/>
          </w:tcPr>
          <w:p>
            <w:pPr>
              <w:pStyle w:val="39"/>
              <w:rPr>
                <w:rFonts w:ascii="Times New Roman" w:hAnsi="Times New Roman"/>
              </w:rPr>
            </w:pPr>
            <w:r>
              <w:rPr>
                <w:rFonts w:ascii="Times New Roman" w:hAnsi="Times New Roman"/>
              </w:rPr>
              <w:t xml:space="preserve">62 </w:t>
            </w:r>
          </w:p>
        </w:tc>
        <w:tc>
          <w:tcPr>
            <w:tcW w:w="1667" w:type="pct"/>
          </w:tcPr>
          <w:p>
            <w:pPr>
              <w:pStyle w:val="39"/>
              <w:rPr>
                <w:rFonts w:ascii="Times New Roman" w:hAnsi="Times New Roman"/>
              </w:rPr>
            </w:pPr>
            <w:r>
              <w:rPr>
                <w:rFonts w:ascii="Times New Roman" w:hAnsi="Times New Roman"/>
              </w:rPr>
              <w:t>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15</w:t>
            </w:r>
          </w:p>
        </w:tc>
        <w:tc>
          <w:tcPr>
            <w:tcW w:w="1667" w:type="pct"/>
          </w:tcPr>
          <w:p>
            <w:pPr>
              <w:pStyle w:val="39"/>
              <w:rPr>
                <w:rFonts w:ascii="Times New Roman" w:hAnsi="Times New Roman"/>
              </w:rPr>
            </w:pPr>
            <w:r>
              <w:rPr>
                <w:rFonts w:ascii="Times New Roman" w:hAnsi="Times New Roman"/>
              </w:rPr>
              <w:t xml:space="preserve">62 </w:t>
            </w:r>
          </w:p>
        </w:tc>
        <w:tc>
          <w:tcPr>
            <w:tcW w:w="1667" w:type="pct"/>
          </w:tcPr>
          <w:p>
            <w:pPr>
              <w:pStyle w:val="39"/>
              <w:rPr>
                <w:rFonts w:ascii="Times New Roman" w:hAnsi="Times New Roman"/>
              </w:rPr>
            </w:pPr>
            <w:r>
              <w:rPr>
                <w:rFonts w:ascii="Times New Roman" w:hAnsi="Times New Roman"/>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20</w:t>
            </w:r>
          </w:p>
        </w:tc>
        <w:tc>
          <w:tcPr>
            <w:tcW w:w="1667" w:type="pct"/>
          </w:tcPr>
          <w:p>
            <w:pPr>
              <w:pStyle w:val="39"/>
              <w:rPr>
                <w:rFonts w:ascii="Times New Roman" w:hAnsi="Times New Roman"/>
              </w:rPr>
            </w:pPr>
            <w:r>
              <w:rPr>
                <w:rFonts w:ascii="Times New Roman" w:hAnsi="Times New Roman"/>
              </w:rPr>
              <w:t xml:space="preserve">62 </w:t>
            </w:r>
          </w:p>
        </w:tc>
        <w:tc>
          <w:tcPr>
            <w:tcW w:w="1667" w:type="pct"/>
          </w:tcPr>
          <w:p>
            <w:pPr>
              <w:pStyle w:val="39"/>
              <w:rPr>
                <w:rFonts w:ascii="Times New Roman" w:hAnsi="Times New Roman"/>
              </w:rPr>
            </w:pPr>
            <w:r>
              <w:rPr>
                <w:rFonts w:ascii="Times New Roman" w:hAnsi="Times New Roman"/>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25</w:t>
            </w:r>
          </w:p>
        </w:tc>
        <w:tc>
          <w:tcPr>
            <w:tcW w:w="1667" w:type="pct"/>
          </w:tcPr>
          <w:p>
            <w:pPr>
              <w:pStyle w:val="39"/>
              <w:rPr>
                <w:rFonts w:ascii="Times New Roman" w:hAnsi="Times New Roman"/>
              </w:rPr>
            </w:pPr>
            <w:r>
              <w:rPr>
                <w:rFonts w:ascii="Times New Roman" w:hAnsi="Times New Roman"/>
              </w:rPr>
              <w:t xml:space="preserve">62 </w:t>
            </w:r>
          </w:p>
        </w:tc>
        <w:tc>
          <w:tcPr>
            <w:tcW w:w="1667" w:type="pct"/>
          </w:tcPr>
          <w:p>
            <w:pPr>
              <w:pStyle w:val="39"/>
              <w:rPr>
                <w:rFonts w:ascii="Times New Roman" w:hAnsi="Times New Roman"/>
              </w:rPr>
            </w:pPr>
            <w:r>
              <w:rPr>
                <w:rFonts w:ascii="Times New Roman" w:hAnsi="Times New Roman"/>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30</w:t>
            </w:r>
          </w:p>
        </w:tc>
        <w:tc>
          <w:tcPr>
            <w:tcW w:w="1667" w:type="pct"/>
          </w:tcPr>
          <w:p>
            <w:pPr>
              <w:pStyle w:val="39"/>
              <w:rPr>
                <w:rFonts w:ascii="Times New Roman" w:hAnsi="Times New Roman"/>
              </w:rPr>
            </w:pPr>
            <w:r>
              <w:rPr>
                <w:rFonts w:ascii="Times New Roman" w:hAnsi="Times New Roman"/>
              </w:rPr>
              <w:t xml:space="preserve">62 </w:t>
            </w:r>
          </w:p>
        </w:tc>
        <w:tc>
          <w:tcPr>
            <w:tcW w:w="1667" w:type="pct"/>
          </w:tcPr>
          <w:p>
            <w:pPr>
              <w:pStyle w:val="39"/>
              <w:rPr>
                <w:rFonts w:ascii="Times New Roman" w:hAnsi="Times New Roman"/>
              </w:rPr>
            </w:pPr>
            <w:r>
              <w:rPr>
                <w:rFonts w:ascii="Times New Roman" w:hAnsi="Times New Roman"/>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35</w:t>
            </w:r>
          </w:p>
        </w:tc>
        <w:tc>
          <w:tcPr>
            <w:tcW w:w="1667" w:type="pct"/>
          </w:tcPr>
          <w:p>
            <w:pPr>
              <w:pStyle w:val="39"/>
              <w:rPr>
                <w:rFonts w:ascii="Times New Roman" w:hAnsi="Times New Roman"/>
              </w:rPr>
            </w:pPr>
            <w:r>
              <w:rPr>
                <w:rFonts w:ascii="Times New Roman" w:hAnsi="Times New Roman"/>
              </w:rPr>
              <w:t xml:space="preserve">62 </w:t>
            </w:r>
          </w:p>
        </w:tc>
        <w:tc>
          <w:tcPr>
            <w:tcW w:w="1667" w:type="pct"/>
          </w:tcPr>
          <w:p>
            <w:pPr>
              <w:pStyle w:val="39"/>
              <w:rPr>
                <w:rFonts w:ascii="Times New Roman" w:hAnsi="Times New Roman"/>
              </w:rPr>
            </w:pPr>
            <w:r>
              <w:rPr>
                <w:rFonts w:ascii="Times New Roman" w:hAnsi="Times New Roman"/>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40</w:t>
            </w:r>
          </w:p>
        </w:tc>
        <w:tc>
          <w:tcPr>
            <w:tcW w:w="1667" w:type="pct"/>
          </w:tcPr>
          <w:p>
            <w:pPr>
              <w:pStyle w:val="39"/>
              <w:rPr>
                <w:rFonts w:ascii="Times New Roman" w:hAnsi="Times New Roman"/>
              </w:rPr>
            </w:pPr>
            <w:r>
              <w:rPr>
                <w:rFonts w:ascii="Times New Roman" w:hAnsi="Times New Roman"/>
              </w:rPr>
              <w:t xml:space="preserve">62 </w:t>
            </w:r>
          </w:p>
        </w:tc>
        <w:tc>
          <w:tcPr>
            <w:tcW w:w="1667" w:type="pct"/>
          </w:tcPr>
          <w:p>
            <w:pPr>
              <w:pStyle w:val="39"/>
              <w:rPr>
                <w:rFonts w:ascii="Times New Roman" w:hAnsi="Times New Roman"/>
              </w:rPr>
            </w:pPr>
            <w:r>
              <w:rPr>
                <w:rFonts w:ascii="Times New Roman" w:hAnsi="Times New Roman"/>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66" w:type="pct"/>
          </w:tcPr>
          <w:p>
            <w:pPr>
              <w:pStyle w:val="39"/>
              <w:rPr>
                <w:rFonts w:ascii="Times New Roman" w:hAnsi="Times New Roman"/>
              </w:rPr>
            </w:pPr>
            <w:r>
              <w:rPr>
                <w:rFonts w:ascii="Times New Roman" w:hAnsi="Times New Roman"/>
              </w:rPr>
              <w:t>45</w:t>
            </w:r>
          </w:p>
        </w:tc>
        <w:tc>
          <w:tcPr>
            <w:tcW w:w="1667" w:type="pct"/>
          </w:tcPr>
          <w:p>
            <w:pPr>
              <w:pStyle w:val="39"/>
              <w:rPr>
                <w:rFonts w:ascii="Times New Roman" w:hAnsi="Times New Roman"/>
              </w:rPr>
            </w:pPr>
            <w:r>
              <w:rPr>
                <w:rFonts w:ascii="Times New Roman" w:hAnsi="Times New Roman"/>
              </w:rPr>
              <w:t xml:space="preserve">62 </w:t>
            </w:r>
          </w:p>
        </w:tc>
        <w:tc>
          <w:tcPr>
            <w:tcW w:w="1667" w:type="pct"/>
          </w:tcPr>
          <w:p>
            <w:pPr>
              <w:pStyle w:val="39"/>
              <w:rPr>
                <w:rFonts w:ascii="Times New Roman" w:hAnsi="Times New Roman"/>
              </w:rPr>
            </w:pPr>
            <w:r>
              <w:rPr>
                <w:rFonts w:ascii="Times New Roman" w:hAnsi="Times New Roman"/>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50</w:t>
            </w:r>
          </w:p>
        </w:tc>
        <w:tc>
          <w:tcPr>
            <w:tcW w:w="1667" w:type="pct"/>
          </w:tcPr>
          <w:p>
            <w:pPr>
              <w:pStyle w:val="39"/>
              <w:rPr>
                <w:rFonts w:ascii="Times New Roman" w:hAnsi="Times New Roman"/>
              </w:rPr>
            </w:pPr>
            <w:r>
              <w:rPr>
                <w:rFonts w:ascii="Times New Roman" w:hAnsi="Times New Roman"/>
              </w:rPr>
              <w:t xml:space="preserve">62 </w:t>
            </w:r>
          </w:p>
        </w:tc>
        <w:tc>
          <w:tcPr>
            <w:tcW w:w="1667" w:type="pct"/>
          </w:tcPr>
          <w:p>
            <w:pPr>
              <w:pStyle w:val="39"/>
              <w:rPr>
                <w:rFonts w:ascii="Times New Roman" w:hAnsi="Times New Roman"/>
              </w:rPr>
            </w:pPr>
            <w:r>
              <w:rPr>
                <w:rFonts w:ascii="Times New Roman" w:hAnsi="Times New Roman"/>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60</w:t>
            </w:r>
          </w:p>
        </w:tc>
        <w:tc>
          <w:tcPr>
            <w:tcW w:w="1667" w:type="pct"/>
          </w:tcPr>
          <w:p>
            <w:pPr>
              <w:pStyle w:val="39"/>
              <w:rPr>
                <w:rFonts w:ascii="Times New Roman" w:hAnsi="Times New Roman"/>
              </w:rPr>
            </w:pPr>
            <w:r>
              <w:rPr>
                <w:rFonts w:ascii="Times New Roman" w:hAnsi="Times New Roman"/>
              </w:rPr>
              <w:t xml:space="preserve">62 </w:t>
            </w:r>
          </w:p>
        </w:tc>
        <w:tc>
          <w:tcPr>
            <w:tcW w:w="1667" w:type="pct"/>
          </w:tcPr>
          <w:p>
            <w:pPr>
              <w:pStyle w:val="39"/>
              <w:rPr>
                <w:rFonts w:ascii="Times New Roman" w:hAnsi="Times New Roman"/>
              </w:rPr>
            </w:pPr>
            <w:r>
              <w:rPr>
                <w:rFonts w:ascii="Times New Roman" w:hAnsi="Times New Roman"/>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70</w:t>
            </w:r>
          </w:p>
        </w:tc>
        <w:tc>
          <w:tcPr>
            <w:tcW w:w="1667" w:type="pct"/>
          </w:tcPr>
          <w:p>
            <w:pPr>
              <w:pStyle w:val="39"/>
              <w:rPr>
                <w:rFonts w:ascii="Times New Roman" w:hAnsi="Times New Roman"/>
              </w:rPr>
            </w:pPr>
            <w:r>
              <w:rPr>
                <w:rFonts w:ascii="Times New Roman" w:hAnsi="Times New Roman"/>
              </w:rPr>
              <w:t xml:space="preserve">413 </w:t>
            </w:r>
          </w:p>
        </w:tc>
        <w:tc>
          <w:tcPr>
            <w:tcW w:w="1667" w:type="pct"/>
          </w:tcPr>
          <w:p>
            <w:pPr>
              <w:pStyle w:val="39"/>
              <w:rPr>
                <w:rFonts w:ascii="Times New Roman" w:hAnsi="Times New Roman"/>
              </w:rPr>
            </w:pPr>
            <w:r>
              <w:rPr>
                <w:rFonts w:ascii="Times New Roman" w:hAnsi="Times New Roman"/>
              </w:rPr>
              <w:t>2.54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80</w:t>
            </w:r>
          </w:p>
        </w:tc>
        <w:tc>
          <w:tcPr>
            <w:tcW w:w="1667" w:type="pct"/>
          </w:tcPr>
          <w:p>
            <w:pPr>
              <w:pStyle w:val="39"/>
              <w:rPr>
                <w:rFonts w:ascii="Times New Roman" w:hAnsi="Times New Roman"/>
              </w:rPr>
            </w:pPr>
            <w:r>
              <w:rPr>
                <w:rFonts w:ascii="Times New Roman" w:hAnsi="Times New Roman"/>
              </w:rPr>
              <w:t>1350</w:t>
            </w:r>
          </w:p>
        </w:tc>
        <w:tc>
          <w:tcPr>
            <w:tcW w:w="1667" w:type="pct"/>
          </w:tcPr>
          <w:p>
            <w:pPr>
              <w:pStyle w:val="39"/>
              <w:rPr>
                <w:rFonts w:ascii="Times New Roman" w:hAnsi="Times New Roman"/>
              </w:rPr>
            </w:pPr>
            <w:r>
              <w:rPr>
                <w:rFonts w:ascii="Times New Roman" w:hAnsi="Times New Roman"/>
              </w:rPr>
              <w:t>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90</w:t>
            </w:r>
          </w:p>
        </w:tc>
        <w:tc>
          <w:tcPr>
            <w:tcW w:w="1667" w:type="pct"/>
          </w:tcPr>
          <w:p>
            <w:pPr>
              <w:pStyle w:val="39"/>
              <w:rPr>
                <w:rFonts w:ascii="Times New Roman" w:hAnsi="Times New Roman"/>
              </w:rPr>
            </w:pPr>
            <w:r>
              <w:rPr>
                <w:rFonts w:ascii="Times New Roman" w:hAnsi="Times New Roman"/>
              </w:rPr>
              <w:t>1510</w:t>
            </w:r>
          </w:p>
        </w:tc>
        <w:tc>
          <w:tcPr>
            <w:tcW w:w="1667" w:type="pct"/>
          </w:tcPr>
          <w:p>
            <w:pPr>
              <w:pStyle w:val="39"/>
              <w:rPr>
                <w:rFonts w:ascii="Times New Roman" w:hAnsi="Times New Roman"/>
              </w:rPr>
            </w:pPr>
            <w:r>
              <w:rPr>
                <w:rFonts w:ascii="Times New Roman" w:hAnsi="Times New Roman"/>
              </w:rPr>
              <w:t>0.127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100</w:t>
            </w:r>
          </w:p>
        </w:tc>
        <w:tc>
          <w:tcPr>
            <w:tcW w:w="1667" w:type="pct"/>
          </w:tcPr>
          <w:p>
            <w:pPr>
              <w:pStyle w:val="39"/>
              <w:rPr>
                <w:rFonts w:ascii="Times New Roman" w:hAnsi="Times New Roman"/>
              </w:rPr>
            </w:pPr>
            <w:r>
              <w:rPr>
                <w:rFonts w:ascii="Times New Roman" w:hAnsi="Times New Roman"/>
              </w:rPr>
              <w:t>1510</w:t>
            </w:r>
          </w:p>
        </w:tc>
        <w:tc>
          <w:tcPr>
            <w:tcW w:w="1667" w:type="pct"/>
          </w:tcPr>
          <w:p>
            <w:pPr>
              <w:pStyle w:val="39"/>
              <w:rPr>
                <w:rFonts w:ascii="Times New Roman" w:hAnsi="Times New Roman"/>
              </w:rPr>
            </w:pPr>
            <w:r>
              <w:rPr>
                <w:rFonts w:ascii="Times New Roman" w:hAnsi="Times New Roman"/>
              </w:rPr>
              <w:t>0.118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110</w:t>
            </w:r>
          </w:p>
        </w:tc>
        <w:tc>
          <w:tcPr>
            <w:tcW w:w="1667" w:type="pct"/>
          </w:tcPr>
          <w:p>
            <w:pPr>
              <w:pStyle w:val="39"/>
              <w:rPr>
                <w:rFonts w:ascii="Times New Roman" w:hAnsi="Times New Roman"/>
              </w:rPr>
            </w:pPr>
            <w:r>
              <w:rPr>
                <w:rFonts w:ascii="Times New Roman" w:hAnsi="Times New Roman"/>
              </w:rPr>
              <w:t>1510</w:t>
            </w:r>
          </w:p>
        </w:tc>
        <w:tc>
          <w:tcPr>
            <w:tcW w:w="1667" w:type="pct"/>
          </w:tcPr>
          <w:p>
            <w:pPr>
              <w:pStyle w:val="39"/>
              <w:rPr>
                <w:rFonts w:ascii="Times New Roman" w:hAnsi="Times New Roman"/>
              </w:rPr>
            </w:pPr>
            <w:r>
              <w:rPr>
                <w:rFonts w:ascii="Times New Roman" w:hAnsi="Times New Roman"/>
              </w:rPr>
              <w:t>0.108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39"/>
              <w:rPr>
                <w:rFonts w:ascii="Times New Roman" w:hAnsi="Times New Roman"/>
              </w:rPr>
            </w:pPr>
            <w:r>
              <w:rPr>
                <w:rFonts w:ascii="Times New Roman" w:hAnsi="Times New Roman"/>
              </w:rPr>
              <w:t>120</w:t>
            </w:r>
          </w:p>
        </w:tc>
        <w:tc>
          <w:tcPr>
            <w:tcW w:w="1667" w:type="pct"/>
          </w:tcPr>
          <w:p>
            <w:pPr>
              <w:pStyle w:val="39"/>
              <w:rPr>
                <w:rFonts w:ascii="Times New Roman" w:hAnsi="Times New Roman"/>
              </w:rPr>
            </w:pPr>
            <w:r>
              <w:rPr>
                <w:rFonts w:ascii="Times New Roman" w:hAnsi="Times New Roman"/>
              </w:rPr>
              <w:t>1510</w:t>
            </w:r>
          </w:p>
        </w:tc>
        <w:tc>
          <w:tcPr>
            <w:tcW w:w="1667" w:type="pct"/>
          </w:tcPr>
          <w:p>
            <w:pPr>
              <w:pStyle w:val="39"/>
              <w:rPr>
                <w:rFonts w:ascii="Times New Roman" w:hAnsi="Times New Roman"/>
              </w:rPr>
            </w:pPr>
            <w:r>
              <w:rPr>
                <w:rFonts w:ascii="Times New Roman" w:hAnsi="Times New Roman"/>
              </w:rPr>
              <w:t>0.0976</w:t>
            </w:r>
          </w:p>
        </w:tc>
      </w:tr>
    </w:tbl>
    <w:p>
      <w:pPr>
        <w:pStyle w:val="37"/>
        <w:rPr>
          <w:rFonts w:ascii="Times New Roman" w:hAnsi="Times New Roman" w:cs="Times New Roman"/>
        </w:rPr>
      </w:pPr>
      <w:bookmarkStart w:id="346" w:name="_Ref15983550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72</w:t>
      </w:r>
      <w:r>
        <w:rPr>
          <w:rFonts w:ascii="Times New Roman" w:hAnsi="Times New Roman" w:cs="Times New Roman"/>
        </w:rPr>
        <w:fldChar w:fldCharType="end"/>
      </w:r>
      <w:bookmarkEnd w:id="346"/>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S扩散不同距离下的最大浓度及到达时间（部分结果，北风向）</w:t>
      </w:r>
    </w:p>
    <w:tbl>
      <w:tblPr>
        <w:tblStyle w:val="28"/>
        <w:tblW w:w="90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24"/>
        <w:gridCol w:w="3058"/>
        <w:gridCol w:w="30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距离/m</w:t>
            </w:r>
          </w:p>
        </w:tc>
        <w:tc>
          <w:tcPr>
            <w:tcW w:w="3058" w:type="dxa"/>
            <w:noWrap/>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p>
        </w:tc>
        <w:tc>
          <w:tcPr>
            <w:tcW w:w="3003" w:type="dxa"/>
            <w:noWrap/>
            <w:vAlign w:val="center"/>
          </w:tcPr>
          <w:p>
            <w:pPr>
              <w:pStyle w:val="39"/>
              <w:rPr>
                <w:rFonts w:ascii="Times New Roman" w:hAnsi="Times New Roman"/>
              </w:rPr>
            </w:pPr>
            <w:r>
              <w:rPr>
                <w:rFonts w:ascii="Times New Roman" w:hAnsi="Times New Roman"/>
              </w:rPr>
              <w:t>到达时间/min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10</w:t>
            </w:r>
          </w:p>
        </w:tc>
        <w:tc>
          <w:tcPr>
            <w:tcW w:w="3058" w:type="dxa"/>
            <w:noWrap/>
            <w:vAlign w:val="center"/>
          </w:tcPr>
          <w:p>
            <w:pPr>
              <w:pStyle w:val="39"/>
              <w:rPr>
                <w:rFonts w:ascii="Times New Roman" w:hAnsi="Times New Roman"/>
              </w:rPr>
            </w:pPr>
            <w:r>
              <w:rPr>
                <w:rFonts w:ascii="Times New Roman" w:hAnsi="Times New Roman"/>
              </w:rPr>
              <w:t>5.71</w:t>
            </w:r>
          </w:p>
        </w:tc>
        <w:tc>
          <w:tcPr>
            <w:tcW w:w="3003" w:type="dxa"/>
            <w:noWrap/>
            <w:vAlign w:val="center"/>
          </w:tcPr>
          <w:p>
            <w:pPr>
              <w:pStyle w:val="39"/>
              <w:rPr>
                <w:rFonts w:ascii="Times New Roman" w:hAnsi="Times New Roman"/>
              </w:rPr>
            </w:pPr>
            <w:r>
              <w:rPr>
                <w:rFonts w:ascii="Times New Roman" w:hAnsi="Times New Roma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50</w:t>
            </w:r>
          </w:p>
        </w:tc>
        <w:tc>
          <w:tcPr>
            <w:tcW w:w="3058" w:type="dxa"/>
            <w:noWrap/>
            <w:vAlign w:val="center"/>
          </w:tcPr>
          <w:p>
            <w:pPr>
              <w:pStyle w:val="39"/>
              <w:rPr>
                <w:rFonts w:ascii="Times New Roman" w:hAnsi="Times New Roman"/>
              </w:rPr>
            </w:pPr>
            <w:r>
              <w:rPr>
                <w:rFonts w:ascii="Times New Roman" w:hAnsi="Times New Roman"/>
              </w:rPr>
              <w:t>3.44</w:t>
            </w:r>
          </w:p>
        </w:tc>
        <w:tc>
          <w:tcPr>
            <w:tcW w:w="3003" w:type="dxa"/>
            <w:noWrap/>
            <w:vAlign w:val="center"/>
          </w:tcPr>
          <w:p>
            <w:pPr>
              <w:pStyle w:val="39"/>
              <w:rPr>
                <w:rFonts w:ascii="Times New Roman" w:hAnsi="Times New Roman"/>
              </w:rPr>
            </w:pPr>
            <w:r>
              <w:rPr>
                <w:rFonts w:ascii="Times New Roman" w:hAnsi="Times New Roma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100</w:t>
            </w:r>
          </w:p>
        </w:tc>
        <w:tc>
          <w:tcPr>
            <w:tcW w:w="3058" w:type="dxa"/>
            <w:noWrap/>
            <w:vAlign w:val="center"/>
          </w:tcPr>
          <w:p>
            <w:pPr>
              <w:pStyle w:val="39"/>
              <w:rPr>
                <w:rFonts w:ascii="Times New Roman" w:hAnsi="Times New Roman"/>
              </w:rPr>
            </w:pPr>
            <w:r>
              <w:rPr>
                <w:rFonts w:ascii="Times New Roman" w:hAnsi="Times New Roman"/>
              </w:rPr>
              <w:t>2.93</w:t>
            </w:r>
          </w:p>
        </w:tc>
        <w:tc>
          <w:tcPr>
            <w:tcW w:w="3003" w:type="dxa"/>
            <w:noWrap/>
            <w:vAlign w:val="center"/>
          </w:tcPr>
          <w:p>
            <w:pPr>
              <w:pStyle w:val="39"/>
              <w:rPr>
                <w:rFonts w:ascii="Times New Roman" w:hAnsi="Times New Roman"/>
              </w:rPr>
            </w:pPr>
            <w:r>
              <w:rPr>
                <w:rFonts w:ascii="Times New Roman" w:hAnsi="Times New Roman"/>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300</w:t>
            </w:r>
          </w:p>
        </w:tc>
        <w:tc>
          <w:tcPr>
            <w:tcW w:w="3058" w:type="dxa"/>
            <w:noWrap/>
            <w:vAlign w:val="center"/>
          </w:tcPr>
          <w:p>
            <w:pPr>
              <w:pStyle w:val="39"/>
              <w:rPr>
                <w:rFonts w:ascii="Times New Roman" w:hAnsi="Times New Roman"/>
              </w:rPr>
            </w:pPr>
            <w:r>
              <w:rPr>
                <w:rFonts w:ascii="Times New Roman" w:hAnsi="Times New Roman"/>
              </w:rPr>
              <w:t>1.97</w:t>
            </w:r>
          </w:p>
        </w:tc>
        <w:tc>
          <w:tcPr>
            <w:tcW w:w="3003" w:type="dxa"/>
            <w:noWrap/>
            <w:vAlign w:val="center"/>
          </w:tcPr>
          <w:p>
            <w:pPr>
              <w:pStyle w:val="39"/>
              <w:rPr>
                <w:rFonts w:ascii="Times New Roman" w:hAnsi="Times New Roman"/>
              </w:rPr>
            </w:pPr>
            <w:r>
              <w:rPr>
                <w:rFonts w:ascii="Times New Roman" w:hAnsi="Times New Roman"/>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600</w:t>
            </w:r>
          </w:p>
        </w:tc>
        <w:tc>
          <w:tcPr>
            <w:tcW w:w="3058" w:type="dxa"/>
            <w:noWrap/>
            <w:vAlign w:val="center"/>
          </w:tcPr>
          <w:p>
            <w:pPr>
              <w:pStyle w:val="39"/>
              <w:rPr>
                <w:rFonts w:ascii="Times New Roman" w:hAnsi="Times New Roman"/>
              </w:rPr>
            </w:pPr>
            <w:r>
              <w:rPr>
                <w:rFonts w:ascii="Times New Roman" w:hAnsi="Times New Roman"/>
              </w:rPr>
              <w:t>1.45</w:t>
            </w:r>
          </w:p>
        </w:tc>
        <w:tc>
          <w:tcPr>
            <w:tcW w:w="3003" w:type="dxa"/>
            <w:noWrap/>
            <w:vAlign w:val="center"/>
          </w:tcPr>
          <w:p>
            <w:pPr>
              <w:pStyle w:val="39"/>
              <w:rPr>
                <w:rFonts w:ascii="Times New Roman" w:hAnsi="Times New Roman"/>
              </w:rPr>
            </w:pPr>
            <w:r>
              <w:rPr>
                <w:rFonts w:ascii="Times New Roman" w:hAnsi="Times New Roman"/>
              </w:rPr>
              <w:t>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1000</w:t>
            </w:r>
          </w:p>
        </w:tc>
        <w:tc>
          <w:tcPr>
            <w:tcW w:w="3058" w:type="dxa"/>
            <w:noWrap/>
            <w:vAlign w:val="center"/>
          </w:tcPr>
          <w:p>
            <w:pPr>
              <w:pStyle w:val="39"/>
              <w:rPr>
                <w:rFonts w:ascii="Times New Roman" w:hAnsi="Times New Roman"/>
              </w:rPr>
            </w:pPr>
            <w:r>
              <w:rPr>
                <w:rFonts w:ascii="Times New Roman" w:hAnsi="Times New Roman"/>
              </w:rPr>
              <w:t>0.67</w:t>
            </w:r>
          </w:p>
        </w:tc>
        <w:tc>
          <w:tcPr>
            <w:tcW w:w="3003" w:type="dxa"/>
            <w:noWrap/>
            <w:vAlign w:val="center"/>
          </w:tcPr>
          <w:p>
            <w:pPr>
              <w:pStyle w:val="39"/>
              <w:rPr>
                <w:rFonts w:ascii="Times New Roman" w:hAnsi="Times New Roman"/>
              </w:rPr>
            </w:pPr>
            <w:r>
              <w:rPr>
                <w:rFonts w:ascii="Times New Roman" w:hAnsi="Times New Roman"/>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1500</w:t>
            </w:r>
          </w:p>
        </w:tc>
        <w:tc>
          <w:tcPr>
            <w:tcW w:w="3058" w:type="dxa"/>
            <w:noWrap/>
            <w:vAlign w:val="center"/>
          </w:tcPr>
          <w:p>
            <w:pPr>
              <w:pStyle w:val="39"/>
              <w:rPr>
                <w:rFonts w:ascii="Times New Roman" w:hAnsi="Times New Roman"/>
              </w:rPr>
            </w:pPr>
            <w:r>
              <w:rPr>
                <w:rFonts w:ascii="Times New Roman" w:hAnsi="Times New Roman"/>
              </w:rPr>
              <w:t>0.007</w:t>
            </w:r>
          </w:p>
        </w:tc>
        <w:tc>
          <w:tcPr>
            <w:tcW w:w="3003" w:type="dxa"/>
            <w:noWrap/>
            <w:vAlign w:val="center"/>
          </w:tcPr>
          <w:p>
            <w:pPr>
              <w:pStyle w:val="39"/>
              <w:rPr>
                <w:rFonts w:ascii="Times New Roman" w:hAnsi="Times New Roman"/>
              </w:rPr>
            </w:pPr>
            <w:r>
              <w:rPr>
                <w:rFonts w:ascii="Times New Roman" w:hAnsi="Times New Roma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2100</w:t>
            </w:r>
          </w:p>
        </w:tc>
        <w:tc>
          <w:tcPr>
            <w:tcW w:w="3058" w:type="dxa"/>
            <w:noWrap/>
            <w:vAlign w:val="center"/>
          </w:tcPr>
          <w:p>
            <w:pPr>
              <w:pStyle w:val="39"/>
              <w:rPr>
                <w:rFonts w:ascii="Times New Roman" w:hAnsi="Times New Roman"/>
              </w:rPr>
            </w:pPr>
            <w:r>
              <w:rPr>
                <w:rFonts w:ascii="Times New Roman" w:hAnsi="Times New Roman"/>
              </w:rPr>
              <w:t>5.32E-07</w:t>
            </w:r>
          </w:p>
        </w:tc>
        <w:tc>
          <w:tcPr>
            <w:tcW w:w="3003" w:type="dxa"/>
            <w:noWrap/>
            <w:vAlign w:val="center"/>
          </w:tcPr>
          <w:p>
            <w:pPr>
              <w:pStyle w:val="39"/>
              <w:rPr>
                <w:rFonts w:ascii="Times New Roman" w:hAnsi="Times New Roman"/>
              </w:rPr>
            </w:pPr>
            <w:r>
              <w:rPr>
                <w:rFonts w:ascii="Times New Roman" w:hAnsi="Times New Roman"/>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3000</w:t>
            </w:r>
          </w:p>
        </w:tc>
        <w:tc>
          <w:tcPr>
            <w:tcW w:w="3058" w:type="dxa"/>
            <w:noWrap/>
            <w:vAlign w:val="center"/>
          </w:tcPr>
          <w:p>
            <w:pPr>
              <w:pStyle w:val="39"/>
              <w:rPr>
                <w:rFonts w:ascii="Times New Roman" w:hAnsi="Times New Roman"/>
              </w:rPr>
            </w:pPr>
            <w:r>
              <w:rPr>
                <w:rFonts w:ascii="Times New Roman" w:hAnsi="Times New Roman"/>
              </w:rPr>
              <w:t>2.19E-07</w:t>
            </w:r>
          </w:p>
        </w:tc>
        <w:tc>
          <w:tcPr>
            <w:tcW w:w="3003" w:type="dxa"/>
            <w:noWrap/>
            <w:vAlign w:val="center"/>
          </w:tcPr>
          <w:p>
            <w:pPr>
              <w:pStyle w:val="39"/>
              <w:rPr>
                <w:rFonts w:ascii="Times New Roman" w:hAnsi="Times New Roman"/>
              </w:rPr>
            </w:pPr>
            <w:r>
              <w:rPr>
                <w:rFonts w:ascii="Times New Roman" w:hAnsi="Times New Roman"/>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4" w:type="dxa"/>
            <w:noWrap/>
            <w:vAlign w:val="center"/>
          </w:tcPr>
          <w:p>
            <w:pPr>
              <w:pStyle w:val="39"/>
              <w:rPr>
                <w:rFonts w:ascii="Times New Roman" w:hAnsi="Times New Roman"/>
              </w:rPr>
            </w:pPr>
            <w:r>
              <w:rPr>
                <w:rFonts w:ascii="Times New Roman" w:hAnsi="Times New Roman"/>
              </w:rPr>
              <w:t>4000</w:t>
            </w:r>
          </w:p>
        </w:tc>
        <w:tc>
          <w:tcPr>
            <w:tcW w:w="3058" w:type="dxa"/>
            <w:noWrap/>
            <w:vAlign w:val="center"/>
          </w:tcPr>
          <w:p>
            <w:pPr>
              <w:pStyle w:val="39"/>
              <w:rPr>
                <w:rFonts w:ascii="Times New Roman" w:hAnsi="Times New Roman"/>
              </w:rPr>
            </w:pPr>
            <w:r>
              <w:rPr>
                <w:rFonts w:ascii="Times New Roman" w:hAnsi="Times New Roman"/>
              </w:rPr>
              <w:t>6.48E-08</w:t>
            </w:r>
          </w:p>
        </w:tc>
        <w:tc>
          <w:tcPr>
            <w:tcW w:w="3003" w:type="dxa"/>
            <w:noWrap/>
            <w:vAlign w:val="center"/>
          </w:tcPr>
          <w:p>
            <w:pPr>
              <w:pStyle w:val="39"/>
              <w:rPr>
                <w:rFonts w:ascii="Times New Roman" w:hAnsi="Times New Roman"/>
              </w:rPr>
            </w:pPr>
            <w:r>
              <w:rPr>
                <w:rFonts w:ascii="Times New Roman" w:hAnsi="Times New Roman"/>
              </w:rPr>
              <w:t>69</w:t>
            </w:r>
          </w:p>
        </w:tc>
      </w:tr>
    </w:tbl>
    <w:p>
      <w:pPr>
        <w:ind w:firstLine="480"/>
        <w:rPr>
          <w:rFonts w:ascii="Times New Roman" w:hAnsi="Times New Roman"/>
        </w:rPr>
      </w:pPr>
    </w:p>
    <w:p>
      <w:pPr>
        <w:keepNext/>
        <w:ind w:firstLine="0" w:firstLineChars="0"/>
        <w:jc w:val="center"/>
        <w:rPr>
          <w:rFonts w:ascii="Times New Roman" w:hAnsi="Times New Roman"/>
        </w:rPr>
      </w:pPr>
      <w:r>
        <w:rPr>
          <w:rFonts w:ascii="Times New Roman" w:hAnsi="Times New Roman"/>
          <w14:ligatures w14:val="standardContextual"/>
        </w:rPr>
        <w:drawing>
          <wp:inline distT="0" distB="0" distL="0" distR="0">
            <wp:extent cx="4800600" cy="2563495"/>
            <wp:effectExtent l="0" t="0" r="0" b="8255"/>
            <wp:docPr id="673275317"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275317" name="图片 1" descr="地图&#10;&#10;描述已自动生成"/>
                    <pic:cNvPicPr>
                      <a:picLocks noChangeAspect="1"/>
                    </pic:cNvPicPr>
                  </pic:nvPicPr>
                  <pic:blipFill>
                    <a:blip r:embed="rId158"/>
                    <a:srcRect r="8973"/>
                    <a:stretch>
                      <a:fillRect/>
                    </a:stretch>
                  </pic:blipFill>
                  <pic:spPr>
                    <a:xfrm>
                      <a:off x="0" y="0"/>
                      <a:ext cx="4801006" cy="2563712"/>
                    </a:xfrm>
                    <a:prstGeom prst="rect">
                      <a:avLst/>
                    </a:prstGeom>
                    <a:ln>
                      <a:noFill/>
                    </a:ln>
                  </pic:spPr>
                </pic:pic>
              </a:graphicData>
            </a:graphic>
          </wp:inline>
        </w:drawing>
      </w:r>
    </w:p>
    <w:p>
      <w:pPr>
        <w:pStyle w:val="37"/>
        <w:rPr>
          <w:rFonts w:ascii="Times New Roman" w:hAnsi="Times New Roman" w:cs="Times New Roman"/>
        </w:rPr>
      </w:pPr>
      <w:bookmarkStart w:id="347" w:name="_Ref159835447"/>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18</w:t>
      </w:r>
      <w:r>
        <w:rPr>
          <w:rFonts w:ascii="Times New Roman" w:hAnsi="Times New Roman" w:cs="Times New Roman"/>
        </w:rPr>
        <w:fldChar w:fldCharType="end"/>
      </w:r>
      <w:bookmarkEnd w:id="347"/>
      <w:r>
        <w:rPr>
          <w:rFonts w:ascii="Times New Roman" w:hAnsi="Times New Roman" w:cs="Times New Roman"/>
        </w:rPr>
        <w:t xml:space="preserve">   天然气泄漏H</w:t>
      </w:r>
      <w:r>
        <w:rPr>
          <w:rFonts w:ascii="Times New Roman" w:hAnsi="Times New Roman" w:cs="Times New Roman"/>
          <w:vertAlign w:val="subscript"/>
        </w:rPr>
        <w:t>2</w:t>
      </w:r>
      <w:r>
        <w:rPr>
          <w:rFonts w:ascii="Times New Roman" w:hAnsi="Times New Roman" w:cs="Times New Roman"/>
        </w:rPr>
        <w:t>S在北风向下最大影响范围平面示意图</w:t>
      </w:r>
    </w:p>
    <w:p>
      <w:pPr>
        <w:pStyle w:val="37"/>
        <w:rPr>
          <w:rFonts w:ascii="Times New Roman" w:hAnsi="Times New Roman" w:cs="Times New Roman"/>
        </w:rPr>
      </w:pPr>
      <w:bookmarkStart w:id="348" w:name="_Ref15983551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73</w:t>
      </w:r>
      <w:r>
        <w:rPr>
          <w:rFonts w:ascii="Times New Roman" w:hAnsi="Times New Roman" w:cs="Times New Roman"/>
        </w:rPr>
        <w:fldChar w:fldCharType="end"/>
      </w:r>
      <w:bookmarkEnd w:id="348"/>
      <w:r>
        <w:rPr>
          <w:rFonts w:ascii="Times New Roman" w:hAnsi="Times New Roman" w:cs="Times New Roman"/>
        </w:rPr>
        <w:t xml:space="preserve">   H</w:t>
      </w:r>
      <w:r>
        <w:rPr>
          <w:rFonts w:ascii="Times New Roman" w:hAnsi="Times New Roman" w:cs="Times New Roman"/>
          <w:vertAlign w:val="subscript"/>
        </w:rPr>
        <w:t>2</w:t>
      </w:r>
      <w:r>
        <w:rPr>
          <w:rFonts w:ascii="Times New Roman" w:hAnsi="Times New Roman" w:cs="Times New Roman"/>
        </w:rPr>
        <w:t>S扩散对关心点的预测统计表</w:t>
      </w:r>
    </w:p>
    <w:tbl>
      <w:tblPr>
        <w:tblStyle w:val="28"/>
        <w:tblW w:w="52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932"/>
        <w:gridCol w:w="2207"/>
        <w:gridCol w:w="2021"/>
        <w:gridCol w:w="2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序号</w:t>
            </w:r>
          </w:p>
        </w:tc>
        <w:tc>
          <w:tcPr>
            <w:tcW w:w="1932" w:type="dxa"/>
            <w:shd w:val="clear" w:color="auto" w:fill="auto"/>
            <w:vAlign w:val="center"/>
          </w:tcPr>
          <w:p>
            <w:pPr>
              <w:pStyle w:val="39"/>
              <w:rPr>
                <w:rFonts w:ascii="Times New Roman" w:hAnsi="Times New Roman"/>
              </w:rPr>
            </w:pPr>
            <w:r>
              <w:rPr>
                <w:rFonts w:ascii="Times New Roman" w:hAnsi="Times New Roman"/>
              </w:rPr>
              <w:t>敏感目标名称</w:t>
            </w:r>
          </w:p>
        </w:tc>
        <w:tc>
          <w:tcPr>
            <w:tcW w:w="2207" w:type="dxa"/>
            <w:shd w:val="clear" w:color="auto" w:fill="auto"/>
            <w:vAlign w:val="center"/>
          </w:tcPr>
          <w:p>
            <w:pPr>
              <w:pStyle w:val="39"/>
              <w:rPr>
                <w:rFonts w:ascii="Times New Roman" w:hAnsi="Times New Roman"/>
              </w:rPr>
            </w:pPr>
            <w:r>
              <w:rPr>
                <w:rFonts w:ascii="Times New Roman" w:hAnsi="Times New Roman"/>
              </w:rPr>
              <w:t>*超标出现时间/min</w:t>
            </w:r>
          </w:p>
        </w:tc>
        <w:tc>
          <w:tcPr>
            <w:tcW w:w="2021" w:type="dxa"/>
            <w:shd w:val="clear" w:color="auto" w:fill="auto"/>
            <w:vAlign w:val="center"/>
          </w:tcPr>
          <w:p>
            <w:pPr>
              <w:pStyle w:val="39"/>
              <w:rPr>
                <w:rFonts w:ascii="Times New Roman" w:hAnsi="Times New Roman"/>
              </w:rPr>
            </w:pPr>
            <w:r>
              <w:rPr>
                <w:rFonts w:ascii="Times New Roman" w:hAnsi="Times New Roman"/>
              </w:rPr>
              <w:t>超标持续时间/min</w:t>
            </w:r>
          </w:p>
        </w:tc>
        <w:tc>
          <w:tcPr>
            <w:tcW w:w="2066" w:type="dxa"/>
            <w:shd w:val="clear" w:color="auto" w:fill="auto"/>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1</w:t>
            </w:r>
          </w:p>
        </w:tc>
        <w:tc>
          <w:tcPr>
            <w:tcW w:w="1932" w:type="dxa"/>
            <w:shd w:val="clear" w:color="auto" w:fill="auto"/>
            <w:vAlign w:val="center"/>
          </w:tcPr>
          <w:p>
            <w:pPr>
              <w:pStyle w:val="39"/>
              <w:rPr>
                <w:rFonts w:ascii="Times New Roman" w:hAnsi="Times New Roman"/>
              </w:rPr>
            </w:pPr>
            <w:r>
              <w:rPr>
                <w:rFonts w:ascii="Times New Roman" w:hAnsi="Times New Roman"/>
              </w:rPr>
              <w:t>关心点1</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tcPr>
          <w:p>
            <w:pPr>
              <w:pStyle w:val="39"/>
              <w:rPr>
                <w:rFonts w:ascii="Times New Roman" w:hAnsi="Times New Roman"/>
              </w:rPr>
            </w:pPr>
            <w:r>
              <w:rPr>
                <w:rFonts w:ascii="Times New Roman" w:hAnsi="Times New Roman"/>
              </w:rPr>
              <w:t>3.65E-03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2</w:t>
            </w:r>
          </w:p>
        </w:tc>
        <w:tc>
          <w:tcPr>
            <w:tcW w:w="1932" w:type="dxa"/>
            <w:shd w:val="clear" w:color="auto" w:fill="auto"/>
            <w:vAlign w:val="center"/>
          </w:tcPr>
          <w:p>
            <w:pPr>
              <w:pStyle w:val="39"/>
              <w:rPr>
                <w:rFonts w:ascii="Times New Roman" w:hAnsi="Times New Roman"/>
              </w:rPr>
            </w:pPr>
            <w:r>
              <w:rPr>
                <w:rFonts w:ascii="Times New Roman" w:hAnsi="Times New Roman"/>
              </w:rPr>
              <w:t>关心点2</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tcPr>
          <w:p>
            <w:pPr>
              <w:pStyle w:val="39"/>
              <w:rPr>
                <w:rFonts w:ascii="Times New Roman" w:hAnsi="Times New Roman"/>
              </w:rPr>
            </w:pPr>
            <w:r>
              <w:rPr>
                <w:rFonts w:ascii="Times New Roman" w:hAnsi="Times New Roman"/>
              </w:rPr>
              <w:t>2.29E-04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3</w:t>
            </w:r>
          </w:p>
        </w:tc>
        <w:tc>
          <w:tcPr>
            <w:tcW w:w="1932" w:type="dxa"/>
            <w:shd w:val="clear" w:color="auto" w:fill="auto"/>
            <w:vAlign w:val="center"/>
          </w:tcPr>
          <w:p>
            <w:pPr>
              <w:pStyle w:val="39"/>
              <w:rPr>
                <w:rFonts w:ascii="Times New Roman" w:hAnsi="Times New Roman"/>
              </w:rPr>
            </w:pPr>
            <w:r>
              <w:rPr>
                <w:rFonts w:ascii="Times New Roman" w:hAnsi="Times New Roman"/>
              </w:rPr>
              <w:t>关心点3</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tcPr>
          <w:p>
            <w:pPr>
              <w:pStyle w:val="39"/>
              <w:rPr>
                <w:rFonts w:ascii="Times New Roman" w:hAnsi="Times New Roman"/>
              </w:rPr>
            </w:pPr>
            <w:r>
              <w:rPr>
                <w:rFonts w:ascii="Times New Roman" w:hAnsi="Times New Roman"/>
              </w:rPr>
              <w:t>7.33E-02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4</w:t>
            </w:r>
          </w:p>
        </w:tc>
        <w:tc>
          <w:tcPr>
            <w:tcW w:w="1932" w:type="dxa"/>
            <w:shd w:val="clear" w:color="auto" w:fill="auto"/>
            <w:vAlign w:val="center"/>
          </w:tcPr>
          <w:p>
            <w:pPr>
              <w:pStyle w:val="39"/>
              <w:rPr>
                <w:rFonts w:ascii="Times New Roman" w:hAnsi="Times New Roman"/>
              </w:rPr>
            </w:pPr>
            <w:r>
              <w:rPr>
                <w:rFonts w:ascii="Times New Roman" w:hAnsi="Times New Roman"/>
              </w:rPr>
              <w:t>关心点4</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tcPr>
          <w:p>
            <w:pPr>
              <w:pStyle w:val="39"/>
              <w:rPr>
                <w:rFonts w:ascii="Times New Roman" w:hAnsi="Times New Roman"/>
              </w:rPr>
            </w:pPr>
            <w:r>
              <w:rPr>
                <w:rFonts w:ascii="Times New Roman" w:hAnsi="Times New Roman"/>
              </w:rPr>
              <w:t>7.23E-03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5</w:t>
            </w:r>
          </w:p>
        </w:tc>
        <w:tc>
          <w:tcPr>
            <w:tcW w:w="1932" w:type="dxa"/>
            <w:shd w:val="clear" w:color="auto" w:fill="auto"/>
          </w:tcPr>
          <w:p>
            <w:pPr>
              <w:pStyle w:val="39"/>
              <w:rPr>
                <w:rFonts w:ascii="Times New Roman" w:hAnsi="Times New Roman"/>
              </w:rPr>
            </w:pPr>
            <w:r>
              <w:rPr>
                <w:rFonts w:ascii="Times New Roman" w:hAnsi="Times New Roman"/>
              </w:rPr>
              <w:t>关心点5</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tcPr>
          <w:p>
            <w:pPr>
              <w:pStyle w:val="39"/>
              <w:rPr>
                <w:rFonts w:ascii="Times New Roman" w:hAnsi="Times New Roman"/>
              </w:rPr>
            </w:pPr>
            <w:r>
              <w:rPr>
                <w:rFonts w:ascii="Times New Roman" w:hAnsi="Times New Roman"/>
              </w:rPr>
              <w:t>6.75E-04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6</w:t>
            </w:r>
          </w:p>
        </w:tc>
        <w:tc>
          <w:tcPr>
            <w:tcW w:w="1932" w:type="dxa"/>
            <w:shd w:val="clear" w:color="auto" w:fill="auto"/>
          </w:tcPr>
          <w:p>
            <w:pPr>
              <w:pStyle w:val="39"/>
              <w:rPr>
                <w:rFonts w:ascii="Times New Roman" w:hAnsi="Times New Roman"/>
              </w:rPr>
            </w:pPr>
            <w:r>
              <w:rPr>
                <w:rFonts w:ascii="Times New Roman" w:hAnsi="Times New Roman"/>
              </w:rPr>
              <w:t>关心点6</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tcPr>
          <w:p>
            <w:pPr>
              <w:pStyle w:val="39"/>
              <w:rPr>
                <w:rFonts w:ascii="Times New Roman" w:hAnsi="Times New Roman"/>
              </w:rPr>
            </w:pPr>
            <w:r>
              <w:rPr>
                <w:rFonts w:ascii="Times New Roman" w:hAnsi="Times New Roman"/>
              </w:rPr>
              <w:t>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dxa"/>
            <w:shd w:val="clear" w:color="auto" w:fill="auto"/>
            <w:vAlign w:val="center"/>
          </w:tcPr>
          <w:p>
            <w:pPr>
              <w:pStyle w:val="39"/>
              <w:rPr>
                <w:rFonts w:ascii="Times New Roman" w:hAnsi="Times New Roman"/>
              </w:rPr>
            </w:pPr>
            <w:r>
              <w:rPr>
                <w:rFonts w:ascii="Times New Roman" w:hAnsi="Times New Roman"/>
              </w:rPr>
              <w:t>7</w:t>
            </w:r>
          </w:p>
        </w:tc>
        <w:tc>
          <w:tcPr>
            <w:tcW w:w="1932" w:type="dxa"/>
            <w:shd w:val="clear" w:color="auto" w:fill="auto"/>
          </w:tcPr>
          <w:p>
            <w:pPr>
              <w:pStyle w:val="39"/>
              <w:rPr>
                <w:rFonts w:ascii="Times New Roman" w:hAnsi="Times New Roman"/>
              </w:rPr>
            </w:pPr>
            <w:r>
              <w:rPr>
                <w:rFonts w:ascii="Times New Roman" w:hAnsi="Times New Roman"/>
              </w:rPr>
              <w:t>关心点7</w:t>
            </w:r>
          </w:p>
        </w:tc>
        <w:tc>
          <w:tcPr>
            <w:tcW w:w="2207" w:type="dxa"/>
            <w:shd w:val="clear" w:color="auto" w:fill="auto"/>
            <w:vAlign w:val="center"/>
          </w:tcPr>
          <w:p>
            <w:pPr>
              <w:pStyle w:val="39"/>
              <w:rPr>
                <w:rFonts w:ascii="Times New Roman" w:hAnsi="Times New Roman"/>
              </w:rPr>
            </w:pPr>
            <w:r>
              <w:rPr>
                <w:rFonts w:ascii="Times New Roman" w:hAnsi="Times New Roman" w:eastAsia="等线"/>
              </w:rPr>
              <w:t>-</w:t>
            </w:r>
          </w:p>
        </w:tc>
        <w:tc>
          <w:tcPr>
            <w:tcW w:w="2021" w:type="dxa"/>
            <w:shd w:val="clear" w:color="auto" w:fill="auto"/>
            <w:vAlign w:val="center"/>
          </w:tcPr>
          <w:p>
            <w:pPr>
              <w:pStyle w:val="39"/>
              <w:rPr>
                <w:rFonts w:ascii="Times New Roman" w:hAnsi="Times New Roman"/>
              </w:rPr>
            </w:pPr>
            <w:r>
              <w:rPr>
                <w:rFonts w:ascii="Times New Roman" w:hAnsi="Times New Roman" w:eastAsia="等线"/>
              </w:rPr>
              <w:t>-</w:t>
            </w:r>
          </w:p>
        </w:tc>
        <w:tc>
          <w:tcPr>
            <w:tcW w:w="2066" w:type="dxa"/>
            <w:shd w:val="clear" w:color="auto" w:fill="auto"/>
          </w:tcPr>
          <w:p>
            <w:pPr>
              <w:pStyle w:val="39"/>
              <w:rPr>
                <w:rFonts w:ascii="Times New Roman" w:hAnsi="Times New Roman"/>
              </w:rPr>
            </w:pPr>
            <w:r>
              <w:rPr>
                <w:rFonts w:ascii="Times New Roman" w:hAnsi="Times New Roman"/>
              </w:rPr>
              <w:t>1.27</w:t>
            </w:r>
          </w:p>
        </w:tc>
      </w:tr>
    </w:tbl>
    <w:p>
      <w:pPr>
        <w:ind w:firstLine="0" w:firstLineChars="0"/>
        <w:rPr>
          <w:rFonts w:ascii="Times New Roman" w:hAnsi="Times New Roman"/>
          <w:sz w:val="18"/>
          <w:szCs w:val="18"/>
        </w:rPr>
      </w:pPr>
      <w:r>
        <w:rPr>
          <w:rFonts w:ascii="Times New Roman" w:hAnsi="Times New Roman"/>
          <w:sz w:val="18"/>
          <w:szCs w:val="18"/>
        </w:rPr>
        <w:t>*注：超标时间均指超过大气毒性终点浓度2的时间。</w:t>
      </w:r>
    </w:p>
    <w:p>
      <w:pPr>
        <w:keepNext/>
        <w:ind w:firstLine="0" w:firstLineChars="0"/>
        <w:jc w:val="center"/>
        <w:rPr>
          <w:rFonts w:ascii="Times New Roman" w:hAnsi="Times New Roman"/>
        </w:rPr>
      </w:pPr>
      <w:r>
        <w:rPr>
          <w:rFonts w:ascii="Times New Roman" w:hAnsi="Times New Roman"/>
          <w:sz w:val="18"/>
          <w:szCs w:val="18"/>
        </w:rPr>
        <w:drawing>
          <wp:inline distT="0" distB="0" distL="0" distR="0">
            <wp:extent cx="5260340" cy="3130550"/>
            <wp:effectExtent l="0" t="0" r="0" b="0"/>
            <wp:docPr id="245273721" name="图片 1"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73721" name="图片 1" descr="图表, 折线图&#10;&#10;描述已自动生成"/>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0" y="0"/>
                      <a:ext cx="5268112" cy="3135228"/>
                    </a:xfrm>
                    <a:prstGeom prst="rect">
                      <a:avLst/>
                    </a:prstGeom>
                    <a:noFill/>
                  </pic:spPr>
                </pic:pic>
              </a:graphicData>
            </a:graphic>
          </wp:inline>
        </w:drawing>
      </w:r>
    </w:p>
    <w:p>
      <w:pPr>
        <w:pStyle w:val="37"/>
        <w:rPr>
          <w:rFonts w:ascii="Times New Roman" w:hAnsi="Times New Roman" w:cs="Times New Roman"/>
        </w:rPr>
      </w:pPr>
      <w:bookmarkStart w:id="349" w:name="_Ref159835448"/>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19</w:t>
      </w:r>
      <w:r>
        <w:rPr>
          <w:rFonts w:ascii="Times New Roman" w:hAnsi="Times New Roman" w:cs="Times New Roman"/>
        </w:rPr>
        <w:fldChar w:fldCharType="end"/>
      </w:r>
      <w:bookmarkEnd w:id="349"/>
      <w:r>
        <w:rPr>
          <w:rFonts w:ascii="Times New Roman" w:hAnsi="Times New Roman" w:cs="Times New Roman"/>
        </w:rPr>
        <w:t xml:space="preserve">   主要受影响敏感点浓度随时间变化图</w:t>
      </w:r>
    </w:p>
    <w:p>
      <w:pPr>
        <w:ind w:firstLine="480"/>
        <w:rPr>
          <w:rFonts w:ascii="Times New Roman" w:hAnsi="Times New Roman"/>
        </w:rPr>
      </w:pPr>
      <w:r>
        <w:rPr>
          <w:rFonts w:ascii="Times New Roman" w:hAnsi="Times New Roman"/>
        </w:rPr>
        <w:t>4）小结</w:t>
      </w:r>
    </w:p>
    <w:p>
      <w:pPr>
        <w:ind w:firstLine="480"/>
        <w:rPr>
          <w:rFonts w:ascii="Times New Roman" w:hAnsi="Times New Roman"/>
        </w:rPr>
      </w:pPr>
      <w:r>
        <w:rPr>
          <w:rFonts w:ascii="Times New Roman" w:hAnsi="Times New Roman"/>
        </w:rPr>
        <w:t>宣兴1井站站内管道泄漏时，根据模拟预测，在最不利气象条件下，大气扩散过程中，H</w:t>
      </w:r>
      <w:r>
        <w:rPr>
          <w:rFonts w:ascii="Times New Roman" w:hAnsi="Times New Roman"/>
          <w:vertAlign w:val="subscript"/>
        </w:rPr>
        <w:t>2</w:t>
      </w:r>
      <w:r>
        <w:rPr>
          <w:rFonts w:ascii="Times New Roman" w:hAnsi="Times New Roman"/>
        </w:rPr>
        <w:t>S扩散浓度始终小于毒性终点浓度1和H</w:t>
      </w:r>
      <w:r>
        <w:rPr>
          <w:rFonts w:ascii="Times New Roman" w:hAnsi="Times New Roman"/>
          <w:vertAlign w:val="subscript"/>
        </w:rPr>
        <w:t>2</w:t>
      </w:r>
      <w:r>
        <w:rPr>
          <w:rFonts w:ascii="Times New Roman" w:hAnsi="Times New Roman"/>
        </w:rPr>
        <w:t>S毒性终点浓度，未出现超过毒性终点浓度1和毒性终点浓度2的超标影响范围。风险源周边关心点中，以H</w:t>
      </w:r>
      <w:r>
        <w:rPr>
          <w:rFonts w:ascii="Times New Roman" w:hAnsi="Times New Roman"/>
          <w:vertAlign w:val="subscript"/>
        </w:rPr>
        <w:t>2</w:t>
      </w:r>
      <w:r>
        <w:rPr>
          <w:rFonts w:ascii="Times New Roman" w:hAnsi="Times New Roman"/>
        </w:rPr>
        <w:t>S毒性终点浓度2作为超标参考依据，各关心点均未超标。该事故情形对大气环境风险影响较小。</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74</w:t>
      </w:r>
      <w:r>
        <w:rPr>
          <w:rFonts w:ascii="Times New Roman" w:hAnsi="Times New Roman" w:cs="Times New Roman"/>
        </w:rPr>
        <w:fldChar w:fldCharType="end"/>
      </w:r>
      <w:r>
        <w:rPr>
          <w:rFonts w:ascii="Times New Roman" w:hAnsi="Times New Roman" w:cs="Times New Roman"/>
        </w:rPr>
        <w:t xml:space="preserve">  宣兴1井站站内管道泄漏事故基本信息表</w:t>
      </w:r>
    </w:p>
    <w:tbl>
      <w:tblPr>
        <w:tblStyle w:val="28"/>
        <w:tblW w:w="513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5"/>
        <w:gridCol w:w="1058"/>
        <w:gridCol w:w="2076"/>
        <w:gridCol w:w="1214"/>
        <w:gridCol w:w="1416"/>
        <w:gridCol w:w="1433"/>
        <w:gridCol w:w="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shd w:val="clear" w:color="auto" w:fill="auto"/>
            <w:tcMar>
              <w:left w:w="57" w:type="dxa"/>
              <w:right w:w="57" w:type="dxa"/>
            </w:tcMar>
            <w:vAlign w:val="center"/>
          </w:tcPr>
          <w:p>
            <w:pPr>
              <w:pStyle w:val="39"/>
              <w:rPr>
                <w:rFonts w:ascii="Times New Roman" w:hAnsi="Times New Roman"/>
              </w:rPr>
            </w:pPr>
            <w:r>
              <w:rPr>
                <w:rFonts w:ascii="Times New Roman" w:hAnsi="Times New Roman"/>
              </w:rPr>
              <w:t>风险事故情形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代表性风险事故情形描述</w:t>
            </w:r>
          </w:p>
        </w:tc>
        <w:tc>
          <w:tcPr>
            <w:tcW w:w="4163" w:type="pct"/>
            <w:gridSpan w:val="5"/>
            <w:shd w:val="clear" w:color="auto" w:fill="auto"/>
            <w:tcMar>
              <w:left w:w="57" w:type="dxa"/>
              <w:right w:w="57" w:type="dxa"/>
            </w:tcMar>
            <w:vAlign w:val="center"/>
          </w:tcPr>
          <w:p>
            <w:pPr>
              <w:pStyle w:val="39"/>
              <w:rPr>
                <w:rFonts w:ascii="Times New Roman" w:hAnsi="Times New Roman"/>
              </w:rPr>
            </w:pPr>
            <w:r>
              <w:rPr>
                <w:rFonts w:ascii="Times New Roman" w:hAnsi="Times New Roman"/>
              </w:rPr>
              <w:t>宣兴1井站站内管道断裂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环境风险类型</w:t>
            </w:r>
          </w:p>
        </w:tc>
        <w:tc>
          <w:tcPr>
            <w:tcW w:w="4163" w:type="pct"/>
            <w:gridSpan w:val="5"/>
            <w:shd w:val="clear" w:color="auto" w:fill="auto"/>
            <w:tcMar>
              <w:left w:w="57" w:type="dxa"/>
              <w:right w:w="57" w:type="dxa"/>
            </w:tcMar>
            <w:vAlign w:val="center"/>
          </w:tcPr>
          <w:p>
            <w:pPr>
              <w:pStyle w:val="39"/>
              <w:rPr>
                <w:rFonts w:ascii="Times New Roman" w:hAnsi="Times New Roman"/>
              </w:rPr>
            </w:pPr>
            <w:r>
              <w:rPr>
                <w:rFonts w:ascii="Times New Roman" w:hAnsi="Times New Roman"/>
              </w:rPr>
              <w:t>原料天然气垂直喷射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泄漏设备类型</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原料气集输管线</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操作温度（℃）</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50</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操作压力/MPa</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排放危险物质</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硫化氢</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最大存在量/kg</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246.363</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泄漏孔径/mm</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219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排放速率/kg/s</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4.106</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稳定泄漏时间/（min）</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1</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泄漏量/kg</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246.363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泄漏高度/m</w:t>
            </w:r>
          </w:p>
        </w:tc>
        <w:tc>
          <w:tcPr>
            <w:tcW w:w="61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0</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泄漏液体蒸发量/kg</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泄漏频率</w:t>
            </w:r>
          </w:p>
        </w:tc>
        <w:tc>
          <w:tcPr>
            <w:tcW w:w="829" w:type="pct"/>
            <w:shd w:val="clear" w:color="auto" w:fill="auto"/>
            <w:tcMar>
              <w:left w:w="57" w:type="dxa"/>
              <w:right w:w="57" w:type="dxa"/>
            </w:tcMar>
            <w:vAlign w:val="center"/>
          </w:tcPr>
          <w:p>
            <w:pPr>
              <w:pStyle w:val="39"/>
              <w:rPr>
                <w:rFonts w:ascii="Times New Roman" w:hAnsi="Times New Roman"/>
                <w:vertAlign w:val="subscript"/>
              </w:rPr>
            </w:pPr>
            <w:r>
              <w:rPr>
                <w:rFonts w:ascii="Times New Roman" w:hAnsi="Times New Roman"/>
              </w:rPr>
              <w:t>3.0×10</w:t>
            </w:r>
            <w:r>
              <w:rPr>
                <w:rFonts w:ascii="Times New Roman" w:hAnsi="Times New Roman"/>
                <w:vertAlign w:val="superscript"/>
              </w:rPr>
              <w:t>-7</w:t>
            </w:r>
            <w:r>
              <w:rPr>
                <w:rFonts w:ascii="Times New Roman" w:hAnsi="Times New Roman"/>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shd w:val="clear" w:color="auto" w:fill="auto"/>
            <w:tcMar>
              <w:left w:w="57" w:type="dxa"/>
              <w:right w:w="57" w:type="dxa"/>
            </w:tcMar>
            <w:vAlign w:val="center"/>
          </w:tcPr>
          <w:p>
            <w:pPr>
              <w:pStyle w:val="39"/>
              <w:rPr>
                <w:rFonts w:ascii="Times New Roman" w:hAnsi="Times New Roman"/>
              </w:rPr>
            </w:pPr>
            <w:r>
              <w:rPr>
                <w:rFonts w:ascii="Times New Roman" w:hAnsi="Times New Roman"/>
              </w:rPr>
              <w:t>事故后果预测（最不利气象条件）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大</w:t>
            </w:r>
          </w:p>
          <w:p>
            <w:pPr>
              <w:pStyle w:val="39"/>
              <w:rPr>
                <w:rFonts w:ascii="Times New Roman" w:hAnsi="Times New Roman"/>
              </w:rPr>
            </w:pPr>
            <w:r>
              <w:rPr>
                <w:rFonts w:ascii="Times New Roman" w:hAnsi="Times New Roman"/>
              </w:rPr>
              <w:t>气</w:t>
            </w:r>
          </w:p>
        </w:tc>
        <w:tc>
          <w:tcPr>
            <w:tcW w:w="612"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危险物质</w:t>
            </w:r>
          </w:p>
        </w:tc>
        <w:tc>
          <w:tcPr>
            <w:tcW w:w="3551" w:type="pct"/>
            <w:gridSpan w:val="4"/>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大气环境影响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指标</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浓度值/mg/m</w:t>
            </w:r>
            <w:r>
              <w:rPr>
                <w:rFonts w:ascii="Times New Roman" w:hAnsi="Times New Roman"/>
                <w:vertAlign w:val="superscript"/>
              </w:rPr>
              <w:t>3</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最远影响距离/m</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到达时间/min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restart"/>
            <w:shd w:val="clear" w:color="auto" w:fill="auto"/>
            <w:tcMar>
              <w:left w:w="57" w:type="dxa"/>
              <w:right w:w="57" w:type="dxa"/>
            </w:tcMar>
            <w:vAlign w:val="center"/>
          </w:tcPr>
          <w:p>
            <w:pPr>
              <w:pStyle w:val="39"/>
              <w:rPr>
                <w:rFonts w:ascii="Times New Roman" w:hAnsi="Times New Roman"/>
              </w:rPr>
            </w:pPr>
            <w:r>
              <w:rPr>
                <w:rFonts w:ascii="Times New Roman" w:hAnsi="Times New Roman"/>
              </w:rPr>
              <w:t>硫化氢</w:t>
            </w: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大气毒性终点浓度-1</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70</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大气毒性终点浓度-2</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38</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敏感目标名称</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超标时间/min</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超标持续时间/min</w:t>
            </w:r>
          </w:p>
        </w:tc>
        <w:tc>
          <w:tcPr>
            <w:tcW w:w="829"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最大浓度/mg/m</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关心点1</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3.65E-03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关心点2</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2.29E-04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关心点3</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7.33E-02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vAlign w:val="center"/>
          </w:tcPr>
          <w:p>
            <w:pPr>
              <w:pStyle w:val="39"/>
              <w:rPr>
                <w:rFonts w:ascii="Times New Roman" w:hAnsi="Times New Roman"/>
              </w:rPr>
            </w:pPr>
            <w:r>
              <w:rPr>
                <w:rFonts w:ascii="Times New Roman" w:hAnsi="Times New Roman"/>
              </w:rPr>
              <w:t>关心点4</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7.23E-03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tcPr>
          <w:p>
            <w:pPr>
              <w:pStyle w:val="39"/>
              <w:rPr>
                <w:rFonts w:ascii="Times New Roman" w:hAnsi="Times New Roman"/>
              </w:rPr>
            </w:pPr>
            <w:r>
              <w:rPr>
                <w:rFonts w:ascii="Times New Roman" w:hAnsi="Times New Roman"/>
              </w:rPr>
              <w:t>关心点5</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6.75E-04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tcPr>
          <w:p>
            <w:pPr>
              <w:pStyle w:val="39"/>
              <w:rPr>
                <w:rFonts w:ascii="Times New Roman" w:hAnsi="Times New Roman"/>
              </w:rPr>
            </w:pPr>
            <w:r>
              <w:rPr>
                <w:rFonts w:ascii="Times New Roman" w:hAnsi="Times New Roman"/>
              </w:rPr>
              <w:t>关心点6</w:t>
            </w:r>
          </w:p>
        </w:tc>
        <w:tc>
          <w:tcPr>
            <w:tcW w:w="702"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rPr>
            </w:pPr>
            <w:r>
              <w:rPr>
                <w:rFonts w:ascii="Times New Roman" w:hAnsi="Times New Roman" w:eastAsia="等线"/>
              </w:rPr>
              <w:t>-</w:t>
            </w:r>
          </w:p>
        </w:tc>
        <w:tc>
          <w:tcPr>
            <w:tcW w:w="829" w:type="pct"/>
            <w:shd w:val="clear" w:color="auto" w:fill="auto"/>
            <w:tcMar>
              <w:left w:w="57" w:type="dxa"/>
              <w:right w:w="57" w:type="dxa"/>
            </w:tcMar>
          </w:tcPr>
          <w:p>
            <w:pPr>
              <w:pStyle w:val="39"/>
              <w:rPr>
                <w:rFonts w:ascii="Times New Roman" w:hAnsi="Times New Roman"/>
              </w:rPr>
            </w:pPr>
            <w:r>
              <w:rPr>
                <w:rFonts w:ascii="Times New Roman" w:hAnsi="Times New Roman"/>
              </w:rPr>
              <w:t>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jc w:val="center"/>
        </w:trPr>
        <w:tc>
          <w:tcPr>
            <w:tcW w:w="830"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612" w:type="pct"/>
            <w:vMerge w:val="continue"/>
            <w:shd w:val="clear" w:color="auto" w:fill="auto"/>
            <w:tcMar>
              <w:left w:w="57" w:type="dxa"/>
              <w:right w:w="57" w:type="dxa"/>
            </w:tcMar>
            <w:vAlign w:val="center"/>
          </w:tcPr>
          <w:p>
            <w:pPr>
              <w:spacing w:line="240" w:lineRule="auto"/>
              <w:ind w:firstLine="480"/>
              <w:rPr>
                <w:rFonts w:ascii="Times New Roman" w:hAnsi="Times New Roman"/>
              </w:rPr>
            </w:pPr>
          </w:p>
        </w:tc>
        <w:tc>
          <w:tcPr>
            <w:tcW w:w="1201" w:type="pct"/>
            <w:shd w:val="clear" w:color="auto" w:fill="auto"/>
            <w:tcMar>
              <w:left w:w="57" w:type="dxa"/>
              <w:right w:w="57" w:type="dxa"/>
            </w:tcMar>
          </w:tcPr>
          <w:p>
            <w:pPr>
              <w:pStyle w:val="39"/>
              <w:rPr>
                <w:rFonts w:ascii="Times New Roman" w:hAnsi="Times New Roman"/>
              </w:rPr>
            </w:pPr>
            <w:r>
              <w:rPr>
                <w:rFonts w:ascii="Times New Roman" w:hAnsi="Times New Roman"/>
              </w:rPr>
              <w:t>关心点7</w:t>
            </w:r>
          </w:p>
        </w:tc>
        <w:tc>
          <w:tcPr>
            <w:tcW w:w="702" w:type="pct"/>
            <w:shd w:val="clear" w:color="auto" w:fill="auto"/>
            <w:tcMar>
              <w:left w:w="57" w:type="dxa"/>
              <w:right w:w="57" w:type="dxa"/>
            </w:tcMar>
            <w:vAlign w:val="center"/>
          </w:tcPr>
          <w:p>
            <w:pPr>
              <w:pStyle w:val="39"/>
              <w:rPr>
                <w:rFonts w:ascii="Times New Roman" w:hAnsi="Times New Roman" w:eastAsia="等线"/>
              </w:rPr>
            </w:pPr>
            <w:r>
              <w:rPr>
                <w:rFonts w:ascii="Times New Roman" w:hAnsi="Times New Roman" w:eastAsia="等线"/>
              </w:rPr>
              <w:t>-</w:t>
            </w:r>
          </w:p>
        </w:tc>
        <w:tc>
          <w:tcPr>
            <w:tcW w:w="819" w:type="pct"/>
            <w:shd w:val="clear" w:color="auto" w:fill="auto"/>
            <w:tcMar>
              <w:left w:w="57" w:type="dxa"/>
              <w:right w:w="57" w:type="dxa"/>
            </w:tcMar>
            <w:vAlign w:val="center"/>
          </w:tcPr>
          <w:p>
            <w:pPr>
              <w:pStyle w:val="39"/>
              <w:rPr>
                <w:rFonts w:ascii="Times New Roman" w:hAnsi="Times New Roman" w:eastAsia="等线"/>
              </w:rPr>
            </w:pPr>
            <w:r>
              <w:rPr>
                <w:rFonts w:ascii="Times New Roman" w:hAnsi="Times New Roman" w:eastAsia="等线"/>
              </w:rPr>
              <w:t>-</w:t>
            </w:r>
          </w:p>
        </w:tc>
        <w:tc>
          <w:tcPr>
            <w:tcW w:w="829" w:type="pct"/>
            <w:shd w:val="clear" w:color="auto" w:fill="auto"/>
            <w:tcMar>
              <w:left w:w="57" w:type="dxa"/>
              <w:right w:w="57" w:type="dxa"/>
            </w:tcMar>
          </w:tcPr>
          <w:p>
            <w:pPr>
              <w:pStyle w:val="39"/>
              <w:rPr>
                <w:rFonts w:ascii="Times New Roman" w:hAnsi="Times New Roman"/>
                <w:kern w:val="0"/>
              </w:rPr>
            </w:pPr>
            <w:r>
              <w:rPr>
                <w:rFonts w:ascii="Times New Roman" w:hAnsi="Times New Roman"/>
              </w:rPr>
              <w:t>1.27</w:t>
            </w:r>
          </w:p>
        </w:tc>
      </w:tr>
    </w:tbl>
    <w:p>
      <w:pPr>
        <w:adjustRightInd w:val="0"/>
        <w:snapToGrid w:val="0"/>
        <w:spacing w:line="240" w:lineRule="auto"/>
        <w:ind w:firstLine="0" w:firstLineChars="0"/>
        <w:rPr>
          <w:rFonts w:ascii="Times New Roman" w:hAnsi="Times New Roman"/>
        </w:rPr>
      </w:pPr>
    </w:p>
    <w:p>
      <w:pPr>
        <w:pStyle w:val="4"/>
        <w:rPr>
          <w:rFonts w:ascii="Times New Roman" w:hAnsi="Times New Roman" w:cs="Times New Roman"/>
        </w:rPr>
      </w:pPr>
      <w:r>
        <w:rPr>
          <w:rFonts w:ascii="Times New Roman" w:hAnsi="Times New Roman" w:cs="Times New Roman"/>
        </w:rPr>
        <w:t>地表水环境风险分析</w:t>
      </w:r>
    </w:p>
    <w:p>
      <w:pPr>
        <w:ind w:firstLine="480"/>
        <w:rPr>
          <w:rFonts w:ascii="Times New Roman" w:hAnsi="Times New Roman"/>
        </w:rPr>
      </w:pPr>
      <w:r>
        <w:rPr>
          <w:rFonts w:ascii="Times New Roman" w:hAnsi="Times New Roman"/>
        </w:rPr>
        <w:t>气田水罐地上架空设置，安置位置地面采取防渗处理的硬化地面，可视化设置，可以在渗漏发生时及时发现并采取措施，可以有效防止气田水渗漏。气田水罐安置区域设置0.3m高围堰，可以有效防止气田水外溢。因此只要加强管理，完善风险防范措施，发生废水外溢事故的概率较低。此外，工程也有相应的事故应急预案，事故时能及时采取控制措施，确保对地表水环境的影响降至最低限度。</w:t>
      </w:r>
    </w:p>
    <w:p>
      <w:pPr>
        <w:ind w:firstLine="480"/>
        <w:rPr>
          <w:rFonts w:ascii="Times New Roman" w:hAnsi="Times New Roman"/>
        </w:rPr>
      </w:pPr>
      <w:r>
        <w:rPr>
          <w:rFonts w:ascii="Times New Roman" w:hAnsi="Times New Roman"/>
        </w:rPr>
        <w:t>本项目在宣探1井站和宣兴1井站分别进行气液分离，各设置1座气田水罐。气液分离的液相暂存于气田水罐中，按照宣探1井站3天/次、宣兴1井站5天/次的拉运频次进行罐车拉运。</w:t>
      </w:r>
    </w:p>
    <w:p>
      <w:pPr>
        <w:ind w:firstLine="480"/>
        <w:rPr>
          <w:rFonts w:ascii="Times New Roman" w:hAnsi="Times New Roman"/>
        </w:rPr>
      </w:pPr>
      <w:r>
        <w:rPr>
          <w:rFonts w:ascii="Times New Roman" w:hAnsi="Times New Roman"/>
        </w:rPr>
        <w:t>本环评对气田水转运路线提出要求，要求应尽量绕避水环境敏感目标（包括饮用水水源保护区、饮用水取水口，涉水的自然保护区、风景名胜区，重要湿地、重点保护与珍稀水生生物的栖息地、重要水生生物的自然产卵场及索饵场、越冬场和洄游通道，天然渔场等渔业水体，以及水产种质资源保护区等），实在无法绕避的，路过环境敏感区需减速慢性，安全驶离，强化运输过程的安全管理，防止因安全事故衍生成环保事故。本项目气田水转运路线见</w:t>
      </w:r>
      <w:r>
        <w:rPr>
          <w:rFonts w:ascii="Times New Roman" w:hAnsi="Times New Roman"/>
        </w:rPr>
        <w:fldChar w:fldCharType="begin"/>
      </w:r>
      <w:r>
        <w:rPr>
          <w:rFonts w:ascii="Times New Roman" w:hAnsi="Times New Roman"/>
        </w:rPr>
        <w:instrText xml:space="preserve"> REF _Ref157460386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20</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_Ref157160246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22</w:t>
      </w:r>
      <w:r>
        <w:rPr>
          <w:rFonts w:ascii="Times New Roman" w:hAnsi="Times New Roman"/>
        </w:rPr>
        <w:fldChar w:fldCharType="end"/>
      </w:r>
      <w:r>
        <w:rPr>
          <w:rFonts w:ascii="Times New Roman" w:hAnsi="Times New Roman"/>
        </w:rPr>
        <w:t>，采用罐车转运气田水时，罐体为钢板密封罐，发生翻车泄漏的机率很小，气田水主要是含COD</w:t>
      </w:r>
      <w:r>
        <w:rPr>
          <w:rFonts w:ascii="Times New Roman" w:hAnsi="Times New Roman"/>
          <w:vertAlign w:val="subscript"/>
        </w:rPr>
        <w:t>cr</w:t>
      </w:r>
      <w:r>
        <w:rPr>
          <w:rFonts w:ascii="Times New Roman" w:hAnsi="Times New Roman"/>
        </w:rPr>
        <w:t>、Cl</w:t>
      </w:r>
      <w:r>
        <w:rPr>
          <w:rFonts w:ascii="Times New Roman" w:hAnsi="Times New Roman"/>
          <w:vertAlign w:val="superscript"/>
        </w:rPr>
        <w:t>-</w:t>
      </w:r>
      <w:r>
        <w:rPr>
          <w:rFonts w:ascii="Times New Roman" w:hAnsi="Times New Roman"/>
        </w:rPr>
        <w:t>、石油类等污染物质，罐车输送的量约10t/车，一次运输量不大，不会产生严重后果。在发生泄漏事故后，采取应急措施后可将污染影响降至最低，产生的风险影响在环境可接受范围内。</w:t>
      </w:r>
    </w:p>
    <w:p>
      <w:pPr>
        <w:keepNext/>
        <w:ind w:firstLine="0" w:firstLineChars="0"/>
        <w:rPr>
          <w:rFonts w:ascii="Times New Roman" w:hAnsi="Times New Roman"/>
        </w:rPr>
      </w:pPr>
      <w:r>
        <w:rPr>
          <w:rFonts w:ascii="Times New Roman" w:hAnsi="Times New Roman"/>
        </w:rPr>
        <w:drawing>
          <wp:inline distT="0" distB="0" distL="0" distR="0">
            <wp:extent cx="5274310" cy="3743960"/>
            <wp:effectExtent l="0" t="0" r="2540" b="8890"/>
            <wp:docPr id="6556788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678895" name="图片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0" y="0"/>
                      <a:ext cx="5274310" cy="3743960"/>
                    </a:xfrm>
                    <a:prstGeom prst="rect">
                      <a:avLst/>
                    </a:prstGeom>
                    <a:noFill/>
                    <a:ln>
                      <a:noFill/>
                    </a:ln>
                  </pic:spPr>
                </pic:pic>
              </a:graphicData>
            </a:graphic>
          </wp:inline>
        </w:drawing>
      </w:r>
    </w:p>
    <w:p>
      <w:pPr>
        <w:pStyle w:val="37"/>
        <w:rPr>
          <w:rFonts w:ascii="Times New Roman" w:hAnsi="Times New Roman" w:cs="Times New Roman"/>
        </w:rPr>
      </w:pPr>
      <w:bookmarkStart w:id="350" w:name="_Ref157460386"/>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20</w:t>
      </w:r>
      <w:r>
        <w:rPr>
          <w:rFonts w:ascii="Times New Roman" w:hAnsi="Times New Roman" w:cs="Times New Roman"/>
        </w:rPr>
        <w:fldChar w:fldCharType="end"/>
      </w:r>
      <w:bookmarkEnd w:id="350"/>
      <w:r>
        <w:rPr>
          <w:rFonts w:ascii="Times New Roman" w:hAnsi="Times New Roman" w:cs="Times New Roman"/>
        </w:rPr>
        <w:t xml:space="preserve">   </w:t>
      </w:r>
      <w:bookmarkStart w:id="351" w:name="_Hlk157160090"/>
      <w:r>
        <w:rPr>
          <w:rFonts w:ascii="Times New Roman" w:hAnsi="Times New Roman" w:cs="Times New Roman"/>
        </w:rPr>
        <w:t>气田水转运路线示意图1（渡口河净化厂方向）</w:t>
      </w:r>
      <w:bookmarkEnd w:id="351"/>
    </w:p>
    <w:p>
      <w:pPr>
        <w:pStyle w:val="37"/>
        <w:keepNext/>
        <w:spacing w:line="240" w:lineRule="auto"/>
        <w:rPr>
          <w:rFonts w:ascii="Times New Roman" w:hAnsi="Times New Roman" w:cs="Times New Roman"/>
        </w:rPr>
      </w:pPr>
      <w:r>
        <w:rPr>
          <w:rFonts w:ascii="Times New Roman" w:hAnsi="Times New Roman" w:cs="Times New Roman"/>
        </w:rPr>
        <w:drawing>
          <wp:inline distT="0" distB="0" distL="0" distR="0">
            <wp:extent cx="5274310" cy="5116830"/>
            <wp:effectExtent l="0" t="0" r="2540" b="7620"/>
            <wp:docPr id="1972044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4410" name="图片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5274310" cy="5116830"/>
                    </a:xfrm>
                    <a:prstGeom prst="rect">
                      <a:avLst/>
                    </a:prstGeom>
                    <a:noFill/>
                    <a:ln>
                      <a:noFill/>
                    </a:ln>
                  </pic:spPr>
                </pic:pic>
              </a:graphicData>
            </a:graphic>
          </wp:inline>
        </w:drawing>
      </w:r>
    </w:p>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21</w:t>
      </w:r>
      <w:r>
        <w:rPr>
          <w:rFonts w:ascii="Times New Roman" w:hAnsi="Times New Roman" w:cs="Times New Roman"/>
        </w:rPr>
        <w:fldChar w:fldCharType="end"/>
      </w:r>
      <w:r>
        <w:rPr>
          <w:rFonts w:ascii="Times New Roman" w:hAnsi="Times New Roman" w:cs="Times New Roman"/>
        </w:rPr>
        <w:t xml:space="preserve">   气田水转运路线示意图2（黄龙004-X4方向）</w:t>
      </w:r>
    </w:p>
    <w:p>
      <w:pPr>
        <w:pStyle w:val="37"/>
        <w:keepNext/>
        <w:spacing w:line="240" w:lineRule="auto"/>
        <w:rPr>
          <w:rFonts w:ascii="Times New Roman" w:hAnsi="Times New Roman" w:cs="Times New Roman"/>
        </w:rPr>
      </w:pPr>
      <w:r>
        <w:rPr>
          <w:rFonts w:ascii="Times New Roman" w:hAnsi="Times New Roman" w:cs="Times New Roman"/>
        </w:rPr>
        <w:drawing>
          <wp:inline distT="0" distB="0" distL="0" distR="0">
            <wp:extent cx="5274310" cy="5646420"/>
            <wp:effectExtent l="0" t="0" r="2540" b="0"/>
            <wp:docPr id="4151529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52962" name="图片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0" y="0"/>
                      <a:ext cx="5274310" cy="5646420"/>
                    </a:xfrm>
                    <a:prstGeom prst="rect">
                      <a:avLst/>
                    </a:prstGeom>
                    <a:noFill/>
                    <a:ln>
                      <a:noFill/>
                    </a:ln>
                  </pic:spPr>
                </pic:pic>
              </a:graphicData>
            </a:graphic>
          </wp:inline>
        </w:drawing>
      </w:r>
    </w:p>
    <w:p>
      <w:pPr>
        <w:pStyle w:val="37"/>
        <w:rPr>
          <w:rFonts w:ascii="Times New Roman" w:hAnsi="Times New Roman" w:cs="Times New Roman"/>
        </w:rPr>
      </w:pPr>
      <w:bookmarkStart w:id="352" w:name="_Ref157160246"/>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22</w:t>
      </w:r>
      <w:r>
        <w:rPr>
          <w:rFonts w:ascii="Times New Roman" w:hAnsi="Times New Roman" w:cs="Times New Roman"/>
        </w:rPr>
        <w:fldChar w:fldCharType="end"/>
      </w:r>
      <w:bookmarkEnd w:id="352"/>
      <w:r>
        <w:rPr>
          <w:rFonts w:ascii="Times New Roman" w:hAnsi="Times New Roman" w:cs="Times New Roman"/>
        </w:rPr>
        <w:t xml:space="preserve">   气田水转运路线示意图3（蒲西4井方向）</w:t>
      </w:r>
    </w:p>
    <w:p>
      <w:pPr>
        <w:pStyle w:val="4"/>
        <w:rPr>
          <w:rFonts w:ascii="Times New Roman" w:hAnsi="Times New Roman" w:cs="Times New Roman"/>
        </w:rPr>
      </w:pPr>
      <w:r>
        <w:rPr>
          <w:rFonts w:ascii="Times New Roman" w:hAnsi="Times New Roman" w:cs="Times New Roman"/>
        </w:rPr>
        <w:t>地下水环境风险分析</w:t>
      </w:r>
    </w:p>
    <w:p>
      <w:pPr>
        <w:ind w:firstLine="480"/>
        <w:rPr>
          <w:rFonts w:ascii="Times New Roman" w:hAnsi="Times New Roman"/>
        </w:rPr>
      </w:pPr>
      <w:r>
        <w:rPr>
          <w:rFonts w:ascii="Times New Roman" w:hAnsi="Times New Roman"/>
        </w:rPr>
        <w:t>根据地下水环境影响分析章节预测结果，井站中气田水罐发生渗漏，污染物对地下水环境影响中，氯化物的影响最大，宣兴1井站气田水罐泄漏，氯化物地下水污染迁移100天时，地下水氯化物最大浓度131.61mg/L，未超过《地下水质量标准》（GB/T 14848-2017）III类标准限值250mg/L。宣兴1井站气田水罐泄漏，氯化物在地下水污染迁移最远距离为140.4m，宣探1井站气田水罐泄漏，氯化物在地下水污染迁移最远距离为169.2m。井站气田水罐发生渗漏，对周边地下水造成的影响较小。</w:t>
      </w:r>
    </w:p>
    <w:p>
      <w:pPr>
        <w:pStyle w:val="3"/>
        <w:rPr>
          <w:rFonts w:ascii="Times New Roman" w:hAnsi="Times New Roman" w:cs="Times New Roman"/>
        </w:rPr>
      </w:pPr>
      <w:bookmarkStart w:id="353" w:name="_Toc162339437"/>
      <w:r>
        <w:rPr>
          <w:rFonts w:ascii="Times New Roman" w:hAnsi="Times New Roman" w:cs="Times New Roman"/>
        </w:rPr>
        <w:t>环境风险管理</w:t>
      </w:r>
      <w:bookmarkEnd w:id="353"/>
    </w:p>
    <w:p>
      <w:pPr>
        <w:pStyle w:val="4"/>
        <w:rPr>
          <w:rFonts w:ascii="Times New Roman" w:hAnsi="Times New Roman" w:cs="Times New Roman"/>
        </w:rPr>
      </w:pPr>
      <w:r>
        <w:rPr>
          <w:rFonts w:ascii="Times New Roman" w:hAnsi="Times New Roman" w:cs="Times New Roman"/>
        </w:rPr>
        <w:t>环境风险防范措施</w:t>
      </w:r>
    </w:p>
    <w:p>
      <w:pPr>
        <w:pStyle w:val="5"/>
        <w:rPr>
          <w:rFonts w:ascii="Times New Roman" w:hAnsi="Times New Roman"/>
        </w:rPr>
      </w:pPr>
      <w:r>
        <w:rPr>
          <w:rFonts w:ascii="Times New Roman" w:hAnsi="Times New Roman"/>
        </w:rPr>
        <w:t>防腐措施</w:t>
      </w:r>
    </w:p>
    <w:p>
      <w:pPr>
        <w:ind w:firstLine="480"/>
        <w:rPr>
          <w:rFonts w:ascii="Times New Roman" w:hAnsi="Times New Roman"/>
        </w:rPr>
      </w:pPr>
      <w:r>
        <w:rPr>
          <w:rFonts w:ascii="Times New Roman" w:hAnsi="Times New Roman"/>
        </w:rPr>
        <w:t>（1）腐蚀监测</w:t>
      </w:r>
    </w:p>
    <w:p>
      <w:pPr>
        <w:ind w:firstLine="480"/>
        <w:rPr>
          <w:rFonts w:ascii="Times New Roman" w:hAnsi="Times New Roman"/>
        </w:rPr>
      </w:pPr>
      <w:r>
        <w:rPr>
          <w:rFonts w:ascii="Times New Roman" w:hAnsi="Times New Roman"/>
        </w:rPr>
        <w:t>集气支线、集气干线和联络线选用抗硫碳钢材质，为监测宣探1井天然气的腐蚀性和评估缓蚀剂的效果，在集气支线末端设置一个腐蚀监测点。在集气干线末端设置一个腐蚀监测点，以监测干线管道的腐蚀情况和评估缓蚀剂加注在实际运行过程中的保护效果。由于联络线管道无法进行涂膜处理，末端也设置一个腐蚀监测点。每个腐蚀检测点包含一套远传腐蚀探针系统和一套腐蚀挂片装置。为监测液相介质的腐蚀性，在宣兴1井场站的气液分离器排污管道上设置一个腐蚀监测点。</w:t>
      </w:r>
    </w:p>
    <w:p>
      <w:pPr>
        <w:ind w:firstLine="480"/>
        <w:rPr>
          <w:rFonts w:ascii="Times New Roman" w:hAnsi="Times New Roman"/>
        </w:rPr>
      </w:pPr>
      <w:r>
        <w:rPr>
          <w:rFonts w:ascii="Times New Roman" w:hAnsi="Times New Roman"/>
        </w:rPr>
        <w:t>（2）腐蚀检测</w:t>
      </w:r>
    </w:p>
    <w:p>
      <w:pPr>
        <w:ind w:firstLine="480"/>
        <w:rPr>
          <w:rFonts w:ascii="Times New Roman" w:hAnsi="Times New Roman"/>
        </w:rPr>
      </w:pPr>
      <w:r>
        <w:rPr>
          <w:rFonts w:ascii="Times New Roman" w:hAnsi="Times New Roman"/>
        </w:rPr>
        <w:t>1）超声波壁厚测量</w:t>
      </w:r>
    </w:p>
    <w:p>
      <w:pPr>
        <w:ind w:firstLine="480"/>
        <w:rPr>
          <w:rFonts w:ascii="Times New Roman" w:hAnsi="Times New Roman"/>
        </w:rPr>
      </w:pPr>
      <w:r>
        <w:rPr>
          <w:rFonts w:ascii="Times New Roman" w:hAnsi="Times New Roman"/>
        </w:rPr>
        <w:t>用来测量碳钢材质管道或容器的剩余壁厚，超声波检测技术的适用性比较强。在管道和容器上测量的位置要有明显的记号，以便下次测量时可以找到相同的位置，进行定点定期的测厚检测及对比分析。如果存在局部腐蚀坑，可以用超声波扫描技术从外部对蚀坑的长度和深度进行测量。管道内腐蚀检测点（超声波测厚）宜选择在紧邻截流阀后的管段、弯头、三通和处于低洼地段的管道，容器的内腐蚀检测点宜选择在进出口气四周、气液交界面、积液包等位置。本项目场站采用耐蚀合金管道材料，线路采用碳钢材料，应对进出站的支线、干线碳钢管道进行超声波壁厚测量。</w:t>
      </w:r>
    </w:p>
    <w:p>
      <w:pPr>
        <w:ind w:firstLine="480"/>
        <w:rPr>
          <w:rFonts w:ascii="Times New Roman" w:hAnsi="Times New Roman"/>
        </w:rPr>
      </w:pPr>
      <w:r>
        <w:rPr>
          <w:rFonts w:ascii="Times New Roman" w:hAnsi="Times New Roman"/>
        </w:rPr>
        <w:t>2）目视检测</w:t>
      </w:r>
    </w:p>
    <w:p>
      <w:pPr>
        <w:ind w:firstLine="480"/>
        <w:rPr>
          <w:rFonts w:ascii="Times New Roman" w:hAnsi="Times New Roman"/>
        </w:rPr>
      </w:pPr>
      <w:r>
        <w:rPr>
          <w:rFonts w:ascii="Times New Roman" w:hAnsi="Times New Roman"/>
        </w:rPr>
        <w:t>在停产期间对容器和设备进行目视检测，以提供补充信息。目视检查主要包括：观察腐蚀破坏的形态，鉴别腐蚀类型。观测腐蚀沿管道内表面圆周向和轴向的分布情况。测量单位面积的腐蚀坑数和坑深，测量壁厚即被腐蚀最深部位的壁厚，计算年腐蚀率。确定被腐蚀管段的坡度与坡向，及与它相连管道的相对位置。确定沉积物及沉积物下的腐蚀。对主要的腐蚀部位进行拍照。</w:t>
      </w:r>
    </w:p>
    <w:p>
      <w:pPr>
        <w:ind w:firstLine="480"/>
        <w:rPr>
          <w:rFonts w:ascii="Times New Roman" w:hAnsi="Times New Roman"/>
        </w:rPr>
      </w:pPr>
      <w:r>
        <w:rPr>
          <w:rFonts w:ascii="Times New Roman" w:hAnsi="Times New Roman"/>
        </w:rPr>
        <w:t>3）水分析</w:t>
      </w:r>
    </w:p>
    <w:p>
      <w:pPr>
        <w:ind w:firstLine="480"/>
        <w:rPr>
          <w:rFonts w:ascii="Times New Roman" w:hAnsi="Times New Roman"/>
        </w:rPr>
      </w:pPr>
      <w:r>
        <w:rPr>
          <w:rFonts w:ascii="Times New Roman" w:hAnsi="Times New Roman"/>
        </w:rPr>
        <w:t>定期地对气田的产出水进行分析，以确定气田水的产出量以及水中的离子含量，特别是对pH的定期测量，因为溶液的pH值是影响管道或容器腐蚀速率的重要因素。同时，需定期对分离器排出污水进行分析，如果存在微生物，则应加注杀菌剂，杀菌剂类型和加注量应通过后期分析确定。</w:t>
      </w:r>
    </w:p>
    <w:p>
      <w:pPr>
        <w:ind w:firstLine="480"/>
        <w:rPr>
          <w:rFonts w:ascii="Times New Roman" w:hAnsi="Times New Roman"/>
        </w:rPr>
      </w:pPr>
      <w:r>
        <w:rPr>
          <w:rFonts w:ascii="Times New Roman" w:hAnsi="Times New Roman"/>
        </w:rPr>
        <w:t>4）腐蚀产物分析</w:t>
      </w:r>
    </w:p>
    <w:p>
      <w:pPr>
        <w:ind w:firstLine="480"/>
        <w:rPr>
          <w:rFonts w:ascii="Times New Roman" w:hAnsi="Times New Roman"/>
        </w:rPr>
      </w:pPr>
      <w:r>
        <w:rPr>
          <w:rFonts w:ascii="Times New Roman" w:hAnsi="Times New Roman"/>
        </w:rPr>
        <w:t>对得到的腐蚀产物或杂质进行分析，可以得到补充信息。</w:t>
      </w:r>
    </w:p>
    <w:p>
      <w:pPr>
        <w:ind w:firstLine="480"/>
        <w:rPr>
          <w:rFonts w:ascii="Times New Roman" w:hAnsi="Times New Roman"/>
        </w:rPr>
      </w:pPr>
      <w:r>
        <w:rPr>
          <w:rFonts w:ascii="Times New Roman" w:hAnsi="Times New Roman"/>
        </w:rPr>
        <w:t>5）缓蚀剂残余浓度分析</w:t>
      </w:r>
    </w:p>
    <w:p>
      <w:pPr>
        <w:ind w:firstLine="480"/>
        <w:rPr>
          <w:rFonts w:ascii="Times New Roman" w:hAnsi="Times New Roman"/>
        </w:rPr>
      </w:pPr>
      <w:r>
        <w:rPr>
          <w:rFonts w:ascii="Times New Roman" w:hAnsi="Times New Roman"/>
        </w:rPr>
        <w:t>定期在集气支线、集气干线和联络线管道的末端进行液体取样，对缓蚀剂残余浓度分析，以评判和监控缓蚀剂保护效果。</w:t>
      </w:r>
    </w:p>
    <w:p>
      <w:pPr>
        <w:ind w:firstLine="480"/>
        <w:rPr>
          <w:rFonts w:ascii="Times New Roman" w:hAnsi="Times New Roman"/>
        </w:rPr>
      </w:pPr>
      <w:r>
        <w:rPr>
          <w:rFonts w:ascii="Times New Roman" w:hAnsi="Times New Roman"/>
        </w:rPr>
        <w:t>（3）元素硫沉积处理措施</w:t>
      </w:r>
    </w:p>
    <w:p>
      <w:pPr>
        <w:ind w:firstLine="480"/>
        <w:rPr>
          <w:rFonts w:ascii="Times New Roman" w:hAnsi="Times New Roman"/>
        </w:rPr>
      </w:pPr>
      <w:r>
        <w:rPr>
          <w:rFonts w:ascii="Times New Roman" w:hAnsi="Times New Roman"/>
        </w:rPr>
        <w:t>对于元素硫沉积，解决方案是采用泵注硫溶剂。可采用连续加注物理硫溶剂或堵塞后临时加注高效化学硫溶剂解堵。</w:t>
      </w:r>
    </w:p>
    <w:p>
      <w:pPr>
        <w:ind w:firstLine="480"/>
        <w:rPr>
          <w:rFonts w:ascii="Times New Roman" w:hAnsi="Times New Roman"/>
        </w:rPr>
      </w:pPr>
      <w:r>
        <w:rPr>
          <w:rFonts w:ascii="Times New Roman" w:hAnsi="Times New Roman"/>
        </w:rPr>
        <w:t>采用连续加注方案要求下游设置回收装置，工艺复杂，且投资和操作运行费用高；结合试采井生产情况，目前没有硫元素析出资料，因此，本项目中新建井不考虑连续加注，仅考虑意外情况形成硫沉积堵塞后的临时解堵。加注位置预留在井口一级节流阀之前，临时加注量小，解堵时与上下游系统隔离，解堵过程中的排出物收集后交由第三方处理，非连续加注，不需设置专门的回收系统。</w:t>
      </w:r>
    </w:p>
    <w:p>
      <w:pPr>
        <w:ind w:firstLine="480"/>
        <w:rPr>
          <w:rFonts w:ascii="Times New Roman" w:hAnsi="Times New Roman"/>
        </w:rPr>
      </w:pPr>
      <w:r>
        <w:rPr>
          <w:rFonts w:ascii="Times New Roman" w:hAnsi="Times New Roman"/>
        </w:rPr>
        <w:t>当发现管道中有元素硫沉积时，应提高清管频次或采用其他针对性的措施。确认元素硫沉积持续增加时可通过连续注入溶硫剂或溶硫剂浸泡解堵；阀门、过滤网或管道内等出现元素硫堵塞，可采用机械解堵或化学溶硫剂浸泡解堵；使用溶硫剂前，应充分评估该溶硫剂与系统的配伍性，尤其是产出液体、加注的其他化学试剂、非金属材料。</w:t>
      </w:r>
    </w:p>
    <w:p>
      <w:pPr>
        <w:ind w:firstLine="480"/>
        <w:rPr>
          <w:rFonts w:ascii="Times New Roman" w:hAnsi="Times New Roman"/>
        </w:rPr>
      </w:pPr>
      <w:r>
        <w:rPr>
          <w:rFonts w:ascii="Times New Roman" w:hAnsi="Times New Roman"/>
        </w:rPr>
        <w:t>由于本项目目前无元素硫的具体数据，相邻气田出现硫沉积现象，但硫沉积过程较为缓慢，因此，本项目考虑选用硫溶剂浸泡解堵方案，在井站潜在元素硫沉积较严重位置处设置预留硫溶剂加注口。溶硫剂应先进行实验室评定，不应影响管道系统密封件的使用性能，同时与气田水、水合物抑制剂等应有良好的配伍性。</w:t>
      </w:r>
    </w:p>
    <w:p>
      <w:pPr>
        <w:pStyle w:val="5"/>
        <w:rPr>
          <w:rFonts w:ascii="Times New Roman" w:hAnsi="Times New Roman"/>
        </w:rPr>
      </w:pPr>
      <w:r>
        <w:rPr>
          <w:rFonts w:ascii="Times New Roman" w:hAnsi="Times New Roman"/>
        </w:rPr>
        <w:t>自动控制系统</w:t>
      </w:r>
    </w:p>
    <w:p>
      <w:pPr>
        <w:ind w:firstLine="480"/>
        <w:rPr>
          <w:rFonts w:ascii="Times New Roman" w:hAnsi="Times New Roman"/>
        </w:rPr>
      </w:pPr>
      <w:r>
        <w:rPr>
          <w:rFonts w:ascii="Times New Roman" w:hAnsi="Times New Roman"/>
        </w:rPr>
        <w:t>本项目依托</w:t>
      </w:r>
      <w:bookmarkStart w:id="354" w:name="_Hlk155627012"/>
      <w:r>
        <w:rPr>
          <w:rFonts w:ascii="Times New Roman" w:hAnsi="Times New Roman"/>
        </w:rPr>
        <w:t>渡口河项目已建调控中心机柜间、操作室及已建的 SCADA 系统，通过通信系统，该 SCADA 系统完成对气田各个站场的集中监控和管理，实现对气田生产的动态监控及安全联锁保护。各井场、阀室等站控系统将数据上传至气田 SCADA 系统并接受其下达的控制指令。SCADA 系统将通过光纤通信系统与已建的川东北气矿调度管理中心相连，接受气矿调度管理中心、分公司生产网的管理和远程监视。</w:t>
      </w:r>
      <w:bookmarkEnd w:id="354"/>
    </w:p>
    <w:p>
      <w:pPr>
        <w:ind w:firstLine="480"/>
        <w:rPr>
          <w:rFonts w:ascii="Times New Roman" w:hAnsi="Times New Roman"/>
        </w:rPr>
      </w:pPr>
      <w:r>
        <w:rPr>
          <w:rFonts w:ascii="Times New Roman" w:hAnsi="Times New Roman"/>
        </w:rPr>
        <w:t>根据气田井站物理位置分布，集气管道走向以及生产调度管理的需要，计算机控制系统采用四级网络结构：</w:t>
      </w:r>
    </w:p>
    <w:p>
      <w:pPr>
        <w:ind w:firstLine="480"/>
        <w:rPr>
          <w:rFonts w:ascii="Times New Roman" w:hAnsi="Times New Roman"/>
        </w:rPr>
      </w:pPr>
      <w:r>
        <w:rPr>
          <w:rFonts w:ascii="Times New Roman" w:hAnsi="Times New Roman"/>
        </w:rPr>
        <w:t>1）第一级为总调度管理中心（GMC—Global Manager Center）与华阳备用调度中心BGMC，依托于西油分公司现有 SCADA 系统及系统网络。同时数据上传至分公司数据管理平台。</w:t>
      </w:r>
    </w:p>
    <w:p>
      <w:pPr>
        <w:ind w:firstLine="480"/>
        <w:rPr>
          <w:rFonts w:ascii="Times New Roman" w:hAnsi="Times New Roman"/>
        </w:rPr>
      </w:pPr>
      <w:r>
        <w:rPr>
          <w:rFonts w:ascii="Times New Roman" w:hAnsi="Times New Roman"/>
        </w:rPr>
        <w:t>2）第二级为川东北气矿地区调度管理中心（DCC—Dispatching Control Center），依托于西油分公司现有 SCADA 系统及系统网络。</w:t>
      </w:r>
    </w:p>
    <w:p>
      <w:pPr>
        <w:ind w:firstLine="480"/>
        <w:rPr>
          <w:rFonts w:ascii="Times New Roman" w:hAnsi="Times New Roman"/>
        </w:rPr>
      </w:pPr>
      <w:r>
        <w:rPr>
          <w:rFonts w:ascii="Times New Roman" w:hAnsi="Times New Roman"/>
        </w:rPr>
        <w:t>3）第三级为宣探区块调度控制中心（LCC—Local Control Center），设置在渡口河天然气净化厂中央控制室，完成宣探区块下属站场的集中监控。</w:t>
      </w:r>
    </w:p>
    <w:p>
      <w:pPr>
        <w:ind w:firstLine="480"/>
        <w:rPr>
          <w:rFonts w:ascii="Times New Roman" w:hAnsi="Times New Roman"/>
        </w:rPr>
      </w:pPr>
      <w:r>
        <w:rPr>
          <w:rFonts w:ascii="Times New Roman" w:hAnsi="Times New Roman"/>
        </w:rPr>
        <w:t>4）第四级为站场控制级，在各井站、清管站和阀室等相关工艺设施处设置计算机控制系统。</w:t>
      </w:r>
    </w:p>
    <w:p>
      <w:pPr>
        <w:ind w:firstLine="480"/>
        <w:rPr>
          <w:rFonts w:ascii="Times New Roman" w:hAnsi="Times New Roman"/>
        </w:rPr>
      </w:pPr>
      <w:r>
        <w:rPr>
          <w:rFonts w:ascii="Times New Roman" w:hAnsi="Times New Roman"/>
        </w:rPr>
        <w:t>在宣探1井站、宣兴1井站设置站控计算机控制系统，实现井口、加热炉、放空火炬、空压机等工艺设施过程的数据采集与监控，完成自动控制、安全联锁、站内可燃/有毒气体泄漏监测报警。满足自动控制、无人操作的作业方式，其数据上传至渡口河天然气净化厂中央控制室。</w:t>
      </w:r>
    </w:p>
    <w:p>
      <w:pPr>
        <w:ind w:firstLine="480"/>
        <w:rPr>
          <w:rFonts w:ascii="Times New Roman" w:hAnsi="Times New Roman"/>
        </w:rPr>
      </w:pPr>
      <w:r>
        <w:rPr>
          <w:rFonts w:ascii="Times New Roman" w:hAnsi="Times New Roman"/>
        </w:rPr>
        <w:t>在阀室内设置计算机控制系统，实现干线截断阀的控制及阀位检测、截断阀上下游压力检测、阀室内有毒气体泄漏监测报警的功能需求，满足自动控制、无人操作的作业方式，其数据上传至渡口河天然气净化厂中央控制室，同时设置RTU（信号隔离用）对接与中石化的数据。</w:t>
      </w:r>
    </w:p>
    <w:p>
      <w:pPr>
        <w:ind w:firstLine="480"/>
        <w:rPr>
          <w:rFonts w:ascii="Times New Roman" w:hAnsi="Times New Roman"/>
        </w:rPr>
      </w:pPr>
      <w:r>
        <w:rPr>
          <w:rFonts w:ascii="Times New Roman" w:hAnsi="Times New Roman"/>
        </w:rPr>
        <w:t>在宣探清管站设置计算机控制系统，满足自动控制、无人操作的作业方式，其数据上传至渡口河天然气净化厂中央控制室，同时设置RTU（信号隔离用）对接与中石化的数据。</w:t>
      </w:r>
    </w:p>
    <w:p>
      <w:pPr>
        <w:pStyle w:val="5"/>
        <w:numPr>
          <w:ilvl w:val="3"/>
          <w:numId w:val="9"/>
        </w:numPr>
        <w:rPr>
          <w:rFonts w:ascii="Times New Roman" w:hAnsi="Times New Roman"/>
        </w:rPr>
      </w:pPr>
      <w:r>
        <w:rPr>
          <w:rFonts w:ascii="Times New Roman" w:hAnsi="Times New Roman"/>
        </w:rPr>
        <w:t>井站泄漏防范措施</w:t>
      </w:r>
    </w:p>
    <w:p>
      <w:pPr>
        <w:ind w:firstLine="480"/>
        <w:rPr>
          <w:rFonts w:ascii="Times New Roman" w:hAnsi="Times New Roman"/>
        </w:rPr>
      </w:pPr>
      <w:r>
        <w:rPr>
          <w:rFonts w:ascii="Times New Roman" w:hAnsi="Times New Roman"/>
        </w:rPr>
        <w:t>井站的安全生产应严格执行《中华人民共和国特种设备安全法</w:t>
      </w:r>
      <w:r>
        <w:rPr>
          <w:rFonts w:hint="eastAsia" w:ascii="Times New Roman" w:hAnsi="Times New Roman"/>
          <w:lang w:eastAsia="zh-CN"/>
        </w:rPr>
        <w:t>》《</w:t>
      </w:r>
      <w:r>
        <w:rPr>
          <w:rFonts w:ascii="Times New Roman" w:hAnsi="Times New Roman"/>
        </w:rPr>
        <w:t>石油天然气安全规程》(AQ2012-2007)、《硫化氢环境天然气采集与处理安全规范》(SY/T6137-2017)、《石油天然气钻井、开发、储运防火防爆安全生产技术规程》(SY/T5225-2019)等安全管理要求。</w:t>
      </w:r>
    </w:p>
    <w:p>
      <w:pPr>
        <w:ind w:firstLine="480"/>
        <w:rPr>
          <w:rFonts w:ascii="Times New Roman" w:hAnsi="Times New Roman"/>
        </w:rPr>
      </w:pPr>
      <w:r>
        <w:rPr>
          <w:rFonts w:ascii="Times New Roman" w:hAnsi="Times New Roman"/>
        </w:rPr>
        <w:t>（1）对站内设备仪表按其保养规定定期进行检验、检定或测试。</w:t>
      </w:r>
    </w:p>
    <w:p>
      <w:pPr>
        <w:ind w:firstLine="480"/>
        <w:rPr>
          <w:rFonts w:ascii="Times New Roman" w:hAnsi="Times New Roman"/>
        </w:rPr>
      </w:pPr>
      <w:r>
        <w:rPr>
          <w:rFonts w:ascii="Times New Roman" w:hAnsi="Times New Roman"/>
        </w:rPr>
        <w:t>（2）站内的自控仪表、通信设施、安防设施和视频监视系统应定期进行维护检验，确保其可靠性。</w:t>
      </w:r>
    </w:p>
    <w:p>
      <w:pPr>
        <w:ind w:firstLine="480"/>
        <w:rPr>
          <w:rFonts w:ascii="Times New Roman" w:hAnsi="Times New Roman"/>
        </w:rPr>
      </w:pPr>
      <w:r>
        <w:rPr>
          <w:rFonts w:ascii="Times New Roman" w:hAnsi="Times New Roman"/>
        </w:rPr>
        <w:t>（3）压力容器、安全阀、气体监测报警设施等均应按相关要求定期进行检验、保养，以保证设备安全运行。</w:t>
      </w:r>
    </w:p>
    <w:p>
      <w:pPr>
        <w:ind w:firstLine="480"/>
        <w:rPr>
          <w:rFonts w:ascii="Times New Roman" w:hAnsi="Times New Roman"/>
        </w:rPr>
      </w:pPr>
      <w:r>
        <w:rPr>
          <w:rFonts w:ascii="Times New Roman" w:hAnsi="Times New Roman"/>
        </w:rPr>
        <w:t>（4）甲醇加注应制定相应的安全操作规程，加注人员应有相应的安全防护措施，防止甲醇外溢、泄漏及人员中毒。</w:t>
      </w:r>
    </w:p>
    <w:p>
      <w:pPr>
        <w:ind w:firstLine="480"/>
        <w:rPr>
          <w:rFonts w:ascii="Times New Roman" w:hAnsi="Times New Roman"/>
        </w:rPr>
      </w:pPr>
      <w:r>
        <w:rPr>
          <w:rFonts w:ascii="Times New Roman" w:hAnsi="Times New Roman"/>
        </w:rPr>
        <w:t>（5）清管通球工作应</w:t>
      </w:r>
      <w:r>
        <w:rPr>
          <w:rFonts w:hint="eastAsia" w:ascii="Times New Roman" w:hAnsi="Times New Roman"/>
          <w:lang w:eastAsia="zh-CN"/>
        </w:rPr>
        <w:t>制定</w:t>
      </w:r>
      <w:r>
        <w:rPr>
          <w:rFonts w:ascii="Times New Roman" w:hAnsi="Times New Roman"/>
        </w:rPr>
        <w:t>作业方案和措施，并按方案进行清管通球，防止硫化氢外溢、泄漏及人员中毒。</w:t>
      </w:r>
    </w:p>
    <w:p>
      <w:pPr>
        <w:ind w:firstLine="480"/>
        <w:rPr>
          <w:rFonts w:ascii="Times New Roman" w:hAnsi="Times New Roman"/>
        </w:rPr>
      </w:pPr>
      <w:r>
        <w:rPr>
          <w:rFonts w:ascii="Times New Roman" w:hAnsi="Times New Roman"/>
        </w:rPr>
        <w:t>（6）生产单位宜结合自然和社会环境情况制定无人值守场站的巡检方案，并可结合机器人等手段开展巡检作业。</w:t>
      </w:r>
    </w:p>
    <w:p>
      <w:pPr>
        <w:ind w:firstLine="480"/>
        <w:rPr>
          <w:rFonts w:ascii="Times New Roman" w:hAnsi="Times New Roman"/>
        </w:rPr>
      </w:pPr>
      <w:r>
        <w:rPr>
          <w:rFonts w:ascii="Times New Roman" w:hAnsi="Times New Roman"/>
        </w:rPr>
        <w:t>（7）井站巡检时应佩戴正压式空气呼吸器和便携式硫化氢检测报警仪，采用双人巡检，一人操作，一人监护。</w:t>
      </w:r>
    </w:p>
    <w:p>
      <w:pPr>
        <w:ind w:firstLine="480"/>
        <w:rPr>
          <w:rFonts w:ascii="Times New Roman" w:hAnsi="Times New Roman"/>
        </w:rPr>
      </w:pPr>
      <w:r>
        <w:rPr>
          <w:rFonts w:ascii="Times New Roman" w:hAnsi="Times New Roman"/>
        </w:rPr>
        <w:t>（8）对井站周围的居民作好事故应急宣传，以保证一旦发生天然气泄漏事故时，可能受影响的居民能作出正确反应。</w:t>
      </w:r>
    </w:p>
    <w:p>
      <w:pPr>
        <w:pStyle w:val="5"/>
        <w:rPr>
          <w:rFonts w:ascii="Times New Roman" w:hAnsi="Times New Roman"/>
        </w:rPr>
      </w:pPr>
      <w:r>
        <w:rPr>
          <w:rFonts w:ascii="Times New Roman" w:hAnsi="Times New Roman"/>
        </w:rPr>
        <w:t>管道泄漏防范措施</w:t>
      </w:r>
    </w:p>
    <w:p>
      <w:pPr>
        <w:ind w:firstLine="480"/>
        <w:rPr>
          <w:rFonts w:ascii="Times New Roman" w:hAnsi="Times New Roman"/>
        </w:rPr>
      </w:pPr>
      <w:r>
        <w:rPr>
          <w:rFonts w:ascii="Times New Roman" w:hAnsi="Times New Roman"/>
        </w:rPr>
        <w:t>（1）参考渡口河及铁山坡项目，本项目管道泄漏检测采用3种测量手段，即分布式声学感应系统（DAS）、分布式温度传感系统（DTS）和增加次声波管道泄漏检测系统。管道泄漏检测系统主机设置于气田调度管理中心内，管道泄漏检测系统将气体泄漏报警信息上传至本气田社区报警系统进行警。</w:t>
      </w:r>
    </w:p>
    <w:p>
      <w:pPr>
        <w:ind w:firstLine="480"/>
        <w:rPr>
          <w:rFonts w:ascii="Times New Roman" w:hAnsi="Times New Roman"/>
        </w:rPr>
      </w:pPr>
      <w:r>
        <w:rPr>
          <w:rFonts w:ascii="Times New Roman" w:hAnsi="Times New Roman"/>
        </w:rPr>
        <w:t>（2）强化对焊接质量的重点管控，所有焊口进行100%射线探伤和100%超声波检测。对于断点连头焊接作业，三方现场见证，杜绝强行组对。</w:t>
      </w:r>
    </w:p>
    <w:p>
      <w:pPr>
        <w:ind w:firstLine="480"/>
        <w:rPr>
          <w:rFonts w:ascii="Times New Roman" w:hAnsi="Times New Roman"/>
        </w:rPr>
      </w:pPr>
      <w:r>
        <w:rPr>
          <w:rFonts w:ascii="Times New Roman" w:hAnsi="Times New Roman"/>
        </w:rPr>
        <w:t>（3）加大管道埋设深度，土方段管顶埋深不小于1.2m，石方段管顶埋深不小于1m；</w:t>
      </w:r>
    </w:p>
    <w:p>
      <w:pPr>
        <w:ind w:firstLine="480"/>
        <w:rPr>
          <w:rFonts w:ascii="Times New Roman" w:hAnsi="Times New Roman"/>
        </w:rPr>
      </w:pPr>
      <w:r>
        <w:rPr>
          <w:rFonts w:ascii="Times New Roman" w:hAnsi="Times New Roman"/>
        </w:rPr>
        <w:t>（4）管道上方0.5m处埋设警示带，警示牌设置间距不超过 500m；</w:t>
      </w:r>
    </w:p>
    <w:p>
      <w:pPr>
        <w:ind w:firstLine="480"/>
        <w:rPr>
          <w:rFonts w:ascii="Times New Roman" w:hAnsi="Times New Roman"/>
        </w:rPr>
      </w:pPr>
      <w:r>
        <w:rPr>
          <w:rFonts w:ascii="Times New Roman" w:hAnsi="Times New Roman"/>
        </w:rPr>
        <w:t>（5）加大线路标志桩设置密度，不大于50m设置1个加密桩，警示牌设置间距不超过500m；</w:t>
      </w:r>
    </w:p>
    <w:p>
      <w:pPr>
        <w:ind w:firstLine="480"/>
        <w:rPr>
          <w:rFonts w:ascii="Times New Roman" w:hAnsi="Times New Roman"/>
        </w:rPr>
      </w:pPr>
      <w:r>
        <w:rPr>
          <w:rFonts w:ascii="Times New Roman" w:hAnsi="Times New Roman"/>
        </w:rPr>
        <w:t>（6）道路穿越均设置套管保护；</w:t>
      </w:r>
    </w:p>
    <w:p>
      <w:pPr>
        <w:ind w:firstLine="480"/>
        <w:rPr>
          <w:rFonts w:ascii="Times New Roman" w:hAnsi="Times New Roman"/>
        </w:rPr>
      </w:pPr>
      <w:r>
        <w:rPr>
          <w:rFonts w:ascii="Times New Roman" w:hAnsi="Times New Roman"/>
        </w:rPr>
        <w:t>（7）在施工图设计技术要求中应明确要求对人口密集区、特定场所等高后果区段制定专项施工方案及应急预审，确保施工安全；</w:t>
      </w:r>
    </w:p>
    <w:p>
      <w:pPr>
        <w:ind w:firstLine="480"/>
        <w:rPr>
          <w:rFonts w:ascii="Times New Roman" w:hAnsi="Times New Roman"/>
        </w:rPr>
      </w:pPr>
      <w:r>
        <w:rPr>
          <w:rFonts w:ascii="Times New Roman" w:hAnsi="Times New Roman"/>
        </w:rPr>
        <w:t>（8）高后果区域设置视频监控，对现场环境进行实施监控；</w:t>
      </w:r>
    </w:p>
    <w:p>
      <w:pPr>
        <w:ind w:firstLine="480"/>
        <w:rPr>
          <w:rFonts w:ascii="Times New Roman" w:hAnsi="Times New Roman"/>
        </w:rPr>
      </w:pPr>
      <w:r>
        <w:rPr>
          <w:rFonts w:ascii="Times New Roman" w:hAnsi="Times New Roman"/>
        </w:rPr>
        <w:t>（9）与相关部门建立热线电话等联系方式，当管道附近有改扩建施工、大型机械化作业时提前通知；</w:t>
      </w:r>
    </w:p>
    <w:p>
      <w:pPr>
        <w:ind w:firstLine="480"/>
        <w:rPr>
          <w:rFonts w:ascii="Times New Roman" w:hAnsi="Times New Roman"/>
        </w:rPr>
      </w:pPr>
      <w:r>
        <w:rPr>
          <w:rFonts w:ascii="Times New Roman" w:hAnsi="Times New Roman"/>
        </w:rPr>
        <w:t>（10）在管道运行期间与相关单位建立联系机制，并定期联合开展应急演练；</w:t>
      </w:r>
    </w:p>
    <w:p>
      <w:pPr>
        <w:pStyle w:val="5"/>
        <w:rPr>
          <w:rFonts w:ascii="Times New Roman" w:hAnsi="Times New Roman"/>
        </w:rPr>
      </w:pPr>
      <w:r>
        <w:rPr>
          <w:rFonts w:ascii="Times New Roman" w:hAnsi="Times New Roman"/>
        </w:rPr>
        <w:t>高后果区视频监控</w:t>
      </w:r>
    </w:p>
    <w:p>
      <w:pPr>
        <w:ind w:firstLine="480"/>
        <w:rPr>
          <w:rFonts w:ascii="Times New Roman" w:hAnsi="Times New Roman"/>
        </w:rPr>
      </w:pPr>
      <w:r>
        <w:rPr>
          <w:rFonts w:ascii="Times New Roman" w:hAnsi="Times New Roman"/>
        </w:rPr>
        <w:t>本项目在管道沿线人员密集的高后果区设置视频监控点，对人员密集高后果区进行全天候视频监控，便于及时监视管道沿线情况，保障管道的安全运行。</w:t>
      </w:r>
    </w:p>
    <w:p>
      <w:pPr>
        <w:ind w:firstLine="480"/>
        <w:rPr>
          <w:rFonts w:ascii="Times New Roman" w:hAnsi="Times New Roman"/>
        </w:rPr>
      </w:pPr>
      <w:r>
        <w:rPr>
          <w:rFonts w:ascii="Times New Roman" w:hAnsi="Times New Roman"/>
        </w:rPr>
        <w:t>在人口密集高后果区设置视频监控点，在区域监视中心设置高后果区视频监控管理平台，利用工业以太网，采用主动注册形式依次添加各高后果区位置摄像机、实现统一管理。一旦有人非法入侵，通过网络高清摄像机的智能分析功能实现自动报警，区域监视中心监控终端上弹出画面，操作人员可远程麦克风喊话警示告知。</w:t>
      </w:r>
    </w:p>
    <w:p>
      <w:pPr>
        <w:ind w:firstLine="480"/>
        <w:rPr>
          <w:rFonts w:ascii="Times New Roman" w:hAnsi="Times New Roman"/>
        </w:rPr>
      </w:pPr>
      <w:r>
        <w:rPr>
          <w:rFonts w:ascii="Times New Roman" w:hAnsi="Times New Roman"/>
        </w:rPr>
        <w:t>高后果区监控视频数据通过工业以太网交换机利用内输天地光缆形成环网，占用埋地光缆中的5-6芯作为主用传输通道，架空光缆中的5-6芯作为环回通道，将数据传输至宣探1井站监视NVR中，宣探1井站远程监控主机（备用）及渡口河监视监控主机可对高后果区的摄像机进行远程管理。</w:t>
      </w:r>
    </w:p>
    <w:p>
      <w:pPr>
        <w:ind w:firstLine="480"/>
        <w:rPr>
          <w:rFonts w:ascii="Times New Roman" w:hAnsi="Times New Roman"/>
        </w:rPr>
      </w:pPr>
      <w:r>
        <w:rPr>
          <w:rFonts w:ascii="Times New Roman" w:hAnsi="Times New Roman"/>
        </w:rPr>
        <w:t>本项目高含硫管线全线为高后果区管道，按照每500m设置1处高后果区视频监视点的原则，并考虑地形因素、交通因素、第三方主要活动范围因素等，结合不同类型的监控地段，沿线管道共设置20台高后果区视频监视摄像机，用于视频安防监控。</w:t>
      </w:r>
    </w:p>
    <w:p>
      <w:pPr>
        <w:pStyle w:val="5"/>
        <w:rPr>
          <w:rFonts w:ascii="Times New Roman" w:hAnsi="Times New Roman"/>
        </w:rPr>
      </w:pPr>
      <w:r>
        <w:rPr>
          <w:rFonts w:ascii="Times New Roman" w:hAnsi="Times New Roman"/>
        </w:rPr>
        <w:t>建立巡线制度</w:t>
      </w:r>
    </w:p>
    <w:p>
      <w:pPr>
        <w:ind w:firstLine="480"/>
        <w:rPr>
          <w:rFonts w:ascii="Times New Roman" w:hAnsi="Times New Roman"/>
        </w:rPr>
      </w:pPr>
      <w:r>
        <w:rPr>
          <w:rFonts w:ascii="Times New Roman" w:hAnsi="Times New Roman"/>
        </w:rPr>
        <w:t>项目在运营管理过程中应建立完善的巡线制度。管线应根据沿线情况定期对管道进行巡线检查。在雨季、汛期或其它灾害发生时应加密巡查。管道沿线应保持各种线路标志清晰，巡线员按照相关规定定期巡线，发现危及管道安全的情况及时处理和汇报。</w:t>
      </w:r>
    </w:p>
    <w:p>
      <w:pPr>
        <w:ind w:firstLine="480"/>
        <w:rPr>
          <w:rFonts w:ascii="Times New Roman" w:hAnsi="Times New Roman"/>
        </w:rPr>
      </w:pPr>
      <w:r>
        <w:rPr>
          <w:rFonts w:ascii="Times New Roman" w:hAnsi="Times New Roman"/>
        </w:rPr>
        <w:t>（1）管道巡护人员：组织专业的管道巡护人员，对人员进行定期培训。巡护人员需携手持式硫化氢监测仪巡线，对浓度进行检查和测试，能及时发现中小型泄漏事故，并有效避免大型泄漏事故的发生。</w:t>
      </w:r>
    </w:p>
    <w:p>
      <w:pPr>
        <w:ind w:firstLine="480"/>
        <w:rPr>
          <w:rFonts w:ascii="Times New Roman" w:hAnsi="Times New Roman"/>
        </w:rPr>
      </w:pPr>
      <w:r>
        <w:rPr>
          <w:rFonts w:ascii="Times New Roman" w:hAnsi="Times New Roman"/>
        </w:rPr>
        <w:t>（2）巡护范围：站场围墙外的管道及阀室、跨越管桥、水工保护、阴极保护、地面标识、同沟敷设的通信光缆、外管道视频监控等附属设施。</w:t>
      </w:r>
    </w:p>
    <w:p>
      <w:pPr>
        <w:ind w:firstLine="480"/>
        <w:rPr>
          <w:rFonts w:ascii="Times New Roman" w:hAnsi="Times New Roman"/>
        </w:rPr>
      </w:pPr>
      <w:r>
        <w:rPr>
          <w:rFonts w:ascii="Times New Roman" w:hAnsi="Times New Roman"/>
        </w:rPr>
        <w:t>（3）管道巡护管理监理巡护系统，要求管道巡护人员终端配备率100%、管道巡护系统上线率100%、管道巡护计划覆盖率100%、巡护任务覆盖率100%。</w:t>
      </w:r>
    </w:p>
    <w:p>
      <w:pPr>
        <w:ind w:firstLine="480"/>
        <w:rPr>
          <w:rFonts w:ascii="Times New Roman" w:hAnsi="Times New Roman"/>
        </w:rPr>
      </w:pPr>
      <w:r>
        <w:rPr>
          <w:rFonts w:ascii="Times New Roman" w:hAnsi="Times New Roman"/>
        </w:rPr>
        <w:t>（4）巡护频次</w:t>
      </w:r>
    </w:p>
    <w:p>
      <w:pPr>
        <w:ind w:firstLine="480"/>
        <w:rPr>
          <w:rFonts w:ascii="Times New Roman" w:hAnsi="Times New Roman"/>
        </w:rPr>
      </w:pPr>
      <w:r>
        <w:rPr>
          <w:rFonts w:ascii="Times New Roman" w:hAnsi="Times New Roman"/>
        </w:rPr>
        <w:t>规定明确的巡护频次，管线应根据沿线情况定期对管道进行巡线检查。在雨季、汛期或其它灾害发生时应加密巡查。</w:t>
      </w:r>
    </w:p>
    <w:p>
      <w:pPr>
        <w:ind w:firstLine="480"/>
        <w:rPr>
          <w:rFonts w:ascii="Times New Roman" w:hAnsi="Times New Roman"/>
        </w:rPr>
      </w:pPr>
      <w:r>
        <w:rPr>
          <w:rFonts w:ascii="Times New Roman" w:hAnsi="Times New Roman"/>
        </w:rPr>
        <w:t>（5）巡护内容</w:t>
      </w:r>
    </w:p>
    <w:p>
      <w:pPr>
        <w:ind w:firstLine="480"/>
        <w:rPr>
          <w:rFonts w:ascii="Times New Roman" w:hAnsi="Times New Roman"/>
        </w:rPr>
      </w:pPr>
      <w:r>
        <w:rPr>
          <w:rFonts w:ascii="Times New Roman" w:hAnsi="Times New Roman"/>
        </w:rPr>
        <w:t>1）管道巡护</w:t>
      </w:r>
    </w:p>
    <w:p>
      <w:pPr>
        <w:ind w:firstLine="480"/>
        <w:rPr>
          <w:rFonts w:ascii="Times New Roman" w:hAnsi="Times New Roman"/>
        </w:rPr>
      </w:pPr>
      <w:r>
        <w:rPr>
          <w:rFonts w:ascii="Times New Roman" w:hAnsi="Times New Roman"/>
        </w:rPr>
        <w:t>检查管道是否发生露管、移位、跨越管道外防腐层破损等现象；是否有大型车辆在管道上方行驶碾压；管道所经区域内地形、地貌有无明显变化。</w:t>
      </w:r>
    </w:p>
    <w:p>
      <w:pPr>
        <w:ind w:firstLine="480"/>
        <w:rPr>
          <w:rFonts w:ascii="Times New Roman" w:hAnsi="Times New Roman"/>
        </w:rPr>
      </w:pPr>
      <w:r>
        <w:rPr>
          <w:rFonts w:ascii="Times New Roman" w:hAnsi="Times New Roman"/>
        </w:rPr>
        <w:t>检查水工保护、阴极保护设施、护坡、管涵、标识、高后果区告知牌等管道附属设施是否完好。</w:t>
      </w:r>
    </w:p>
    <w:p>
      <w:pPr>
        <w:ind w:firstLine="480"/>
        <w:rPr>
          <w:rFonts w:ascii="Times New Roman" w:hAnsi="Times New Roman"/>
        </w:rPr>
      </w:pPr>
      <w:r>
        <w:rPr>
          <w:rFonts w:ascii="Times New Roman" w:hAnsi="Times New Roman"/>
        </w:rPr>
        <w:t>检查管道中心线两侧5米范围内是否存在取土、采石、用火、堆放重物、排放腐蚀性物质、挖塘、修渠、修建养殖场、修晒场、建温室、建家畜棚圈、建房、修建其他建筑物、构筑物或者种植深根植物等问题。</w:t>
      </w:r>
    </w:p>
    <w:p>
      <w:pPr>
        <w:ind w:firstLine="480"/>
        <w:rPr>
          <w:rFonts w:ascii="Times New Roman" w:hAnsi="Times New Roman"/>
        </w:rPr>
      </w:pPr>
      <w:r>
        <w:rPr>
          <w:rFonts w:ascii="Times New Roman" w:hAnsi="Times New Roman"/>
        </w:rPr>
        <w:t>检查管道两侧100米范围内，是否有各类机械施工行为。</w:t>
      </w:r>
    </w:p>
    <w:p>
      <w:pPr>
        <w:ind w:firstLine="480"/>
        <w:rPr>
          <w:rFonts w:ascii="Times New Roman" w:hAnsi="Times New Roman"/>
        </w:rPr>
      </w:pPr>
      <w:r>
        <w:rPr>
          <w:rFonts w:ascii="Times New Roman" w:hAnsi="Times New Roman"/>
        </w:rPr>
        <w:t>检查穿越河流的管道线路中心两侧各500米范围内是否有抛锚、拖锚、挖砂、挖泥、采石、水下爆破等危及管道安全的作业。</w:t>
      </w:r>
    </w:p>
    <w:p>
      <w:pPr>
        <w:ind w:firstLine="480"/>
        <w:rPr>
          <w:rFonts w:ascii="Times New Roman" w:hAnsi="Times New Roman"/>
        </w:rPr>
      </w:pPr>
      <w:r>
        <w:rPr>
          <w:rFonts w:ascii="Times New Roman" w:hAnsi="Times New Roman"/>
        </w:rPr>
        <w:t>检查管道线路中心线两侧各200米及管道附属设施周边500米地域范围内是否有爆破、地震法勘探或者工程挖掘、工程钻探、采矿作业等。</w:t>
      </w:r>
    </w:p>
    <w:p>
      <w:pPr>
        <w:ind w:firstLine="480"/>
        <w:rPr>
          <w:rFonts w:ascii="Times New Roman" w:hAnsi="Times New Roman"/>
        </w:rPr>
      </w:pPr>
      <w:r>
        <w:rPr>
          <w:rFonts w:ascii="Times New Roman" w:hAnsi="Times New Roman"/>
        </w:rPr>
        <w:t>检查管道穿越公路、铁路、电力线、通讯线、河流渠道等交叉部位的安全保护措施是否完好，标识是否完好。</w:t>
      </w:r>
    </w:p>
    <w:p>
      <w:pPr>
        <w:ind w:firstLine="480"/>
        <w:rPr>
          <w:rFonts w:ascii="Times New Roman" w:hAnsi="Times New Roman"/>
        </w:rPr>
      </w:pPr>
      <w:r>
        <w:rPr>
          <w:rFonts w:ascii="Times New Roman" w:hAnsi="Times New Roman"/>
        </w:rPr>
        <w:t>2）站场巡护</w:t>
      </w:r>
    </w:p>
    <w:p>
      <w:pPr>
        <w:ind w:firstLine="480"/>
        <w:rPr>
          <w:rFonts w:ascii="Times New Roman" w:hAnsi="Times New Roman"/>
        </w:rPr>
      </w:pPr>
      <w:r>
        <w:rPr>
          <w:rFonts w:ascii="Times New Roman" w:hAnsi="Times New Roman"/>
        </w:rPr>
        <w:t>检查站场外观及周边情况，检查阀室外警示牌、举报电话是否齐全，监控摄像头位置是否有变动。</w:t>
      </w:r>
    </w:p>
    <w:p>
      <w:pPr>
        <w:ind w:firstLine="480"/>
        <w:rPr>
          <w:rFonts w:ascii="Times New Roman" w:hAnsi="Times New Roman"/>
        </w:rPr>
      </w:pPr>
      <w:r>
        <w:rPr>
          <w:rFonts w:ascii="Times New Roman" w:hAnsi="Times New Roman"/>
        </w:rPr>
        <w:t>检查站场的墙体、门、窗、锁、扶梯、栏杆是否完好，地基有无下沉，是否清洁，有无积水，阀室屋顶太阳能板是否完好；查看阀门及附件是否渗漏，是否有硫化氢气味。</w:t>
      </w:r>
    </w:p>
    <w:p>
      <w:pPr>
        <w:pStyle w:val="5"/>
        <w:rPr>
          <w:rFonts w:ascii="Times New Roman" w:hAnsi="Times New Roman"/>
        </w:rPr>
      </w:pPr>
      <w:r>
        <w:rPr>
          <w:rFonts w:ascii="Times New Roman" w:hAnsi="Times New Roman"/>
        </w:rPr>
        <w:t>扩音对讲系统</w:t>
      </w:r>
    </w:p>
    <w:p>
      <w:pPr>
        <w:ind w:firstLine="480"/>
        <w:rPr>
          <w:rFonts w:ascii="Times New Roman" w:hAnsi="Times New Roman"/>
        </w:rPr>
      </w:pPr>
      <w:r>
        <w:rPr>
          <w:rFonts w:ascii="Times New Roman" w:hAnsi="Times New Roman"/>
        </w:rPr>
        <w:t>为满足井站高噪声和高危险度场合下生产管理和巡检人员流动作业对通信的需要，并在事故状态下紧急疏散相关工作人员提供广播呼叫服务，依托渡口河网络型IP扩音对讲系统，在宣探1井站、宣兴1井站、阀室、清管站各设有IP扩音对讲通信系统1套，渡口河控制室可以通过通信传输网络与各井站场进行对讲通信。井场以及阀室设置拾音器和扬声器等，接入摄像机利用工业电视平台，实现扩音对讲功能。</w:t>
      </w:r>
    </w:p>
    <w:p>
      <w:pPr>
        <w:pStyle w:val="5"/>
        <w:rPr>
          <w:rFonts w:ascii="Times New Roman" w:hAnsi="Times New Roman"/>
        </w:rPr>
      </w:pPr>
      <w:r>
        <w:rPr>
          <w:rFonts w:ascii="Times New Roman" w:hAnsi="Times New Roman"/>
        </w:rPr>
        <w:t>社区报警系统</w:t>
      </w:r>
    </w:p>
    <w:p>
      <w:pPr>
        <w:ind w:firstLine="480"/>
        <w:rPr>
          <w:rFonts w:ascii="Times New Roman" w:hAnsi="Times New Roman"/>
        </w:rPr>
      </w:pPr>
      <w:r>
        <w:rPr>
          <w:rFonts w:ascii="Times New Roman" w:hAnsi="Times New Roman"/>
        </w:rPr>
        <w:t>本项目依据《硫化氢环境人身防护规范》（SY/T 6277-2017）第3.7条“应急撤离区域为发生硫化氢泄漏时，人员应进行撤离的区域。”的要求，根据设计资料，本项目在集输管道两侧以及人口密集区设置社区报警装置，并与设置在渡口河净化厂的社区报警控制中心共同构成社区报警系统，为确保在生产异常状态情况下能按照应急预案及时处置，通知站场员工，周边的居民及时疏散，保障生命安全，避免天然气泄漏造成的各种次生危害。本项目的社区报警属于在渡口河-七里北飞仙关项目已建社区报社区报警系统上进行扩容，主站系统及软硬件全部依托渡口河-七里北飞仙关项目已建成的，拟建社区警报端站设备各项配置保持与已建端站一致。</w:t>
      </w:r>
    </w:p>
    <w:p>
      <w:pPr>
        <w:ind w:firstLine="480"/>
        <w:rPr>
          <w:rFonts w:ascii="Times New Roman" w:hAnsi="Times New Roman"/>
        </w:rPr>
      </w:pPr>
      <w:r>
        <w:rPr>
          <w:rFonts w:ascii="Times New Roman" w:hAnsi="Times New Roman"/>
        </w:rPr>
        <w:t>根据设计资料，在井站2630m范围，集气干线管道沿线两侧3410m范围，设置社区报警系统。全线设置室外报警站28座，设置中心管理站1座，并配套通信网络、供电系统等系统。社区报警系统覆盖了硫化氢毒性终点浓度2的影响范围。</w:t>
      </w:r>
    </w:p>
    <w:p>
      <w:pPr>
        <w:pStyle w:val="5"/>
        <w:rPr>
          <w:rFonts w:ascii="Times New Roman" w:hAnsi="Times New Roman"/>
        </w:rPr>
      </w:pPr>
      <w:r>
        <w:rPr>
          <w:rFonts w:ascii="Times New Roman" w:hAnsi="Times New Roman"/>
        </w:rPr>
        <w:t>毒性终点浓度范围内居民的撤离与集合</w:t>
      </w:r>
    </w:p>
    <w:p>
      <w:pPr>
        <w:ind w:firstLine="480"/>
        <w:rPr>
          <w:rFonts w:ascii="Times New Roman" w:hAnsi="Times New Roman"/>
        </w:rPr>
      </w:pPr>
      <w:r>
        <w:rPr>
          <w:rFonts w:ascii="Times New Roman" w:hAnsi="Times New Roman"/>
        </w:rPr>
        <w:t>（1）分级应急、分级撤离、分级防范的基本原则</w:t>
      </w:r>
    </w:p>
    <w:p>
      <w:pPr>
        <w:ind w:firstLine="480"/>
        <w:rPr>
          <w:rFonts w:ascii="Times New Roman" w:hAnsi="Times New Roman"/>
        </w:rPr>
      </w:pPr>
      <w:r>
        <w:rPr>
          <w:rFonts w:ascii="Times New Roman" w:hAnsi="Times New Roman"/>
        </w:rPr>
        <w:t>根据《建设项目环境风险评价技术导则》(HJ 169-2018)及编制说明要求，“对大气毒性终点浓度包络影响区域，应考虑提出相应的规划、应急、撤离等要求。”因此，根据风险计算结果，以管道各风向高于硫化氢大气毒性终点浓度-2的包络范围划为应急撤离区，硫化氢有可能对人群造成生命威胁，可能对人体造成不可逆的伤害，可能损伤个体采取有效防护措施的能力，应通过应急组织机构负责组织撤离。</w:t>
      </w:r>
    </w:p>
    <w:p>
      <w:pPr>
        <w:ind w:firstLine="480"/>
        <w:rPr>
          <w:rFonts w:ascii="Times New Roman" w:hAnsi="Times New Roman"/>
        </w:rPr>
      </w:pPr>
      <w:r>
        <w:rPr>
          <w:rFonts w:ascii="Times New Roman" w:hAnsi="Times New Roman"/>
        </w:rPr>
        <w:t>同时本项目设置了安全防护距离，本项目拆迁范围：宣探1井站200m、宣兴1井站209m、宣探清管站200m、宣探集气支线（宣探1井-宣兴1井）50m、宣探集气干线（宣兴1井-宣探阀室）100m、宣探集气干线（宣探阀室-宣探清管站）100m、宣探联络线（宣探清管站-304集气站）100m。可降低风险事故情形下，无法及时撤离造成对人群造成生命威胁。</w:t>
      </w:r>
    </w:p>
    <w:p>
      <w:pPr>
        <w:ind w:firstLine="480"/>
        <w:rPr>
          <w:rFonts w:ascii="Times New Roman" w:hAnsi="Times New Roman"/>
        </w:rPr>
      </w:pPr>
      <w:r>
        <w:rPr>
          <w:rFonts w:ascii="Times New Roman" w:hAnsi="Times New Roman"/>
        </w:rPr>
        <w:t>（2）各危险单元的应急区划分</w:t>
      </w:r>
    </w:p>
    <w:p>
      <w:pPr>
        <w:ind w:firstLine="480"/>
        <w:rPr>
          <w:rFonts w:ascii="Times New Roman" w:hAnsi="Times New Roman"/>
        </w:rPr>
      </w:pPr>
      <w:r>
        <w:rPr>
          <w:rFonts w:ascii="Times New Roman" w:hAnsi="Times New Roman"/>
        </w:rPr>
        <w:t>结合管道最不利气象条件、不同风向的预测结果，以管道泄漏点为中心，将各风向高于硫化氢大气毒性终点浓度-2的包络范围划定为应急撤离区，事故发生后该范围内的居民应立即撤离或就地庇护。根据事故发生时的实时硫化氢监测数据和气象条件，考虑是否撤离及具体的撤离方案，具体的撤离、安置方案由后续编制的突发环境事件应急预案确定。</w:t>
      </w:r>
    </w:p>
    <w:p>
      <w:pPr>
        <w:ind w:firstLine="480"/>
        <w:rPr>
          <w:rFonts w:ascii="Times New Roman" w:hAnsi="Times New Roman"/>
        </w:rPr>
      </w:pPr>
      <w:r>
        <w:rPr>
          <w:rFonts w:ascii="Times New Roman" w:hAnsi="Times New Roman"/>
        </w:rPr>
        <w:t>（3）各级应急区的风险防范与应急措施</w:t>
      </w:r>
    </w:p>
    <w:p>
      <w:pPr>
        <w:ind w:firstLine="480"/>
        <w:rPr>
          <w:rFonts w:ascii="Times New Roman" w:hAnsi="Times New Roman"/>
        </w:rPr>
      </w:pPr>
      <w:r>
        <w:rPr>
          <w:rFonts w:ascii="Times New Roman" w:hAnsi="Times New Roman"/>
        </w:rPr>
        <w:t>各危险单元根据分级应急的需要，划定了应急撤离区及应急准备区等，除应急</w:t>
      </w:r>
      <w:r>
        <w:rPr>
          <w:rFonts w:hint="eastAsia" w:ascii="Times New Roman" w:hAnsi="Times New Roman"/>
        </w:rPr>
        <w:t>响应</w:t>
      </w:r>
      <w:r>
        <w:rPr>
          <w:rFonts w:ascii="Times New Roman" w:hAnsi="Times New Roman"/>
        </w:rPr>
        <w:t>的时间要求外，在风险防范措施上，也对应实现分级。具体如</w:t>
      </w:r>
      <w:r>
        <w:rPr>
          <w:rFonts w:ascii="Times New Roman" w:hAnsi="Times New Roman"/>
        </w:rPr>
        <w:fldChar w:fldCharType="begin"/>
      </w:r>
      <w:r>
        <w:rPr>
          <w:rFonts w:ascii="Times New Roman" w:hAnsi="Times New Roman"/>
        </w:rPr>
        <w:instrText xml:space="preserve"> REF _Ref154736273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75</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355" w:name="_Ref15473627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75</w:t>
      </w:r>
      <w:r>
        <w:rPr>
          <w:rFonts w:ascii="Times New Roman" w:hAnsi="Times New Roman" w:cs="Times New Roman"/>
        </w:rPr>
        <w:fldChar w:fldCharType="end"/>
      </w:r>
      <w:bookmarkEnd w:id="355"/>
      <w:r>
        <w:rPr>
          <w:rFonts w:ascii="Times New Roman" w:hAnsi="Times New Roman" w:cs="Times New Roman"/>
        </w:rPr>
        <w:t xml:space="preserve">   各级应急区风险防范与应急措施要求</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73"/>
        <w:gridCol w:w="3223"/>
        <w:gridCol w:w="45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blHeader/>
        </w:trPr>
        <w:tc>
          <w:tcPr>
            <w:tcW w:w="1171" w:type="dxa"/>
            <w:noWrap/>
            <w:tcMar>
              <w:top w:w="15" w:type="dxa"/>
              <w:left w:w="15" w:type="dxa"/>
              <w:right w:w="15" w:type="dxa"/>
            </w:tcMar>
            <w:vAlign w:val="center"/>
          </w:tcPr>
          <w:p>
            <w:pPr>
              <w:pStyle w:val="39"/>
              <w:rPr>
                <w:rStyle w:val="59"/>
                <w:rFonts w:ascii="Times New Roman" w:hAnsi="Times New Roman"/>
              </w:rPr>
            </w:pPr>
            <w:r>
              <w:rPr>
                <w:rStyle w:val="59"/>
                <w:rFonts w:ascii="Times New Roman" w:hAnsi="Times New Roman"/>
              </w:rPr>
              <w:t>应急区名称</w:t>
            </w:r>
          </w:p>
        </w:tc>
        <w:tc>
          <w:tcPr>
            <w:tcW w:w="3224" w:type="dxa"/>
            <w:noWrap/>
            <w:tcMar>
              <w:top w:w="15" w:type="dxa"/>
              <w:left w:w="15" w:type="dxa"/>
              <w:right w:w="15" w:type="dxa"/>
            </w:tcMar>
            <w:vAlign w:val="center"/>
          </w:tcPr>
          <w:p>
            <w:pPr>
              <w:pStyle w:val="39"/>
              <w:rPr>
                <w:rStyle w:val="59"/>
                <w:rFonts w:ascii="Times New Roman" w:hAnsi="Times New Roman"/>
              </w:rPr>
            </w:pPr>
            <w:r>
              <w:rPr>
                <w:rStyle w:val="59"/>
                <w:rFonts w:ascii="Times New Roman" w:hAnsi="Times New Roman"/>
              </w:rPr>
              <w:t>撤离要求</w:t>
            </w:r>
          </w:p>
        </w:tc>
        <w:tc>
          <w:tcPr>
            <w:tcW w:w="4511" w:type="dxa"/>
            <w:noWrap/>
            <w:tcMar>
              <w:top w:w="15" w:type="dxa"/>
              <w:left w:w="15" w:type="dxa"/>
              <w:right w:w="15" w:type="dxa"/>
            </w:tcMar>
            <w:vAlign w:val="center"/>
          </w:tcPr>
          <w:p>
            <w:pPr>
              <w:pStyle w:val="39"/>
              <w:rPr>
                <w:rStyle w:val="59"/>
                <w:rFonts w:ascii="Times New Roman" w:hAnsi="Times New Roman"/>
              </w:rPr>
            </w:pPr>
            <w:r>
              <w:rPr>
                <w:rStyle w:val="59"/>
                <w:rFonts w:ascii="Times New Roman" w:hAnsi="Times New Roman"/>
              </w:rPr>
              <w:t>风险防范措施要求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171" w:type="dxa"/>
            <w:noWrap/>
            <w:tcMar>
              <w:top w:w="15" w:type="dxa"/>
              <w:left w:w="15" w:type="dxa"/>
              <w:right w:w="15" w:type="dxa"/>
            </w:tcMar>
            <w:vAlign w:val="center"/>
          </w:tcPr>
          <w:p>
            <w:pPr>
              <w:pStyle w:val="39"/>
              <w:rPr>
                <w:rStyle w:val="59"/>
                <w:rFonts w:ascii="Times New Roman" w:hAnsi="Times New Roman"/>
              </w:rPr>
            </w:pPr>
            <w:r>
              <w:rPr>
                <w:rStyle w:val="59"/>
                <w:rFonts w:ascii="Times New Roman" w:hAnsi="Times New Roman"/>
              </w:rPr>
              <w:t>搬迁范围</w:t>
            </w:r>
          </w:p>
        </w:tc>
        <w:tc>
          <w:tcPr>
            <w:tcW w:w="3224" w:type="dxa"/>
            <w:noWrap/>
            <w:tcMar>
              <w:top w:w="15" w:type="dxa"/>
              <w:left w:w="15" w:type="dxa"/>
              <w:right w:w="15" w:type="dxa"/>
            </w:tcMar>
            <w:vAlign w:val="center"/>
          </w:tcPr>
          <w:p>
            <w:pPr>
              <w:pStyle w:val="39"/>
              <w:rPr>
                <w:rStyle w:val="59"/>
                <w:rFonts w:ascii="Times New Roman" w:hAnsi="Times New Roman"/>
              </w:rPr>
            </w:pPr>
            <w:r>
              <w:rPr>
                <w:rStyle w:val="59"/>
                <w:rFonts w:ascii="Times New Roman" w:hAnsi="Times New Roman"/>
              </w:rPr>
              <w:t>居民全部搬迁</w:t>
            </w:r>
          </w:p>
        </w:tc>
        <w:tc>
          <w:tcPr>
            <w:tcW w:w="4511" w:type="dxa"/>
            <w:noWrap/>
            <w:tcMar>
              <w:top w:w="15" w:type="dxa"/>
              <w:left w:w="15" w:type="dxa"/>
              <w:right w:w="15" w:type="dxa"/>
            </w:tcMar>
            <w:vAlign w:val="center"/>
          </w:tcPr>
          <w:p>
            <w:pPr>
              <w:pStyle w:val="39"/>
              <w:rPr>
                <w:rStyle w:val="59"/>
                <w:rFonts w:ascii="Times New Roman" w:hAnsi="Times New Roman"/>
              </w:rPr>
            </w:pPr>
            <w:r>
              <w:rPr>
                <w:rStyle w:val="59"/>
                <w:rFonts w:ascii="Times New Roman" w:hAnsi="Times New Roman"/>
              </w:rPr>
              <w:t>居民全部搬迁，形成无人居住区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1171" w:type="dxa"/>
            <w:noWrap/>
            <w:tcMar>
              <w:top w:w="15" w:type="dxa"/>
              <w:left w:w="15" w:type="dxa"/>
              <w:right w:w="15" w:type="dxa"/>
            </w:tcMar>
            <w:vAlign w:val="center"/>
          </w:tcPr>
          <w:p>
            <w:pPr>
              <w:pStyle w:val="39"/>
              <w:rPr>
                <w:rStyle w:val="59"/>
                <w:rFonts w:ascii="Times New Roman" w:hAnsi="Times New Roman"/>
              </w:rPr>
            </w:pPr>
            <w:r>
              <w:rPr>
                <w:rStyle w:val="59"/>
                <w:rFonts w:ascii="Times New Roman" w:hAnsi="Times New Roman"/>
              </w:rPr>
              <w:t>应急撤离区</w:t>
            </w:r>
          </w:p>
        </w:tc>
        <w:tc>
          <w:tcPr>
            <w:tcW w:w="3224" w:type="dxa"/>
            <w:noWrap/>
            <w:tcMar>
              <w:top w:w="15" w:type="dxa"/>
              <w:left w:w="15" w:type="dxa"/>
              <w:right w:w="15" w:type="dxa"/>
            </w:tcMar>
            <w:vAlign w:val="center"/>
          </w:tcPr>
          <w:p>
            <w:pPr>
              <w:pStyle w:val="39"/>
              <w:rPr>
                <w:rStyle w:val="59"/>
                <w:rFonts w:ascii="Times New Roman" w:hAnsi="Times New Roman"/>
              </w:rPr>
            </w:pPr>
            <w:r>
              <w:rPr>
                <w:rStyle w:val="59"/>
                <w:rFonts w:ascii="Times New Roman" w:hAnsi="Times New Roman"/>
              </w:rPr>
              <w:t>事故发生后应立即撤离或就地庇护或立即佩戴逃生呼吸器</w:t>
            </w:r>
          </w:p>
        </w:tc>
        <w:tc>
          <w:tcPr>
            <w:tcW w:w="4511" w:type="dxa"/>
            <w:noWrap/>
            <w:tcMar>
              <w:top w:w="15" w:type="dxa"/>
              <w:left w:w="15" w:type="dxa"/>
              <w:right w:w="15" w:type="dxa"/>
            </w:tcMar>
            <w:vAlign w:val="center"/>
          </w:tcPr>
          <w:p>
            <w:pPr>
              <w:pStyle w:val="39"/>
              <w:rPr>
                <w:rStyle w:val="59"/>
                <w:rFonts w:ascii="Times New Roman" w:hAnsi="Times New Roman"/>
              </w:rPr>
            </w:pPr>
            <w:r>
              <w:rPr>
                <w:rStyle w:val="59"/>
                <w:rFonts w:ascii="Times New Roman" w:hAnsi="Times New Roman"/>
              </w:rPr>
              <w:t>A、开展1户1屋的房屋密闭性改造；</w:t>
            </w:r>
          </w:p>
          <w:p>
            <w:pPr>
              <w:pStyle w:val="39"/>
              <w:rPr>
                <w:rStyle w:val="59"/>
                <w:rFonts w:ascii="Times New Roman" w:hAnsi="Times New Roman"/>
              </w:rPr>
            </w:pPr>
            <w:r>
              <w:rPr>
                <w:rStyle w:val="59"/>
                <w:rFonts w:ascii="Times New Roman" w:hAnsi="Times New Roman"/>
              </w:rPr>
              <w:t>B、为老弱病残孕配发逃生呼吸器；</w:t>
            </w:r>
          </w:p>
          <w:p>
            <w:pPr>
              <w:pStyle w:val="39"/>
              <w:rPr>
                <w:rStyle w:val="59"/>
                <w:rFonts w:ascii="Times New Roman" w:hAnsi="Times New Roman"/>
              </w:rPr>
            </w:pPr>
            <w:r>
              <w:rPr>
                <w:rStyle w:val="59"/>
                <w:rFonts w:ascii="Times New Roman" w:hAnsi="Times New Roman"/>
              </w:rPr>
              <w:t>C、覆盖社区报警系统；</w:t>
            </w:r>
          </w:p>
          <w:p>
            <w:pPr>
              <w:pStyle w:val="39"/>
              <w:rPr>
                <w:rStyle w:val="59"/>
                <w:rFonts w:ascii="Times New Roman" w:hAnsi="Times New Roman"/>
              </w:rPr>
            </w:pPr>
            <w:r>
              <w:rPr>
                <w:rStyle w:val="59"/>
                <w:rFonts w:ascii="Times New Roman" w:hAnsi="Times New Roman"/>
              </w:rPr>
              <w:t>D、修缮应急撤离道路，以满足人员应急撤离需求。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4" w:hRule="atLeast"/>
        </w:trPr>
        <w:tc>
          <w:tcPr>
            <w:tcW w:w="1171" w:type="dxa"/>
            <w:noWrap/>
            <w:tcMar>
              <w:top w:w="15" w:type="dxa"/>
              <w:left w:w="15" w:type="dxa"/>
              <w:right w:w="15" w:type="dxa"/>
            </w:tcMar>
            <w:vAlign w:val="center"/>
          </w:tcPr>
          <w:p>
            <w:pPr>
              <w:pStyle w:val="39"/>
              <w:rPr>
                <w:rStyle w:val="59"/>
                <w:rFonts w:ascii="Times New Roman" w:hAnsi="Times New Roman"/>
              </w:rPr>
            </w:pPr>
            <w:r>
              <w:rPr>
                <w:rStyle w:val="59"/>
                <w:rFonts w:ascii="Times New Roman" w:hAnsi="Times New Roman"/>
              </w:rPr>
              <w:t>应急准备区</w:t>
            </w:r>
          </w:p>
        </w:tc>
        <w:tc>
          <w:tcPr>
            <w:tcW w:w="3224" w:type="dxa"/>
            <w:noWrap/>
            <w:tcMar>
              <w:top w:w="15" w:type="dxa"/>
              <w:left w:w="15" w:type="dxa"/>
              <w:right w:w="15" w:type="dxa"/>
            </w:tcMar>
            <w:vAlign w:val="center"/>
          </w:tcPr>
          <w:p>
            <w:pPr>
              <w:pStyle w:val="39"/>
              <w:rPr>
                <w:rStyle w:val="59"/>
                <w:rFonts w:ascii="Times New Roman" w:hAnsi="Times New Roman"/>
              </w:rPr>
            </w:pPr>
            <w:r>
              <w:rPr>
                <w:rStyle w:val="59"/>
                <w:rFonts w:ascii="Times New Roman" w:hAnsi="Times New Roman"/>
              </w:rPr>
              <w:t>根据事故发生时实时硫化氢监测数据和气象条件，考虑是否撤离及具体的撤离方案</w:t>
            </w:r>
          </w:p>
        </w:tc>
        <w:tc>
          <w:tcPr>
            <w:tcW w:w="4511" w:type="dxa"/>
            <w:noWrap/>
            <w:tcMar>
              <w:top w:w="15" w:type="dxa"/>
              <w:left w:w="15" w:type="dxa"/>
              <w:right w:w="15" w:type="dxa"/>
            </w:tcMar>
            <w:vAlign w:val="center"/>
          </w:tcPr>
          <w:p>
            <w:pPr>
              <w:pStyle w:val="39"/>
              <w:rPr>
                <w:rStyle w:val="59"/>
                <w:rFonts w:ascii="Times New Roman" w:hAnsi="Times New Roman"/>
              </w:rPr>
            </w:pPr>
            <w:r>
              <w:rPr>
                <w:rStyle w:val="59"/>
                <w:rFonts w:ascii="Times New Roman" w:hAnsi="Times New Roman"/>
              </w:rPr>
              <w:t>A、设置社区集合点，并按标准建设、开展社区集合点房屋密闭性改造、配置一定数量逃生呼吸器；</w:t>
            </w:r>
          </w:p>
          <w:p>
            <w:pPr>
              <w:pStyle w:val="39"/>
              <w:rPr>
                <w:rStyle w:val="59"/>
                <w:rFonts w:ascii="Times New Roman" w:hAnsi="Times New Roman"/>
              </w:rPr>
            </w:pPr>
            <w:r>
              <w:rPr>
                <w:rStyle w:val="59"/>
                <w:rFonts w:ascii="Times New Roman" w:hAnsi="Times New Roman"/>
              </w:rPr>
              <w:t>B、根据需要，必要时开展二次撤离及集合。</w:t>
            </w:r>
          </w:p>
        </w:tc>
      </w:tr>
    </w:tbl>
    <w:p>
      <w:pPr>
        <w:ind w:firstLine="480"/>
        <w:rPr>
          <w:rFonts w:ascii="Times New Roman" w:hAnsi="Times New Roman"/>
        </w:rPr>
      </w:pPr>
    </w:p>
    <w:p>
      <w:pPr>
        <w:ind w:firstLine="480"/>
        <w:rPr>
          <w:rFonts w:ascii="Times New Roman" w:hAnsi="Times New Roman"/>
          <w:b/>
        </w:rPr>
      </w:pPr>
      <w:r>
        <w:rPr>
          <w:rFonts w:ascii="Times New Roman" w:hAnsi="Times New Roman"/>
        </w:rPr>
        <w:t>1）居民撤离与集合的基本原则</w:t>
      </w:r>
    </w:p>
    <w:p>
      <w:pPr>
        <w:ind w:firstLine="480"/>
        <w:rPr>
          <w:rFonts w:ascii="Times New Roman" w:hAnsi="Times New Roman"/>
        </w:rPr>
      </w:pPr>
      <w:r>
        <w:rPr>
          <w:rFonts w:ascii="Times New Roman" w:hAnsi="Times New Roman"/>
        </w:rPr>
        <w:t>居民的应急撤离与集合遵从以下一般性原则：</w:t>
      </w:r>
    </w:p>
    <w:p>
      <w:pPr>
        <w:ind w:firstLine="480"/>
        <w:rPr>
          <w:rFonts w:ascii="Times New Roman" w:hAnsi="Times New Roman"/>
        </w:rPr>
      </w:pPr>
      <w:r>
        <w:rPr>
          <w:rFonts w:hint="eastAsia" w:ascii="宋体" w:hAnsi="宋体" w:cs="宋体"/>
        </w:rPr>
        <w:t>①</w:t>
      </w:r>
      <w:r>
        <w:rPr>
          <w:rFonts w:ascii="Times New Roman" w:hAnsi="Times New Roman"/>
        </w:rPr>
        <w:t>任一危险单元的应急撤离原则上分区进行，一般分区4～6个，保障应急撤离和集合的可操作性。</w:t>
      </w:r>
    </w:p>
    <w:p>
      <w:pPr>
        <w:ind w:firstLine="480"/>
        <w:rPr>
          <w:rFonts w:ascii="Times New Roman" w:hAnsi="Times New Roman"/>
        </w:rPr>
      </w:pPr>
      <w:r>
        <w:rPr>
          <w:rFonts w:hint="eastAsia" w:ascii="宋体" w:hAnsi="宋体" w:cs="宋体"/>
        </w:rPr>
        <w:t>②</w:t>
      </w:r>
      <w:r>
        <w:rPr>
          <w:rFonts w:ascii="Times New Roman" w:hAnsi="Times New Roman"/>
        </w:rPr>
        <w:t>对于点型危险单元，危险单元北侧的往北并远离危险单元的方向撤离，南侧的尽量往东西两侧并远离危险单元的方向撤离。</w:t>
      </w:r>
    </w:p>
    <w:p>
      <w:pPr>
        <w:ind w:firstLine="480"/>
        <w:rPr>
          <w:rFonts w:ascii="Times New Roman" w:hAnsi="Times New Roman"/>
        </w:rPr>
      </w:pPr>
      <w:r>
        <w:rPr>
          <w:rFonts w:hint="eastAsia" w:ascii="宋体" w:hAnsi="宋体" w:cs="宋体"/>
        </w:rPr>
        <w:t>③</w:t>
      </w:r>
      <w:r>
        <w:rPr>
          <w:rFonts w:ascii="Times New Roman" w:hAnsi="Times New Roman"/>
        </w:rPr>
        <w:t>对于集输管道，原则上不跨越管道行撤离。东西走向的原则上按管道南北两侧远离管道的方向撤离；南北走向的原则上按管道东西两侧远离管道的方向撤离。</w:t>
      </w:r>
    </w:p>
    <w:p>
      <w:pPr>
        <w:ind w:firstLine="480"/>
        <w:rPr>
          <w:rFonts w:ascii="Times New Roman" w:hAnsi="Times New Roman"/>
        </w:rPr>
      </w:pPr>
      <w:r>
        <w:rPr>
          <w:rFonts w:hint="eastAsia" w:ascii="宋体" w:hAnsi="宋体" w:cs="宋体"/>
        </w:rPr>
        <w:t>④</w:t>
      </w:r>
      <w:r>
        <w:rPr>
          <w:rFonts w:ascii="Times New Roman" w:hAnsi="Times New Roman"/>
        </w:rPr>
        <w:t>撤离路线的制定，应依次考虑下列因素：远离危险单元、向上风向、离开应急撤离区、至最近的社区集合点、二次撤离。考虑上述因素后，可能有居民缺乏有效的撤离道路，此时需要考虑新建撤离道路，建设标准可相对较低，满足居民在应急情况下的人员通行即可。</w:t>
      </w:r>
    </w:p>
    <w:p>
      <w:pPr>
        <w:ind w:firstLine="480"/>
        <w:rPr>
          <w:rFonts w:ascii="Times New Roman" w:hAnsi="Times New Roman"/>
        </w:rPr>
      </w:pPr>
      <w:r>
        <w:rPr>
          <w:rFonts w:hint="eastAsia" w:ascii="宋体" w:hAnsi="宋体" w:cs="宋体"/>
        </w:rPr>
        <w:t>⑤</w:t>
      </w:r>
      <w:r>
        <w:rPr>
          <w:rFonts w:ascii="Times New Roman" w:hAnsi="Times New Roman"/>
        </w:rPr>
        <w:t>社区集合点选择顺序为乡镇政府、乡镇上学校、乡镇外村委、乡镇外学校，社区集合点应参考《应急期受灾人员集中安置点基本要求》（MZ/T040-2013）完善生活保障、安全、消防等方面的要求，社区集合点不满足上述要求时，建设单位应考虑修缮。</w:t>
      </w:r>
    </w:p>
    <w:p>
      <w:pPr>
        <w:ind w:firstLine="480"/>
        <w:rPr>
          <w:rFonts w:ascii="Times New Roman" w:hAnsi="Times New Roman"/>
        </w:rPr>
      </w:pPr>
      <w:r>
        <w:rPr>
          <w:rFonts w:hint="eastAsia" w:ascii="宋体" w:hAnsi="宋体" w:cs="宋体"/>
        </w:rPr>
        <w:t>⑥</w:t>
      </w:r>
      <w:r>
        <w:rPr>
          <w:rFonts w:ascii="Times New Roman" w:hAnsi="Times New Roman"/>
        </w:rPr>
        <w:t>社区集合点应按照《建筑外门窗气密、水密、抗风压性能分级及检测方法》（GB/T7106-2019）开展密闭性改造，必要时居民进入已完成密闭性改造的室内庇护。</w:t>
      </w:r>
    </w:p>
    <w:p>
      <w:pPr>
        <w:ind w:firstLine="480"/>
        <w:rPr>
          <w:rFonts w:ascii="Times New Roman" w:hAnsi="Times New Roman"/>
        </w:rPr>
      </w:pPr>
      <w:r>
        <w:rPr>
          <w:rFonts w:hint="eastAsia" w:ascii="宋体" w:hAnsi="宋体" w:cs="宋体"/>
        </w:rPr>
        <w:t>⑦</w:t>
      </w:r>
      <w:r>
        <w:rPr>
          <w:rFonts w:ascii="Times New Roman" w:hAnsi="Times New Roman"/>
        </w:rPr>
        <w:t>社区集合点配置一定数量的逃生呼吸器，进一步保障老弱病残孕等难撤离居民的需求。</w:t>
      </w:r>
    </w:p>
    <w:p>
      <w:pPr>
        <w:ind w:firstLine="480"/>
        <w:rPr>
          <w:rFonts w:ascii="Times New Roman" w:hAnsi="Times New Roman"/>
        </w:rPr>
      </w:pPr>
      <w:r>
        <w:rPr>
          <w:rFonts w:hint="eastAsia" w:ascii="宋体" w:hAnsi="宋体" w:cs="宋体"/>
        </w:rPr>
        <w:t>⑧</w:t>
      </w:r>
      <w:r>
        <w:rPr>
          <w:rFonts w:ascii="Times New Roman" w:hAnsi="Times New Roman"/>
        </w:rPr>
        <w:t>社区集合点一般位于应急准备区内，必要时应进行二次撤离。</w:t>
      </w:r>
    </w:p>
    <w:p>
      <w:pPr>
        <w:ind w:firstLine="480"/>
        <w:rPr>
          <w:rFonts w:ascii="Times New Roman" w:hAnsi="Times New Roman"/>
          <w:b/>
        </w:rPr>
      </w:pPr>
      <w:r>
        <w:rPr>
          <w:rFonts w:ascii="Times New Roman" w:hAnsi="Times New Roman"/>
        </w:rPr>
        <w:t>2）房屋密闭性改造</w:t>
      </w:r>
    </w:p>
    <w:p>
      <w:pPr>
        <w:ind w:firstLine="480"/>
        <w:rPr>
          <w:rFonts w:ascii="Times New Roman" w:hAnsi="Times New Roman"/>
        </w:rPr>
      </w:pPr>
      <w:r>
        <w:rPr>
          <w:rFonts w:ascii="Times New Roman" w:hAnsi="Times New Roman"/>
        </w:rPr>
        <w:t>密闭性改造是指对一些门窗结构密闭不严、缝隙较大的房间，做一些应急性的改善：如：对门、窗、空调孔、换气扇、通风百叶、风机以及部分墙体密封加固等工作，增强房屋的密闭性，减少空气交换率的方法。</w:t>
      </w:r>
    </w:p>
    <w:p>
      <w:pPr>
        <w:ind w:firstLine="480"/>
        <w:rPr>
          <w:rFonts w:ascii="Times New Roman" w:hAnsi="Times New Roman"/>
          <w:b/>
        </w:rPr>
      </w:pPr>
      <w:r>
        <w:rPr>
          <w:rFonts w:ascii="Times New Roman" w:hAnsi="Times New Roman"/>
        </w:rPr>
        <w:t>3）配发逃生呼吸器</w:t>
      </w:r>
    </w:p>
    <w:p>
      <w:pPr>
        <w:ind w:firstLine="480"/>
        <w:rPr>
          <w:rFonts w:ascii="Times New Roman" w:hAnsi="Times New Roman"/>
        </w:rPr>
      </w:pPr>
      <w:r>
        <w:rPr>
          <w:rFonts w:ascii="Times New Roman" w:hAnsi="Times New Roman"/>
        </w:rPr>
        <w:t>市面上有微型逃生呼吸器，面罩样式，无需氧气瓶。采用过滤媒介技术，体积小巧，携带和保存方便，操作简单，多触媒的防护过滤盒可供5分钟使用，可用于防护多类化学毒性，如氯气、硫化氢、氰化氢、二氧化硫及氨气等，适用于化工厂、化学品仓库、实验室、危化品运输等行业。</w:t>
      </w:r>
    </w:p>
    <w:p>
      <w:pPr>
        <w:ind w:firstLine="480"/>
        <w:rPr>
          <w:rFonts w:ascii="Times New Roman" w:hAnsi="Times New Roman"/>
        </w:rPr>
      </w:pPr>
      <w:r>
        <w:rPr>
          <w:rFonts w:ascii="Times New Roman" w:hAnsi="Times New Roman"/>
        </w:rPr>
        <w:t>配发逃生呼吸器主要针对应急撤离区内的居民及应急准备区内的高敏关心点（学校、医院、养老院、政府办公室）、社区集合点及二次撤离备用集合点，发放的具体数量和位置由突发环境事件应急预案确定。</w:t>
      </w:r>
    </w:p>
    <w:p>
      <w:pPr>
        <w:ind w:firstLine="480"/>
        <w:rPr>
          <w:rFonts w:ascii="Times New Roman" w:hAnsi="Times New Roman"/>
          <w:b/>
        </w:rPr>
      </w:pPr>
      <w:r>
        <w:rPr>
          <w:rFonts w:ascii="Times New Roman" w:hAnsi="Times New Roman"/>
        </w:rPr>
        <w:t>4）安装硫化氢固定检测仪</w:t>
      </w:r>
    </w:p>
    <w:p>
      <w:pPr>
        <w:ind w:firstLine="480"/>
        <w:rPr>
          <w:rFonts w:ascii="Times New Roman" w:hAnsi="Times New Roman"/>
        </w:rPr>
      </w:pPr>
      <w:r>
        <w:rPr>
          <w:rFonts w:ascii="Times New Roman" w:hAnsi="Times New Roman"/>
        </w:rPr>
        <w:t>市面上的硫化氢固定检测仪可连接电脑实时监控，并记录保存、导出数据；可任意设置报警值；可以上传DCS或PLC系统，实现应急准备区内高敏关心点硫化氢浓度的实时检测和监控。固定式硫化氢按照点位和数量由突发环境事件应急预案确定。</w:t>
      </w:r>
    </w:p>
    <w:p>
      <w:pPr>
        <w:ind w:firstLine="480"/>
        <w:rPr>
          <w:rFonts w:ascii="Times New Roman" w:hAnsi="Times New Roman"/>
          <w:b/>
        </w:rPr>
      </w:pPr>
      <w:r>
        <w:rPr>
          <w:rFonts w:ascii="Times New Roman" w:hAnsi="Times New Roman"/>
        </w:rPr>
        <w:t>5）建设社区报警系统</w:t>
      </w:r>
    </w:p>
    <w:p>
      <w:pPr>
        <w:ind w:firstLine="480"/>
        <w:rPr>
          <w:rFonts w:ascii="Times New Roman" w:hAnsi="Times New Roman"/>
        </w:rPr>
      </w:pPr>
      <w:r>
        <w:rPr>
          <w:rFonts w:ascii="Times New Roman" w:hAnsi="Times New Roman"/>
        </w:rPr>
        <w:t>根据设计资料，在井站2630m范围，集气干线管道沿线两侧3410m范围，设置社区报警系统。全线设置室外报警站28座，设置中心管理站1座，并配套通信网络、供电系统等系统。社区报警系统覆盖了硫化氢毒性终点浓度-2的影响范围。</w:t>
      </w:r>
    </w:p>
    <w:p>
      <w:pPr>
        <w:ind w:firstLine="480"/>
        <w:rPr>
          <w:rFonts w:ascii="Times New Roman" w:hAnsi="Times New Roman"/>
          <w:b/>
        </w:rPr>
      </w:pPr>
      <w:r>
        <w:rPr>
          <w:rFonts w:ascii="Times New Roman" w:hAnsi="Times New Roman"/>
        </w:rPr>
        <w:t>6）社区集合点建议</w:t>
      </w:r>
    </w:p>
    <w:p>
      <w:pPr>
        <w:ind w:firstLine="480"/>
        <w:rPr>
          <w:rFonts w:ascii="Times New Roman" w:hAnsi="Times New Roman"/>
        </w:rPr>
      </w:pPr>
      <w:r>
        <w:rPr>
          <w:rFonts w:ascii="Times New Roman" w:hAnsi="Times New Roman"/>
        </w:rPr>
        <w:t>实际社区集合点位置、数量等需要建设单位在应急预案编制过程中明确，本评价进行了原则性建议，社区集合点需要参考《应急期受灾人员集中安置点基本要求》（MZT040-2013）完善生活、安全、消防等保障，需要参考《建筑外门窗气密、水密、抗风压性能分级及检测方法》（GB/T7106-2019）开展密闭性改造，并配置一定数量的逃生呼吸器。</w:t>
      </w:r>
    </w:p>
    <w:p>
      <w:pPr>
        <w:ind w:firstLine="480"/>
        <w:rPr>
          <w:rFonts w:ascii="Times New Roman" w:hAnsi="Times New Roman"/>
        </w:rPr>
      </w:pPr>
      <w:r>
        <w:rPr>
          <w:rFonts w:ascii="Times New Roman" w:hAnsi="Times New Roman"/>
        </w:rPr>
        <w:t>根据以上原则，结合项目位置及道路条件，本项目针对各危险单元分别给出了事故后的应急撤离路线图，各危险单位的应急撤离路线示意图见附图42～附图45。</w:t>
      </w:r>
    </w:p>
    <w:p>
      <w:pPr>
        <w:pStyle w:val="5"/>
        <w:rPr>
          <w:rFonts w:ascii="Times New Roman" w:hAnsi="Times New Roman"/>
        </w:rPr>
      </w:pPr>
      <w:r>
        <w:rPr>
          <w:rFonts w:ascii="Times New Roman" w:hAnsi="Times New Roman"/>
        </w:rPr>
        <w:t>气田水运输风险防范措施</w:t>
      </w:r>
    </w:p>
    <w:p>
      <w:pPr>
        <w:ind w:firstLine="480"/>
        <w:rPr>
          <w:rFonts w:ascii="Times New Roman" w:hAnsi="Times New Roman"/>
        </w:rPr>
      </w:pPr>
      <w:r>
        <w:rPr>
          <w:rFonts w:ascii="Times New Roman" w:hAnsi="Times New Roman"/>
        </w:rPr>
        <w:t>1）气田水转运单位在开展运输工作前，应对运输人员进行相关安全环保知识培训，运输车辆、装卸工具必须符合安全环保要求，装卸过程中不得溢出和泄漏。严禁随意倾倒、排放或者向第三方转移。</w:t>
      </w:r>
    </w:p>
    <w:p>
      <w:pPr>
        <w:ind w:firstLine="480"/>
        <w:rPr>
          <w:rFonts w:ascii="Times New Roman" w:hAnsi="Times New Roman"/>
        </w:rPr>
      </w:pPr>
      <w:r>
        <w:rPr>
          <w:rFonts w:ascii="Times New Roman" w:hAnsi="Times New Roman"/>
        </w:rPr>
        <w:t>2）运输前规划运输路线，转运过程中应严格按照规定的路线运输到相应的目的地；运输过程中应尽量避开环境敏感区，遇环境敏感区需减速慢行，应建立交接三联单制度，确保气田水运至相应的目的地。</w:t>
      </w:r>
    </w:p>
    <w:p>
      <w:pPr>
        <w:ind w:firstLine="480"/>
        <w:rPr>
          <w:rFonts w:ascii="Times New Roman" w:hAnsi="Times New Roman"/>
        </w:rPr>
      </w:pPr>
      <w:r>
        <w:rPr>
          <w:rFonts w:ascii="Times New Roman" w:hAnsi="Times New Roman"/>
        </w:rPr>
        <w:t>3）转运必须使用密闭的车辆运输，并确保运输车辆车况处于良好状态。</w:t>
      </w:r>
    </w:p>
    <w:p>
      <w:pPr>
        <w:ind w:firstLine="480"/>
        <w:rPr>
          <w:rFonts w:ascii="Times New Roman" w:hAnsi="Times New Roman"/>
        </w:rPr>
      </w:pPr>
      <w:r>
        <w:rPr>
          <w:rFonts w:ascii="Times New Roman" w:hAnsi="Times New Roman"/>
        </w:rPr>
        <w:t>4）尽量避免雨天和大雾天运转气田水。</w:t>
      </w:r>
    </w:p>
    <w:p>
      <w:pPr>
        <w:ind w:firstLine="480"/>
        <w:rPr>
          <w:rFonts w:ascii="Times New Roman" w:hAnsi="Times New Roman"/>
        </w:rPr>
      </w:pPr>
      <w:r>
        <w:rPr>
          <w:rFonts w:ascii="Times New Roman" w:hAnsi="Times New Roman"/>
        </w:rPr>
        <w:t>5）承包气田水转运的承包商实施车辆登记制度，为每台车辆安装GPS系统，并纳入建设方的GPS监控系统平台，以便随时掌握运输车辆位置和行驶路线，确保气田水转运至相应的目的地。</w:t>
      </w:r>
    </w:p>
    <w:p>
      <w:pPr>
        <w:ind w:firstLine="480"/>
        <w:rPr>
          <w:rFonts w:ascii="Times New Roman" w:hAnsi="Times New Roman"/>
        </w:rPr>
      </w:pPr>
      <w:r>
        <w:rPr>
          <w:rFonts w:ascii="Times New Roman" w:hAnsi="Times New Roman"/>
        </w:rPr>
        <w:t>6）运输车辆严格执行签认制度。签认单保存期不得少于二年，以便备查。</w:t>
      </w:r>
    </w:p>
    <w:p>
      <w:pPr>
        <w:ind w:firstLine="480"/>
        <w:rPr>
          <w:rFonts w:ascii="Times New Roman" w:hAnsi="Times New Roman"/>
        </w:rPr>
      </w:pPr>
      <w:r>
        <w:rPr>
          <w:rFonts w:ascii="Times New Roman" w:hAnsi="Times New Roman"/>
        </w:rPr>
        <w:t>7）转运单位应做好应急管理工作，做好风险防范识别，编制运输应急预案，每次运输任务都应制定运输方案和应急措施，严禁超速超载，路过环境敏感区需减速慢性，安全驶离，强化运输过程的安全管理，防止因安全事故衍生成环保事故。</w:t>
      </w:r>
    </w:p>
    <w:p>
      <w:pPr>
        <w:ind w:firstLine="480"/>
        <w:rPr>
          <w:rFonts w:ascii="Times New Roman" w:hAnsi="Times New Roman"/>
        </w:rPr>
      </w:pPr>
      <w:r>
        <w:rPr>
          <w:rFonts w:ascii="Times New Roman" w:hAnsi="Times New Roman"/>
        </w:rPr>
        <w:t>8）加强与地方相关部门的联系和协调。运输过程中，产生单位、承运单位应做好相关记录，建立相关台账。在发生事故后应及时通报当地生态环境主管部门，并积极配合相关部门抢险。</w:t>
      </w:r>
    </w:p>
    <w:p>
      <w:pPr>
        <w:pStyle w:val="4"/>
        <w:rPr>
          <w:rFonts w:ascii="Times New Roman" w:hAnsi="Times New Roman" w:cs="Times New Roman"/>
        </w:rPr>
      </w:pPr>
      <w:r>
        <w:rPr>
          <w:rFonts w:ascii="Times New Roman" w:hAnsi="Times New Roman" w:cs="Times New Roman"/>
        </w:rPr>
        <w:t>突发环境事件应急预案</w:t>
      </w:r>
    </w:p>
    <w:p>
      <w:pPr>
        <w:ind w:firstLine="480"/>
        <w:rPr>
          <w:rFonts w:ascii="Times New Roman" w:hAnsi="Times New Roman"/>
        </w:rPr>
      </w:pPr>
      <w:r>
        <w:rPr>
          <w:rFonts w:ascii="Times New Roman" w:hAnsi="Times New Roman"/>
        </w:rPr>
        <w:t>川东北气矿2023年4月21日签署了《中国石油天然气股份有限公司西南油气田分公司川东北气矿突发环境事件专项应急预案》，并于2023年4月22日在达州市生态环境局完成备案，备案编号511700-2023-003-M。</w:t>
      </w:r>
    </w:p>
    <w:p>
      <w:pPr>
        <w:ind w:firstLine="480"/>
        <w:rPr>
          <w:rFonts w:ascii="Times New Roman" w:hAnsi="Times New Roman"/>
        </w:rPr>
      </w:pPr>
      <w:r>
        <w:rPr>
          <w:rFonts w:ascii="Times New Roman" w:hAnsi="Times New Roman"/>
        </w:rPr>
        <w:t>本次评价介绍了企业现有应急预案的情况，本项目应在项目投运前根据《企事业单位突发环境事件应急预案备案管理办法（试行）》（环发〔2015〕4号）等突发环境事件应急预案相关文件的规定，修订企业现有突发环境事件应急预案，并向达州市生态环境局大亚湾分局重新进行备案。</w:t>
      </w:r>
    </w:p>
    <w:p>
      <w:pPr>
        <w:ind w:firstLine="480"/>
        <w:rPr>
          <w:rFonts w:ascii="Times New Roman" w:hAnsi="Times New Roman"/>
        </w:rPr>
      </w:pPr>
      <w:r>
        <w:rPr>
          <w:rFonts w:ascii="Times New Roman" w:hAnsi="Times New Roman"/>
        </w:rPr>
        <w:t>按照《企事业单位突发环境事件应急预案备案管理办法（试行）》（环发〔2015〕4号）等要求，环境应急预案应包括环境应急预案及编制说明、环境风险评估报告、环境应急资源调查报告。并结合环境应急预案实施情况，至少每三年对环境应急预案进行一次回顾性评估，根据企业变化情况及时修订。</w:t>
      </w:r>
    </w:p>
    <w:p>
      <w:pPr>
        <w:pStyle w:val="5"/>
        <w:rPr>
          <w:rFonts w:ascii="Times New Roman" w:hAnsi="Times New Roman"/>
        </w:rPr>
      </w:pPr>
      <w:r>
        <w:rPr>
          <w:rFonts w:ascii="Times New Roman" w:hAnsi="Times New Roman"/>
        </w:rPr>
        <w:t>适用范围</w:t>
      </w:r>
    </w:p>
    <w:p>
      <w:pPr>
        <w:ind w:firstLine="480"/>
        <w:rPr>
          <w:rFonts w:ascii="Times New Roman" w:hAnsi="Times New Roman"/>
        </w:rPr>
      </w:pPr>
      <w:r>
        <w:rPr>
          <w:rFonts w:ascii="Times New Roman" w:hAnsi="Times New Roman"/>
        </w:rPr>
        <w:t>《中国石油天然气股份有限公司西南油气田分公司川东北气矿突发环境事件专项应急预案》是《川东北气矿突发事件总体应急预案》下的突发环境事件专项应急预案，用于指导川东北气矿生产经营活动过程中发生的各类突发环境事件及其它突发环境事件次生、衍生的环境事件的应急处置和救援。预案适用于气矿及所属各单位。</w:t>
      </w:r>
    </w:p>
    <w:p>
      <w:pPr>
        <w:pStyle w:val="5"/>
        <w:rPr>
          <w:rFonts w:ascii="Times New Roman" w:hAnsi="Times New Roman"/>
        </w:rPr>
      </w:pPr>
      <w:r>
        <w:rPr>
          <w:rFonts w:ascii="Times New Roman" w:hAnsi="Times New Roman"/>
        </w:rPr>
        <w:t>应急预案框架体系</w:t>
      </w:r>
    </w:p>
    <w:p>
      <w:pPr>
        <w:ind w:firstLine="480"/>
        <w:rPr>
          <w:rFonts w:ascii="Times New Roman" w:hAnsi="Times New Roman"/>
        </w:rPr>
      </w:pPr>
      <w:r>
        <w:rPr>
          <w:rFonts w:ascii="Times New Roman" w:hAnsi="Times New Roman"/>
        </w:rPr>
        <w:t>（1）川东北气矿突发事件总体预案是川东北气矿应急预案体系的总纲，是气矿应对生产经营过程中各类突发事件的规范性文件。为气矿各专项应急预案和下属单位应急预案提供指导原则和总体框架，与达州市各级地方政府及分公司相关预案相衔接。</w:t>
      </w:r>
    </w:p>
    <w:p>
      <w:pPr>
        <w:ind w:firstLine="480"/>
        <w:rPr>
          <w:rFonts w:ascii="Times New Roman" w:hAnsi="Times New Roman"/>
        </w:rPr>
      </w:pPr>
      <w:r>
        <w:rPr>
          <w:rFonts w:ascii="Times New Roman" w:hAnsi="Times New Roman"/>
        </w:rPr>
        <w:t>（2）生产安全事故综合应急预案。是川东北气矿为应对各种生产安全事故而制定的综合性工作方案，是本单位应对生产安全事故的总体工作程序、措施和应急预案体系的总纲。</w:t>
      </w:r>
    </w:p>
    <w:p>
      <w:pPr>
        <w:ind w:firstLine="480"/>
        <w:rPr>
          <w:rFonts w:ascii="Times New Roman" w:hAnsi="Times New Roman"/>
        </w:rPr>
      </w:pPr>
      <w:r>
        <w:rPr>
          <w:rFonts w:ascii="Times New Roman" w:hAnsi="Times New Roman"/>
        </w:rPr>
        <w:t>（3）气矿各专项应急预案。主要应对某一类型突发事件，针对重要生产设施、重大危险源、重大活动防止生产安全事故而制定的专项性工作方案，着重解决特定突发事件的应急处置，是总体预案的支持性文件。</w:t>
      </w:r>
    </w:p>
    <w:p>
      <w:pPr>
        <w:ind w:firstLine="480"/>
        <w:rPr>
          <w:rFonts w:ascii="Times New Roman" w:hAnsi="Times New Roman"/>
        </w:rPr>
      </w:pPr>
      <w:r>
        <w:rPr>
          <w:rFonts w:ascii="Times New Roman" w:hAnsi="Times New Roman"/>
        </w:rPr>
        <w:t>（4）基层单位现场处置方案。是基层单位根据不同生产安全事故类型，针对具体场所、装置或者设施所制定的应急处置措施。</w:t>
      </w:r>
    </w:p>
    <w:p>
      <w:pPr>
        <w:ind w:firstLine="480"/>
        <w:rPr>
          <w:rFonts w:ascii="Times New Roman" w:hAnsi="Times New Roman"/>
        </w:rPr>
      </w:pPr>
      <w:r>
        <w:rPr>
          <w:rFonts w:ascii="Times New Roman" w:hAnsi="Times New Roman"/>
        </w:rPr>
        <w:t>基层单位应根据生产特点和所在危险源的地理、社会环境制作“应急宣传卡”发放给应急区域内的所有居民，以便该区域内的居民了解所在区域的危险源以及发生事故后的应急措施。应急宣传卡应至少提供以下信息：危险源的基本情况、有毒有害物质的特性、事故报警信号的含义和内容、居民发现问题后的联络方式、疏散程序等。</w:t>
      </w:r>
    </w:p>
    <w:p>
      <w:pPr>
        <w:ind w:firstLine="480"/>
        <w:rPr>
          <w:rFonts w:ascii="Times New Roman" w:hAnsi="Times New Roman"/>
        </w:rPr>
      </w:pPr>
      <w:r>
        <w:rPr>
          <w:rFonts w:ascii="Times New Roman" w:hAnsi="Times New Roman"/>
        </w:rPr>
        <w:t>（5）生产岗位（班组）应急处置程序。是生产岗位（班组）在对生产作业场所进行风险识别的基础上，针对生产作业场所可能发生的突发事件而制定的应急预案。应急处置程序由三级单位组织有关技术、管理人员、生产岗位人员制定，预案格式采用卡片化，文本应简洁。</w:t>
      </w:r>
    </w:p>
    <w:p>
      <w:pPr>
        <w:ind w:firstLine="480"/>
        <w:rPr>
          <w:rFonts w:ascii="Times New Roman" w:hAnsi="Times New Roman"/>
        </w:rPr>
      </w:pPr>
      <w:r>
        <w:rPr>
          <w:rFonts w:ascii="Times New Roman" w:hAnsi="Times New Roman"/>
        </w:rPr>
        <w:t>（6）单项活动应急预案或处置程序。单项作业（如装置检修、工程项目施工）以及较大规模的集会、庆典等活动安全的应急预案或处置程序，按照“谁主管、谁负责”的原则，由活动管理部门或组织单位负责制定，由单项活动负责人签发。</w:t>
      </w:r>
    </w:p>
    <w:p>
      <w:pPr>
        <w:pStyle w:val="5"/>
        <w:rPr>
          <w:rFonts w:ascii="Times New Roman" w:hAnsi="Times New Roman"/>
        </w:rPr>
      </w:pPr>
      <w:r>
        <w:rPr>
          <w:rFonts w:ascii="Times New Roman" w:hAnsi="Times New Roman"/>
        </w:rPr>
        <w:t>环境事件分级</w:t>
      </w:r>
    </w:p>
    <w:p>
      <w:pPr>
        <w:ind w:firstLine="480"/>
        <w:rPr>
          <w:rFonts w:ascii="Times New Roman" w:hAnsi="Times New Roman"/>
        </w:rPr>
      </w:pPr>
      <w:r>
        <w:rPr>
          <w:rFonts w:ascii="Times New Roman" w:hAnsi="Times New Roman"/>
        </w:rPr>
        <w:t>参照《国家突发环境事件应急预案》（国办函〔2014〕119号）、《集团公司突发环境事件应急预案</w:t>
      </w:r>
      <w:r>
        <w:rPr>
          <w:rFonts w:hint="eastAsia" w:ascii="Times New Roman" w:hAnsi="Times New Roman"/>
          <w:lang w:eastAsia="zh-CN"/>
        </w:rPr>
        <w:t>》《</w:t>
      </w:r>
      <w:r>
        <w:rPr>
          <w:rFonts w:ascii="Times New Roman" w:hAnsi="Times New Roman"/>
        </w:rPr>
        <w:t>中国石油西南气田分公司突发环境事件应急预案</w:t>
      </w:r>
      <w:r>
        <w:rPr>
          <w:rFonts w:hint="eastAsia" w:ascii="Times New Roman" w:hAnsi="Times New Roman"/>
          <w:lang w:eastAsia="zh-CN"/>
        </w:rPr>
        <w:t>》《</w:t>
      </w:r>
      <w:r>
        <w:rPr>
          <w:rFonts w:ascii="Times New Roman" w:hAnsi="Times New Roman"/>
        </w:rPr>
        <w:t>西南油气田分公司环境事件管理办法》（西南司质〔2020〕21号）等相关规定，将突发环境事件分为四个级别：Ⅰ级突发环境事件、Ⅱ级突发环境事件、Ⅲ级突发环境事件、Ⅳ级突发环境事件。</w:t>
      </w:r>
    </w:p>
    <w:p>
      <w:pPr>
        <w:ind w:firstLine="480"/>
        <w:rPr>
          <w:rFonts w:ascii="Times New Roman" w:hAnsi="Times New Roman"/>
        </w:rPr>
      </w:pPr>
      <w:r>
        <w:rPr>
          <w:rFonts w:ascii="Times New Roman" w:hAnsi="Times New Roman"/>
        </w:rPr>
        <w:t>（1）Ⅰ级事件</w:t>
      </w:r>
    </w:p>
    <w:p>
      <w:pPr>
        <w:ind w:firstLine="480"/>
        <w:rPr>
          <w:rFonts w:ascii="Times New Roman" w:hAnsi="Times New Roman"/>
        </w:rPr>
      </w:pPr>
      <w:r>
        <w:rPr>
          <w:rFonts w:ascii="Times New Roman" w:hAnsi="Times New Roman"/>
        </w:rPr>
        <w:t>凡符合下列情形之一的，为Ⅰ级事件：</w:t>
      </w:r>
    </w:p>
    <w:p>
      <w:pPr>
        <w:pStyle w:val="43"/>
        <w:numPr>
          <w:ilvl w:val="0"/>
          <w:numId w:val="10"/>
        </w:numPr>
        <w:ind w:firstLineChars="0"/>
        <w:jc w:val="both"/>
        <w:rPr>
          <w:rFonts w:ascii="Times New Roman" w:hAnsi="Times New Roman"/>
        </w:rPr>
      </w:pPr>
      <w:r>
        <w:rPr>
          <w:rFonts w:ascii="Times New Roman" w:hAnsi="Times New Roman"/>
        </w:rPr>
        <w:t>因环境污染直接导致30人以上死亡或100人以上中毒或重伤的；</w:t>
      </w:r>
    </w:p>
    <w:p>
      <w:pPr>
        <w:pStyle w:val="43"/>
        <w:numPr>
          <w:ilvl w:val="0"/>
          <w:numId w:val="10"/>
        </w:numPr>
        <w:ind w:firstLineChars="0"/>
        <w:jc w:val="both"/>
        <w:rPr>
          <w:rFonts w:ascii="Times New Roman" w:hAnsi="Times New Roman"/>
        </w:rPr>
      </w:pPr>
      <w:r>
        <w:rPr>
          <w:rFonts w:ascii="Times New Roman" w:hAnsi="Times New Roman"/>
        </w:rPr>
        <w:t>因环境污染疏散、转移人员5万人以上的；</w:t>
      </w:r>
    </w:p>
    <w:p>
      <w:pPr>
        <w:pStyle w:val="43"/>
        <w:numPr>
          <w:ilvl w:val="0"/>
          <w:numId w:val="10"/>
        </w:numPr>
        <w:ind w:firstLineChars="0"/>
        <w:jc w:val="both"/>
        <w:rPr>
          <w:rFonts w:ascii="Times New Roman" w:hAnsi="Times New Roman"/>
        </w:rPr>
      </w:pPr>
      <w:r>
        <w:rPr>
          <w:rFonts w:ascii="Times New Roman" w:hAnsi="Times New Roman"/>
        </w:rPr>
        <w:t>因环境污染造成直接经济损失1亿元以上的；</w:t>
      </w:r>
    </w:p>
    <w:p>
      <w:pPr>
        <w:pStyle w:val="43"/>
        <w:numPr>
          <w:ilvl w:val="0"/>
          <w:numId w:val="10"/>
        </w:numPr>
        <w:ind w:firstLineChars="0"/>
        <w:jc w:val="both"/>
        <w:rPr>
          <w:rFonts w:ascii="Times New Roman" w:hAnsi="Times New Roman"/>
        </w:rPr>
      </w:pPr>
      <w:r>
        <w:rPr>
          <w:rFonts w:ascii="Times New Roman" w:hAnsi="Times New Roman"/>
        </w:rPr>
        <w:t>因环境污染造成区域生态功能丧失或该区域国家重点保护物种灭绝的；</w:t>
      </w:r>
    </w:p>
    <w:p>
      <w:pPr>
        <w:pStyle w:val="43"/>
        <w:numPr>
          <w:ilvl w:val="0"/>
          <w:numId w:val="10"/>
        </w:numPr>
        <w:ind w:firstLineChars="0"/>
        <w:jc w:val="both"/>
        <w:rPr>
          <w:rFonts w:ascii="Times New Roman" w:hAnsi="Times New Roman"/>
        </w:rPr>
      </w:pPr>
      <w:r>
        <w:rPr>
          <w:rFonts w:ascii="Times New Roman" w:hAnsi="Times New Roman"/>
        </w:rPr>
        <w:t>因环境污染造成设区的市级以上城市集中式饮用水水源地取水中断的；</w:t>
      </w:r>
    </w:p>
    <w:p>
      <w:pPr>
        <w:pStyle w:val="43"/>
        <w:numPr>
          <w:ilvl w:val="0"/>
          <w:numId w:val="10"/>
        </w:numPr>
        <w:ind w:firstLineChars="0"/>
        <w:jc w:val="both"/>
        <w:rPr>
          <w:rFonts w:ascii="Times New Roman" w:hAnsi="Times New Roman"/>
        </w:rPr>
      </w:pPr>
      <w:r>
        <w:rPr>
          <w:rFonts w:ascii="Times New Roman" w:hAnsi="Times New Roman"/>
        </w:rPr>
        <w:t>Ⅰ、Ⅱ类放射源丢失、被盗、失控并造成大范围严重辐射污染后果的；放射性同位素和射线装置失控导致3人以上急性死亡的；放射性物质泄漏，造成大范围辐射污染后果的。</w:t>
      </w:r>
    </w:p>
    <w:p>
      <w:pPr>
        <w:ind w:firstLine="480"/>
        <w:rPr>
          <w:rFonts w:ascii="Times New Roman" w:hAnsi="Times New Roman"/>
        </w:rPr>
      </w:pPr>
      <w:r>
        <w:rPr>
          <w:rFonts w:ascii="Times New Roman" w:hAnsi="Times New Roman"/>
        </w:rPr>
        <w:t>（2）Ⅱ级事件</w:t>
      </w:r>
    </w:p>
    <w:p>
      <w:pPr>
        <w:ind w:firstLine="480"/>
        <w:rPr>
          <w:rFonts w:ascii="Times New Roman" w:hAnsi="Times New Roman"/>
        </w:rPr>
      </w:pPr>
      <w:r>
        <w:rPr>
          <w:rFonts w:ascii="Times New Roman" w:hAnsi="Times New Roman"/>
        </w:rPr>
        <w:t>凡符合下列情形之一的，为Ⅱ级事件：</w:t>
      </w:r>
    </w:p>
    <w:p>
      <w:pPr>
        <w:pStyle w:val="43"/>
        <w:numPr>
          <w:ilvl w:val="0"/>
          <w:numId w:val="11"/>
        </w:numPr>
        <w:ind w:firstLineChars="0"/>
        <w:jc w:val="both"/>
        <w:rPr>
          <w:rFonts w:ascii="Times New Roman" w:hAnsi="Times New Roman"/>
        </w:rPr>
      </w:pPr>
      <w:r>
        <w:rPr>
          <w:rFonts w:ascii="Times New Roman" w:hAnsi="Times New Roman"/>
        </w:rPr>
        <w:t>因环境污染直接导致10人以上30人以下死亡或50人以上100人以下中毒或重伤的；</w:t>
      </w:r>
    </w:p>
    <w:p>
      <w:pPr>
        <w:pStyle w:val="43"/>
        <w:numPr>
          <w:ilvl w:val="0"/>
          <w:numId w:val="11"/>
        </w:numPr>
        <w:ind w:firstLineChars="0"/>
        <w:jc w:val="both"/>
        <w:rPr>
          <w:rFonts w:ascii="Times New Roman" w:hAnsi="Times New Roman"/>
        </w:rPr>
      </w:pPr>
      <w:r>
        <w:rPr>
          <w:rFonts w:ascii="Times New Roman" w:hAnsi="Times New Roman"/>
        </w:rPr>
        <w:t>因环境污染疏散、转移人员1万人以上5万人以下的；</w:t>
      </w:r>
    </w:p>
    <w:p>
      <w:pPr>
        <w:pStyle w:val="43"/>
        <w:numPr>
          <w:ilvl w:val="0"/>
          <w:numId w:val="11"/>
        </w:numPr>
        <w:ind w:firstLineChars="0"/>
        <w:jc w:val="both"/>
        <w:rPr>
          <w:rFonts w:ascii="Times New Roman" w:hAnsi="Times New Roman"/>
        </w:rPr>
      </w:pPr>
      <w:r>
        <w:rPr>
          <w:rFonts w:ascii="Times New Roman" w:hAnsi="Times New Roman"/>
        </w:rPr>
        <w:t>因环境污染造成直接经济损失2000万元以上1亿元以下的；</w:t>
      </w:r>
    </w:p>
    <w:p>
      <w:pPr>
        <w:pStyle w:val="43"/>
        <w:numPr>
          <w:ilvl w:val="0"/>
          <w:numId w:val="11"/>
        </w:numPr>
        <w:ind w:firstLineChars="0"/>
        <w:jc w:val="both"/>
        <w:rPr>
          <w:rFonts w:ascii="Times New Roman" w:hAnsi="Times New Roman"/>
        </w:rPr>
      </w:pPr>
      <w:r>
        <w:rPr>
          <w:rFonts w:ascii="Times New Roman" w:hAnsi="Times New Roman"/>
        </w:rPr>
        <w:t>因环境污染造成区域生态功能部分丧失或该区域国家重点保护野生动植物种群大批死亡的；</w:t>
      </w:r>
    </w:p>
    <w:p>
      <w:pPr>
        <w:pStyle w:val="43"/>
        <w:numPr>
          <w:ilvl w:val="0"/>
          <w:numId w:val="11"/>
        </w:numPr>
        <w:ind w:firstLineChars="0"/>
        <w:jc w:val="both"/>
        <w:rPr>
          <w:rFonts w:ascii="Times New Roman" w:hAnsi="Times New Roman"/>
        </w:rPr>
      </w:pPr>
      <w:r>
        <w:rPr>
          <w:rFonts w:ascii="Times New Roman" w:hAnsi="Times New Roman"/>
        </w:rPr>
        <w:t>因环境污染造成县级城市集中式饮用水水源地取水中断的；</w:t>
      </w:r>
    </w:p>
    <w:p>
      <w:pPr>
        <w:pStyle w:val="43"/>
        <w:numPr>
          <w:ilvl w:val="0"/>
          <w:numId w:val="11"/>
        </w:numPr>
        <w:ind w:firstLineChars="0"/>
        <w:jc w:val="both"/>
        <w:rPr>
          <w:rFonts w:ascii="Times New Roman" w:hAnsi="Times New Roman"/>
        </w:rPr>
      </w:pPr>
      <w:r>
        <w:rPr>
          <w:rFonts w:ascii="Times New Roman" w:hAnsi="Times New Roman"/>
        </w:rPr>
        <w:t>Ⅰ、Ⅱ类放射源丢失、被盗的；放射性同位素和射线装置失控导致3人以下急性死亡或者人以上急性重度放射病、局部器官残疾的；放射性物质泄漏，造成较大范围辐射污染后果的；</w:t>
      </w:r>
    </w:p>
    <w:p>
      <w:pPr>
        <w:pStyle w:val="43"/>
        <w:numPr>
          <w:ilvl w:val="0"/>
          <w:numId w:val="11"/>
        </w:numPr>
        <w:ind w:firstLineChars="0"/>
        <w:jc w:val="both"/>
        <w:rPr>
          <w:rFonts w:ascii="Times New Roman" w:hAnsi="Times New Roman"/>
        </w:rPr>
      </w:pPr>
      <w:r>
        <w:rPr>
          <w:rFonts w:ascii="Times New Roman" w:hAnsi="Times New Roman"/>
        </w:rPr>
        <w:t>造成跨省级行政区域影响的突发环境事件。</w:t>
      </w:r>
    </w:p>
    <w:p>
      <w:pPr>
        <w:ind w:firstLine="480"/>
        <w:rPr>
          <w:rFonts w:ascii="Times New Roman" w:hAnsi="Times New Roman"/>
        </w:rPr>
      </w:pPr>
      <w:r>
        <w:rPr>
          <w:rFonts w:ascii="Times New Roman" w:hAnsi="Times New Roman"/>
        </w:rPr>
        <w:t>（3）Ⅲ级事件</w:t>
      </w:r>
    </w:p>
    <w:p>
      <w:pPr>
        <w:ind w:firstLine="480"/>
        <w:rPr>
          <w:rFonts w:ascii="Times New Roman" w:hAnsi="Times New Roman"/>
        </w:rPr>
      </w:pPr>
      <w:r>
        <w:rPr>
          <w:rFonts w:ascii="Times New Roman" w:hAnsi="Times New Roman"/>
        </w:rPr>
        <w:t>凡符合下列情形之一的，为Ⅲ级事件：</w:t>
      </w:r>
    </w:p>
    <w:p>
      <w:pPr>
        <w:pStyle w:val="43"/>
        <w:numPr>
          <w:ilvl w:val="0"/>
          <w:numId w:val="12"/>
        </w:numPr>
        <w:ind w:firstLineChars="0"/>
        <w:jc w:val="both"/>
        <w:rPr>
          <w:rFonts w:ascii="Times New Roman" w:hAnsi="Times New Roman"/>
        </w:rPr>
      </w:pPr>
      <w:r>
        <w:rPr>
          <w:rFonts w:ascii="Times New Roman" w:hAnsi="Times New Roman"/>
        </w:rPr>
        <w:t>因环境污染直接导致3人以上10人以下死亡或10人以上50人以下中毒或重伤的；</w:t>
      </w:r>
    </w:p>
    <w:p>
      <w:pPr>
        <w:pStyle w:val="43"/>
        <w:numPr>
          <w:ilvl w:val="0"/>
          <w:numId w:val="12"/>
        </w:numPr>
        <w:ind w:firstLineChars="0"/>
        <w:jc w:val="both"/>
        <w:rPr>
          <w:rFonts w:ascii="Times New Roman" w:hAnsi="Times New Roman"/>
        </w:rPr>
      </w:pPr>
      <w:r>
        <w:rPr>
          <w:rFonts w:ascii="Times New Roman" w:hAnsi="Times New Roman"/>
        </w:rPr>
        <w:t>因环境污染疏散、转移人员5000人以上1万人以下的；</w:t>
      </w:r>
    </w:p>
    <w:p>
      <w:pPr>
        <w:pStyle w:val="43"/>
        <w:numPr>
          <w:ilvl w:val="0"/>
          <w:numId w:val="12"/>
        </w:numPr>
        <w:ind w:firstLineChars="0"/>
        <w:jc w:val="both"/>
        <w:rPr>
          <w:rFonts w:ascii="Times New Roman" w:hAnsi="Times New Roman"/>
        </w:rPr>
      </w:pPr>
      <w:r>
        <w:rPr>
          <w:rFonts w:ascii="Times New Roman" w:hAnsi="Times New Roman"/>
        </w:rPr>
        <w:t>因环境污染造成直接经济损失500万元以上2000万元以下的；</w:t>
      </w:r>
    </w:p>
    <w:p>
      <w:pPr>
        <w:pStyle w:val="43"/>
        <w:numPr>
          <w:ilvl w:val="0"/>
          <w:numId w:val="12"/>
        </w:numPr>
        <w:ind w:firstLineChars="0"/>
        <w:jc w:val="both"/>
        <w:rPr>
          <w:rFonts w:ascii="Times New Roman" w:hAnsi="Times New Roman"/>
        </w:rPr>
      </w:pPr>
      <w:r>
        <w:rPr>
          <w:rFonts w:ascii="Times New Roman" w:hAnsi="Times New Roman"/>
        </w:rPr>
        <w:t>因环境污染造成国家重点保护的动植物物种受到破坏的；</w:t>
      </w:r>
    </w:p>
    <w:p>
      <w:pPr>
        <w:pStyle w:val="43"/>
        <w:numPr>
          <w:ilvl w:val="0"/>
          <w:numId w:val="12"/>
        </w:numPr>
        <w:ind w:firstLineChars="0"/>
        <w:jc w:val="both"/>
        <w:rPr>
          <w:rFonts w:ascii="Times New Roman" w:hAnsi="Times New Roman"/>
        </w:rPr>
      </w:pPr>
      <w:r>
        <w:rPr>
          <w:rFonts w:ascii="Times New Roman" w:hAnsi="Times New Roman"/>
        </w:rPr>
        <w:t>因环境污染造成乡镇集中式饮用水水源地取水中断的；</w:t>
      </w:r>
    </w:p>
    <w:p>
      <w:pPr>
        <w:pStyle w:val="43"/>
        <w:numPr>
          <w:ilvl w:val="0"/>
          <w:numId w:val="12"/>
        </w:numPr>
        <w:ind w:firstLineChars="0"/>
        <w:jc w:val="both"/>
        <w:rPr>
          <w:rFonts w:ascii="Times New Roman" w:hAnsi="Times New Roman"/>
        </w:rPr>
      </w:pPr>
      <w:r>
        <w:rPr>
          <w:rFonts w:ascii="Times New Roman" w:hAnsi="Times New Roman"/>
        </w:rPr>
        <w:t>Ⅲ类放射源丢失、被盗的；放射性同位素和射线装置失控导致10人以下急性重度放射病、局部器官残疾的；放射性物质泄漏，造成小范围辐射污染后果的；</w:t>
      </w:r>
    </w:p>
    <w:p>
      <w:pPr>
        <w:pStyle w:val="43"/>
        <w:numPr>
          <w:ilvl w:val="0"/>
          <w:numId w:val="12"/>
        </w:numPr>
        <w:ind w:firstLineChars="0"/>
        <w:jc w:val="both"/>
        <w:rPr>
          <w:rFonts w:ascii="Times New Roman" w:hAnsi="Times New Roman"/>
        </w:rPr>
      </w:pPr>
      <w:r>
        <w:rPr>
          <w:rFonts w:ascii="Times New Roman" w:hAnsi="Times New Roman"/>
        </w:rPr>
        <w:t>造成跨设区的市级行政区域影响的突发环境事件。</w:t>
      </w:r>
    </w:p>
    <w:p>
      <w:pPr>
        <w:ind w:left="480" w:firstLine="0" w:firstLineChars="0"/>
        <w:rPr>
          <w:rFonts w:ascii="Times New Roman" w:hAnsi="Times New Roman"/>
        </w:rPr>
      </w:pPr>
      <w:r>
        <w:rPr>
          <w:rFonts w:ascii="Times New Roman" w:hAnsi="Times New Roman"/>
        </w:rPr>
        <w:t>（4）Ⅳ级事件</w:t>
      </w:r>
    </w:p>
    <w:p>
      <w:pPr>
        <w:ind w:left="480" w:firstLine="0" w:firstLineChars="0"/>
        <w:rPr>
          <w:rFonts w:ascii="Times New Roman" w:hAnsi="Times New Roman"/>
        </w:rPr>
      </w:pPr>
      <w:r>
        <w:rPr>
          <w:rFonts w:ascii="Times New Roman" w:hAnsi="Times New Roman"/>
        </w:rPr>
        <w:t>一般突发环境事件具体细分为一般A级、一般B级、一般C级三个级别： 1）符合下列情形之一的，为一般A级突发环境事件：</w:t>
      </w:r>
    </w:p>
    <w:p>
      <w:pPr>
        <w:pStyle w:val="43"/>
        <w:numPr>
          <w:ilvl w:val="0"/>
          <w:numId w:val="13"/>
        </w:numPr>
        <w:ind w:firstLineChars="0"/>
        <w:jc w:val="both"/>
        <w:rPr>
          <w:rFonts w:ascii="Times New Roman" w:hAnsi="Times New Roman"/>
        </w:rPr>
      </w:pPr>
      <w:r>
        <w:rPr>
          <w:rFonts w:ascii="Times New Roman" w:hAnsi="Times New Roman"/>
        </w:rPr>
        <w:t>因环境污染直接导致3人以下死亡，或3人以上10人以下中毒或重伤的；</w:t>
      </w:r>
    </w:p>
    <w:p>
      <w:pPr>
        <w:pStyle w:val="43"/>
        <w:numPr>
          <w:ilvl w:val="0"/>
          <w:numId w:val="13"/>
        </w:numPr>
        <w:ind w:firstLineChars="0"/>
        <w:jc w:val="both"/>
        <w:rPr>
          <w:rFonts w:ascii="Times New Roman" w:hAnsi="Times New Roman"/>
        </w:rPr>
      </w:pPr>
      <w:r>
        <w:rPr>
          <w:rFonts w:ascii="Times New Roman" w:hAnsi="Times New Roman"/>
        </w:rPr>
        <w:t>因环境污染疏散、转移人员1000人以上5000人以下的；</w:t>
      </w:r>
    </w:p>
    <w:p>
      <w:pPr>
        <w:pStyle w:val="43"/>
        <w:numPr>
          <w:ilvl w:val="0"/>
          <w:numId w:val="13"/>
        </w:numPr>
        <w:ind w:firstLineChars="0"/>
        <w:jc w:val="both"/>
        <w:rPr>
          <w:rFonts w:ascii="Times New Roman" w:hAnsi="Times New Roman"/>
        </w:rPr>
      </w:pPr>
      <w:r>
        <w:rPr>
          <w:rFonts w:ascii="Times New Roman" w:hAnsi="Times New Roman"/>
        </w:rPr>
        <w:t>因环境污染造成直接经济损失200万元以上500万元以下的；</w:t>
      </w:r>
    </w:p>
    <w:p>
      <w:pPr>
        <w:pStyle w:val="43"/>
        <w:numPr>
          <w:ilvl w:val="0"/>
          <w:numId w:val="13"/>
        </w:numPr>
        <w:ind w:firstLineChars="0"/>
        <w:jc w:val="both"/>
        <w:rPr>
          <w:rFonts w:ascii="Times New Roman" w:hAnsi="Times New Roman"/>
        </w:rPr>
      </w:pPr>
      <w:r>
        <w:rPr>
          <w:rFonts w:ascii="Times New Roman" w:hAnsi="Times New Roman"/>
        </w:rPr>
        <w:t>因环境污染造成跨县级行政区域纠纷，引起一般性群体影响的；</w:t>
      </w:r>
    </w:p>
    <w:p>
      <w:pPr>
        <w:pStyle w:val="43"/>
        <w:numPr>
          <w:ilvl w:val="0"/>
          <w:numId w:val="13"/>
        </w:numPr>
        <w:ind w:firstLineChars="0"/>
        <w:jc w:val="both"/>
        <w:rPr>
          <w:rFonts w:ascii="Times New Roman" w:hAnsi="Times New Roman"/>
        </w:rPr>
      </w:pPr>
      <w:r>
        <w:rPr>
          <w:rFonts w:ascii="Times New Roman" w:hAnsi="Times New Roman"/>
        </w:rPr>
        <w:t>Ⅳ、Ⅴ类放射源丢失、被盗的；放射性物质泄漏，造成厂区内或设施内局部辐射污染后果的。</w:t>
      </w:r>
    </w:p>
    <w:p>
      <w:pPr>
        <w:ind w:left="480" w:firstLine="0" w:firstLineChars="0"/>
        <w:rPr>
          <w:rFonts w:ascii="Times New Roman" w:hAnsi="Times New Roman"/>
        </w:rPr>
      </w:pPr>
      <w:r>
        <w:rPr>
          <w:rFonts w:ascii="Times New Roman" w:hAnsi="Times New Roman"/>
        </w:rPr>
        <w:t>2）符合下列情形之一的，为一般B级突发环境事件：</w:t>
      </w:r>
    </w:p>
    <w:p>
      <w:pPr>
        <w:pStyle w:val="43"/>
        <w:numPr>
          <w:ilvl w:val="0"/>
          <w:numId w:val="14"/>
        </w:numPr>
        <w:ind w:firstLineChars="0"/>
        <w:jc w:val="both"/>
        <w:rPr>
          <w:rFonts w:ascii="Times New Roman" w:hAnsi="Times New Roman"/>
        </w:rPr>
      </w:pPr>
      <w:r>
        <w:rPr>
          <w:rFonts w:ascii="Times New Roman" w:hAnsi="Times New Roman"/>
        </w:rPr>
        <w:t>因环境污染直接导致3人以下中毒或重伤的；</w:t>
      </w:r>
    </w:p>
    <w:p>
      <w:pPr>
        <w:pStyle w:val="43"/>
        <w:numPr>
          <w:ilvl w:val="0"/>
          <w:numId w:val="14"/>
        </w:numPr>
        <w:ind w:firstLineChars="0"/>
        <w:jc w:val="both"/>
        <w:rPr>
          <w:rFonts w:ascii="Times New Roman" w:hAnsi="Times New Roman"/>
        </w:rPr>
      </w:pPr>
      <w:r>
        <w:rPr>
          <w:rFonts w:ascii="Times New Roman" w:hAnsi="Times New Roman"/>
        </w:rPr>
        <w:t>因环境污染疏散、转移人员100人以上1000人以下的；</w:t>
      </w:r>
    </w:p>
    <w:p>
      <w:pPr>
        <w:pStyle w:val="43"/>
        <w:numPr>
          <w:ilvl w:val="0"/>
          <w:numId w:val="14"/>
        </w:numPr>
        <w:ind w:firstLineChars="0"/>
        <w:jc w:val="both"/>
        <w:rPr>
          <w:rFonts w:ascii="Times New Roman" w:hAnsi="Times New Roman"/>
        </w:rPr>
      </w:pPr>
      <w:r>
        <w:rPr>
          <w:rFonts w:ascii="Times New Roman" w:hAnsi="Times New Roman"/>
        </w:rPr>
        <w:t>因环境污染造成直接经济损失50万元以上200万元以下的；</w:t>
      </w:r>
    </w:p>
    <w:p>
      <w:pPr>
        <w:pStyle w:val="43"/>
        <w:numPr>
          <w:ilvl w:val="0"/>
          <w:numId w:val="14"/>
        </w:numPr>
        <w:ind w:firstLineChars="0"/>
        <w:jc w:val="both"/>
        <w:rPr>
          <w:rFonts w:ascii="Times New Roman" w:hAnsi="Times New Roman"/>
        </w:rPr>
      </w:pPr>
      <w:r>
        <w:rPr>
          <w:rFonts w:ascii="Times New Roman" w:hAnsi="Times New Roman"/>
        </w:rPr>
        <w:t>放射性同位素和射线装置失控导致人员受到超过年剂量限值的照射的。</w:t>
      </w:r>
    </w:p>
    <w:p>
      <w:pPr>
        <w:ind w:left="480" w:firstLine="0" w:firstLineChars="0"/>
        <w:rPr>
          <w:rFonts w:ascii="Times New Roman" w:hAnsi="Times New Roman"/>
        </w:rPr>
      </w:pPr>
      <w:r>
        <w:rPr>
          <w:rFonts w:ascii="Times New Roman" w:hAnsi="Times New Roman"/>
        </w:rPr>
        <w:t>3）符合下列情形之一的，为一般C级突发环境事件：</w:t>
      </w:r>
    </w:p>
    <w:p>
      <w:pPr>
        <w:pStyle w:val="43"/>
        <w:numPr>
          <w:ilvl w:val="0"/>
          <w:numId w:val="15"/>
        </w:numPr>
        <w:ind w:firstLineChars="0"/>
        <w:jc w:val="both"/>
        <w:rPr>
          <w:rFonts w:ascii="Times New Roman" w:hAnsi="Times New Roman"/>
        </w:rPr>
      </w:pPr>
      <w:r>
        <w:rPr>
          <w:rFonts w:ascii="Times New Roman" w:hAnsi="Times New Roman"/>
        </w:rPr>
        <w:t>因环境污染疏散、转移人员100人以下的；</w:t>
      </w:r>
    </w:p>
    <w:p>
      <w:pPr>
        <w:pStyle w:val="43"/>
        <w:numPr>
          <w:ilvl w:val="0"/>
          <w:numId w:val="15"/>
        </w:numPr>
        <w:ind w:firstLineChars="0"/>
        <w:jc w:val="both"/>
        <w:rPr>
          <w:rFonts w:ascii="Times New Roman" w:hAnsi="Times New Roman"/>
        </w:rPr>
      </w:pPr>
      <w:r>
        <w:rPr>
          <w:rFonts w:ascii="Times New Roman" w:hAnsi="Times New Roman"/>
        </w:rPr>
        <w:t>因环境污染造成直接经济损失50万元以下的；</w:t>
      </w:r>
    </w:p>
    <w:p>
      <w:pPr>
        <w:pStyle w:val="43"/>
        <w:numPr>
          <w:ilvl w:val="0"/>
          <w:numId w:val="15"/>
        </w:numPr>
        <w:ind w:firstLineChars="0"/>
        <w:jc w:val="both"/>
        <w:rPr>
          <w:rFonts w:ascii="Times New Roman" w:hAnsi="Times New Roman"/>
        </w:rPr>
      </w:pPr>
      <w:r>
        <w:rPr>
          <w:rFonts w:ascii="Times New Roman" w:hAnsi="Times New Roman"/>
        </w:rPr>
        <w:t>对环境造成一定影响，尚未达到一般B级突发环境事件级别的。</w:t>
      </w:r>
    </w:p>
    <w:p>
      <w:pPr>
        <w:ind w:left="480" w:firstLine="0" w:firstLineChars="0"/>
        <w:rPr>
          <w:rFonts w:ascii="Times New Roman" w:hAnsi="Times New Roman"/>
        </w:rPr>
      </w:pPr>
      <w:r>
        <w:rPr>
          <w:rFonts w:ascii="Times New Roman" w:hAnsi="Times New Roman"/>
        </w:rPr>
        <w:t>上述分级标准有关数量的表述中，“以上”含本数，“以下”不含本数。</w:t>
      </w:r>
    </w:p>
    <w:p>
      <w:pPr>
        <w:pStyle w:val="5"/>
        <w:rPr>
          <w:rFonts w:ascii="Times New Roman" w:hAnsi="Times New Roman"/>
        </w:rPr>
      </w:pPr>
      <w:r>
        <w:rPr>
          <w:rFonts w:ascii="Times New Roman" w:hAnsi="Times New Roman"/>
        </w:rPr>
        <w:t>应急组织机构</w:t>
      </w:r>
    </w:p>
    <w:p>
      <w:pPr>
        <w:ind w:firstLine="480"/>
        <w:rPr>
          <w:rFonts w:ascii="Times New Roman" w:hAnsi="Times New Roman"/>
        </w:rPr>
      </w:pPr>
      <w:r>
        <w:rPr>
          <w:rFonts w:ascii="Times New Roman" w:hAnsi="Times New Roman"/>
        </w:rPr>
        <w:t>川东北气矿应急组织机构由突发环境事件应急领导小组、应急办公室、应急部门、应急信息组、资源保障工作组、后勤保障工作组、专家咨询组、现场指挥部等组成。</w:t>
      </w:r>
    </w:p>
    <w:p>
      <w:pPr>
        <w:keepNext/>
        <w:ind w:firstLine="0" w:firstLineChars="0"/>
        <w:jc w:val="center"/>
        <w:rPr>
          <w:rFonts w:ascii="Times New Roman" w:hAnsi="Times New Roman"/>
        </w:rPr>
      </w:pPr>
      <w:r>
        <w:rPr>
          <w:rFonts w:ascii="Times New Roman" w:hAnsi="Times New Roman"/>
        </w:rPr>
        <w:drawing>
          <wp:inline distT="0" distB="0" distL="0" distR="0">
            <wp:extent cx="5274310" cy="4156710"/>
            <wp:effectExtent l="0" t="0" r="2540" b="0"/>
            <wp:docPr id="615964330" name="图片 1"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964330" name="图片 1" descr="图示, 示意图&#10;&#10;描述已自动生成"/>
                    <pic:cNvPicPr>
                      <a:picLocks noChangeAspect="1"/>
                    </pic:cNvPicPr>
                  </pic:nvPicPr>
                  <pic:blipFill>
                    <a:blip r:embed="rId163"/>
                    <a:stretch>
                      <a:fillRect/>
                    </a:stretch>
                  </pic:blipFill>
                  <pic:spPr>
                    <a:xfrm>
                      <a:off x="0" y="0"/>
                      <a:ext cx="5274310" cy="4156710"/>
                    </a:xfrm>
                    <a:prstGeom prst="rect">
                      <a:avLst/>
                    </a:prstGeom>
                  </pic:spPr>
                </pic:pic>
              </a:graphicData>
            </a:graphic>
          </wp:inline>
        </w:drawing>
      </w:r>
    </w:p>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23</w:t>
      </w:r>
      <w:r>
        <w:rPr>
          <w:rFonts w:ascii="Times New Roman" w:hAnsi="Times New Roman" w:cs="Times New Roman"/>
        </w:rPr>
        <w:fldChar w:fldCharType="end"/>
      </w:r>
      <w:r>
        <w:rPr>
          <w:rFonts w:ascii="Times New Roman" w:hAnsi="Times New Roman" w:cs="Times New Roman"/>
        </w:rPr>
        <w:t xml:space="preserve">  川东北气矿突发环境事件应急组织机构图</w:t>
      </w:r>
    </w:p>
    <w:p>
      <w:pPr>
        <w:pStyle w:val="5"/>
        <w:rPr>
          <w:rFonts w:ascii="Times New Roman" w:hAnsi="Times New Roman"/>
        </w:rPr>
      </w:pPr>
      <w:r>
        <w:rPr>
          <w:rFonts w:ascii="Times New Roman" w:hAnsi="Times New Roman"/>
        </w:rPr>
        <w:t>应急响应</w:t>
      </w:r>
    </w:p>
    <w:p>
      <w:pPr>
        <w:ind w:firstLine="480"/>
        <w:rPr>
          <w:rFonts w:ascii="Times New Roman" w:hAnsi="Times New Roman"/>
        </w:rPr>
      </w:pPr>
      <w:r>
        <w:rPr>
          <w:rFonts w:ascii="Times New Roman" w:hAnsi="Times New Roman"/>
        </w:rPr>
        <w:t>（1）信息报告程序</w:t>
      </w:r>
    </w:p>
    <w:p>
      <w:pPr>
        <w:ind w:firstLine="480"/>
        <w:rPr>
          <w:rFonts w:ascii="Times New Roman" w:hAnsi="Times New Roman"/>
        </w:rPr>
      </w:pPr>
      <w:r>
        <w:rPr>
          <w:rFonts w:ascii="Times New Roman" w:hAnsi="Times New Roman"/>
        </w:rPr>
        <w:t>1）发生IV-C级环境突发事件后，事发单位在1小时内采用信息和电话方式向应</w:t>
      </w:r>
    </w:p>
    <w:p>
      <w:pPr>
        <w:ind w:firstLine="480"/>
        <w:rPr>
          <w:rFonts w:ascii="Times New Roman" w:hAnsi="Times New Roman"/>
        </w:rPr>
      </w:pPr>
      <w:r>
        <w:rPr>
          <w:rFonts w:ascii="Times New Roman" w:hAnsi="Times New Roman"/>
        </w:rPr>
        <w:t>急值班室报告，应急值班室接到报告后立即向气矿突发环境事件应急办公室汇报；</w:t>
      </w:r>
    </w:p>
    <w:p>
      <w:pPr>
        <w:ind w:firstLine="480"/>
        <w:rPr>
          <w:rFonts w:ascii="Times New Roman" w:hAnsi="Times New Roman"/>
        </w:rPr>
      </w:pPr>
      <w:r>
        <w:rPr>
          <w:rFonts w:ascii="Times New Roman" w:hAnsi="Times New Roman"/>
        </w:rPr>
        <w:t xml:space="preserve">2）发生IV-B级环境突发事件后，事发单位在30分钟内采用信息和电话方式向应急值班室报告，应急值班室接到报告后立即向气矿突发环境事件应急办公室汇报；气矿突发环境事件应急办公室应在1小时内报分公司总经理办公室总值班室，同时质量安全环保科向分公司质量安全环保处报告。 </w:t>
      </w:r>
    </w:p>
    <w:p>
      <w:pPr>
        <w:ind w:firstLine="480"/>
        <w:rPr>
          <w:rFonts w:ascii="Times New Roman" w:hAnsi="Times New Roman"/>
        </w:rPr>
      </w:pPr>
      <w:r>
        <w:rPr>
          <w:rFonts w:ascii="Times New Roman" w:hAnsi="Times New Roman"/>
        </w:rPr>
        <w:t>3）发生IV-A级及以上环境突发事件后，气矿突发环境事件应急办公室应在30分钟内报分公司总经理办公室总值班室；同时，要按照国家和当地政府事件报送时限的要求，气矿突发环境事件应急办公室应将事件信息向当地环保部门报告；特殊情况下可越级上报。</w:t>
      </w:r>
    </w:p>
    <w:p>
      <w:pPr>
        <w:keepNext/>
        <w:ind w:firstLine="0" w:firstLineChars="0"/>
        <w:jc w:val="center"/>
        <w:rPr>
          <w:rFonts w:ascii="Times New Roman" w:hAnsi="Times New Roman"/>
        </w:rPr>
      </w:pPr>
      <w:r>
        <w:rPr>
          <w:rFonts w:ascii="Times New Roman" w:hAnsi="Times New Roman"/>
        </w:rPr>
        <w:drawing>
          <wp:inline distT="0" distB="0" distL="0" distR="0">
            <wp:extent cx="5274310" cy="4683125"/>
            <wp:effectExtent l="0" t="0" r="2540" b="3175"/>
            <wp:docPr id="1904022308"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022308" name="图片 1" descr="图示&#10;&#10;描述已自动生成"/>
                    <pic:cNvPicPr>
                      <a:picLocks noChangeAspect="1"/>
                    </pic:cNvPicPr>
                  </pic:nvPicPr>
                  <pic:blipFill>
                    <a:blip r:embed="rId164"/>
                    <a:stretch>
                      <a:fillRect/>
                    </a:stretch>
                  </pic:blipFill>
                  <pic:spPr>
                    <a:xfrm>
                      <a:off x="0" y="0"/>
                      <a:ext cx="5274310" cy="4683125"/>
                    </a:xfrm>
                    <a:prstGeom prst="rect">
                      <a:avLst/>
                    </a:prstGeom>
                  </pic:spPr>
                </pic:pic>
              </a:graphicData>
            </a:graphic>
          </wp:inline>
        </w:drawing>
      </w:r>
    </w:p>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24</w:t>
      </w:r>
      <w:r>
        <w:rPr>
          <w:rFonts w:ascii="Times New Roman" w:hAnsi="Times New Roman" w:cs="Times New Roman"/>
        </w:rPr>
        <w:fldChar w:fldCharType="end"/>
      </w:r>
      <w:r>
        <w:rPr>
          <w:rFonts w:ascii="Times New Roman" w:hAnsi="Times New Roman" w:cs="Times New Roman"/>
        </w:rPr>
        <w:t xml:space="preserve">  川东北气矿应急信息报告流程图</w:t>
      </w:r>
    </w:p>
    <w:p>
      <w:pPr>
        <w:pStyle w:val="37"/>
        <w:rPr>
          <w:rFonts w:ascii="Times New Roman" w:hAnsi="Times New Roman" w:cs="Times New Roman"/>
        </w:rPr>
      </w:pPr>
    </w:p>
    <w:p>
      <w:pPr>
        <w:ind w:firstLine="480"/>
        <w:rPr>
          <w:rFonts w:ascii="Times New Roman" w:hAnsi="Times New Roman"/>
        </w:rPr>
      </w:pPr>
      <w:r>
        <w:rPr>
          <w:rFonts w:ascii="Times New Roman" w:hAnsi="Times New Roman"/>
        </w:rPr>
        <w:t>（2）预警程序</w:t>
      </w:r>
    </w:p>
    <w:p>
      <w:pPr>
        <w:ind w:firstLine="480"/>
        <w:rPr>
          <w:rFonts w:ascii="Times New Roman" w:hAnsi="Times New Roman"/>
        </w:rPr>
      </w:pPr>
      <w:r>
        <w:rPr>
          <w:rFonts w:ascii="Times New Roman" w:hAnsi="Times New Roman"/>
        </w:rPr>
        <w:t>1）基层单位立即向突发环境事件应急办公室汇报，通知达州抢维中心，进行应急响应准备；</w:t>
      </w:r>
    </w:p>
    <w:p>
      <w:pPr>
        <w:ind w:firstLine="480"/>
        <w:rPr>
          <w:rFonts w:ascii="Times New Roman" w:hAnsi="Times New Roman"/>
        </w:rPr>
      </w:pPr>
      <w:r>
        <w:rPr>
          <w:rFonts w:ascii="Times New Roman" w:hAnsi="Times New Roman"/>
        </w:rPr>
        <w:t>2）突发环境事件应急领导小组根据预警信息，分析可能引发Ⅳ级、Ⅲ级、Ⅱ级、Ⅰ级突发事件，下达预警指令；</w:t>
      </w:r>
    </w:p>
    <w:p>
      <w:pPr>
        <w:ind w:firstLine="480"/>
        <w:rPr>
          <w:rFonts w:ascii="Times New Roman" w:hAnsi="Times New Roman"/>
        </w:rPr>
      </w:pPr>
      <w:r>
        <w:rPr>
          <w:rFonts w:ascii="Times New Roman" w:hAnsi="Times New Roman"/>
        </w:rPr>
        <w:t>3）突发环境事件应急领导小组、应急办公室、应急专家、相关单位做好应急准备。必要时，突发事件环境应急领导小组及办公室有关成员和专家到气矿集中办公；</w:t>
      </w:r>
    </w:p>
    <w:p>
      <w:pPr>
        <w:ind w:firstLine="480"/>
        <w:rPr>
          <w:rFonts w:ascii="Times New Roman" w:hAnsi="Times New Roman"/>
        </w:rPr>
      </w:pPr>
      <w:r>
        <w:rPr>
          <w:rFonts w:ascii="Times New Roman" w:hAnsi="Times New Roman"/>
        </w:rPr>
        <w:t>4）及时收集和掌握事件发展动态及现场应急处置进展情况；</w:t>
      </w:r>
    </w:p>
    <w:p>
      <w:pPr>
        <w:ind w:firstLine="480"/>
        <w:rPr>
          <w:rFonts w:ascii="Times New Roman" w:hAnsi="Times New Roman"/>
        </w:rPr>
      </w:pPr>
      <w:r>
        <w:rPr>
          <w:rFonts w:ascii="Times New Roman" w:hAnsi="Times New Roman"/>
        </w:rPr>
        <w:t>5）组织有关部门人员和应急专家分析、判断突发环境事件的紧急程度和发展态势，为事发现场提供应急处置指导意见和技术支持；</w:t>
      </w:r>
    </w:p>
    <w:p>
      <w:pPr>
        <w:ind w:firstLine="480"/>
        <w:rPr>
          <w:rFonts w:ascii="Times New Roman" w:hAnsi="Times New Roman"/>
        </w:rPr>
      </w:pPr>
      <w:r>
        <w:rPr>
          <w:rFonts w:ascii="Times New Roman" w:hAnsi="Times New Roman"/>
        </w:rPr>
        <w:t>6）提供相关预案，协调专家、队伍、装备、物资等支撑；</w:t>
      </w:r>
    </w:p>
    <w:p>
      <w:pPr>
        <w:ind w:firstLine="480"/>
        <w:rPr>
          <w:rFonts w:ascii="Times New Roman" w:hAnsi="Times New Roman"/>
        </w:rPr>
      </w:pPr>
      <w:r>
        <w:rPr>
          <w:rFonts w:ascii="Times New Roman" w:hAnsi="Times New Roman"/>
        </w:rPr>
        <w:t>7）根据事态变化，适时通报预警信息，做好舆情跟踪，较大舆情要及时向突发环境事件应急领导小组报告；</w:t>
      </w:r>
    </w:p>
    <w:p>
      <w:pPr>
        <w:ind w:firstLine="480"/>
        <w:rPr>
          <w:rFonts w:ascii="Times New Roman" w:hAnsi="Times New Roman"/>
        </w:rPr>
      </w:pPr>
      <w:r>
        <w:rPr>
          <w:rFonts w:ascii="Times New Roman" w:hAnsi="Times New Roman"/>
        </w:rPr>
        <w:t>8）突发环境事件解除时，及时宣布、告知预警解除。</w:t>
      </w:r>
    </w:p>
    <w:p>
      <w:pPr>
        <w:ind w:firstLine="480"/>
        <w:rPr>
          <w:rFonts w:ascii="Times New Roman" w:hAnsi="Times New Roman"/>
        </w:rPr>
      </w:pPr>
      <w:r>
        <w:rPr>
          <w:rFonts w:ascii="Times New Roman" w:hAnsi="Times New Roman"/>
        </w:rPr>
        <w:t>（3）应急响应程序</w:t>
      </w:r>
    </w:p>
    <w:p>
      <w:pPr>
        <w:ind w:firstLine="480"/>
        <w:rPr>
          <w:rFonts w:ascii="Times New Roman" w:hAnsi="Times New Roman"/>
        </w:rPr>
      </w:pPr>
      <w:r>
        <w:rPr>
          <w:rFonts w:ascii="Times New Roman" w:hAnsi="Times New Roman"/>
        </w:rPr>
        <w:t>气矿接到突发环境事件报警后，其应急响应过程分为接警、判断响应级别、应急启动、应急控制及救援、扩大应急、应急终止和后期处置等步骤。</w:t>
      </w:r>
    </w:p>
    <w:p>
      <w:pPr>
        <w:ind w:firstLine="480"/>
        <w:rPr>
          <w:rFonts w:ascii="Times New Roman" w:hAnsi="Times New Roman"/>
        </w:rPr>
      </w:pPr>
      <w:r>
        <w:rPr>
          <w:rFonts w:ascii="Times New Roman" w:hAnsi="Times New Roman"/>
        </w:rPr>
        <w:t>突发环境事件发生后，事件现场应立即启动应急处置程序，现场的最高职务负责人（含班长）是现场抢险指挥，有权决定现场抢险指挥事宜，组织指挥有关人员进行先期处置，控制事态，并将事件情况立即报气矿应急值班室。气矿应急值班室接到突发环境事件报告后，立即按照气矿川东北气矿突发环境事件专项应急预案通知达州抢维中心及相关人员，并向突发环境事件应急办公室报告，达州抢维中心突发环境事件应急领导小组组长启动达州抢维中心突发事件应急预案。突发环境事件应急办公室接到突发环境事件报告后，按川东北气矿突发环境事件专项应急预案的规定，通知应急办公室主任及气矿应急领导小组相关人员，根据事故情况，做出是否启动本应急预案的决定。</w:t>
      </w:r>
    </w:p>
    <w:p>
      <w:pPr>
        <w:ind w:firstLine="480"/>
        <w:rPr>
          <w:rFonts w:ascii="Times New Roman" w:hAnsi="Times New Roman"/>
        </w:rPr>
      </w:pPr>
      <w:r>
        <w:rPr>
          <w:rFonts w:ascii="Times New Roman" w:hAnsi="Times New Roman"/>
        </w:rPr>
        <w:t>突发环境事件应急响应流程如下：</w:t>
      </w:r>
    </w:p>
    <w:p>
      <w:pPr>
        <w:ind w:firstLine="480"/>
        <w:rPr>
          <w:rFonts w:ascii="Times New Roman" w:hAnsi="Times New Roman"/>
        </w:rPr>
      </w:pPr>
      <w:r>
        <w:rPr>
          <w:rFonts w:ascii="Times New Roman" w:hAnsi="Times New Roman"/>
        </w:rPr>
        <w:t>1）由突发环境事件应急领导小组组长立即组织成立现场指挥部赶赴现场；</w:t>
      </w:r>
    </w:p>
    <w:p>
      <w:pPr>
        <w:ind w:firstLine="480"/>
        <w:rPr>
          <w:rFonts w:ascii="Times New Roman" w:hAnsi="Times New Roman"/>
        </w:rPr>
      </w:pPr>
      <w:r>
        <w:rPr>
          <w:rFonts w:ascii="Times New Roman" w:hAnsi="Times New Roman"/>
        </w:rPr>
        <w:t>2）突发环境事件应急办公室随时保持与事件现场的联系，做好事件相关信息的收集、分析，及时向气矿汇报突发环境事件抢险进展情况，保证信息报告和指令传达畅通。需向地方事故应急管理部门报告的，报请《川东北气矿突发环境事件专项应急预案》应急领导小组组长同意后，由气矿向当地政府及职能管理部门做出报告；</w:t>
      </w:r>
    </w:p>
    <w:p>
      <w:pPr>
        <w:ind w:firstLine="480"/>
        <w:rPr>
          <w:rFonts w:ascii="Times New Roman" w:hAnsi="Times New Roman"/>
        </w:rPr>
      </w:pPr>
      <w:r>
        <w:rPr>
          <w:rFonts w:ascii="Times New Roman" w:hAnsi="Times New Roman"/>
        </w:rPr>
        <w:t>3）气矿现场指挥部到达现场后，立即接管现场救援的指挥权，对突发环境事件进行处置，现场所有员工服从现场指挥部长的调度和安排；</w:t>
      </w:r>
    </w:p>
    <w:p>
      <w:pPr>
        <w:ind w:firstLine="480"/>
        <w:rPr>
          <w:rFonts w:ascii="Times New Roman" w:hAnsi="Times New Roman"/>
        </w:rPr>
      </w:pPr>
      <w:r>
        <w:rPr>
          <w:rFonts w:ascii="Times New Roman" w:hAnsi="Times New Roman"/>
        </w:rPr>
        <w:t>4）现场指挥部应对达州抢维中心设置的现场指挥所进行检查，确保通讯的畅通和抢险救援人员所在地的安全，防止次生事故和二次事故的发生；</w:t>
      </w:r>
    </w:p>
    <w:p>
      <w:pPr>
        <w:ind w:firstLine="480"/>
        <w:rPr>
          <w:rFonts w:ascii="Times New Roman" w:hAnsi="Times New Roman"/>
        </w:rPr>
      </w:pPr>
      <w:r>
        <w:rPr>
          <w:rFonts w:ascii="Times New Roman" w:hAnsi="Times New Roman"/>
        </w:rPr>
        <w:t>5）现场指挥部长立即对事故性质、严重程度、可能的发展趋势进行判断，并及时向气矿突发环境事件应急办公室报告，并随时保持联系，及时通报突发环境事件抢险救援情况；</w:t>
      </w:r>
    </w:p>
    <w:p>
      <w:pPr>
        <w:ind w:firstLine="480"/>
        <w:rPr>
          <w:rFonts w:ascii="Times New Roman" w:hAnsi="Times New Roman"/>
        </w:rPr>
      </w:pPr>
      <w:r>
        <w:rPr>
          <w:rFonts w:ascii="Times New Roman" w:hAnsi="Times New Roman"/>
        </w:rPr>
        <w:t>6）现场指挥部长组织相关业务部门及专家组首先对达州抢维中心制定的现场处置方案进行审查，并形成突发环境事件处置方案；</w:t>
      </w:r>
    </w:p>
    <w:p>
      <w:pPr>
        <w:ind w:firstLine="480"/>
        <w:rPr>
          <w:rFonts w:ascii="Times New Roman" w:hAnsi="Times New Roman"/>
        </w:rPr>
      </w:pPr>
      <w:r>
        <w:rPr>
          <w:rFonts w:ascii="Times New Roman" w:hAnsi="Times New Roman"/>
        </w:rPr>
        <w:t>7）现场指挥部长根据突发环境事件情况对现场抢险人员进行分工，成立相应应急救援抢险小组；</w:t>
      </w:r>
    </w:p>
    <w:p>
      <w:pPr>
        <w:ind w:firstLine="480"/>
        <w:rPr>
          <w:rFonts w:ascii="Times New Roman" w:hAnsi="Times New Roman"/>
        </w:rPr>
      </w:pPr>
      <w:r>
        <w:rPr>
          <w:rFonts w:ascii="Times New Roman" w:hAnsi="Times New Roman"/>
        </w:rPr>
        <w:t>8）在现场指挥部长的领导下，现场救援抢险各小组按照各自职责、抢险实施方案及事故应急处置措施开展事故救援抢险工作；</w:t>
      </w:r>
    </w:p>
    <w:p>
      <w:pPr>
        <w:ind w:firstLine="480"/>
        <w:rPr>
          <w:rFonts w:ascii="Times New Roman" w:hAnsi="Times New Roman"/>
        </w:rPr>
      </w:pPr>
      <w:r>
        <w:rPr>
          <w:rFonts w:ascii="Times New Roman" w:hAnsi="Times New Roman"/>
        </w:rPr>
        <w:t>9）现场指挥部对应急区域进行确认，并对达州抢维中心已设立的警戒线进行检查，禁止无关人员进入抢险区域；组织人员对应急区域内的居民撤离情况进行检查，做好应急区域内人员的安全转移工作；</w:t>
      </w:r>
    </w:p>
    <w:p>
      <w:pPr>
        <w:ind w:firstLine="480"/>
        <w:rPr>
          <w:rFonts w:ascii="Times New Roman" w:hAnsi="Times New Roman"/>
        </w:rPr>
      </w:pPr>
      <w:r>
        <w:rPr>
          <w:rFonts w:ascii="Times New Roman" w:hAnsi="Times New Roman"/>
        </w:rPr>
        <w:t>10）若出现伤员，现场人员及时拨打“120”或周边急救医院联系电话，对现场伤员立即进行救护；</w:t>
      </w:r>
    </w:p>
    <w:p>
      <w:pPr>
        <w:ind w:firstLine="480"/>
        <w:rPr>
          <w:rFonts w:ascii="Times New Roman" w:hAnsi="Times New Roman"/>
        </w:rPr>
      </w:pPr>
      <w:r>
        <w:rPr>
          <w:rFonts w:ascii="Times New Roman" w:hAnsi="Times New Roman"/>
        </w:rPr>
        <w:t>11）若环保问题，质量安全环保科及时做好事故现场的监测工作，向现场指挥长报告，对是否扩大应急范围做出建议；</w:t>
      </w:r>
    </w:p>
    <w:p>
      <w:pPr>
        <w:ind w:firstLine="480"/>
        <w:rPr>
          <w:rFonts w:ascii="Times New Roman" w:hAnsi="Times New Roman"/>
        </w:rPr>
      </w:pPr>
      <w:r>
        <w:rPr>
          <w:rFonts w:ascii="Times New Roman" w:hAnsi="Times New Roman"/>
        </w:rPr>
        <w:t>12）后勤保障组做好各种应急指令的传递工作，并同气矿突发环境事件应急办公室保持联系。做好接收应急抢险物资、人员防护用品的准备工作，配合地方应急部门做好转移居民的安置、日常生活用品的发放工作；</w:t>
      </w:r>
    </w:p>
    <w:p>
      <w:pPr>
        <w:ind w:firstLine="480"/>
        <w:rPr>
          <w:rFonts w:ascii="Times New Roman" w:hAnsi="Times New Roman"/>
        </w:rPr>
      </w:pPr>
      <w:r>
        <w:rPr>
          <w:rFonts w:ascii="Times New Roman" w:hAnsi="Times New Roman"/>
        </w:rPr>
        <w:t>13）若事故严重程度达到IV-A及以上等级，根据事故严重成度和可能影响范围，做好人员的疏散工作，积极开展事故控制和处置，待上级现场抢险（企地联合）指挥部成立后，按照上级现场抢险（企地联合）指挥部分工，做好事故抢险工作。</w:t>
      </w:r>
    </w:p>
    <w:p>
      <w:pPr>
        <w:ind w:firstLine="0" w:firstLineChars="0"/>
        <w:jc w:val="center"/>
        <w:rPr>
          <w:rFonts w:ascii="Times New Roman" w:hAnsi="Times New Roman"/>
        </w:rPr>
      </w:pPr>
      <w:r>
        <w:rPr>
          <w:rFonts w:ascii="Times New Roman" w:hAnsi="Times New Roman"/>
        </w:rPr>
        <w:drawing>
          <wp:inline distT="0" distB="0" distL="0" distR="0">
            <wp:extent cx="5274310" cy="6781165"/>
            <wp:effectExtent l="0" t="0" r="2540" b="635"/>
            <wp:docPr id="2524222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22237" name="图片 1"/>
                    <pic:cNvPicPr>
                      <a:picLocks noChangeAspect="1"/>
                    </pic:cNvPicPr>
                  </pic:nvPicPr>
                  <pic:blipFill>
                    <a:blip r:embed="rId165"/>
                    <a:stretch>
                      <a:fillRect/>
                    </a:stretch>
                  </pic:blipFill>
                  <pic:spPr>
                    <a:xfrm>
                      <a:off x="0" y="0"/>
                      <a:ext cx="5274310" cy="6781165"/>
                    </a:xfrm>
                    <a:prstGeom prst="rect">
                      <a:avLst/>
                    </a:prstGeom>
                  </pic:spPr>
                </pic:pic>
              </a:graphicData>
            </a:graphic>
          </wp:inline>
        </w:drawing>
      </w:r>
    </w:p>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25</w:t>
      </w:r>
      <w:r>
        <w:rPr>
          <w:rFonts w:ascii="Times New Roman" w:hAnsi="Times New Roman" w:cs="Times New Roman"/>
        </w:rPr>
        <w:fldChar w:fldCharType="end"/>
      </w:r>
      <w:r>
        <w:rPr>
          <w:rFonts w:ascii="Times New Roman" w:hAnsi="Times New Roman" w:cs="Times New Roman"/>
        </w:rPr>
        <w:t xml:space="preserve">  川东北气矿应急响应流程图</w:t>
      </w:r>
    </w:p>
    <w:p>
      <w:pPr>
        <w:ind w:firstLine="480"/>
        <w:rPr>
          <w:rFonts w:ascii="Times New Roman" w:hAnsi="Times New Roman"/>
        </w:rPr>
      </w:pPr>
      <w:r>
        <w:rPr>
          <w:rFonts w:ascii="Times New Roman" w:hAnsi="Times New Roman"/>
        </w:rPr>
        <w:t>（2）指挥与协调</w:t>
      </w:r>
    </w:p>
    <w:p>
      <w:pPr>
        <w:ind w:firstLine="480"/>
        <w:rPr>
          <w:rFonts w:ascii="Times New Roman" w:hAnsi="Times New Roman"/>
        </w:rPr>
      </w:pPr>
      <w:r>
        <w:rPr>
          <w:rFonts w:ascii="Times New Roman" w:hAnsi="Times New Roman"/>
        </w:rPr>
        <w:t>主要内容如下：</w:t>
      </w:r>
    </w:p>
    <w:p>
      <w:pPr>
        <w:ind w:firstLine="480"/>
        <w:rPr>
          <w:rFonts w:ascii="Times New Roman" w:hAnsi="Times New Roman"/>
        </w:rPr>
      </w:pPr>
      <w:r>
        <w:rPr>
          <w:rFonts w:ascii="Times New Roman" w:hAnsi="Times New Roman"/>
        </w:rPr>
        <w:t>1）了解事件事态、严重程度和影响范围，提出现场应急行动原则要求。</w:t>
      </w:r>
    </w:p>
    <w:p>
      <w:pPr>
        <w:ind w:firstLine="480"/>
        <w:rPr>
          <w:rFonts w:ascii="Times New Roman" w:hAnsi="Times New Roman"/>
        </w:rPr>
      </w:pPr>
      <w:r>
        <w:rPr>
          <w:rFonts w:ascii="Times New Roman" w:hAnsi="Times New Roman"/>
        </w:rPr>
        <w:t>2）派有关人员和专家组赶赴现场。</w:t>
      </w:r>
    </w:p>
    <w:p>
      <w:pPr>
        <w:ind w:firstLine="480"/>
        <w:rPr>
          <w:rFonts w:ascii="Times New Roman" w:hAnsi="Times New Roman"/>
        </w:rPr>
      </w:pPr>
      <w:r>
        <w:rPr>
          <w:rFonts w:ascii="Times New Roman" w:hAnsi="Times New Roman"/>
        </w:rPr>
        <w:t>3）协调内部、外部有关力量实施</w:t>
      </w:r>
      <w:r>
        <w:rPr>
          <w:rFonts w:hint="eastAsia" w:ascii="Times New Roman" w:hAnsi="Times New Roman"/>
          <w:lang w:eastAsia="zh-CN"/>
        </w:rPr>
        <w:t>应急救援</w:t>
      </w:r>
      <w:r>
        <w:rPr>
          <w:rFonts w:ascii="Times New Roman" w:hAnsi="Times New Roman"/>
        </w:rPr>
        <w:t>。</w:t>
      </w:r>
    </w:p>
    <w:p>
      <w:pPr>
        <w:ind w:firstLine="480"/>
        <w:rPr>
          <w:rFonts w:ascii="Times New Roman" w:hAnsi="Times New Roman"/>
        </w:rPr>
      </w:pPr>
      <w:r>
        <w:rPr>
          <w:rFonts w:ascii="Times New Roman" w:hAnsi="Times New Roman"/>
        </w:rPr>
        <w:t>4）协调现场环境污染监测和控制措施。</w:t>
      </w:r>
    </w:p>
    <w:p>
      <w:pPr>
        <w:ind w:firstLine="480"/>
        <w:rPr>
          <w:rFonts w:ascii="Times New Roman" w:hAnsi="Times New Roman"/>
        </w:rPr>
      </w:pPr>
      <w:r>
        <w:rPr>
          <w:rFonts w:ascii="Times New Roman" w:hAnsi="Times New Roman"/>
        </w:rPr>
        <w:t>5）协调建立现场警戒区和交通管制区域，确定重点防护区域。</w:t>
      </w:r>
    </w:p>
    <w:p>
      <w:pPr>
        <w:ind w:firstLine="480"/>
        <w:rPr>
          <w:rFonts w:ascii="Times New Roman" w:hAnsi="Times New Roman"/>
        </w:rPr>
      </w:pPr>
      <w:r>
        <w:rPr>
          <w:rFonts w:ascii="Times New Roman" w:hAnsi="Times New Roman"/>
        </w:rPr>
        <w:t>6）协调受威胁的周边地区危险源的监控工作。</w:t>
      </w:r>
    </w:p>
    <w:p>
      <w:pPr>
        <w:ind w:firstLine="480"/>
        <w:rPr>
          <w:rFonts w:ascii="Times New Roman" w:hAnsi="Times New Roman"/>
        </w:rPr>
      </w:pPr>
      <w:r>
        <w:rPr>
          <w:rFonts w:ascii="Times New Roman" w:hAnsi="Times New Roman"/>
        </w:rPr>
        <w:t>7）请求当地政府和社会力量的救援，进行现场风险规避和救援，配合和参与当地政府做好相关抢险救援工作。</w:t>
      </w:r>
    </w:p>
    <w:p>
      <w:pPr>
        <w:ind w:firstLine="480"/>
        <w:rPr>
          <w:rFonts w:ascii="Times New Roman" w:hAnsi="Times New Roman"/>
        </w:rPr>
      </w:pPr>
      <w:r>
        <w:rPr>
          <w:rFonts w:ascii="Times New Roman" w:hAnsi="Times New Roman"/>
        </w:rPr>
        <w:t>（3）应急状态解除</w:t>
      </w:r>
    </w:p>
    <w:p>
      <w:pPr>
        <w:ind w:firstLine="480"/>
        <w:rPr>
          <w:rFonts w:ascii="Times New Roman" w:hAnsi="Times New Roman"/>
        </w:rPr>
      </w:pPr>
      <w:r>
        <w:rPr>
          <w:rFonts w:ascii="Times New Roman" w:hAnsi="Times New Roman"/>
        </w:rPr>
        <w:t>1）现场应急抢险工作结束，并确认无次生、衍生事件后，由应急抢险组向管理单位应急领导小组提出关闭应急预案的建议，由应急领导小组宣布关闭应急预案。</w:t>
      </w:r>
    </w:p>
    <w:p>
      <w:pPr>
        <w:ind w:firstLine="480"/>
        <w:rPr>
          <w:rFonts w:ascii="Times New Roman" w:hAnsi="Times New Roman"/>
        </w:rPr>
      </w:pPr>
      <w:r>
        <w:rPr>
          <w:rFonts w:ascii="Times New Roman" w:hAnsi="Times New Roman"/>
        </w:rPr>
        <w:t>2）应急工作结束后，由应急领导小组负责组织恢复生产，并编写应急总结，及时上报油气矿应急办公室。应急总结至少包括：事件情况、处置过程、应急资源、处置过程遇到的问题、取得的经验和吸取的教训、对应急预案的修改建议。</w:t>
      </w:r>
    </w:p>
    <w:p>
      <w:pPr>
        <w:ind w:firstLine="480"/>
        <w:rPr>
          <w:rFonts w:ascii="Times New Roman" w:hAnsi="Times New Roman"/>
        </w:rPr>
      </w:pPr>
      <w:r>
        <w:rPr>
          <w:rFonts w:ascii="Times New Roman" w:hAnsi="Times New Roman"/>
        </w:rPr>
        <w:t>当气体检测、大气监测、水源监测达标，事件危害消除后，宣布解除警戒。</w:t>
      </w:r>
    </w:p>
    <w:p>
      <w:pPr>
        <w:ind w:firstLine="480"/>
        <w:rPr>
          <w:rFonts w:ascii="Times New Roman" w:hAnsi="Times New Roman"/>
        </w:rPr>
      </w:pPr>
      <w:r>
        <w:rPr>
          <w:rFonts w:ascii="Times New Roman" w:hAnsi="Times New Roman"/>
        </w:rPr>
        <w:t>（4）恢复重建</w:t>
      </w:r>
    </w:p>
    <w:p>
      <w:pPr>
        <w:ind w:firstLine="480"/>
        <w:rPr>
          <w:rFonts w:ascii="Times New Roman" w:hAnsi="Times New Roman"/>
        </w:rPr>
      </w:pPr>
      <w:r>
        <w:rPr>
          <w:rFonts w:ascii="Times New Roman" w:hAnsi="Times New Roman"/>
        </w:rPr>
        <w:t>解除警戒后，油气矿组织污染处理（包括污染赔偿、污染物处理等）、生产恢复（恢复工艺、设备等）、人员集合、善后赔偿、应急评估等。</w:t>
      </w:r>
    </w:p>
    <w:p>
      <w:pPr>
        <w:pStyle w:val="5"/>
        <w:rPr>
          <w:rFonts w:ascii="Times New Roman" w:hAnsi="Times New Roman"/>
        </w:rPr>
      </w:pPr>
      <w:r>
        <w:rPr>
          <w:rFonts w:ascii="Times New Roman" w:hAnsi="Times New Roman"/>
        </w:rPr>
        <w:t>应急监测</w:t>
      </w:r>
    </w:p>
    <w:p>
      <w:pPr>
        <w:ind w:firstLine="480"/>
        <w:rPr>
          <w:rFonts w:ascii="Times New Roman" w:hAnsi="Times New Roman"/>
        </w:rPr>
      </w:pPr>
      <w:r>
        <w:rPr>
          <w:rFonts w:ascii="Times New Roman" w:hAnsi="Times New Roman"/>
        </w:rPr>
        <w:t>气田涉及多种易燃易爆、有毒有害的危险化学品，HSE管理中心负责对突发性环境污染事故进行应急监测。根据监测结果，预测并报告突发性环境污染事故的发展情况和污染物的变化情况，作为突发性环境污染事故应急决策的依据。</w:t>
      </w:r>
    </w:p>
    <w:p>
      <w:pPr>
        <w:ind w:firstLine="480"/>
        <w:rPr>
          <w:rFonts w:ascii="Times New Roman" w:hAnsi="Times New Roman"/>
        </w:rPr>
      </w:pPr>
      <w:r>
        <w:rPr>
          <w:rFonts w:ascii="Times New Roman" w:hAnsi="Times New Roman"/>
        </w:rPr>
        <w:t>为防止人员吸入有毒、有害气体，川东北气矿能够采用应急管理系统（ERMS）远程对泄漏气体扩散速度和走向进行实时监测。此外，川东北气矿配备有移动式气体检测器、便携式氧气检测器、便携式硫化氢/一氧化碳检测器、便携式二氧化硫传感器等设备，可用于有毒有害气体和氧气浓度监测，为救援人员选用合适的个人防护用品提供依据。</w:t>
      </w:r>
    </w:p>
    <w:p>
      <w:pPr>
        <w:ind w:firstLine="480"/>
        <w:rPr>
          <w:rFonts w:ascii="Times New Roman" w:hAnsi="Times New Roman"/>
        </w:rPr>
      </w:pPr>
      <w:r>
        <w:rPr>
          <w:rFonts w:ascii="Times New Roman" w:hAnsi="Times New Roman"/>
        </w:rPr>
        <w:t>对于现场不具备应急监测能力的项目，川东北气矿环境部门可托达州市生态环境监测站、达州市达川生态环境监测站等地方监测站。在突发环境事件发生时，组成应急监测中心，负责事发现场的环境应急监测工作。</w:t>
      </w:r>
    </w:p>
    <w:p>
      <w:pPr>
        <w:ind w:firstLine="480"/>
        <w:rPr>
          <w:rFonts w:ascii="Times New Roman" w:hAnsi="Times New Roman"/>
        </w:rPr>
      </w:pPr>
      <w:r>
        <w:rPr>
          <w:rFonts w:ascii="Times New Roman" w:hAnsi="Times New Roman"/>
        </w:rPr>
        <w:t>（1）突发环境事件应急领导小组启动本预案时，同时启动环境应急监测程序，开展大气、地表水、地下水、土壤监测工作。</w:t>
      </w:r>
    </w:p>
    <w:p>
      <w:pPr>
        <w:ind w:firstLine="480"/>
        <w:rPr>
          <w:rFonts w:ascii="Times New Roman" w:hAnsi="Times New Roman"/>
        </w:rPr>
      </w:pPr>
      <w:r>
        <w:rPr>
          <w:rFonts w:ascii="Times New Roman" w:hAnsi="Times New Roman"/>
        </w:rPr>
        <w:t>（2）突发环境事件应急办公室将基本情况通知相应的环境监测机构，开展环境应急监测工作。</w:t>
      </w:r>
    </w:p>
    <w:p>
      <w:pPr>
        <w:ind w:firstLine="480"/>
        <w:rPr>
          <w:rFonts w:ascii="Times New Roman" w:hAnsi="Times New Roman"/>
        </w:rPr>
      </w:pPr>
      <w:r>
        <w:rPr>
          <w:rFonts w:ascii="Times New Roman" w:hAnsi="Times New Roman"/>
        </w:rPr>
        <w:t>（3）接受环境应急监测任务后，相应的监测机构迅速成立现场应急监测组，并组织相关监测人员对所掌握的污染事件有关资料和信息进行综合分析，迅速编写应急监测方案。监测方案的主要内容为：初步确定监测项目；选定监测分析方法；确定相应的监测仪器和采样设备；根据污染情况初步确定监测点位的布设、采样方式和频次；根据事件情况确定监测人员的防护装备。</w:t>
      </w:r>
    </w:p>
    <w:p>
      <w:pPr>
        <w:ind w:firstLine="480"/>
        <w:rPr>
          <w:rFonts w:ascii="Times New Roman" w:hAnsi="Times New Roman"/>
        </w:rPr>
      </w:pPr>
      <w:r>
        <w:rPr>
          <w:rFonts w:ascii="Times New Roman" w:hAnsi="Times New Roman"/>
        </w:rPr>
        <w:t>（4）现场应急监测组按照应急监测方案，迅速落实人员与设备，以最快速度赶赴现场，分公司内部监测力量不足时，向应急办公司联系，应急办公司负责协调地方境监测站。</w:t>
      </w:r>
    </w:p>
    <w:p>
      <w:pPr>
        <w:ind w:firstLine="480"/>
        <w:rPr>
          <w:rFonts w:ascii="Times New Roman" w:hAnsi="Times New Roman"/>
        </w:rPr>
      </w:pPr>
      <w:r>
        <w:rPr>
          <w:rFonts w:ascii="Times New Roman" w:hAnsi="Times New Roman"/>
        </w:rPr>
        <w:t>（5）气矿突发环境事件应急办公室迅速派出专业人员与现场监测人员。进入现场后可根据实际情况对监测方案作适当修改。</w:t>
      </w:r>
    </w:p>
    <w:p>
      <w:pPr>
        <w:ind w:firstLine="480"/>
        <w:rPr>
          <w:rFonts w:ascii="Times New Roman" w:hAnsi="Times New Roman"/>
        </w:rPr>
      </w:pPr>
      <w:r>
        <w:rPr>
          <w:rFonts w:ascii="Times New Roman" w:hAnsi="Times New Roman"/>
        </w:rPr>
        <w:t>根据《突发环境事件应急监测技术规范》（HJ 589-2021）要求，结合现场情况，初步</w:t>
      </w:r>
      <w:r>
        <w:rPr>
          <w:rFonts w:hint="eastAsia" w:ascii="Times New Roman" w:hAnsi="Times New Roman"/>
          <w:lang w:eastAsia="zh-CN"/>
        </w:rPr>
        <w:t>制定</w:t>
      </w:r>
      <w:r>
        <w:rPr>
          <w:rFonts w:ascii="Times New Roman" w:hAnsi="Times New Roman"/>
        </w:rPr>
        <w:t>监测方案，确认监测对象、监测点位、监测项目、监测频次等。</w:t>
      </w:r>
    </w:p>
    <w:p>
      <w:pPr>
        <w:ind w:firstLine="480"/>
        <w:rPr>
          <w:rFonts w:ascii="Times New Roman" w:hAnsi="Times New Roman"/>
        </w:rPr>
      </w:pPr>
      <w:r>
        <w:rPr>
          <w:rFonts w:hint="eastAsia" w:ascii="宋体" w:hAnsi="宋体" w:cs="宋体"/>
        </w:rPr>
        <w:t>①</w:t>
      </w:r>
      <w:r>
        <w:rPr>
          <w:rFonts w:ascii="Times New Roman" w:hAnsi="Times New Roman"/>
        </w:rPr>
        <w:t>点位布置</w:t>
      </w:r>
    </w:p>
    <w:p>
      <w:pPr>
        <w:ind w:firstLine="480"/>
        <w:rPr>
          <w:rFonts w:ascii="Times New Roman" w:hAnsi="Times New Roman"/>
        </w:rPr>
      </w:pPr>
      <w:r>
        <w:rPr>
          <w:rFonts w:ascii="Times New Roman" w:hAnsi="Times New Roman"/>
        </w:rPr>
        <w:t>采样断面（点）的设置一般以突发环境事件发生地及可能受影响的环境区域为主，</w:t>
      </w:r>
    </w:p>
    <w:p>
      <w:pPr>
        <w:ind w:firstLine="480"/>
        <w:rPr>
          <w:rFonts w:ascii="Times New Roman" w:hAnsi="Times New Roman"/>
        </w:rPr>
      </w:pPr>
      <w:r>
        <w:rPr>
          <w:rFonts w:ascii="Times New Roman" w:hAnsi="Times New Roman"/>
        </w:rPr>
        <w:t xml:space="preserve">同时应注重人群和生活环境、事件发生地周围重要生态环境保护目标及环境敏感点，重点关注对饮用水水源地、人群活动区域的空气、农田土壤、自然保护区、风景名胜区及其他需要特殊保护的区域的影响，合理设置监测断面（点），判断污染团（带）位置、反映污染变化趋势、了解应急处置效果。应根据突发环境事件应急处置情况动态及时更新调整布设点位。 </w:t>
      </w:r>
    </w:p>
    <w:p>
      <w:pPr>
        <w:ind w:firstLine="480"/>
        <w:rPr>
          <w:rFonts w:ascii="Times New Roman" w:hAnsi="Times New Roman"/>
        </w:rPr>
      </w:pPr>
      <w:r>
        <w:rPr>
          <w:rFonts w:ascii="Times New Roman" w:hAnsi="Times New Roman"/>
        </w:rPr>
        <w:t>对被突发环境事件所污染的地表水、大气、土壤和地下水应设置对照断面（点）、控制断面（点），对地表水和地下水还应设置削减断面（点），布点要确保能够获取足够的有代表性的信息，同时应考虑采样的安全性和可行性。</w:t>
      </w:r>
    </w:p>
    <w:p>
      <w:pPr>
        <w:ind w:firstLine="480"/>
        <w:rPr>
          <w:rFonts w:ascii="Times New Roman" w:hAnsi="Times New Roman"/>
        </w:rPr>
      </w:pPr>
      <w:r>
        <w:rPr>
          <w:rFonts w:ascii="Times New Roman" w:hAnsi="Times New Roman"/>
        </w:rPr>
        <w:t>对突发环境事件固定污染源和移动污染源的应急监测，应根据现场的具体情况布设采样断面（点）。</w:t>
      </w:r>
    </w:p>
    <w:p>
      <w:pPr>
        <w:ind w:firstLine="480"/>
        <w:rPr>
          <w:rFonts w:ascii="Times New Roman" w:hAnsi="Times New Roman"/>
        </w:rPr>
      </w:pPr>
      <w:r>
        <w:rPr>
          <w:rFonts w:hint="eastAsia" w:ascii="宋体" w:hAnsi="宋体" w:cs="宋体"/>
        </w:rPr>
        <w:t>②</w:t>
      </w:r>
      <w:r>
        <w:rPr>
          <w:rFonts w:ascii="Times New Roman" w:hAnsi="Times New Roman"/>
        </w:rPr>
        <w:t>监测频次</w:t>
      </w:r>
    </w:p>
    <w:p>
      <w:pPr>
        <w:ind w:firstLine="480"/>
        <w:rPr>
          <w:rFonts w:ascii="Times New Roman" w:hAnsi="Times New Roman"/>
        </w:rPr>
      </w:pPr>
      <w:r>
        <w:rPr>
          <w:rFonts w:ascii="Times New Roman" w:hAnsi="Times New Roman"/>
        </w:rPr>
        <w:t>监测频次主要根据现场污染状况确定。事件刚发生时，监测频次可适当增加，待摸清污染变化规律后，可适当减少监测频次。依据不同的环境区域功能和现场具体污染状况，力求以最合理的监测频次，取得具有足够时空代表性的监测结果，做到既有代表性、能满足应急工作要求，又切实可行。</w:t>
      </w:r>
    </w:p>
    <w:p>
      <w:pPr>
        <w:ind w:firstLine="480"/>
        <w:rPr>
          <w:rFonts w:ascii="Times New Roman" w:hAnsi="Times New Roman"/>
        </w:rPr>
      </w:pPr>
      <w:r>
        <w:rPr>
          <w:rFonts w:hint="eastAsia" w:ascii="宋体" w:hAnsi="宋体" w:cs="宋体"/>
        </w:rPr>
        <w:t>③</w:t>
      </w:r>
      <w:r>
        <w:rPr>
          <w:rFonts w:ascii="Times New Roman" w:hAnsi="Times New Roman"/>
        </w:rPr>
        <w:t>监测项目</w:t>
      </w:r>
    </w:p>
    <w:p>
      <w:pPr>
        <w:ind w:firstLine="480"/>
        <w:rPr>
          <w:rFonts w:ascii="Times New Roman" w:hAnsi="Times New Roman"/>
        </w:rPr>
      </w:pPr>
      <w:r>
        <w:rPr>
          <w:rFonts w:ascii="Times New Roman" w:hAnsi="Times New Roman"/>
        </w:rPr>
        <w:t>优先选择特征污染物和主要污染因子作为监测项目，根据污染事件的性质和环境污染状况确认在环境中积累较多、对环境危害较大、影响范围广、毒性较强的污染物，或者为污染事件对环境造成严重不良影响的特定项目，并根据污染物性质（自然性、扩散性或活性、毒性、可持续性、生物可降解性或积累性、潜在毒性）及污染趋势，按可行性原则（尽量有监测方法、评价标准或要求）进行确定。</w:t>
      </w:r>
    </w:p>
    <w:p>
      <w:pPr>
        <w:ind w:firstLine="480"/>
        <w:rPr>
          <w:rFonts w:ascii="Times New Roman" w:hAnsi="Times New Roman"/>
        </w:rPr>
      </w:pPr>
      <w:r>
        <w:rPr>
          <w:rFonts w:ascii="Times New Roman" w:hAnsi="Times New Roman"/>
        </w:rPr>
        <w:t>废气：CH</w:t>
      </w:r>
      <w:r>
        <w:rPr>
          <w:rFonts w:ascii="Times New Roman" w:hAnsi="Times New Roman"/>
          <w:vertAlign w:val="subscript"/>
        </w:rPr>
        <w:t>4</w:t>
      </w:r>
      <w:r>
        <w:rPr>
          <w:rFonts w:ascii="Times New Roman" w:hAnsi="Times New Roman"/>
        </w:rPr>
        <w:t>、硫化氢、SO</w:t>
      </w:r>
      <w:r>
        <w:rPr>
          <w:rFonts w:ascii="Times New Roman" w:hAnsi="Times New Roman"/>
          <w:vertAlign w:val="subscript"/>
        </w:rPr>
        <w:t>2</w:t>
      </w:r>
      <w:r>
        <w:rPr>
          <w:rFonts w:ascii="Times New Roman" w:hAnsi="Times New Roman"/>
        </w:rPr>
        <w:t>、NOx、CO等。</w:t>
      </w:r>
    </w:p>
    <w:p>
      <w:pPr>
        <w:ind w:firstLine="480"/>
        <w:rPr>
          <w:rFonts w:ascii="Times New Roman" w:hAnsi="Times New Roman"/>
        </w:rPr>
      </w:pPr>
      <w:r>
        <w:rPr>
          <w:rFonts w:ascii="Times New Roman" w:hAnsi="Times New Roman"/>
        </w:rPr>
        <w:t>废水：COD、NH</w:t>
      </w:r>
      <w:r>
        <w:rPr>
          <w:rFonts w:ascii="Times New Roman" w:hAnsi="Times New Roman"/>
          <w:vertAlign w:val="subscript"/>
        </w:rPr>
        <w:t>3</w:t>
      </w:r>
      <w:r>
        <w:rPr>
          <w:rFonts w:ascii="Times New Roman" w:hAnsi="Times New Roman"/>
        </w:rPr>
        <w:t>-N、SS、pH、硫化物、氯化物、石油类等。</w:t>
      </w:r>
    </w:p>
    <w:p>
      <w:pPr>
        <w:ind w:firstLine="480"/>
        <w:rPr>
          <w:rFonts w:ascii="Times New Roman" w:hAnsi="Times New Roman"/>
        </w:rPr>
      </w:pPr>
      <w:r>
        <w:rPr>
          <w:rFonts w:ascii="Times New Roman" w:hAnsi="Times New Roman"/>
        </w:rPr>
        <w:t>地下水：pH、耗氧量、硫化物、铁、锰、钡、六价铬、氯化物、石油类。</w:t>
      </w:r>
    </w:p>
    <w:p>
      <w:pPr>
        <w:ind w:firstLine="480"/>
        <w:rPr>
          <w:rFonts w:ascii="Times New Roman" w:hAnsi="Times New Roman"/>
        </w:rPr>
      </w:pPr>
      <w:r>
        <w:rPr>
          <w:rFonts w:ascii="Times New Roman" w:hAnsi="Times New Roman"/>
        </w:rPr>
        <w:t>土壤：pH 值、石油烃（C</w:t>
      </w:r>
      <w:r>
        <w:rPr>
          <w:rFonts w:ascii="Times New Roman" w:hAnsi="Times New Roman"/>
          <w:vertAlign w:val="subscript"/>
        </w:rPr>
        <w:t>10</w:t>
      </w:r>
      <w:r>
        <w:rPr>
          <w:rFonts w:ascii="Times New Roman" w:hAnsi="Times New Roman"/>
        </w:rPr>
        <w:t>-C</w:t>
      </w:r>
      <w:r>
        <w:rPr>
          <w:rFonts w:ascii="Times New Roman" w:hAnsi="Times New Roman"/>
          <w:vertAlign w:val="subscript"/>
        </w:rPr>
        <w:t>40</w:t>
      </w:r>
      <w:r>
        <w:rPr>
          <w:rFonts w:ascii="Times New Roman" w:hAnsi="Times New Roman"/>
        </w:rPr>
        <w:t>）等。</w:t>
      </w:r>
    </w:p>
    <w:p>
      <w:pPr>
        <w:ind w:firstLine="480"/>
        <w:rPr>
          <w:rFonts w:ascii="Times New Roman" w:hAnsi="Times New Roman"/>
        </w:rPr>
      </w:pPr>
      <w:r>
        <w:rPr>
          <w:rFonts w:ascii="Times New Roman" w:hAnsi="Times New Roman"/>
        </w:rPr>
        <w:t>现场监测人员到达现场进行污染状况调查后，立即向应急指挥部门汇报现场情况，以便及时了解污染状况，决定是否增加监测点位、项目和频次，是否增加现场监测人员和仪器。现场监测方法采用快速监测，监测人员应配备相应的防护措施。</w:t>
      </w:r>
    </w:p>
    <w:p>
      <w:pPr>
        <w:pStyle w:val="5"/>
        <w:rPr>
          <w:rFonts w:ascii="Times New Roman" w:hAnsi="Times New Roman"/>
        </w:rPr>
      </w:pPr>
      <w:r>
        <w:rPr>
          <w:rFonts w:ascii="Times New Roman" w:hAnsi="Times New Roman"/>
        </w:rPr>
        <w:t>应急保障</w:t>
      </w:r>
    </w:p>
    <w:p>
      <w:pPr>
        <w:ind w:firstLine="480"/>
        <w:rPr>
          <w:rFonts w:ascii="Times New Roman" w:hAnsi="Times New Roman"/>
        </w:rPr>
      </w:pPr>
      <w:r>
        <w:rPr>
          <w:rFonts w:ascii="Times New Roman" w:hAnsi="Times New Roman"/>
        </w:rPr>
        <w:t>（1）社区报警</w:t>
      </w:r>
    </w:p>
    <w:p>
      <w:pPr>
        <w:ind w:firstLine="480"/>
        <w:rPr>
          <w:rFonts w:ascii="Times New Roman" w:hAnsi="Times New Roman"/>
        </w:rPr>
      </w:pPr>
      <w:r>
        <w:rPr>
          <w:rFonts w:ascii="Times New Roman" w:hAnsi="Times New Roman"/>
        </w:rPr>
        <w:t>本项目依据《硫化氢环境人身防护规范》（SY/T 6277-2017）第3.7条“应急撤离区域为发生硫化氢泄漏时，人员应进行撤离的区域。”的要求，根据设计资料，本项目在集输管道两侧以及人口密集区设置社区报警装置，并与设置在渡口河净化厂的社区报警控制中心共同构成社区报警系统，为确保在生产异常状态情况下能按照应急预案及时处置，通知周边的居民及时疏散，保障生命安全，避免天然气泄漏造成的各种次生危害。本项目的社区报警属于在渡口河-七里北飞仙关项目已建社区报社区报警系统上进行扩容，主站系统及软硬件全部依托渡口河-七里北飞仙关项目已建成的，拟建社区警报端站设备各项配置保持与已建端站一致。</w:t>
      </w:r>
    </w:p>
    <w:p>
      <w:pPr>
        <w:ind w:firstLine="480"/>
        <w:rPr>
          <w:rFonts w:ascii="Times New Roman" w:hAnsi="Times New Roman"/>
        </w:rPr>
      </w:pPr>
      <w:r>
        <w:rPr>
          <w:rFonts w:ascii="Times New Roman" w:hAnsi="Times New Roman"/>
        </w:rPr>
        <w:t>根据设计资料，发生泄漏时，场站1500m范围作为应急撤离区，将1500m-2630m作为应急计划区，集气干线管道沿线两侧3410m作为应急计划区，本项目在气田全线设置室外报警站28座，设置中心管理站1座，并配套通信网络、供电系统等系统，以覆盖应急计划区。</w:t>
      </w:r>
    </w:p>
    <w:p>
      <w:pPr>
        <w:ind w:firstLine="480"/>
        <w:rPr>
          <w:rFonts w:ascii="Times New Roman" w:hAnsi="Times New Roman"/>
        </w:rPr>
      </w:pPr>
      <w:r>
        <w:rPr>
          <w:rFonts w:ascii="Times New Roman" w:hAnsi="Times New Roman"/>
        </w:rPr>
        <w:t>（2）应急管理平台</w:t>
      </w:r>
    </w:p>
    <w:p>
      <w:pPr>
        <w:ind w:firstLine="480"/>
        <w:rPr>
          <w:rFonts w:ascii="Times New Roman" w:hAnsi="Times New Roman"/>
        </w:rPr>
      </w:pPr>
      <w:r>
        <w:rPr>
          <w:rFonts w:ascii="Times New Roman" w:hAnsi="Times New Roman"/>
        </w:rPr>
        <w:t>工程建设集安全监测、预警、应急指挥于一体的应急管理平台，集合安全监测管理、重大危险源监测、现场动态（视频监控）、环保监测、管道管理、人员/车辆定位、应急指挥、应急演练、应急预案管理、联动管理、资源管理和统计分析等各项业务。应急管理平台需内置“实时气体扩散模型”，可开展实时气体扩散模拟，显示人口分布、撤离范围、地形地貌、撤离可能利用的运输工具和路线、救援资源等，提供应急战略决策。通过以租代建或购买技术服务的方式建设地面气象站，为“实时气体扩散模型”提供实时实地气象信息，支持应急战略决策。</w:t>
      </w:r>
    </w:p>
    <w:p>
      <w:pPr>
        <w:keepNext/>
        <w:ind w:firstLine="0" w:firstLineChars="0"/>
        <w:jc w:val="center"/>
        <w:rPr>
          <w:rFonts w:ascii="Times New Roman" w:hAnsi="Times New Roman"/>
        </w:rPr>
      </w:pPr>
      <w:r>
        <w:rPr>
          <w:rFonts w:ascii="Times New Roman" w:hAnsi="Times New Roman"/>
        </w:rPr>
        <w:drawing>
          <wp:inline distT="0" distB="0" distL="0" distR="0">
            <wp:extent cx="4968240" cy="3093720"/>
            <wp:effectExtent l="0" t="0" r="0" b="0"/>
            <wp:docPr id="54" name="图片 54"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图形用户界面&#10;&#10;描述已自动生成"/>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4968240" cy="3093720"/>
                    </a:xfrm>
                    <a:prstGeom prst="rect">
                      <a:avLst/>
                    </a:prstGeom>
                    <a:noFill/>
                    <a:ln>
                      <a:noFill/>
                    </a:ln>
                  </pic:spPr>
                </pic:pic>
              </a:graphicData>
            </a:graphic>
          </wp:inline>
        </w:drawing>
      </w:r>
    </w:p>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26</w:t>
      </w:r>
      <w:r>
        <w:rPr>
          <w:rFonts w:ascii="Times New Roman" w:hAnsi="Times New Roman" w:cs="Times New Roman"/>
        </w:rPr>
        <w:fldChar w:fldCharType="end"/>
      </w:r>
      <w:r>
        <w:rPr>
          <w:rFonts w:ascii="Times New Roman" w:hAnsi="Times New Roman" w:cs="Times New Roman"/>
        </w:rPr>
        <w:t xml:space="preserve">  应急管理平台示意图</w:t>
      </w:r>
    </w:p>
    <w:p>
      <w:pPr>
        <w:ind w:firstLine="480"/>
        <w:rPr>
          <w:rFonts w:ascii="Times New Roman" w:hAnsi="Times New Roman"/>
        </w:rPr>
      </w:pPr>
      <w:r>
        <w:rPr>
          <w:rFonts w:ascii="Times New Roman" w:hAnsi="Times New Roman"/>
        </w:rPr>
        <w:t>（3）内部应急资源</w:t>
      </w:r>
    </w:p>
    <w:p>
      <w:pPr>
        <w:ind w:firstLine="480"/>
        <w:rPr>
          <w:rFonts w:ascii="Times New Roman" w:hAnsi="Times New Roman"/>
        </w:rPr>
      </w:pPr>
      <w:r>
        <w:rPr>
          <w:rFonts w:ascii="Times New Roman" w:hAnsi="Times New Roman"/>
        </w:rPr>
        <w:t>工程还采用了多种应急防护手段，包括但不限于：设置移动式供气装置、大功率固定式填充泵组、移动式充气防爆桶、备用气瓶等防护设备；防化服、空气呼吸器、隔热服、防静电安全鞋、防护头盔等个人防护设备；便携式H</w:t>
      </w:r>
      <w:r>
        <w:rPr>
          <w:rFonts w:ascii="Times New Roman" w:hAnsi="Times New Roman"/>
          <w:vertAlign w:val="subscript"/>
        </w:rPr>
        <w:t>2</w:t>
      </w:r>
      <w:r>
        <w:rPr>
          <w:rFonts w:ascii="Times New Roman" w:hAnsi="Times New Roman"/>
        </w:rPr>
        <w:t>S检测仪、可燃气体报警仪等检测设备；便携式心肺复苏机等急救设备；以及通信、消防设备。</w:t>
      </w:r>
    </w:p>
    <w:p>
      <w:pPr>
        <w:ind w:firstLine="480"/>
        <w:rPr>
          <w:rFonts w:ascii="Times New Roman" w:hAnsi="Times New Roman"/>
        </w:rPr>
      </w:pPr>
      <w:r>
        <w:rPr>
          <w:rFonts w:ascii="Times New Roman" w:hAnsi="Times New Roman"/>
        </w:rPr>
        <w:t>（4）外部应急资源</w:t>
      </w:r>
    </w:p>
    <w:p>
      <w:pPr>
        <w:ind w:firstLine="480"/>
        <w:rPr>
          <w:rFonts w:ascii="Times New Roman" w:hAnsi="Times New Roman"/>
        </w:rPr>
      </w:pPr>
      <w:r>
        <w:rPr>
          <w:rFonts w:ascii="Times New Roman" w:hAnsi="Times New Roman"/>
        </w:rPr>
        <w:t>本项目位于四川省达州市宣汉县境内，与罗家寨/滚子坪、铁山坡气田以及中石化普光气田相邻。这几大气田均为高含硫气田开发区域，可依托四川省达州市及重庆市的应急保障资源，且几大气田应急保障资源可实现共享。根据调查，附近主要应急救援力量见</w:t>
      </w:r>
      <w:r>
        <w:rPr>
          <w:rFonts w:ascii="Times New Roman" w:hAnsi="Times New Roman"/>
        </w:rPr>
        <w:fldChar w:fldCharType="begin"/>
      </w:r>
      <w:r>
        <w:rPr>
          <w:rFonts w:ascii="Times New Roman" w:hAnsi="Times New Roman"/>
        </w:rPr>
        <w:instrText xml:space="preserve"> REF _Ref154597263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76</w:t>
      </w:r>
      <w:r>
        <w:rPr>
          <w:rFonts w:ascii="Times New Roman" w:hAnsi="Times New Roman"/>
        </w:rPr>
        <w:fldChar w:fldCharType="end"/>
      </w:r>
      <w:r>
        <w:rPr>
          <w:rFonts w:ascii="Times New Roman" w:hAnsi="Times New Roman"/>
        </w:rPr>
        <w:t>，分布图见</w:t>
      </w:r>
      <w:r>
        <w:rPr>
          <w:rFonts w:ascii="Times New Roman" w:hAnsi="Times New Roman"/>
        </w:rPr>
        <w:fldChar w:fldCharType="begin"/>
      </w:r>
      <w:r>
        <w:rPr>
          <w:rFonts w:ascii="Times New Roman" w:hAnsi="Times New Roman"/>
        </w:rPr>
        <w:instrText xml:space="preserve"> REF _Ref154648584 \h  \* MERGEFORMAT </w:instrText>
      </w:r>
      <w:r>
        <w:rPr>
          <w:rFonts w:ascii="Times New Roman" w:hAnsi="Times New Roman"/>
        </w:rPr>
        <w:fldChar w:fldCharType="separate"/>
      </w:r>
      <w:r>
        <w:rPr>
          <w:rFonts w:ascii="Times New Roman" w:hAnsi="Times New Roman"/>
        </w:rPr>
        <w:t>图 7</w:t>
      </w:r>
      <w:r>
        <w:rPr>
          <w:rFonts w:ascii="Times New Roman" w:hAnsi="Times New Roman"/>
        </w:rPr>
        <w:noBreakHyphen/>
      </w:r>
      <w:r>
        <w:rPr>
          <w:rFonts w:ascii="Times New Roman" w:hAnsi="Times New Roman"/>
        </w:rPr>
        <w:t>27</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356" w:name="_Ref15459726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76</w:t>
      </w:r>
      <w:r>
        <w:rPr>
          <w:rFonts w:ascii="Times New Roman" w:hAnsi="Times New Roman" w:cs="Times New Roman"/>
        </w:rPr>
        <w:fldChar w:fldCharType="end"/>
      </w:r>
      <w:bookmarkEnd w:id="356"/>
      <w:r>
        <w:rPr>
          <w:rFonts w:ascii="Times New Roman" w:hAnsi="Times New Roman" w:cs="Times New Roman"/>
        </w:rPr>
        <w:t xml:space="preserve">   本项目附近主要救援力量</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7"/>
        <w:gridCol w:w="72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3" w:type="dxa"/>
            <w:vAlign w:val="center"/>
          </w:tcPr>
          <w:p>
            <w:pPr>
              <w:pStyle w:val="39"/>
              <w:rPr>
                <w:rFonts w:ascii="Times New Roman" w:hAnsi="Times New Roman"/>
              </w:rPr>
            </w:pPr>
            <w:r>
              <w:rPr>
                <w:rFonts w:ascii="Times New Roman" w:hAnsi="Times New Roman"/>
              </w:rPr>
              <w:t>序号</w:t>
            </w:r>
          </w:p>
        </w:tc>
        <w:tc>
          <w:tcPr>
            <w:tcW w:w="7033" w:type="dxa"/>
            <w:vAlign w:val="center"/>
          </w:tcPr>
          <w:p>
            <w:pPr>
              <w:pStyle w:val="39"/>
              <w:rPr>
                <w:rFonts w:ascii="Times New Roman" w:hAnsi="Times New Roman"/>
              </w:rPr>
            </w:pPr>
            <w:r>
              <w:rPr>
                <w:rFonts w:ascii="Times New Roman" w:hAnsi="Times New Roman"/>
              </w:rPr>
              <w:t>机构名称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3" w:type="dxa"/>
            <w:vAlign w:val="center"/>
          </w:tcPr>
          <w:p>
            <w:pPr>
              <w:pStyle w:val="39"/>
              <w:rPr>
                <w:rFonts w:ascii="Times New Roman" w:hAnsi="Times New Roman"/>
              </w:rPr>
            </w:pPr>
            <w:r>
              <w:rPr>
                <w:rFonts w:ascii="Times New Roman" w:hAnsi="Times New Roman"/>
              </w:rPr>
              <w:t>1</w:t>
            </w:r>
          </w:p>
        </w:tc>
        <w:tc>
          <w:tcPr>
            <w:tcW w:w="7033" w:type="dxa"/>
            <w:vAlign w:val="center"/>
          </w:tcPr>
          <w:p>
            <w:pPr>
              <w:pStyle w:val="39"/>
              <w:rPr>
                <w:rFonts w:ascii="Times New Roman" w:hAnsi="Times New Roman"/>
              </w:rPr>
            </w:pPr>
            <w:r>
              <w:rPr>
                <w:rFonts w:ascii="Times New Roman" w:hAnsi="Times New Roman"/>
              </w:rPr>
              <w:t>达州应急抢险维修大队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3" w:type="dxa"/>
            <w:vAlign w:val="center"/>
          </w:tcPr>
          <w:p>
            <w:pPr>
              <w:pStyle w:val="39"/>
              <w:rPr>
                <w:rFonts w:ascii="Times New Roman" w:hAnsi="Times New Roman"/>
              </w:rPr>
            </w:pPr>
            <w:r>
              <w:rPr>
                <w:rFonts w:ascii="Times New Roman" w:hAnsi="Times New Roman"/>
              </w:rPr>
              <w:t>2</w:t>
            </w:r>
          </w:p>
        </w:tc>
        <w:tc>
          <w:tcPr>
            <w:tcW w:w="7033" w:type="dxa"/>
            <w:vAlign w:val="center"/>
          </w:tcPr>
          <w:p>
            <w:pPr>
              <w:pStyle w:val="39"/>
              <w:rPr>
                <w:rFonts w:ascii="Times New Roman" w:hAnsi="Times New Roman"/>
              </w:rPr>
            </w:pPr>
            <w:r>
              <w:rPr>
                <w:rFonts w:ascii="Times New Roman" w:hAnsi="Times New Roman"/>
              </w:rPr>
              <w:t>川东北作业分公司南坝安全控制中心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3" w:type="dxa"/>
            <w:vAlign w:val="center"/>
          </w:tcPr>
          <w:p>
            <w:pPr>
              <w:pStyle w:val="39"/>
              <w:rPr>
                <w:rFonts w:ascii="Times New Roman" w:hAnsi="Times New Roman"/>
              </w:rPr>
            </w:pPr>
            <w:r>
              <w:rPr>
                <w:rFonts w:ascii="Times New Roman" w:hAnsi="Times New Roman"/>
              </w:rPr>
              <w:t>3</w:t>
            </w:r>
          </w:p>
        </w:tc>
        <w:tc>
          <w:tcPr>
            <w:tcW w:w="7033" w:type="dxa"/>
            <w:vAlign w:val="center"/>
          </w:tcPr>
          <w:p>
            <w:pPr>
              <w:pStyle w:val="39"/>
              <w:rPr>
                <w:rFonts w:ascii="Times New Roman" w:hAnsi="Times New Roman"/>
              </w:rPr>
            </w:pPr>
            <w:r>
              <w:rPr>
                <w:rFonts w:ascii="Times New Roman" w:hAnsi="Times New Roman"/>
              </w:rPr>
              <w:t>中石化普光气田应急救援中心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3" w:type="dxa"/>
            <w:vAlign w:val="center"/>
          </w:tcPr>
          <w:p>
            <w:pPr>
              <w:pStyle w:val="39"/>
              <w:rPr>
                <w:rFonts w:ascii="Times New Roman" w:hAnsi="Times New Roman"/>
              </w:rPr>
            </w:pPr>
            <w:r>
              <w:rPr>
                <w:rFonts w:ascii="Times New Roman" w:hAnsi="Times New Roman"/>
              </w:rPr>
              <w:t>4</w:t>
            </w:r>
          </w:p>
        </w:tc>
        <w:tc>
          <w:tcPr>
            <w:tcW w:w="7033" w:type="dxa"/>
            <w:vAlign w:val="center"/>
          </w:tcPr>
          <w:p>
            <w:pPr>
              <w:pStyle w:val="39"/>
              <w:rPr>
                <w:rFonts w:ascii="Times New Roman" w:hAnsi="Times New Roman"/>
              </w:rPr>
            </w:pPr>
            <w:r>
              <w:rPr>
                <w:rFonts w:ascii="Times New Roman" w:hAnsi="Times New Roman"/>
              </w:rPr>
              <w:t>中石化普光气田毛坝应急救援站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3" w:type="dxa"/>
            <w:vAlign w:val="center"/>
          </w:tcPr>
          <w:p>
            <w:pPr>
              <w:pStyle w:val="39"/>
              <w:rPr>
                <w:rFonts w:ascii="Times New Roman" w:hAnsi="Times New Roman"/>
              </w:rPr>
            </w:pPr>
            <w:r>
              <w:rPr>
                <w:rFonts w:ascii="Times New Roman" w:hAnsi="Times New Roman"/>
              </w:rPr>
              <w:t>5</w:t>
            </w:r>
          </w:p>
        </w:tc>
        <w:tc>
          <w:tcPr>
            <w:tcW w:w="7033" w:type="dxa"/>
            <w:vAlign w:val="center"/>
          </w:tcPr>
          <w:p>
            <w:pPr>
              <w:pStyle w:val="39"/>
              <w:rPr>
                <w:rFonts w:ascii="Times New Roman" w:hAnsi="Times New Roman"/>
              </w:rPr>
            </w:pPr>
            <w:r>
              <w:rPr>
                <w:rFonts w:ascii="Times New Roman" w:hAnsi="Times New Roman"/>
              </w:rPr>
              <w:t>宣汉县消防及医疗机构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63" w:type="dxa"/>
            <w:vAlign w:val="center"/>
          </w:tcPr>
          <w:p>
            <w:pPr>
              <w:pStyle w:val="39"/>
              <w:rPr>
                <w:rFonts w:ascii="Times New Roman" w:hAnsi="Times New Roman"/>
              </w:rPr>
            </w:pPr>
            <w:r>
              <w:rPr>
                <w:rFonts w:ascii="Times New Roman" w:hAnsi="Times New Roman"/>
              </w:rPr>
              <w:t>6</w:t>
            </w:r>
          </w:p>
        </w:tc>
        <w:tc>
          <w:tcPr>
            <w:tcW w:w="7033" w:type="dxa"/>
            <w:vAlign w:val="center"/>
          </w:tcPr>
          <w:p>
            <w:pPr>
              <w:pStyle w:val="39"/>
              <w:rPr>
                <w:rFonts w:ascii="Times New Roman" w:hAnsi="Times New Roman"/>
              </w:rPr>
            </w:pPr>
            <w:r>
              <w:rPr>
                <w:rFonts w:ascii="Times New Roman" w:hAnsi="Times New Roman"/>
              </w:rPr>
              <w:t>达州市消防、应急及医疗机构</w:t>
            </w:r>
          </w:p>
        </w:tc>
      </w:tr>
    </w:tbl>
    <w:p>
      <w:pPr>
        <w:keepNext/>
        <w:ind w:firstLine="0" w:firstLineChars="0"/>
        <w:jc w:val="center"/>
        <w:rPr>
          <w:rFonts w:ascii="Times New Roman" w:hAnsi="Times New Roman"/>
        </w:rPr>
      </w:pPr>
      <w:r>
        <w:rPr>
          <w:rFonts w:ascii="Times New Roman" w:hAnsi="Times New Roman"/>
        </w:rPr>
        <w:drawing>
          <wp:inline distT="0" distB="0" distL="0" distR="0">
            <wp:extent cx="5003800" cy="4161790"/>
            <wp:effectExtent l="0" t="0" r="6350" b="0"/>
            <wp:docPr id="860090712"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090712" name="图片 1" descr="地图&#10;&#10;描述已自动生成"/>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5004000" cy="4162410"/>
                    </a:xfrm>
                    <a:prstGeom prst="rect">
                      <a:avLst/>
                    </a:prstGeom>
                    <a:noFill/>
                    <a:ln>
                      <a:noFill/>
                    </a:ln>
                  </pic:spPr>
                </pic:pic>
              </a:graphicData>
            </a:graphic>
          </wp:inline>
        </w:drawing>
      </w:r>
    </w:p>
    <w:p>
      <w:pPr>
        <w:pStyle w:val="37"/>
        <w:rPr>
          <w:rFonts w:ascii="Times New Roman" w:hAnsi="Times New Roman" w:cs="Times New Roman"/>
        </w:rPr>
      </w:pPr>
      <w:bookmarkStart w:id="357" w:name="_Ref154648584"/>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27</w:t>
      </w:r>
      <w:r>
        <w:rPr>
          <w:rFonts w:ascii="Times New Roman" w:hAnsi="Times New Roman" w:cs="Times New Roman"/>
        </w:rPr>
        <w:fldChar w:fldCharType="end"/>
      </w:r>
      <w:bookmarkEnd w:id="357"/>
      <w:r>
        <w:rPr>
          <w:rFonts w:ascii="Times New Roman" w:hAnsi="Times New Roman" w:cs="Times New Roman"/>
        </w:rPr>
        <w:t xml:space="preserve">   本项目附近应急救援力量分布图</w:t>
      </w:r>
    </w:p>
    <w:p>
      <w:pPr>
        <w:ind w:firstLine="480"/>
        <w:rPr>
          <w:rFonts w:ascii="Times New Roman" w:hAnsi="Times New Roman"/>
          <w:bCs/>
          <w:kern w:val="0"/>
        </w:rPr>
      </w:pPr>
      <w:r>
        <w:rPr>
          <w:rFonts w:ascii="Times New Roman" w:hAnsi="Times New Roman"/>
          <w:bCs/>
          <w:kern w:val="0"/>
        </w:rPr>
        <w:t>西南油气田公司达州应急物资区域库位于达州西外木瓜铺物流港。同时，川东北气矿建立3个现场应急物资库（见</w:t>
      </w:r>
      <w:r>
        <w:rPr>
          <w:rFonts w:ascii="Times New Roman" w:hAnsi="Times New Roman"/>
          <w:bCs/>
          <w:kern w:val="0"/>
        </w:rPr>
        <w:fldChar w:fldCharType="begin"/>
      </w:r>
      <w:r>
        <w:rPr>
          <w:rFonts w:ascii="Times New Roman" w:hAnsi="Times New Roman"/>
          <w:bCs/>
          <w:kern w:val="0"/>
        </w:rPr>
        <w:instrText xml:space="preserve"> REF _Ref154668623 \h  \* MERGEFORMAT </w:instrText>
      </w:r>
      <w:r>
        <w:rPr>
          <w:rFonts w:ascii="Times New Roman" w:hAnsi="Times New Roman"/>
          <w:bCs/>
          <w:kern w:val="0"/>
        </w:rPr>
        <w:fldChar w:fldCharType="separate"/>
      </w:r>
      <w:r>
        <w:rPr>
          <w:rFonts w:ascii="Times New Roman" w:hAnsi="Times New Roman"/>
        </w:rPr>
        <w:t>表 7</w:t>
      </w:r>
      <w:r>
        <w:rPr>
          <w:rFonts w:ascii="Times New Roman" w:hAnsi="Times New Roman"/>
        </w:rPr>
        <w:noBreakHyphen/>
      </w:r>
      <w:r>
        <w:rPr>
          <w:rFonts w:ascii="Times New Roman" w:hAnsi="Times New Roman"/>
        </w:rPr>
        <w:t>77</w:t>
      </w:r>
      <w:r>
        <w:rPr>
          <w:rFonts w:ascii="Times New Roman" w:hAnsi="Times New Roman"/>
          <w:bCs/>
          <w:kern w:val="0"/>
        </w:rPr>
        <w:fldChar w:fldCharType="end"/>
      </w:r>
      <w:r>
        <w:rPr>
          <w:rFonts w:ascii="Times New Roman" w:hAnsi="Times New Roman"/>
          <w:bCs/>
          <w:kern w:val="0"/>
        </w:rPr>
        <w:t>）：一是达州现场库，面积41平方米，位于达州市达川区三里坪街道达州抢维中心基地，主要承担达州通川区、达川区、大竹县和渠县范围内应急物资供应。二是宣汉现场库，面积30平方米，位于宣汉县达州抢维中心宣汉项目部基地内，主要承担达州宣汉县范围内应急物资供应。三是高含硫气田运行管理项目部应急物资库，设置于高含硫气田运行管理项目部现场，地址位于万源市罗文镇，主要承担高含硫气田（铁山坡气田）应急物资供应。应急状态下，救援物资归应急领导小组调配。气矿空气呼吸器、可燃气体检测仪、硫化氢报警器等应急物资调配见</w:t>
      </w:r>
      <w:r>
        <w:rPr>
          <w:rFonts w:ascii="Times New Roman" w:hAnsi="Times New Roman"/>
          <w:bCs/>
          <w:kern w:val="0"/>
        </w:rPr>
        <w:fldChar w:fldCharType="begin"/>
      </w:r>
      <w:r>
        <w:rPr>
          <w:rFonts w:ascii="Times New Roman" w:hAnsi="Times New Roman"/>
          <w:bCs/>
          <w:kern w:val="0"/>
        </w:rPr>
        <w:instrText xml:space="preserve"> REF _Ref108951748 \h  \* MERGEFORMAT </w:instrText>
      </w:r>
      <w:r>
        <w:rPr>
          <w:rFonts w:ascii="Times New Roman" w:hAnsi="Times New Roman"/>
          <w:bCs/>
          <w:kern w:val="0"/>
        </w:rPr>
        <w:fldChar w:fldCharType="separate"/>
      </w:r>
      <w:r>
        <w:rPr>
          <w:rFonts w:ascii="Times New Roman" w:hAnsi="Times New Roman"/>
        </w:rPr>
        <w:t>表 7</w:t>
      </w:r>
      <w:r>
        <w:rPr>
          <w:rFonts w:ascii="Times New Roman" w:hAnsi="Times New Roman"/>
        </w:rPr>
        <w:noBreakHyphen/>
      </w:r>
      <w:r>
        <w:rPr>
          <w:rFonts w:ascii="Times New Roman" w:hAnsi="Times New Roman"/>
        </w:rPr>
        <w:t>78</w:t>
      </w:r>
      <w:r>
        <w:rPr>
          <w:rFonts w:ascii="Times New Roman" w:hAnsi="Times New Roman"/>
          <w:bCs/>
          <w:kern w:val="0"/>
        </w:rPr>
        <w:fldChar w:fldCharType="end"/>
      </w:r>
      <w:r>
        <w:rPr>
          <w:rFonts w:ascii="Times New Roman" w:hAnsi="Times New Roman"/>
          <w:bCs/>
          <w:kern w:val="0"/>
        </w:rPr>
        <w:t>。</w:t>
      </w:r>
    </w:p>
    <w:p>
      <w:pPr>
        <w:ind w:firstLine="480"/>
        <w:rPr>
          <w:rFonts w:ascii="Times New Roman" w:hAnsi="Times New Roman"/>
          <w:bCs/>
          <w:kern w:val="0"/>
        </w:rPr>
      </w:pPr>
      <w:r>
        <w:rPr>
          <w:rFonts w:ascii="Times New Roman" w:hAnsi="Times New Roman"/>
          <w:bCs/>
          <w:kern w:val="0"/>
        </w:rPr>
        <w:t>川东北气矿设置有抢险维修中心，应急物资见</w:t>
      </w:r>
      <w:r>
        <w:rPr>
          <w:rFonts w:ascii="Times New Roman" w:hAnsi="Times New Roman"/>
          <w:bCs/>
          <w:kern w:val="0"/>
        </w:rPr>
        <w:fldChar w:fldCharType="begin"/>
      </w:r>
      <w:r>
        <w:rPr>
          <w:rFonts w:ascii="Times New Roman" w:hAnsi="Times New Roman"/>
          <w:bCs/>
          <w:kern w:val="0"/>
        </w:rPr>
        <w:instrText xml:space="preserve"> REF _Ref108951731 \h  \* MERGEFORMAT </w:instrText>
      </w:r>
      <w:r>
        <w:rPr>
          <w:rFonts w:ascii="Times New Roman" w:hAnsi="Times New Roman"/>
          <w:bCs/>
          <w:kern w:val="0"/>
        </w:rPr>
        <w:fldChar w:fldCharType="separate"/>
      </w:r>
      <w:r>
        <w:rPr>
          <w:rFonts w:ascii="Times New Roman" w:hAnsi="Times New Roman"/>
        </w:rPr>
        <w:t>表 7</w:t>
      </w:r>
      <w:r>
        <w:rPr>
          <w:rFonts w:ascii="Times New Roman" w:hAnsi="Times New Roman"/>
        </w:rPr>
        <w:noBreakHyphen/>
      </w:r>
      <w:r>
        <w:rPr>
          <w:rFonts w:ascii="Times New Roman" w:hAnsi="Times New Roman"/>
        </w:rPr>
        <w:t>79</w:t>
      </w:r>
      <w:r>
        <w:rPr>
          <w:rFonts w:ascii="Times New Roman" w:hAnsi="Times New Roman"/>
          <w:bCs/>
          <w:kern w:val="0"/>
        </w:rPr>
        <w:fldChar w:fldCharType="end"/>
      </w:r>
      <w:r>
        <w:rPr>
          <w:rFonts w:ascii="Times New Roman" w:hAnsi="Times New Roman"/>
          <w:bCs/>
          <w:kern w:val="0"/>
        </w:rPr>
        <w:t>。</w:t>
      </w:r>
    </w:p>
    <w:p>
      <w:pPr>
        <w:pStyle w:val="37"/>
        <w:rPr>
          <w:rFonts w:ascii="Times New Roman" w:hAnsi="Times New Roman" w:cs="Times New Roman"/>
        </w:rPr>
      </w:pPr>
      <w:bookmarkStart w:id="358" w:name="_Ref154668623"/>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77</w:t>
      </w:r>
      <w:r>
        <w:rPr>
          <w:rFonts w:ascii="Times New Roman" w:hAnsi="Times New Roman" w:cs="Times New Roman"/>
        </w:rPr>
        <w:fldChar w:fldCharType="end"/>
      </w:r>
      <w:bookmarkEnd w:id="358"/>
      <w:r>
        <w:rPr>
          <w:rFonts w:ascii="Times New Roman" w:hAnsi="Times New Roman" w:cs="Times New Roman"/>
        </w:rPr>
        <w:t xml:space="preserve">  川东北气矿应急物资储备库一览表</w:t>
      </w:r>
    </w:p>
    <w:tbl>
      <w:tblPr>
        <w:tblStyle w:val="28"/>
        <w:tblW w:w="881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40"/>
        <w:gridCol w:w="2041"/>
        <w:gridCol w:w="1275"/>
        <w:gridCol w:w="2268"/>
        <w:gridCol w:w="1134"/>
        <w:gridCol w:w="156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0" w:hRule="exact"/>
          <w:jc w:val="center"/>
        </w:trPr>
        <w:tc>
          <w:tcPr>
            <w:tcW w:w="540" w:type="dxa"/>
            <w:vAlign w:val="center"/>
          </w:tcPr>
          <w:p>
            <w:pPr>
              <w:pStyle w:val="39"/>
              <w:rPr>
                <w:rFonts w:ascii="Times New Roman" w:hAnsi="Times New Roman"/>
              </w:rPr>
            </w:pPr>
            <w:r>
              <w:rPr>
                <w:rFonts w:ascii="Times New Roman" w:hAnsi="Times New Roman"/>
              </w:rPr>
              <w:t>序号</w:t>
            </w:r>
          </w:p>
        </w:tc>
        <w:tc>
          <w:tcPr>
            <w:tcW w:w="2041" w:type="dxa"/>
            <w:vAlign w:val="center"/>
          </w:tcPr>
          <w:p>
            <w:pPr>
              <w:pStyle w:val="39"/>
              <w:rPr>
                <w:rFonts w:ascii="Times New Roman" w:hAnsi="Times New Roman"/>
              </w:rPr>
            </w:pPr>
            <w:r>
              <w:rPr>
                <w:rFonts w:ascii="Times New Roman" w:hAnsi="Times New Roman"/>
              </w:rPr>
              <w:t>储备库名称</w:t>
            </w:r>
          </w:p>
        </w:tc>
        <w:tc>
          <w:tcPr>
            <w:tcW w:w="1275" w:type="dxa"/>
            <w:vAlign w:val="center"/>
          </w:tcPr>
          <w:p>
            <w:pPr>
              <w:pStyle w:val="39"/>
              <w:rPr>
                <w:rFonts w:ascii="Times New Roman" w:hAnsi="Times New Roman"/>
              </w:rPr>
            </w:pPr>
            <w:r>
              <w:rPr>
                <w:rFonts w:ascii="Times New Roman" w:hAnsi="Times New Roman"/>
              </w:rPr>
              <w:t>储备库</w:t>
            </w:r>
            <w:r>
              <w:rPr>
                <w:rFonts w:ascii="Times New Roman" w:hAnsi="Times New Roman"/>
                <w:spacing w:val="-49"/>
              </w:rPr>
              <w:t xml:space="preserve"> </w:t>
            </w:r>
            <w:r>
              <w:rPr>
                <w:rFonts w:ascii="Times New Roman" w:hAnsi="Times New Roman"/>
              </w:rPr>
              <w:t>等级</w:t>
            </w:r>
          </w:p>
        </w:tc>
        <w:tc>
          <w:tcPr>
            <w:tcW w:w="2268" w:type="dxa"/>
            <w:vAlign w:val="center"/>
          </w:tcPr>
          <w:p>
            <w:pPr>
              <w:pStyle w:val="39"/>
              <w:rPr>
                <w:rFonts w:ascii="Times New Roman" w:hAnsi="Times New Roman"/>
              </w:rPr>
            </w:pPr>
            <w:r>
              <w:rPr>
                <w:rFonts w:ascii="Times New Roman" w:hAnsi="Times New Roman"/>
              </w:rPr>
              <w:t>地址</w:t>
            </w:r>
          </w:p>
        </w:tc>
        <w:tc>
          <w:tcPr>
            <w:tcW w:w="1134" w:type="dxa"/>
            <w:vAlign w:val="center"/>
          </w:tcPr>
          <w:p>
            <w:pPr>
              <w:pStyle w:val="39"/>
              <w:rPr>
                <w:rFonts w:ascii="Times New Roman" w:hAnsi="Times New Roman"/>
              </w:rPr>
            </w:pPr>
            <w:r>
              <w:rPr>
                <w:rFonts w:ascii="Times New Roman" w:hAnsi="Times New Roman"/>
              </w:rPr>
              <w:t>联系人</w:t>
            </w:r>
          </w:p>
        </w:tc>
        <w:tc>
          <w:tcPr>
            <w:tcW w:w="1560" w:type="dxa"/>
            <w:vAlign w:val="center"/>
          </w:tcPr>
          <w:p>
            <w:pPr>
              <w:pStyle w:val="39"/>
              <w:rPr>
                <w:rFonts w:ascii="Times New Roman" w:hAnsi="Times New Roman"/>
              </w:rPr>
            </w:pPr>
            <w:r>
              <w:rPr>
                <w:rFonts w:ascii="Times New Roman" w:hAnsi="Times New Roman"/>
              </w:rPr>
              <w:t>联系电话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6" w:hRule="exact"/>
          <w:jc w:val="center"/>
        </w:trPr>
        <w:tc>
          <w:tcPr>
            <w:tcW w:w="540" w:type="dxa"/>
            <w:vAlign w:val="center"/>
          </w:tcPr>
          <w:p>
            <w:pPr>
              <w:pStyle w:val="39"/>
              <w:rPr>
                <w:rFonts w:ascii="Times New Roman" w:hAnsi="Times New Roman"/>
              </w:rPr>
            </w:pPr>
            <w:r>
              <w:rPr>
                <w:rFonts w:ascii="Times New Roman" w:hAnsi="Times New Roman"/>
              </w:rPr>
              <w:t>1</w:t>
            </w:r>
          </w:p>
        </w:tc>
        <w:tc>
          <w:tcPr>
            <w:tcW w:w="2041" w:type="dxa"/>
            <w:vAlign w:val="center"/>
          </w:tcPr>
          <w:p>
            <w:pPr>
              <w:pStyle w:val="39"/>
              <w:rPr>
                <w:rFonts w:ascii="Times New Roman" w:hAnsi="Times New Roman"/>
              </w:rPr>
            </w:pPr>
            <w:r>
              <w:rPr>
                <w:rFonts w:ascii="Times New Roman" w:hAnsi="Times New Roman"/>
              </w:rPr>
              <w:t>达州应急物资区域库</w:t>
            </w:r>
          </w:p>
        </w:tc>
        <w:tc>
          <w:tcPr>
            <w:tcW w:w="1275" w:type="dxa"/>
            <w:vAlign w:val="center"/>
          </w:tcPr>
          <w:p>
            <w:pPr>
              <w:pStyle w:val="39"/>
              <w:rPr>
                <w:rFonts w:ascii="Times New Roman" w:hAnsi="Times New Roman"/>
              </w:rPr>
            </w:pPr>
            <w:r>
              <w:rPr>
                <w:rFonts w:ascii="Times New Roman" w:hAnsi="Times New Roman"/>
              </w:rPr>
              <w:t>Ⅱ级</w:t>
            </w:r>
          </w:p>
        </w:tc>
        <w:tc>
          <w:tcPr>
            <w:tcW w:w="2268" w:type="dxa"/>
            <w:vAlign w:val="center"/>
          </w:tcPr>
          <w:p>
            <w:pPr>
              <w:pStyle w:val="39"/>
              <w:rPr>
                <w:rFonts w:ascii="Times New Roman" w:hAnsi="Times New Roman"/>
              </w:rPr>
            </w:pPr>
            <w:r>
              <w:rPr>
                <w:rFonts w:ascii="Times New Roman" w:hAnsi="Times New Roman"/>
              </w:rPr>
              <w:t>达州西外木瓜铺物流港</w:t>
            </w:r>
          </w:p>
        </w:tc>
        <w:tc>
          <w:tcPr>
            <w:tcW w:w="1134" w:type="dxa"/>
            <w:vAlign w:val="center"/>
          </w:tcPr>
          <w:p>
            <w:pPr>
              <w:pStyle w:val="39"/>
              <w:rPr>
                <w:rFonts w:ascii="Times New Roman" w:hAnsi="Times New Roman"/>
              </w:rPr>
            </w:pPr>
            <w:r>
              <w:rPr>
                <w:rFonts w:ascii="Times New Roman" w:hAnsi="Times New Roman"/>
              </w:rPr>
              <w:t>刘文</w:t>
            </w:r>
          </w:p>
        </w:tc>
        <w:tc>
          <w:tcPr>
            <w:tcW w:w="1560" w:type="dxa"/>
            <w:vAlign w:val="center"/>
          </w:tcPr>
          <w:p>
            <w:pPr>
              <w:pStyle w:val="39"/>
              <w:rPr>
                <w:rFonts w:ascii="Times New Roman" w:hAnsi="Times New Roman"/>
              </w:rPr>
            </w:pPr>
            <w:r>
              <w:rPr>
                <w:rFonts w:ascii="Times New Roman" w:hAnsi="Times New Roman"/>
              </w:rPr>
              <w:t>15904598398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1" w:hRule="exact"/>
          <w:jc w:val="center"/>
        </w:trPr>
        <w:tc>
          <w:tcPr>
            <w:tcW w:w="540" w:type="dxa"/>
            <w:vAlign w:val="center"/>
          </w:tcPr>
          <w:p>
            <w:pPr>
              <w:pStyle w:val="39"/>
              <w:rPr>
                <w:rFonts w:ascii="Times New Roman" w:hAnsi="Times New Roman"/>
              </w:rPr>
            </w:pPr>
            <w:r>
              <w:rPr>
                <w:rFonts w:ascii="Times New Roman" w:hAnsi="Times New Roman"/>
              </w:rPr>
              <w:t>2</w:t>
            </w:r>
          </w:p>
        </w:tc>
        <w:tc>
          <w:tcPr>
            <w:tcW w:w="2041" w:type="dxa"/>
            <w:vAlign w:val="center"/>
          </w:tcPr>
          <w:p>
            <w:pPr>
              <w:pStyle w:val="39"/>
              <w:rPr>
                <w:rFonts w:ascii="Times New Roman" w:hAnsi="Times New Roman"/>
              </w:rPr>
            </w:pPr>
            <w:r>
              <w:rPr>
                <w:rFonts w:ascii="Times New Roman" w:hAnsi="Times New Roman"/>
              </w:rPr>
              <w:t>达州现场库</w:t>
            </w:r>
          </w:p>
        </w:tc>
        <w:tc>
          <w:tcPr>
            <w:tcW w:w="1275" w:type="dxa"/>
            <w:vAlign w:val="center"/>
          </w:tcPr>
          <w:p>
            <w:pPr>
              <w:pStyle w:val="39"/>
              <w:rPr>
                <w:rFonts w:ascii="Times New Roman" w:hAnsi="Times New Roman"/>
              </w:rPr>
            </w:pPr>
            <w:r>
              <w:rPr>
                <w:rFonts w:ascii="Times New Roman" w:hAnsi="Times New Roman"/>
              </w:rPr>
              <w:t>Ⅲ级</w:t>
            </w:r>
          </w:p>
        </w:tc>
        <w:tc>
          <w:tcPr>
            <w:tcW w:w="2268" w:type="dxa"/>
            <w:vAlign w:val="center"/>
          </w:tcPr>
          <w:p>
            <w:pPr>
              <w:pStyle w:val="39"/>
              <w:rPr>
                <w:rFonts w:ascii="Times New Roman" w:hAnsi="Times New Roman"/>
              </w:rPr>
            </w:pPr>
            <w:r>
              <w:rPr>
                <w:rFonts w:ascii="Times New Roman" w:hAnsi="Times New Roman"/>
                <w:spacing w:val="-2"/>
              </w:rPr>
              <w:t>达州市达川区三里坪街道</w:t>
            </w:r>
            <w:r>
              <w:rPr>
                <w:rFonts w:ascii="Times New Roman" w:hAnsi="Times New Roman"/>
                <w:spacing w:val="-82"/>
              </w:rPr>
              <w:t xml:space="preserve"> </w:t>
            </w:r>
            <w:r>
              <w:rPr>
                <w:rFonts w:ascii="Times New Roman" w:hAnsi="Times New Roman"/>
              </w:rPr>
              <w:t>达州抢维中心基地</w:t>
            </w:r>
          </w:p>
        </w:tc>
        <w:tc>
          <w:tcPr>
            <w:tcW w:w="1134" w:type="dxa"/>
            <w:vAlign w:val="center"/>
          </w:tcPr>
          <w:p>
            <w:pPr>
              <w:pStyle w:val="39"/>
              <w:rPr>
                <w:rFonts w:ascii="Times New Roman" w:hAnsi="Times New Roman"/>
              </w:rPr>
            </w:pPr>
            <w:r>
              <w:rPr>
                <w:rFonts w:ascii="Times New Roman" w:hAnsi="Times New Roman"/>
              </w:rPr>
              <w:t>李永飞</w:t>
            </w:r>
          </w:p>
        </w:tc>
        <w:tc>
          <w:tcPr>
            <w:tcW w:w="1560" w:type="dxa"/>
            <w:vAlign w:val="center"/>
          </w:tcPr>
          <w:p>
            <w:pPr>
              <w:pStyle w:val="39"/>
              <w:rPr>
                <w:rFonts w:ascii="Times New Roman" w:hAnsi="Times New Roman"/>
              </w:rPr>
            </w:pPr>
            <w:r>
              <w:rPr>
                <w:rFonts w:ascii="Times New Roman" w:hAnsi="Times New Roman"/>
              </w:rPr>
              <w:t>13882880826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0" w:hRule="exact"/>
          <w:jc w:val="center"/>
        </w:trPr>
        <w:tc>
          <w:tcPr>
            <w:tcW w:w="540" w:type="dxa"/>
            <w:vAlign w:val="center"/>
          </w:tcPr>
          <w:p>
            <w:pPr>
              <w:pStyle w:val="39"/>
              <w:rPr>
                <w:rFonts w:ascii="Times New Roman" w:hAnsi="Times New Roman"/>
              </w:rPr>
            </w:pPr>
            <w:r>
              <w:rPr>
                <w:rFonts w:ascii="Times New Roman" w:hAnsi="Times New Roman"/>
              </w:rPr>
              <w:t>3</w:t>
            </w:r>
          </w:p>
        </w:tc>
        <w:tc>
          <w:tcPr>
            <w:tcW w:w="2041" w:type="dxa"/>
            <w:vAlign w:val="center"/>
          </w:tcPr>
          <w:p>
            <w:pPr>
              <w:pStyle w:val="39"/>
              <w:rPr>
                <w:rFonts w:ascii="Times New Roman" w:hAnsi="Times New Roman"/>
              </w:rPr>
            </w:pPr>
            <w:r>
              <w:rPr>
                <w:rFonts w:ascii="Times New Roman" w:hAnsi="Times New Roman"/>
              </w:rPr>
              <w:t>宣汉现场库</w:t>
            </w:r>
          </w:p>
        </w:tc>
        <w:tc>
          <w:tcPr>
            <w:tcW w:w="1275" w:type="dxa"/>
            <w:vAlign w:val="center"/>
          </w:tcPr>
          <w:p>
            <w:pPr>
              <w:pStyle w:val="39"/>
              <w:rPr>
                <w:rFonts w:ascii="Times New Roman" w:hAnsi="Times New Roman"/>
              </w:rPr>
            </w:pPr>
            <w:r>
              <w:rPr>
                <w:rFonts w:ascii="Times New Roman" w:hAnsi="Times New Roman"/>
              </w:rPr>
              <w:t>Ⅲ级</w:t>
            </w:r>
          </w:p>
        </w:tc>
        <w:tc>
          <w:tcPr>
            <w:tcW w:w="2268" w:type="dxa"/>
            <w:vAlign w:val="center"/>
          </w:tcPr>
          <w:p>
            <w:pPr>
              <w:pStyle w:val="39"/>
              <w:rPr>
                <w:rFonts w:ascii="Times New Roman" w:hAnsi="Times New Roman"/>
              </w:rPr>
            </w:pPr>
            <w:r>
              <w:rPr>
                <w:rFonts w:ascii="Times New Roman" w:hAnsi="Times New Roman"/>
                <w:spacing w:val="-2"/>
              </w:rPr>
              <w:t>宣汉县达州抢维中心宣汉</w:t>
            </w:r>
            <w:r>
              <w:rPr>
                <w:rFonts w:ascii="Times New Roman" w:hAnsi="Times New Roman"/>
                <w:spacing w:val="-82"/>
              </w:rPr>
              <w:t xml:space="preserve"> </w:t>
            </w:r>
            <w:r>
              <w:rPr>
                <w:rFonts w:ascii="Times New Roman" w:hAnsi="Times New Roman"/>
              </w:rPr>
              <w:t>项目部基地</w:t>
            </w:r>
          </w:p>
        </w:tc>
        <w:tc>
          <w:tcPr>
            <w:tcW w:w="1134" w:type="dxa"/>
            <w:vAlign w:val="center"/>
          </w:tcPr>
          <w:p>
            <w:pPr>
              <w:pStyle w:val="39"/>
              <w:rPr>
                <w:rFonts w:ascii="Times New Roman" w:hAnsi="Times New Roman"/>
              </w:rPr>
            </w:pPr>
            <w:r>
              <w:rPr>
                <w:rFonts w:ascii="Times New Roman" w:hAnsi="Times New Roman"/>
              </w:rPr>
              <w:t>卢训彬</w:t>
            </w:r>
          </w:p>
        </w:tc>
        <w:tc>
          <w:tcPr>
            <w:tcW w:w="1560" w:type="dxa"/>
            <w:vAlign w:val="center"/>
          </w:tcPr>
          <w:p>
            <w:pPr>
              <w:pStyle w:val="39"/>
              <w:rPr>
                <w:rFonts w:ascii="Times New Roman" w:hAnsi="Times New Roman"/>
              </w:rPr>
            </w:pPr>
            <w:r>
              <w:rPr>
                <w:rFonts w:ascii="Times New Roman" w:hAnsi="Times New Roman"/>
              </w:rPr>
              <w:t>15559379369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0" w:hRule="exact"/>
          <w:jc w:val="center"/>
        </w:trPr>
        <w:tc>
          <w:tcPr>
            <w:tcW w:w="540" w:type="dxa"/>
            <w:vAlign w:val="center"/>
          </w:tcPr>
          <w:p>
            <w:pPr>
              <w:pStyle w:val="39"/>
              <w:rPr>
                <w:rFonts w:ascii="Times New Roman" w:hAnsi="Times New Roman"/>
              </w:rPr>
            </w:pPr>
            <w:r>
              <w:rPr>
                <w:rFonts w:ascii="Times New Roman" w:hAnsi="Times New Roman"/>
              </w:rPr>
              <w:t>4</w:t>
            </w:r>
          </w:p>
        </w:tc>
        <w:tc>
          <w:tcPr>
            <w:tcW w:w="2041" w:type="dxa"/>
            <w:vAlign w:val="center"/>
          </w:tcPr>
          <w:p>
            <w:pPr>
              <w:pStyle w:val="39"/>
              <w:rPr>
                <w:rFonts w:ascii="Times New Roman" w:hAnsi="Times New Roman"/>
              </w:rPr>
            </w:pPr>
            <w:r>
              <w:rPr>
                <w:rFonts w:ascii="Times New Roman" w:hAnsi="Times New Roman"/>
                <w:spacing w:val="-2"/>
              </w:rPr>
              <w:t>高含硫气田运行管理项目</w:t>
            </w:r>
            <w:r>
              <w:rPr>
                <w:rFonts w:ascii="Times New Roman" w:hAnsi="Times New Roman"/>
                <w:spacing w:val="-82"/>
              </w:rPr>
              <w:t xml:space="preserve"> </w:t>
            </w:r>
            <w:r>
              <w:rPr>
                <w:rFonts w:ascii="Times New Roman" w:hAnsi="Times New Roman"/>
              </w:rPr>
              <w:t>部应急物资库</w:t>
            </w:r>
          </w:p>
        </w:tc>
        <w:tc>
          <w:tcPr>
            <w:tcW w:w="1275" w:type="dxa"/>
            <w:vAlign w:val="center"/>
          </w:tcPr>
          <w:p>
            <w:pPr>
              <w:pStyle w:val="39"/>
              <w:rPr>
                <w:rFonts w:ascii="Times New Roman" w:hAnsi="Times New Roman"/>
              </w:rPr>
            </w:pPr>
            <w:r>
              <w:rPr>
                <w:rFonts w:ascii="Times New Roman" w:hAnsi="Times New Roman"/>
              </w:rPr>
              <w:t>Ⅲ级</w:t>
            </w:r>
          </w:p>
        </w:tc>
        <w:tc>
          <w:tcPr>
            <w:tcW w:w="2268" w:type="dxa"/>
            <w:vAlign w:val="center"/>
          </w:tcPr>
          <w:p>
            <w:pPr>
              <w:pStyle w:val="39"/>
              <w:rPr>
                <w:rFonts w:ascii="Times New Roman" w:hAnsi="Times New Roman"/>
                <w:spacing w:val="-2"/>
              </w:rPr>
            </w:pPr>
            <w:r>
              <w:rPr>
                <w:rFonts w:ascii="Times New Roman" w:hAnsi="Times New Roman"/>
                <w:spacing w:val="-2"/>
              </w:rPr>
              <w:t>万源市罗文镇高含硫气田</w:t>
            </w:r>
            <w:r>
              <w:rPr>
                <w:rFonts w:ascii="Times New Roman" w:hAnsi="Times New Roman"/>
                <w:spacing w:val="-82"/>
              </w:rPr>
              <w:t xml:space="preserve"> </w:t>
            </w:r>
            <w:r>
              <w:rPr>
                <w:rFonts w:ascii="Times New Roman" w:hAnsi="Times New Roman"/>
              </w:rPr>
              <w:t>运行管理项目部基地</w:t>
            </w:r>
          </w:p>
        </w:tc>
        <w:tc>
          <w:tcPr>
            <w:tcW w:w="1134" w:type="dxa"/>
            <w:vAlign w:val="center"/>
          </w:tcPr>
          <w:p>
            <w:pPr>
              <w:pStyle w:val="39"/>
              <w:rPr>
                <w:rFonts w:ascii="Times New Roman" w:hAnsi="Times New Roman"/>
              </w:rPr>
            </w:pPr>
            <w:r>
              <w:rPr>
                <w:rFonts w:ascii="Times New Roman" w:hAnsi="Times New Roman"/>
              </w:rPr>
              <w:t>张泽伟</w:t>
            </w:r>
          </w:p>
        </w:tc>
        <w:tc>
          <w:tcPr>
            <w:tcW w:w="1560" w:type="dxa"/>
            <w:vAlign w:val="center"/>
          </w:tcPr>
          <w:p>
            <w:pPr>
              <w:pStyle w:val="39"/>
              <w:rPr>
                <w:rFonts w:ascii="Times New Roman" w:hAnsi="Times New Roman"/>
              </w:rPr>
            </w:pPr>
            <w:r>
              <w:rPr>
                <w:rFonts w:ascii="Times New Roman" w:hAnsi="Times New Roman"/>
              </w:rPr>
              <w:t>13508262739</w:t>
            </w:r>
          </w:p>
        </w:tc>
      </w:tr>
    </w:tbl>
    <w:p>
      <w:pPr>
        <w:pStyle w:val="37"/>
        <w:rPr>
          <w:rFonts w:ascii="Times New Roman" w:hAnsi="Times New Roman" w:cs="Times New Roman"/>
        </w:rPr>
      </w:pPr>
      <w:bookmarkStart w:id="359" w:name="_Ref108951748"/>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78</w:t>
      </w:r>
      <w:r>
        <w:rPr>
          <w:rFonts w:ascii="Times New Roman" w:hAnsi="Times New Roman" w:cs="Times New Roman"/>
        </w:rPr>
        <w:fldChar w:fldCharType="end"/>
      </w:r>
      <w:bookmarkEnd w:id="359"/>
      <w:r>
        <w:rPr>
          <w:rFonts w:ascii="Times New Roman" w:hAnsi="Times New Roman" w:cs="Times New Roman"/>
        </w:rPr>
        <w:t xml:space="preserve">  川东北气矿应急物资统计表</w:t>
      </w:r>
    </w:p>
    <w:tbl>
      <w:tblPr>
        <w:tblStyle w:val="28"/>
        <w:tblW w:w="516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6"/>
        <w:gridCol w:w="935"/>
        <w:gridCol w:w="944"/>
        <w:gridCol w:w="1140"/>
        <w:gridCol w:w="2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3370" w:type="dxa"/>
            <w:tcMar>
              <w:top w:w="15" w:type="dxa"/>
              <w:left w:w="15" w:type="dxa"/>
              <w:right w:w="15" w:type="dxa"/>
            </w:tcMar>
            <w:vAlign w:val="center"/>
          </w:tcPr>
          <w:p>
            <w:pPr>
              <w:pStyle w:val="39"/>
              <w:rPr>
                <w:rFonts w:ascii="Times New Roman" w:hAnsi="Times New Roman"/>
              </w:rPr>
            </w:pPr>
            <w:r>
              <w:rPr>
                <w:rFonts w:ascii="Times New Roman" w:hAnsi="Times New Roman"/>
                <w:lang w:bidi="ar"/>
              </w:rPr>
              <w:t>单  位</w:t>
            </w:r>
          </w:p>
        </w:tc>
        <w:tc>
          <w:tcPr>
            <w:tcW w:w="931" w:type="dxa"/>
            <w:tcMar>
              <w:top w:w="15" w:type="dxa"/>
              <w:left w:w="15" w:type="dxa"/>
              <w:right w:w="15" w:type="dxa"/>
            </w:tcMar>
            <w:vAlign w:val="center"/>
          </w:tcPr>
          <w:p>
            <w:pPr>
              <w:pStyle w:val="39"/>
              <w:rPr>
                <w:rFonts w:ascii="Times New Roman" w:hAnsi="Times New Roman"/>
              </w:rPr>
            </w:pPr>
            <w:r>
              <w:rPr>
                <w:rFonts w:ascii="Times New Roman" w:hAnsi="Times New Roman"/>
              </w:rPr>
              <w:t>达州区域库</w:t>
            </w:r>
          </w:p>
        </w:tc>
        <w:tc>
          <w:tcPr>
            <w:tcW w:w="939" w:type="dxa"/>
            <w:tcMar>
              <w:top w:w="15" w:type="dxa"/>
              <w:left w:w="15" w:type="dxa"/>
              <w:right w:w="15" w:type="dxa"/>
            </w:tcMar>
            <w:vAlign w:val="center"/>
          </w:tcPr>
          <w:p>
            <w:pPr>
              <w:pStyle w:val="39"/>
              <w:rPr>
                <w:rFonts w:ascii="Times New Roman" w:hAnsi="Times New Roman"/>
              </w:rPr>
            </w:pPr>
            <w:r>
              <w:rPr>
                <w:rFonts w:ascii="Times New Roman" w:hAnsi="Times New Roman"/>
              </w:rPr>
              <w:t>达州现场库</w:t>
            </w:r>
          </w:p>
        </w:tc>
        <w:tc>
          <w:tcPr>
            <w:tcW w:w="1134" w:type="dxa"/>
            <w:tcMar>
              <w:top w:w="15" w:type="dxa"/>
              <w:left w:w="15" w:type="dxa"/>
              <w:right w:w="15" w:type="dxa"/>
            </w:tcMar>
            <w:vAlign w:val="center"/>
          </w:tcPr>
          <w:p>
            <w:pPr>
              <w:pStyle w:val="39"/>
              <w:rPr>
                <w:rFonts w:ascii="Times New Roman" w:hAnsi="Times New Roman"/>
              </w:rPr>
            </w:pPr>
            <w:r>
              <w:rPr>
                <w:rFonts w:ascii="Times New Roman" w:hAnsi="Times New Roman"/>
              </w:rPr>
              <w:t>宣汉现场库</w:t>
            </w:r>
          </w:p>
        </w:tc>
        <w:tc>
          <w:tcPr>
            <w:tcW w:w="2195" w:type="dxa"/>
            <w:tcMar>
              <w:top w:w="15" w:type="dxa"/>
              <w:left w:w="15" w:type="dxa"/>
              <w:right w:w="15" w:type="dxa"/>
            </w:tcMar>
            <w:vAlign w:val="center"/>
          </w:tcPr>
          <w:p>
            <w:pPr>
              <w:pStyle w:val="39"/>
              <w:rPr>
                <w:rFonts w:ascii="Times New Roman" w:hAnsi="Times New Roman"/>
              </w:rPr>
            </w:pPr>
            <w:r>
              <w:rPr>
                <w:rFonts w:ascii="Times New Roman" w:hAnsi="Times New Roman"/>
              </w:rPr>
              <w:t>高含硫气田运行管理项目部应急物资库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70" w:type="dxa"/>
            <w:tcMar>
              <w:top w:w="15" w:type="dxa"/>
              <w:left w:w="15" w:type="dxa"/>
              <w:right w:w="15" w:type="dxa"/>
            </w:tcMar>
            <w:vAlign w:val="center"/>
          </w:tcPr>
          <w:p>
            <w:pPr>
              <w:pStyle w:val="39"/>
              <w:rPr>
                <w:rFonts w:ascii="Times New Roman" w:hAnsi="Times New Roman"/>
              </w:rPr>
            </w:pPr>
            <w:r>
              <w:rPr>
                <w:rFonts w:ascii="Times New Roman" w:hAnsi="Times New Roman"/>
                <w:lang w:bidi="ar"/>
              </w:rPr>
              <w:t>便携式硫化氢检测仪（台）</w:t>
            </w:r>
          </w:p>
        </w:tc>
        <w:tc>
          <w:tcPr>
            <w:tcW w:w="931" w:type="dxa"/>
            <w:tcMar>
              <w:top w:w="15" w:type="dxa"/>
              <w:left w:w="15" w:type="dxa"/>
              <w:right w:w="15" w:type="dxa"/>
            </w:tcMar>
            <w:vAlign w:val="center"/>
          </w:tcPr>
          <w:p>
            <w:pPr>
              <w:pStyle w:val="39"/>
              <w:rPr>
                <w:rFonts w:ascii="Times New Roman" w:hAnsi="Times New Roman"/>
              </w:rPr>
            </w:pPr>
            <w:r>
              <w:rPr>
                <w:rFonts w:ascii="Times New Roman" w:hAnsi="Times New Roman"/>
              </w:rPr>
              <w:t>4</w:t>
            </w:r>
          </w:p>
        </w:tc>
        <w:tc>
          <w:tcPr>
            <w:tcW w:w="939" w:type="dxa"/>
            <w:tcMar>
              <w:top w:w="15" w:type="dxa"/>
              <w:left w:w="15" w:type="dxa"/>
              <w:right w:w="15" w:type="dxa"/>
            </w:tcMar>
            <w:vAlign w:val="center"/>
          </w:tcPr>
          <w:p>
            <w:pPr>
              <w:pStyle w:val="39"/>
              <w:rPr>
                <w:rFonts w:ascii="Times New Roman" w:hAnsi="Times New Roman"/>
              </w:rPr>
            </w:pPr>
            <w:r>
              <w:rPr>
                <w:rFonts w:ascii="Times New Roman" w:hAnsi="Times New Roman"/>
              </w:rPr>
              <w:t>10</w:t>
            </w:r>
          </w:p>
        </w:tc>
        <w:tc>
          <w:tcPr>
            <w:tcW w:w="1134" w:type="dxa"/>
            <w:tcMar>
              <w:top w:w="15" w:type="dxa"/>
              <w:left w:w="15" w:type="dxa"/>
              <w:right w:w="15" w:type="dxa"/>
            </w:tcMar>
            <w:vAlign w:val="center"/>
          </w:tcPr>
          <w:p>
            <w:pPr>
              <w:pStyle w:val="39"/>
              <w:rPr>
                <w:rFonts w:ascii="Times New Roman" w:hAnsi="Times New Roman"/>
              </w:rPr>
            </w:pPr>
            <w:r>
              <w:rPr>
                <w:rFonts w:ascii="Times New Roman" w:hAnsi="Times New Roman"/>
              </w:rPr>
              <w:t>0</w:t>
            </w:r>
          </w:p>
        </w:tc>
        <w:tc>
          <w:tcPr>
            <w:tcW w:w="2195" w:type="dxa"/>
            <w:tcMar>
              <w:top w:w="15" w:type="dxa"/>
              <w:left w:w="15" w:type="dxa"/>
              <w:right w:w="15" w:type="dxa"/>
            </w:tcMar>
            <w:vAlign w:val="center"/>
          </w:tcPr>
          <w:p>
            <w:pPr>
              <w:pStyle w:val="39"/>
              <w:rPr>
                <w:rFonts w:ascii="Times New Roman" w:hAnsi="Times New Roman"/>
              </w:rPr>
            </w:pPr>
            <w:r>
              <w:rPr>
                <w:rFonts w:ascii="Times New Roman" w:hAnsi="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70" w:type="dxa"/>
            <w:tcMar>
              <w:top w:w="15" w:type="dxa"/>
              <w:left w:w="15" w:type="dxa"/>
              <w:right w:w="15" w:type="dxa"/>
            </w:tcMar>
            <w:vAlign w:val="center"/>
          </w:tcPr>
          <w:p>
            <w:pPr>
              <w:pStyle w:val="39"/>
              <w:rPr>
                <w:rFonts w:ascii="Times New Roman" w:hAnsi="Times New Roman"/>
              </w:rPr>
            </w:pPr>
            <w:r>
              <w:rPr>
                <w:rFonts w:ascii="Times New Roman" w:hAnsi="Times New Roman"/>
                <w:lang w:bidi="ar"/>
              </w:rPr>
              <w:t>正压式空气呼吸器（台）</w:t>
            </w:r>
          </w:p>
        </w:tc>
        <w:tc>
          <w:tcPr>
            <w:tcW w:w="931" w:type="dxa"/>
            <w:tcMar>
              <w:top w:w="15" w:type="dxa"/>
              <w:left w:w="15" w:type="dxa"/>
              <w:right w:w="15" w:type="dxa"/>
            </w:tcMar>
            <w:vAlign w:val="center"/>
          </w:tcPr>
          <w:p>
            <w:pPr>
              <w:pStyle w:val="39"/>
              <w:rPr>
                <w:rFonts w:ascii="Times New Roman" w:hAnsi="Times New Roman"/>
              </w:rPr>
            </w:pPr>
            <w:r>
              <w:rPr>
                <w:rFonts w:ascii="Times New Roman" w:hAnsi="Times New Roman"/>
              </w:rPr>
              <w:t>120</w:t>
            </w:r>
          </w:p>
        </w:tc>
        <w:tc>
          <w:tcPr>
            <w:tcW w:w="939" w:type="dxa"/>
            <w:tcMar>
              <w:top w:w="15" w:type="dxa"/>
              <w:left w:w="15" w:type="dxa"/>
              <w:right w:w="15" w:type="dxa"/>
            </w:tcMar>
            <w:vAlign w:val="center"/>
          </w:tcPr>
          <w:p>
            <w:pPr>
              <w:pStyle w:val="39"/>
              <w:rPr>
                <w:rFonts w:ascii="Times New Roman" w:hAnsi="Times New Roman"/>
              </w:rPr>
            </w:pPr>
            <w:r>
              <w:rPr>
                <w:rFonts w:ascii="Times New Roman" w:hAnsi="Times New Roman"/>
              </w:rPr>
              <w:t>30</w:t>
            </w:r>
          </w:p>
        </w:tc>
        <w:tc>
          <w:tcPr>
            <w:tcW w:w="1134" w:type="dxa"/>
            <w:tcMar>
              <w:top w:w="15" w:type="dxa"/>
              <w:left w:w="15" w:type="dxa"/>
              <w:right w:w="15" w:type="dxa"/>
            </w:tcMar>
            <w:vAlign w:val="center"/>
          </w:tcPr>
          <w:p>
            <w:pPr>
              <w:pStyle w:val="39"/>
              <w:rPr>
                <w:rFonts w:ascii="Times New Roman" w:hAnsi="Times New Roman"/>
              </w:rPr>
            </w:pPr>
            <w:r>
              <w:rPr>
                <w:rFonts w:ascii="Times New Roman" w:hAnsi="Times New Roman"/>
              </w:rPr>
              <w:t>10</w:t>
            </w:r>
          </w:p>
        </w:tc>
        <w:tc>
          <w:tcPr>
            <w:tcW w:w="2195" w:type="dxa"/>
            <w:tcMar>
              <w:top w:w="15" w:type="dxa"/>
              <w:left w:w="15" w:type="dxa"/>
              <w:right w:w="15" w:type="dxa"/>
            </w:tcMar>
            <w:vAlign w:val="center"/>
          </w:tcPr>
          <w:p>
            <w:pPr>
              <w:pStyle w:val="39"/>
              <w:rPr>
                <w:rFonts w:ascii="Times New Roman" w:hAnsi="Times New Roman"/>
              </w:rPr>
            </w:pPr>
            <w:r>
              <w:rPr>
                <w:rFonts w:ascii="Times New Roman" w:hAnsi="Times New Roma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70" w:type="dxa"/>
            <w:tcMar>
              <w:top w:w="15" w:type="dxa"/>
              <w:left w:w="15" w:type="dxa"/>
              <w:right w:w="15" w:type="dxa"/>
            </w:tcMar>
            <w:vAlign w:val="center"/>
          </w:tcPr>
          <w:p>
            <w:pPr>
              <w:pStyle w:val="39"/>
              <w:rPr>
                <w:rFonts w:ascii="Times New Roman" w:hAnsi="Times New Roman"/>
              </w:rPr>
            </w:pPr>
            <w:r>
              <w:rPr>
                <w:rFonts w:ascii="Times New Roman" w:hAnsi="Times New Roman"/>
                <w:lang w:bidi="ar"/>
              </w:rPr>
              <w:t>便携式充气泵（台）</w:t>
            </w:r>
          </w:p>
        </w:tc>
        <w:tc>
          <w:tcPr>
            <w:tcW w:w="931" w:type="dxa"/>
            <w:tcMar>
              <w:top w:w="15" w:type="dxa"/>
              <w:left w:w="15" w:type="dxa"/>
              <w:right w:w="15" w:type="dxa"/>
            </w:tcMar>
            <w:vAlign w:val="center"/>
          </w:tcPr>
          <w:p>
            <w:pPr>
              <w:pStyle w:val="39"/>
              <w:rPr>
                <w:rFonts w:ascii="Times New Roman" w:hAnsi="Times New Roman"/>
              </w:rPr>
            </w:pPr>
            <w:r>
              <w:rPr>
                <w:rFonts w:ascii="Times New Roman" w:hAnsi="Times New Roman"/>
              </w:rPr>
              <w:t>3</w:t>
            </w:r>
          </w:p>
        </w:tc>
        <w:tc>
          <w:tcPr>
            <w:tcW w:w="939" w:type="dxa"/>
            <w:tcMar>
              <w:top w:w="15" w:type="dxa"/>
              <w:left w:w="15" w:type="dxa"/>
              <w:right w:w="15" w:type="dxa"/>
            </w:tcMar>
            <w:vAlign w:val="center"/>
          </w:tcPr>
          <w:p>
            <w:pPr>
              <w:pStyle w:val="39"/>
              <w:rPr>
                <w:rFonts w:ascii="Times New Roman" w:hAnsi="Times New Roman"/>
              </w:rPr>
            </w:pPr>
            <w:r>
              <w:rPr>
                <w:rFonts w:ascii="Times New Roman" w:hAnsi="Times New Roman"/>
              </w:rPr>
              <w:t>5</w:t>
            </w:r>
          </w:p>
        </w:tc>
        <w:tc>
          <w:tcPr>
            <w:tcW w:w="1134" w:type="dxa"/>
            <w:tcMar>
              <w:top w:w="15" w:type="dxa"/>
              <w:left w:w="15" w:type="dxa"/>
              <w:right w:w="15" w:type="dxa"/>
            </w:tcMar>
            <w:vAlign w:val="center"/>
          </w:tcPr>
          <w:p>
            <w:pPr>
              <w:pStyle w:val="39"/>
              <w:rPr>
                <w:rFonts w:ascii="Times New Roman" w:hAnsi="Times New Roman"/>
              </w:rPr>
            </w:pPr>
            <w:r>
              <w:rPr>
                <w:rFonts w:ascii="Times New Roman" w:hAnsi="Times New Roman"/>
              </w:rPr>
              <w:t>2</w:t>
            </w:r>
          </w:p>
        </w:tc>
        <w:tc>
          <w:tcPr>
            <w:tcW w:w="2195" w:type="dxa"/>
            <w:tcMar>
              <w:top w:w="15" w:type="dxa"/>
              <w:left w:w="15" w:type="dxa"/>
              <w:right w:w="15" w:type="dxa"/>
            </w:tcMar>
            <w:vAlign w:val="center"/>
          </w:tcPr>
          <w:p>
            <w:pPr>
              <w:pStyle w:val="39"/>
              <w:rPr>
                <w:rFonts w:ascii="Times New Roman" w:hAnsi="Times New Roman"/>
              </w:rPr>
            </w:pPr>
            <w:r>
              <w:rPr>
                <w:rFonts w:ascii="Times New Roman" w:hAnsi="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70" w:type="dxa"/>
            <w:tcMar>
              <w:top w:w="15" w:type="dxa"/>
              <w:left w:w="15" w:type="dxa"/>
              <w:right w:w="15" w:type="dxa"/>
            </w:tcMar>
            <w:vAlign w:val="center"/>
          </w:tcPr>
          <w:p>
            <w:pPr>
              <w:pStyle w:val="39"/>
              <w:rPr>
                <w:rFonts w:ascii="Times New Roman" w:hAnsi="Times New Roman"/>
              </w:rPr>
            </w:pPr>
            <w:r>
              <w:rPr>
                <w:rFonts w:ascii="Times New Roman" w:hAnsi="Times New Roman"/>
                <w:lang w:bidi="ar"/>
              </w:rPr>
              <w:t>可燃气体检测仪（台）</w:t>
            </w:r>
          </w:p>
        </w:tc>
        <w:tc>
          <w:tcPr>
            <w:tcW w:w="931" w:type="dxa"/>
            <w:tcMar>
              <w:top w:w="15" w:type="dxa"/>
              <w:left w:w="15" w:type="dxa"/>
              <w:right w:w="15" w:type="dxa"/>
            </w:tcMar>
            <w:vAlign w:val="center"/>
          </w:tcPr>
          <w:p>
            <w:pPr>
              <w:pStyle w:val="39"/>
              <w:rPr>
                <w:rFonts w:ascii="Times New Roman" w:hAnsi="Times New Roman"/>
              </w:rPr>
            </w:pPr>
            <w:r>
              <w:rPr>
                <w:rFonts w:ascii="Times New Roman" w:hAnsi="Times New Roman"/>
              </w:rPr>
              <w:t>20</w:t>
            </w:r>
          </w:p>
        </w:tc>
        <w:tc>
          <w:tcPr>
            <w:tcW w:w="939" w:type="dxa"/>
            <w:tcMar>
              <w:top w:w="15" w:type="dxa"/>
              <w:left w:w="15" w:type="dxa"/>
              <w:right w:w="15" w:type="dxa"/>
            </w:tcMar>
            <w:vAlign w:val="center"/>
          </w:tcPr>
          <w:p>
            <w:pPr>
              <w:pStyle w:val="39"/>
              <w:rPr>
                <w:rFonts w:ascii="Times New Roman" w:hAnsi="Times New Roman"/>
              </w:rPr>
            </w:pPr>
            <w:r>
              <w:rPr>
                <w:rFonts w:ascii="Times New Roman" w:hAnsi="Times New Roman"/>
              </w:rPr>
              <w:t>0</w:t>
            </w:r>
          </w:p>
        </w:tc>
        <w:tc>
          <w:tcPr>
            <w:tcW w:w="1134" w:type="dxa"/>
            <w:tcMar>
              <w:top w:w="15" w:type="dxa"/>
              <w:left w:w="15" w:type="dxa"/>
              <w:right w:w="15" w:type="dxa"/>
            </w:tcMar>
            <w:vAlign w:val="center"/>
          </w:tcPr>
          <w:p>
            <w:pPr>
              <w:pStyle w:val="39"/>
              <w:rPr>
                <w:rFonts w:ascii="Times New Roman" w:hAnsi="Times New Roman"/>
              </w:rPr>
            </w:pPr>
            <w:r>
              <w:rPr>
                <w:rFonts w:ascii="Times New Roman" w:hAnsi="Times New Roman"/>
              </w:rPr>
              <w:t>0</w:t>
            </w:r>
          </w:p>
        </w:tc>
        <w:tc>
          <w:tcPr>
            <w:tcW w:w="2195" w:type="dxa"/>
            <w:tcMar>
              <w:top w:w="15" w:type="dxa"/>
              <w:left w:w="15" w:type="dxa"/>
              <w:right w:w="15" w:type="dxa"/>
            </w:tcMar>
            <w:vAlign w:val="center"/>
          </w:tcPr>
          <w:p>
            <w:pPr>
              <w:pStyle w:val="39"/>
              <w:rPr>
                <w:rFonts w:ascii="Times New Roman" w:hAnsi="Times New Roman"/>
              </w:rPr>
            </w:pPr>
            <w:r>
              <w:rPr>
                <w:rFonts w:ascii="Times New Roman" w:hAnsi="Times New Roma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70" w:type="dxa"/>
            <w:tcMar>
              <w:top w:w="15" w:type="dxa"/>
              <w:left w:w="15" w:type="dxa"/>
              <w:right w:w="15" w:type="dxa"/>
            </w:tcMar>
            <w:vAlign w:val="center"/>
          </w:tcPr>
          <w:p>
            <w:pPr>
              <w:pStyle w:val="39"/>
              <w:rPr>
                <w:rFonts w:ascii="Times New Roman" w:hAnsi="Times New Roman"/>
              </w:rPr>
            </w:pPr>
            <w:r>
              <w:rPr>
                <w:rFonts w:ascii="Times New Roman" w:hAnsi="Times New Roman"/>
                <w:lang w:bidi="ar"/>
              </w:rPr>
              <w:t>多功能复合式气体检测仪（台）</w:t>
            </w:r>
          </w:p>
        </w:tc>
        <w:tc>
          <w:tcPr>
            <w:tcW w:w="931" w:type="dxa"/>
            <w:tcMar>
              <w:top w:w="15" w:type="dxa"/>
              <w:left w:w="15" w:type="dxa"/>
              <w:right w:w="15" w:type="dxa"/>
            </w:tcMar>
            <w:vAlign w:val="center"/>
          </w:tcPr>
          <w:p>
            <w:pPr>
              <w:pStyle w:val="39"/>
              <w:rPr>
                <w:rFonts w:ascii="Times New Roman" w:hAnsi="Times New Roman"/>
              </w:rPr>
            </w:pPr>
            <w:r>
              <w:rPr>
                <w:rFonts w:ascii="Times New Roman" w:hAnsi="Times New Roman"/>
              </w:rPr>
              <w:t>62</w:t>
            </w:r>
          </w:p>
        </w:tc>
        <w:tc>
          <w:tcPr>
            <w:tcW w:w="939" w:type="dxa"/>
            <w:tcMar>
              <w:top w:w="15" w:type="dxa"/>
              <w:left w:w="15" w:type="dxa"/>
              <w:right w:w="15" w:type="dxa"/>
            </w:tcMar>
            <w:vAlign w:val="center"/>
          </w:tcPr>
          <w:p>
            <w:pPr>
              <w:pStyle w:val="39"/>
              <w:rPr>
                <w:rFonts w:ascii="Times New Roman" w:hAnsi="Times New Roman"/>
              </w:rPr>
            </w:pPr>
            <w:r>
              <w:rPr>
                <w:rFonts w:ascii="Times New Roman" w:hAnsi="Times New Roman"/>
              </w:rPr>
              <w:t>17</w:t>
            </w:r>
          </w:p>
        </w:tc>
        <w:tc>
          <w:tcPr>
            <w:tcW w:w="1134" w:type="dxa"/>
            <w:tcMar>
              <w:top w:w="15" w:type="dxa"/>
              <w:left w:w="15" w:type="dxa"/>
              <w:right w:w="15" w:type="dxa"/>
            </w:tcMar>
            <w:vAlign w:val="center"/>
          </w:tcPr>
          <w:p>
            <w:pPr>
              <w:pStyle w:val="39"/>
              <w:rPr>
                <w:rFonts w:ascii="Times New Roman" w:hAnsi="Times New Roman"/>
              </w:rPr>
            </w:pPr>
            <w:r>
              <w:rPr>
                <w:rFonts w:ascii="Times New Roman" w:hAnsi="Times New Roman"/>
              </w:rPr>
              <w:t>10</w:t>
            </w:r>
          </w:p>
        </w:tc>
        <w:tc>
          <w:tcPr>
            <w:tcW w:w="2195" w:type="dxa"/>
            <w:tcMar>
              <w:top w:w="15" w:type="dxa"/>
              <w:left w:w="15" w:type="dxa"/>
              <w:right w:w="15" w:type="dxa"/>
            </w:tcMar>
            <w:vAlign w:val="center"/>
          </w:tcPr>
          <w:p>
            <w:pPr>
              <w:pStyle w:val="39"/>
              <w:rPr>
                <w:rFonts w:ascii="Times New Roman" w:hAnsi="Times New Roman"/>
              </w:rPr>
            </w:pPr>
            <w:r>
              <w:rPr>
                <w:rFonts w:ascii="Times New Roman" w:hAnsi="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70" w:type="dxa"/>
            <w:tcMar>
              <w:top w:w="15" w:type="dxa"/>
              <w:left w:w="15" w:type="dxa"/>
              <w:right w:w="15" w:type="dxa"/>
            </w:tcMar>
            <w:vAlign w:val="center"/>
          </w:tcPr>
          <w:p>
            <w:pPr>
              <w:pStyle w:val="39"/>
              <w:rPr>
                <w:rFonts w:ascii="Times New Roman" w:hAnsi="Times New Roman"/>
              </w:rPr>
            </w:pPr>
            <w:r>
              <w:rPr>
                <w:rFonts w:ascii="Times New Roman" w:hAnsi="Times New Roman"/>
                <w:lang w:bidi="ar"/>
              </w:rPr>
              <w:t>逃生呼吸器（套）</w:t>
            </w:r>
          </w:p>
        </w:tc>
        <w:tc>
          <w:tcPr>
            <w:tcW w:w="931" w:type="dxa"/>
            <w:tcMar>
              <w:top w:w="15" w:type="dxa"/>
              <w:left w:w="15" w:type="dxa"/>
              <w:right w:w="15" w:type="dxa"/>
            </w:tcMar>
            <w:vAlign w:val="center"/>
          </w:tcPr>
          <w:p>
            <w:pPr>
              <w:pStyle w:val="39"/>
              <w:rPr>
                <w:rFonts w:ascii="Times New Roman" w:hAnsi="Times New Roman"/>
              </w:rPr>
            </w:pPr>
            <w:r>
              <w:rPr>
                <w:rFonts w:ascii="Times New Roman" w:hAnsi="Times New Roman"/>
              </w:rPr>
              <w:t>0</w:t>
            </w:r>
          </w:p>
        </w:tc>
        <w:tc>
          <w:tcPr>
            <w:tcW w:w="939" w:type="dxa"/>
            <w:tcMar>
              <w:top w:w="15" w:type="dxa"/>
              <w:left w:w="15" w:type="dxa"/>
              <w:right w:w="15" w:type="dxa"/>
            </w:tcMar>
            <w:vAlign w:val="center"/>
          </w:tcPr>
          <w:p>
            <w:pPr>
              <w:pStyle w:val="39"/>
              <w:rPr>
                <w:rFonts w:ascii="Times New Roman" w:hAnsi="Times New Roman"/>
              </w:rPr>
            </w:pPr>
            <w:r>
              <w:rPr>
                <w:rFonts w:ascii="Times New Roman" w:hAnsi="Times New Roman"/>
              </w:rPr>
              <w:t>10</w:t>
            </w:r>
          </w:p>
        </w:tc>
        <w:tc>
          <w:tcPr>
            <w:tcW w:w="1134" w:type="dxa"/>
            <w:tcMar>
              <w:top w:w="15" w:type="dxa"/>
              <w:left w:w="15" w:type="dxa"/>
              <w:right w:w="15" w:type="dxa"/>
            </w:tcMar>
            <w:vAlign w:val="center"/>
          </w:tcPr>
          <w:p>
            <w:pPr>
              <w:pStyle w:val="39"/>
              <w:rPr>
                <w:rFonts w:ascii="Times New Roman" w:hAnsi="Times New Roman"/>
              </w:rPr>
            </w:pPr>
            <w:r>
              <w:rPr>
                <w:rFonts w:ascii="Times New Roman" w:hAnsi="Times New Roman"/>
              </w:rPr>
              <w:t>0</w:t>
            </w:r>
          </w:p>
        </w:tc>
        <w:tc>
          <w:tcPr>
            <w:tcW w:w="2195" w:type="dxa"/>
            <w:tcMar>
              <w:top w:w="15" w:type="dxa"/>
              <w:left w:w="15" w:type="dxa"/>
              <w:right w:w="15" w:type="dxa"/>
            </w:tcMar>
            <w:vAlign w:val="center"/>
          </w:tcPr>
          <w:p>
            <w:pPr>
              <w:pStyle w:val="39"/>
              <w:rPr>
                <w:rFonts w:ascii="Times New Roman" w:hAnsi="Times New Roman"/>
              </w:rPr>
            </w:pPr>
            <w:r>
              <w:rPr>
                <w:rFonts w:ascii="Times New Roman" w:hAnsi="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70" w:type="dxa"/>
            <w:tcMar>
              <w:top w:w="15" w:type="dxa"/>
              <w:left w:w="15" w:type="dxa"/>
              <w:right w:w="15" w:type="dxa"/>
            </w:tcMar>
            <w:vAlign w:val="center"/>
          </w:tcPr>
          <w:p>
            <w:pPr>
              <w:pStyle w:val="39"/>
              <w:rPr>
                <w:rFonts w:ascii="Times New Roman" w:hAnsi="Times New Roman"/>
              </w:rPr>
            </w:pPr>
            <w:r>
              <w:rPr>
                <w:rFonts w:ascii="Times New Roman" w:hAnsi="Times New Roman"/>
                <w:lang w:bidi="ar"/>
              </w:rPr>
              <w:t>防爆泛光灯（台）</w:t>
            </w:r>
          </w:p>
        </w:tc>
        <w:tc>
          <w:tcPr>
            <w:tcW w:w="931" w:type="dxa"/>
            <w:tcMar>
              <w:top w:w="15" w:type="dxa"/>
              <w:left w:w="15" w:type="dxa"/>
              <w:right w:w="15" w:type="dxa"/>
            </w:tcMar>
            <w:vAlign w:val="center"/>
          </w:tcPr>
          <w:p>
            <w:pPr>
              <w:pStyle w:val="39"/>
              <w:rPr>
                <w:rFonts w:ascii="Times New Roman" w:hAnsi="Times New Roman"/>
              </w:rPr>
            </w:pPr>
            <w:r>
              <w:rPr>
                <w:rFonts w:ascii="Times New Roman" w:hAnsi="Times New Roman"/>
              </w:rPr>
              <w:t>4</w:t>
            </w:r>
          </w:p>
        </w:tc>
        <w:tc>
          <w:tcPr>
            <w:tcW w:w="939" w:type="dxa"/>
            <w:tcMar>
              <w:top w:w="15" w:type="dxa"/>
              <w:left w:w="15" w:type="dxa"/>
              <w:right w:w="15" w:type="dxa"/>
            </w:tcMar>
            <w:vAlign w:val="center"/>
          </w:tcPr>
          <w:p>
            <w:pPr>
              <w:pStyle w:val="39"/>
              <w:rPr>
                <w:rFonts w:ascii="Times New Roman" w:hAnsi="Times New Roman"/>
              </w:rPr>
            </w:pPr>
            <w:r>
              <w:rPr>
                <w:rFonts w:ascii="Times New Roman" w:hAnsi="Times New Roman"/>
              </w:rPr>
              <w:t>3</w:t>
            </w:r>
          </w:p>
        </w:tc>
        <w:tc>
          <w:tcPr>
            <w:tcW w:w="1134" w:type="dxa"/>
            <w:tcMar>
              <w:top w:w="15" w:type="dxa"/>
              <w:left w:w="15" w:type="dxa"/>
              <w:right w:w="15" w:type="dxa"/>
            </w:tcMar>
            <w:vAlign w:val="center"/>
          </w:tcPr>
          <w:p>
            <w:pPr>
              <w:pStyle w:val="39"/>
              <w:rPr>
                <w:rFonts w:ascii="Times New Roman" w:hAnsi="Times New Roman"/>
              </w:rPr>
            </w:pPr>
            <w:r>
              <w:rPr>
                <w:rFonts w:ascii="Times New Roman" w:hAnsi="Times New Roman"/>
              </w:rPr>
              <w:t>0</w:t>
            </w:r>
          </w:p>
        </w:tc>
        <w:tc>
          <w:tcPr>
            <w:tcW w:w="2195" w:type="dxa"/>
            <w:tcMar>
              <w:top w:w="15" w:type="dxa"/>
              <w:left w:w="15" w:type="dxa"/>
              <w:right w:w="15" w:type="dxa"/>
            </w:tcMar>
            <w:vAlign w:val="center"/>
          </w:tcPr>
          <w:p>
            <w:pPr>
              <w:pStyle w:val="39"/>
              <w:rPr>
                <w:rFonts w:ascii="Times New Roman" w:hAnsi="Times New Roman"/>
              </w:rPr>
            </w:pPr>
            <w:r>
              <w:rPr>
                <w:rFonts w:ascii="Times New Roman" w:hAnsi="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70" w:type="dxa"/>
            <w:tcMar>
              <w:top w:w="15" w:type="dxa"/>
              <w:left w:w="15" w:type="dxa"/>
              <w:right w:w="15" w:type="dxa"/>
            </w:tcMar>
            <w:vAlign w:val="center"/>
          </w:tcPr>
          <w:p>
            <w:pPr>
              <w:pStyle w:val="39"/>
              <w:rPr>
                <w:rFonts w:ascii="Times New Roman" w:hAnsi="Times New Roman"/>
              </w:rPr>
            </w:pPr>
            <w:r>
              <w:rPr>
                <w:rFonts w:ascii="Times New Roman" w:hAnsi="Times New Roman"/>
                <w:lang w:bidi="ar"/>
              </w:rPr>
              <w:t>对讲机（台）</w:t>
            </w:r>
          </w:p>
        </w:tc>
        <w:tc>
          <w:tcPr>
            <w:tcW w:w="931" w:type="dxa"/>
            <w:tcMar>
              <w:top w:w="15" w:type="dxa"/>
              <w:left w:w="15" w:type="dxa"/>
              <w:right w:w="15" w:type="dxa"/>
            </w:tcMar>
            <w:vAlign w:val="center"/>
          </w:tcPr>
          <w:p>
            <w:pPr>
              <w:pStyle w:val="39"/>
              <w:rPr>
                <w:rFonts w:ascii="Times New Roman" w:hAnsi="Times New Roman"/>
              </w:rPr>
            </w:pPr>
            <w:r>
              <w:rPr>
                <w:rFonts w:ascii="Times New Roman" w:hAnsi="Times New Roman"/>
              </w:rPr>
              <w:t>18</w:t>
            </w:r>
          </w:p>
        </w:tc>
        <w:tc>
          <w:tcPr>
            <w:tcW w:w="939" w:type="dxa"/>
            <w:tcMar>
              <w:top w:w="15" w:type="dxa"/>
              <w:left w:w="15" w:type="dxa"/>
              <w:right w:w="15" w:type="dxa"/>
            </w:tcMar>
            <w:vAlign w:val="center"/>
          </w:tcPr>
          <w:p>
            <w:pPr>
              <w:pStyle w:val="39"/>
              <w:rPr>
                <w:rFonts w:ascii="Times New Roman" w:hAnsi="Times New Roman"/>
              </w:rPr>
            </w:pPr>
            <w:r>
              <w:rPr>
                <w:rFonts w:ascii="Times New Roman" w:hAnsi="Times New Roman"/>
              </w:rPr>
              <w:t>0</w:t>
            </w:r>
          </w:p>
        </w:tc>
        <w:tc>
          <w:tcPr>
            <w:tcW w:w="1134" w:type="dxa"/>
            <w:tcMar>
              <w:top w:w="15" w:type="dxa"/>
              <w:left w:w="15" w:type="dxa"/>
              <w:right w:w="15" w:type="dxa"/>
            </w:tcMar>
            <w:vAlign w:val="center"/>
          </w:tcPr>
          <w:p>
            <w:pPr>
              <w:pStyle w:val="39"/>
              <w:rPr>
                <w:rFonts w:ascii="Times New Roman" w:hAnsi="Times New Roman"/>
              </w:rPr>
            </w:pPr>
            <w:r>
              <w:rPr>
                <w:rFonts w:ascii="Times New Roman" w:hAnsi="Times New Roman"/>
              </w:rPr>
              <w:t>4</w:t>
            </w:r>
          </w:p>
        </w:tc>
        <w:tc>
          <w:tcPr>
            <w:tcW w:w="2195" w:type="dxa"/>
            <w:tcMar>
              <w:top w:w="15" w:type="dxa"/>
              <w:left w:w="15" w:type="dxa"/>
              <w:right w:w="15" w:type="dxa"/>
            </w:tcMar>
            <w:vAlign w:val="center"/>
          </w:tcPr>
          <w:p>
            <w:pPr>
              <w:pStyle w:val="39"/>
              <w:rPr>
                <w:rFonts w:ascii="Times New Roman" w:hAnsi="Times New Roman"/>
              </w:rPr>
            </w:pPr>
            <w:r>
              <w:rPr>
                <w:rFonts w:ascii="Times New Roman" w:hAnsi="Times New Roma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70" w:type="dxa"/>
            <w:tcMar>
              <w:top w:w="15" w:type="dxa"/>
              <w:left w:w="15" w:type="dxa"/>
              <w:right w:w="15" w:type="dxa"/>
            </w:tcMar>
            <w:vAlign w:val="center"/>
          </w:tcPr>
          <w:p>
            <w:pPr>
              <w:pStyle w:val="39"/>
              <w:rPr>
                <w:rFonts w:ascii="Times New Roman" w:hAnsi="Times New Roman"/>
              </w:rPr>
            </w:pPr>
            <w:r>
              <w:rPr>
                <w:rFonts w:ascii="Times New Roman" w:hAnsi="Times New Roman"/>
                <w:lang w:bidi="ar"/>
              </w:rPr>
              <w:t>橡皮艇（只）</w:t>
            </w:r>
          </w:p>
        </w:tc>
        <w:tc>
          <w:tcPr>
            <w:tcW w:w="931" w:type="dxa"/>
            <w:tcMar>
              <w:top w:w="15" w:type="dxa"/>
              <w:left w:w="15" w:type="dxa"/>
              <w:right w:w="15" w:type="dxa"/>
            </w:tcMar>
            <w:vAlign w:val="center"/>
          </w:tcPr>
          <w:p>
            <w:pPr>
              <w:pStyle w:val="39"/>
              <w:rPr>
                <w:rFonts w:ascii="Times New Roman" w:hAnsi="Times New Roman"/>
              </w:rPr>
            </w:pPr>
            <w:r>
              <w:rPr>
                <w:rFonts w:ascii="Times New Roman" w:hAnsi="Times New Roman"/>
              </w:rPr>
              <w:t>2</w:t>
            </w:r>
          </w:p>
        </w:tc>
        <w:tc>
          <w:tcPr>
            <w:tcW w:w="939" w:type="dxa"/>
            <w:tcMar>
              <w:top w:w="15" w:type="dxa"/>
              <w:left w:w="15" w:type="dxa"/>
              <w:right w:w="15" w:type="dxa"/>
            </w:tcMar>
            <w:vAlign w:val="center"/>
          </w:tcPr>
          <w:p>
            <w:pPr>
              <w:pStyle w:val="39"/>
              <w:rPr>
                <w:rFonts w:ascii="Times New Roman" w:hAnsi="Times New Roman"/>
              </w:rPr>
            </w:pPr>
            <w:r>
              <w:rPr>
                <w:rFonts w:ascii="Times New Roman" w:hAnsi="Times New Roman"/>
              </w:rPr>
              <w:t>1</w:t>
            </w:r>
          </w:p>
        </w:tc>
        <w:tc>
          <w:tcPr>
            <w:tcW w:w="1134" w:type="dxa"/>
            <w:tcMar>
              <w:top w:w="15" w:type="dxa"/>
              <w:left w:w="15" w:type="dxa"/>
              <w:right w:w="15" w:type="dxa"/>
            </w:tcMar>
            <w:vAlign w:val="center"/>
          </w:tcPr>
          <w:p>
            <w:pPr>
              <w:pStyle w:val="39"/>
              <w:rPr>
                <w:rFonts w:ascii="Times New Roman" w:hAnsi="Times New Roman"/>
              </w:rPr>
            </w:pPr>
            <w:r>
              <w:rPr>
                <w:rFonts w:ascii="Times New Roman" w:hAnsi="Times New Roman"/>
              </w:rPr>
              <w:t>1</w:t>
            </w:r>
          </w:p>
        </w:tc>
        <w:tc>
          <w:tcPr>
            <w:tcW w:w="2195" w:type="dxa"/>
            <w:tcMar>
              <w:top w:w="15" w:type="dxa"/>
              <w:left w:w="15" w:type="dxa"/>
              <w:right w:w="15" w:type="dxa"/>
            </w:tcMar>
            <w:vAlign w:val="center"/>
          </w:tcPr>
          <w:p>
            <w:pPr>
              <w:pStyle w:val="39"/>
              <w:rPr>
                <w:rFonts w:ascii="Times New Roman" w:hAnsi="Times New Roman"/>
              </w:rPr>
            </w:pPr>
            <w:r>
              <w:rPr>
                <w:rFonts w:ascii="Times New Roman" w:hAnsi="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70" w:type="dxa"/>
            <w:tcMar>
              <w:top w:w="15" w:type="dxa"/>
              <w:left w:w="15" w:type="dxa"/>
              <w:right w:w="15" w:type="dxa"/>
            </w:tcMar>
            <w:vAlign w:val="center"/>
          </w:tcPr>
          <w:p>
            <w:pPr>
              <w:pStyle w:val="39"/>
              <w:rPr>
                <w:rFonts w:ascii="Times New Roman" w:hAnsi="Times New Roman"/>
              </w:rPr>
            </w:pPr>
            <w:r>
              <w:rPr>
                <w:rFonts w:ascii="Times New Roman" w:hAnsi="Times New Roman"/>
                <w:lang w:bidi="ar"/>
              </w:rPr>
              <w:t>救生衣（件）</w:t>
            </w:r>
          </w:p>
        </w:tc>
        <w:tc>
          <w:tcPr>
            <w:tcW w:w="931" w:type="dxa"/>
            <w:tcMar>
              <w:top w:w="15" w:type="dxa"/>
              <w:left w:w="15" w:type="dxa"/>
              <w:right w:w="15" w:type="dxa"/>
            </w:tcMar>
            <w:vAlign w:val="center"/>
          </w:tcPr>
          <w:p>
            <w:pPr>
              <w:pStyle w:val="39"/>
              <w:rPr>
                <w:rFonts w:ascii="Times New Roman" w:hAnsi="Times New Roman"/>
              </w:rPr>
            </w:pPr>
            <w:r>
              <w:rPr>
                <w:rFonts w:ascii="Times New Roman" w:hAnsi="Times New Roman"/>
              </w:rPr>
              <w:t>110</w:t>
            </w:r>
          </w:p>
        </w:tc>
        <w:tc>
          <w:tcPr>
            <w:tcW w:w="939" w:type="dxa"/>
            <w:tcMar>
              <w:top w:w="15" w:type="dxa"/>
              <w:left w:w="15" w:type="dxa"/>
              <w:right w:w="15" w:type="dxa"/>
            </w:tcMar>
            <w:vAlign w:val="center"/>
          </w:tcPr>
          <w:p>
            <w:pPr>
              <w:pStyle w:val="39"/>
              <w:rPr>
                <w:rFonts w:ascii="Times New Roman" w:hAnsi="Times New Roman"/>
              </w:rPr>
            </w:pPr>
            <w:r>
              <w:rPr>
                <w:rFonts w:ascii="Times New Roman" w:hAnsi="Times New Roman"/>
              </w:rPr>
              <w:t>30</w:t>
            </w:r>
          </w:p>
        </w:tc>
        <w:tc>
          <w:tcPr>
            <w:tcW w:w="1134" w:type="dxa"/>
            <w:tcMar>
              <w:top w:w="15" w:type="dxa"/>
              <w:left w:w="15" w:type="dxa"/>
              <w:right w:w="15" w:type="dxa"/>
            </w:tcMar>
            <w:vAlign w:val="center"/>
          </w:tcPr>
          <w:p>
            <w:pPr>
              <w:pStyle w:val="39"/>
              <w:rPr>
                <w:rFonts w:ascii="Times New Roman" w:hAnsi="Times New Roman"/>
              </w:rPr>
            </w:pPr>
            <w:r>
              <w:rPr>
                <w:rFonts w:ascii="Times New Roman" w:hAnsi="Times New Roman"/>
              </w:rPr>
              <w:t>5</w:t>
            </w:r>
          </w:p>
        </w:tc>
        <w:tc>
          <w:tcPr>
            <w:tcW w:w="2195" w:type="dxa"/>
            <w:tcMar>
              <w:top w:w="15" w:type="dxa"/>
              <w:left w:w="15" w:type="dxa"/>
              <w:right w:w="15" w:type="dxa"/>
            </w:tcMar>
            <w:vAlign w:val="center"/>
          </w:tcPr>
          <w:p>
            <w:pPr>
              <w:pStyle w:val="39"/>
              <w:rPr>
                <w:rFonts w:ascii="Times New Roman" w:hAnsi="Times New Roman"/>
              </w:rPr>
            </w:pPr>
            <w:r>
              <w:rPr>
                <w:rFonts w:ascii="Times New Roman" w:hAnsi="Times New Roman"/>
              </w:rPr>
              <w:t>20</w:t>
            </w:r>
          </w:p>
        </w:tc>
      </w:tr>
    </w:tbl>
    <w:p>
      <w:pPr>
        <w:pStyle w:val="37"/>
        <w:rPr>
          <w:rFonts w:ascii="Times New Roman" w:hAnsi="Times New Roman" w:cs="Times New Roman"/>
        </w:rPr>
      </w:pPr>
      <w:bookmarkStart w:id="360" w:name="_Ref10895173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79</w:t>
      </w:r>
      <w:r>
        <w:rPr>
          <w:rFonts w:ascii="Times New Roman" w:hAnsi="Times New Roman" w:cs="Times New Roman"/>
        </w:rPr>
        <w:fldChar w:fldCharType="end"/>
      </w:r>
      <w:bookmarkEnd w:id="360"/>
      <w:r>
        <w:rPr>
          <w:rFonts w:ascii="Times New Roman" w:hAnsi="Times New Roman" w:cs="Times New Roman"/>
        </w:rPr>
        <w:t xml:space="preserve">  川东北气矿抢险维护中心</w:t>
      </w:r>
    </w:p>
    <w:tbl>
      <w:tblPr>
        <w:tblStyle w:val="28"/>
        <w:tblW w:w="51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86"/>
        <w:gridCol w:w="436"/>
        <w:gridCol w:w="771"/>
        <w:gridCol w:w="2911"/>
        <w:gridCol w:w="17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9" w:type="dxa"/>
            <w:vAlign w:val="center"/>
          </w:tcPr>
          <w:p>
            <w:pPr>
              <w:pStyle w:val="39"/>
              <w:rPr>
                <w:rFonts w:ascii="Times New Roman" w:hAnsi="Times New Roman"/>
              </w:rPr>
            </w:pPr>
            <w:r>
              <w:rPr>
                <w:rFonts w:ascii="Times New Roman" w:hAnsi="Times New Roman"/>
              </w:rPr>
              <w:t>地址</w:t>
            </w:r>
          </w:p>
        </w:tc>
        <w:tc>
          <w:tcPr>
            <w:tcW w:w="5691" w:type="dxa"/>
            <w:gridSpan w:val="4"/>
            <w:vAlign w:val="center"/>
          </w:tcPr>
          <w:p>
            <w:pPr>
              <w:pStyle w:val="39"/>
              <w:rPr>
                <w:rFonts w:ascii="Times New Roman" w:hAnsi="Times New Roman"/>
              </w:rPr>
            </w:pPr>
            <w:r>
              <w:rPr>
                <w:rFonts w:ascii="Times New Roman" w:hAnsi="Times New Roman"/>
              </w:rPr>
              <w:t>四川省达州市西外凤凰大道436号川东北气矿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9" w:type="dxa"/>
            <w:vAlign w:val="center"/>
          </w:tcPr>
          <w:p>
            <w:pPr>
              <w:pStyle w:val="39"/>
              <w:rPr>
                <w:rFonts w:ascii="Times New Roman" w:hAnsi="Times New Roman"/>
              </w:rPr>
            </w:pPr>
            <w:r>
              <w:rPr>
                <w:rFonts w:ascii="Times New Roman" w:hAnsi="Times New Roman"/>
              </w:rPr>
              <w:t>单位负责人</w:t>
            </w:r>
          </w:p>
        </w:tc>
        <w:tc>
          <w:tcPr>
            <w:tcW w:w="1175" w:type="dxa"/>
            <w:gridSpan w:val="2"/>
            <w:vAlign w:val="center"/>
          </w:tcPr>
          <w:p>
            <w:pPr>
              <w:pStyle w:val="39"/>
              <w:rPr>
                <w:rFonts w:ascii="Times New Roman" w:hAnsi="Times New Roman"/>
              </w:rPr>
            </w:pPr>
            <w:r>
              <w:rPr>
                <w:rFonts w:ascii="Times New Roman" w:hAnsi="Times New Roman"/>
              </w:rPr>
              <w:t>张力</w:t>
            </w:r>
          </w:p>
        </w:tc>
        <w:tc>
          <w:tcPr>
            <w:tcW w:w="2834" w:type="dxa"/>
            <w:vAlign w:val="center"/>
          </w:tcPr>
          <w:p>
            <w:pPr>
              <w:pStyle w:val="39"/>
              <w:rPr>
                <w:rFonts w:ascii="Times New Roman" w:hAnsi="Times New Roman"/>
              </w:rPr>
            </w:pPr>
            <w:r>
              <w:rPr>
                <w:rFonts w:ascii="Times New Roman" w:hAnsi="Times New Roman"/>
              </w:rPr>
              <w:t>电话</w:t>
            </w:r>
          </w:p>
        </w:tc>
        <w:tc>
          <w:tcPr>
            <w:tcW w:w="1682" w:type="dxa"/>
            <w:vAlign w:val="center"/>
          </w:tcPr>
          <w:p>
            <w:pPr>
              <w:pStyle w:val="39"/>
              <w:rPr>
                <w:rFonts w:ascii="Times New Roman" w:hAnsi="Times New Roman"/>
              </w:rPr>
            </w:pPr>
            <w:r>
              <w:rPr>
                <w:rFonts w:ascii="Times New Roman" w:hAnsi="Times New Roman"/>
              </w:rPr>
              <w:t>13882885010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9" w:type="dxa"/>
            <w:vAlign w:val="center"/>
          </w:tcPr>
          <w:p>
            <w:pPr>
              <w:pStyle w:val="39"/>
              <w:rPr>
                <w:rFonts w:ascii="Times New Roman" w:hAnsi="Times New Roman"/>
              </w:rPr>
            </w:pPr>
            <w:r>
              <w:rPr>
                <w:rFonts w:ascii="Times New Roman" w:hAnsi="Times New Roman"/>
              </w:rPr>
              <w:t>抢险人员</w:t>
            </w:r>
          </w:p>
        </w:tc>
        <w:tc>
          <w:tcPr>
            <w:tcW w:w="5691" w:type="dxa"/>
            <w:gridSpan w:val="4"/>
            <w:vAlign w:val="center"/>
          </w:tcPr>
          <w:p>
            <w:pPr>
              <w:pStyle w:val="39"/>
              <w:rPr>
                <w:rFonts w:ascii="Times New Roman" w:hAnsi="Times New Roman"/>
              </w:rPr>
            </w:pPr>
            <w:r>
              <w:rPr>
                <w:rFonts w:ascii="Times New Roman" w:hAnsi="Times New Roman"/>
              </w:rPr>
              <w:t>70人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00" w:type="dxa"/>
            <w:gridSpan w:val="5"/>
            <w:vAlign w:val="center"/>
          </w:tcPr>
          <w:p>
            <w:pPr>
              <w:pStyle w:val="39"/>
              <w:rPr>
                <w:rFonts w:ascii="Times New Roman" w:hAnsi="Times New Roman"/>
              </w:rPr>
            </w:pPr>
            <w:r>
              <w:rPr>
                <w:rFonts w:ascii="Times New Roman" w:hAnsi="Times New Roman"/>
              </w:rPr>
              <w:t>主要抢险机具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33" w:type="dxa"/>
            <w:gridSpan w:val="2"/>
            <w:vAlign w:val="center"/>
          </w:tcPr>
          <w:p>
            <w:pPr>
              <w:pStyle w:val="39"/>
              <w:rPr>
                <w:rFonts w:ascii="Times New Roman" w:hAnsi="Times New Roman"/>
              </w:rPr>
            </w:pPr>
            <w:r>
              <w:rPr>
                <w:rFonts w:ascii="Times New Roman" w:hAnsi="Times New Roman"/>
              </w:rPr>
              <w:t>名称</w:t>
            </w:r>
          </w:p>
        </w:tc>
        <w:tc>
          <w:tcPr>
            <w:tcW w:w="751" w:type="dxa"/>
            <w:vAlign w:val="center"/>
          </w:tcPr>
          <w:p>
            <w:pPr>
              <w:pStyle w:val="39"/>
              <w:rPr>
                <w:rFonts w:ascii="Times New Roman" w:hAnsi="Times New Roman"/>
              </w:rPr>
            </w:pPr>
            <w:r>
              <w:rPr>
                <w:rFonts w:ascii="Times New Roman" w:hAnsi="Times New Roman"/>
              </w:rPr>
              <w:t>数量</w:t>
            </w:r>
          </w:p>
        </w:tc>
        <w:tc>
          <w:tcPr>
            <w:tcW w:w="2834" w:type="dxa"/>
            <w:vAlign w:val="center"/>
          </w:tcPr>
          <w:p>
            <w:pPr>
              <w:pStyle w:val="39"/>
              <w:rPr>
                <w:rFonts w:ascii="Times New Roman" w:hAnsi="Times New Roman"/>
              </w:rPr>
            </w:pPr>
            <w:r>
              <w:rPr>
                <w:rFonts w:ascii="Times New Roman" w:hAnsi="Times New Roman"/>
              </w:rPr>
              <w:t>名称</w:t>
            </w:r>
          </w:p>
        </w:tc>
        <w:tc>
          <w:tcPr>
            <w:tcW w:w="1682" w:type="dxa"/>
            <w:vAlign w:val="center"/>
          </w:tcPr>
          <w:p>
            <w:pPr>
              <w:pStyle w:val="39"/>
              <w:rPr>
                <w:rFonts w:ascii="Times New Roman" w:hAnsi="Times New Roman"/>
              </w:rPr>
            </w:pPr>
            <w:r>
              <w:rPr>
                <w:rFonts w:ascii="Times New Roman" w:hAnsi="Times New Roman"/>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33" w:type="dxa"/>
            <w:gridSpan w:val="2"/>
            <w:vAlign w:val="center"/>
          </w:tcPr>
          <w:p>
            <w:pPr>
              <w:pStyle w:val="39"/>
              <w:rPr>
                <w:rFonts w:ascii="Times New Roman" w:hAnsi="Times New Roman"/>
              </w:rPr>
            </w:pPr>
            <w:r>
              <w:rPr>
                <w:rFonts w:ascii="Times New Roman" w:hAnsi="Times New Roman"/>
              </w:rPr>
              <w:t>汽油焊机（H-300T）</w:t>
            </w:r>
          </w:p>
        </w:tc>
        <w:tc>
          <w:tcPr>
            <w:tcW w:w="751" w:type="dxa"/>
            <w:vAlign w:val="center"/>
          </w:tcPr>
          <w:p>
            <w:pPr>
              <w:pStyle w:val="39"/>
              <w:rPr>
                <w:rFonts w:ascii="Times New Roman" w:hAnsi="Times New Roman"/>
              </w:rPr>
            </w:pPr>
            <w:r>
              <w:rPr>
                <w:rFonts w:ascii="Times New Roman" w:hAnsi="Times New Roman"/>
              </w:rPr>
              <w:t>1台</w:t>
            </w:r>
          </w:p>
        </w:tc>
        <w:tc>
          <w:tcPr>
            <w:tcW w:w="2834" w:type="dxa"/>
            <w:vAlign w:val="center"/>
          </w:tcPr>
          <w:p>
            <w:pPr>
              <w:pStyle w:val="39"/>
              <w:rPr>
                <w:rFonts w:ascii="Times New Roman" w:hAnsi="Times New Roman"/>
              </w:rPr>
            </w:pPr>
            <w:r>
              <w:rPr>
                <w:rFonts w:ascii="Times New Roman" w:hAnsi="Times New Roman"/>
              </w:rPr>
              <w:t>汽油焊机（H-200T）</w:t>
            </w:r>
          </w:p>
        </w:tc>
        <w:tc>
          <w:tcPr>
            <w:tcW w:w="1682" w:type="dxa"/>
            <w:vAlign w:val="center"/>
          </w:tcPr>
          <w:p>
            <w:pPr>
              <w:pStyle w:val="39"/>
              <w:rPr>
                <w:rFonts w:ascii="Times New Roman" w:hAnsi="Times New Roman"/>
              </w:rPr>
            </w:pPr>
            <w:r>
              <w:rPr>
                <w:rFonts w:ascii="Times New Roman" w:hAnsi="Times New Roman"/>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33" w:type="dxa"/>
            <w:gridSpan w:val="2"/>
            <w:vAlign w:val="center"/>
          </w:tcPr>
          <w:p>
            <w:pPr>
              <w:pStyle w:val="39"/>
              <w:rPr>
                <w:rFonts w:ascii="Times New Roman" w:hAnsi="Times New Roman"/>
              </w:rPr>
            </w:pPr>
            <w:r>
              <w:rPr>
                <w:rFonts w:ascii="Times New Roman" w:hAnsi="Times New Roman"/>
              </w:rPr>
              <w:t>逆变氩弧焊机（WS5-400）</w:t>
            </w:r>
          </w:p>
        </w:tc>
        <w:tc>
          <w:tcPr>
            <w:tcW w:w="751" w:type="dxa"/>
            <w:vAlign w:val="center"/>
          </w:tcPr>
          <w:p>
            <w:pPr>
              <w:pStyle w:val="39"/>
              <w:rPr>
                <w:rFonts w:ascii="Times New Roman" w:hAnsi="Times New Roman"/>
              </w:rPr>
            </w:pPr>
            <w:r>
              <w:rPr>
                <w:rFonts w:ascii="Times New Roman" w:hAnsi="Times New Roman"/>
              </w:rPr>
              <w:t>1台</w:t>
            </w:r>
          </w:p>
        </w:tc>
        <w:tc>
          <w:tcPr>
            <w:tcW w:w="2834" w:type="dxa"/>
            <w:vAlign w:val="center"/>
          </w:tcPr>
          <w:p>
            <w:pPr>
              <w:pStyle w:val="39"/>
              <w:rPr>
                <w:rFonts w:ascii="Times New Roman" w:hAnsi="Times New Roman"/>
              </w:rPr>
            </w:pPr>
            <w:r>
              <w:rPr>
                <w:rFonts w:ascii="Times New Roman" w:hAnsi="Times New Roman"/>
              </w:rPr>
              <w:t>焊口热处理机（WCK-30KW）</w:t>
            </w:r>
          </w:p>
        </w:tc>
        <w:tc>
          <w:tcPr>
            <w:tcW w:w="1682" w:type="dxa"/>
            <w:vAlign w:val="center"/>
          </w:tcPr>
          <w:p>
            <w:pPr>
              <w:pStyle w:val="39"/>
              <w:rPr>
                <w:rFonts w:ascii="Times New Roman" w:hAnsi="Times New Roman"/>
              </w:rPr>
            </w:pPr>
            <w:r>
              <w:rPr>
                <w:rFonts w:ascii="Times New Roman" w:hAnsi="Times New Roman"/>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33" w:type="dxa"/>
            <w:gridSpan w:val="2"/>
            <w:vAlign w:val="center"/>
          </w:tcPr>
          <w:p>
            <w:pPr>
              <w:pStyle w:val="39"/>
              <w:rPr>
                <w:rFonts w:ascii="Times New Roman" w:hAnsi="Times New Roman"/>
              </w:rPr>
            </w:pPr>
            <w:r>
              <w:rPr>
                <w:rFonts w:ascii="Times New Roman" w:hAnsi="Times New Roman"/>
              </w:rPr>
              <w:t>管道消磁机（PDM-3）</w:t>
            </w:r>
          </w:p>
        </w:tc>
        <w:tc>
          <w:tcPr>
            <w:tcW w:w="751" w:type="dxa"/>
            <w:vAlign w:val="center"/>
          </w:tcPr>
          <w:p>
            <w:pPr>
              <w:pStyle w:val="39"/>
              <w:rPr>
                <w:rFonts w:ascii="Times New Roman" w:hAnsi="Times New Roman"/>
              </w:rPr>
            </w:pPr>
            <w:r>
              <w:rPr>
                <w:rFonts w:ascii="Times New Roman" w:hAnsi="Times New Roman"/>
              </w:rPr>
              <w:t>1台</w:t>
            </w:r>
          </w:p>
        </w:tc>
        <w:tc>
          <w:tcPr>
            <w:tcW w:w="2834" w:type="dxa"/>
            <w:vAlign w:val="center"/>
          </w:tcPr>
          <w:p>
            <w:pPr>
              <w:pStyle w:val="39"/>
              <w:rPr>
                <w:rFonts w:ascii="Times New Roman" w:hAnsi="Times New Roman"/>
              </w:rPr>
            </w:pPr>
            <w:r>
              <w:rPr>
                <w:rFonts w:ascii="Times New Roman" w:hAnsi="Times New Roman"/>
              </w:rPr>
              <w:t>探管仪（PCM+检测仪）</w:t>
            </w:r>
          </w:p>
        </w:tc>
        <w:tc>
          <w:tcPr>
            <w:tcW w:w="1682" w:type="dxa"/>
            <w:vAlign w:val="center"/>
          </w:tcPr>
          <w:p>
            <w:pPr>
              <w:pStyle w:val="39"/>
              <w:rPr>
                <w:rFonts w:ascii="Times New Roman" w:hAnsi="Times New Roman"/>
              </w:rPr>
            </w:pPr>
            <w:r>
              <w:rPr>
                <w:rFonts w:ascii="Times New Roman" w:hAnsi="Times New Roman"/>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33" w:type="dxa"/>
            <w:gridSpan w:val="2"/>
            <w:vAlign w:val="center"/>
          </w:tcPr>
          <w:p>
            <w:pPr>
              <w:pStyle w:val="39"/>
              <w:rPr>
                <w:rFonts w:ascii="Times New Roman" w:hAnsi="Times New Roman"/>
              </w:rPr>
            </w:pPr>
            <w:r>
              <w:rPr>
                <w:rFonts w:ascii="Times New Roman" w:hAnsi="Times New Roman"/>
              </w:rPr>
              <w:t>割管器（9件套）</w:t>
            </w:r>
          </w:p>
        </w:tc>
        <w:tc>
          <w:tcPr>
            <w:tcW w:w="751" w:type="dxa"/>
            <w:vAlign w:val="center"/>
          </w:tcPr>
          <w:p>
            <w:pPr>
              <w:pStyle w:val="39"/>
              <w:rPr>
                <w:rFonts w:ascii="Times New Roman" w:hAnsi="Times New Roman"/>
              </w:rPr>
            </w:pPr>
            <w:r>
              <w:rPr>
                <w:rFonts w:ascii="Times New Roman" w:hAnsi="Times New Roman"/>
              </w:rPr>
              <w:t>1套</w:t>
            </w:r>
          </w:p>
        </w:tc>
        <w:tc>
          <w:tcPr>
            <w:tcW w:w="2834" w:type="dxa"/>
            <w:vAlign w:val="center"/>
          </w:tcPr>
          <w:p>
            <w:pPr>
              <w:pStyle w:val="39"/>
              <w:rPr>
                <w:rFonts w:ascii="Times New Roman" w:hAnsi="Times New Roman"/>
              </w:rPr>
            </w:pPr>
            <w:r>
              <w:rPr>
                <w:rFonts w:ascii="Times New Roman" w:hAnsi="Times New Roman"/>
              </w:rPr>
              <w:t>弯管机（STB101X）</w:t>
            </w:r>
          </w:p>
        </w:tc>
        <w:tc>
          <w:tcPr>
            <w:tcW w:w="1682" w:type="dxa"/>
            <w:vAlign w:val="center"/>
          </w:tcPr>
          <w:p>
            <w:pPr>
              <w:pStyle w:val="39"/>
              <w:rPr>
                <w:rFonts w:ascii="Times New Roman" w:hAnsi="Times New Roman"/>
              </w:rPr>
            </w:pPr>
            <w:r>
              <w:rPr>
                <w:rFonts w:ascii="Times New Roman" w:hAnsi="Times New Roman"/>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33" w:type="dxa"/>
            <w:gridSpan w:val="2"/>
            <w:vAlign w:val="center"/>
          </w:tcPr>
          <w:p>
            <w:pPr>
              <w:pStyle w:val="39"/>
              <w:rPr>
                <w:rFonts w:ascii="Times New Roman" w:hAnsi="Times New Roman"/>
              </w:rPr>
            </w:pPr>
            <w:r>
              <w:rPr>
                <w:rFonts w:ascii="Times New Roman" w:hAnsi="Times New Roman"/>
              </w:rPr>
              <w:t>角磨机</w:t>
            </w:r>
          </w:p>
        </w:tc>
        <w:tc>
          <w:tcPr>
            <w:tcW w:w="751" w:type="dxa"/>
            <w:vAlign w:val="center"/>
          </w:tcPr>
          <w:p>
            <w:pPr>
              <w:pStyle w:val="39"/>
              <w:rPr>
                <w:rFonts w:ascii="Times New Roman" w:hAnsi="Times New Roman"/>
              </w:rPr>
            </w:pPr>
            <w:r>
              <w:rPr>
                <w:rFonts w:ascii="Times New Roman" w:hAnsi="Times New Roman"/>
              </w:rPr>
              <w:t>1台</w:t>
            </w:r>
          </w:p>
        </w:tc>
        <w:tc>
          <w:tcPr>
            <w:tcW w:w="2834" w:type="dxa"/>
            <w:vAlign w:val="center"/>
          </w:tcPr>
          <w:p>
            <w:pPr>
              <w:pStyle w:val="39"/>
              <w:rPr>
                <w:rFonts w:ascii="Times New Roman" w:hAnsi="Times New Roman"/>
              </w:rPr>
            </w:pPr>
            <w:r>
              <w:rPr>
                <w:rFonts w:ascii="Times New Roman" w:hAnsi="Times New Roman"/>
              </w:rPr>
              <w:t>直磨机</w:t>
            </w:r>
          </w:p>
        </w:tc>
        <w:tc>
          <w:tcPr>
            <w:tcW w:w="1682" w:type="dxa"/>
            <w:vAlign w:val="center"/>
          </w:tcPr>
          <w:p>
            <w:pPr>
              <w:pStyle w:val="39"/>
              <w:rPr>
                <w:rFonts w:ascii="Times New Roman" w:hAnsi="Times New Roman"/>
              </w:rPr>
            </w:pPr>
            <w:r>
              <w:rPr>
                <w:rFonts w:ascii="Times New Roman" w:hAnsi="Times New Roman"/>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33" w:type="dxa"/>
            <w:gridSpan w:val="2"/>
            <w:vAlign w:val="center"/>
          </w:tcPr>
          <w:p>
            <w:pPr>
              <w:pStyle w:val="39"/>
              <w:rPr>
                <w:rFonts w:ascii="Times New Roman" w:hAnsi="Times New Roman"/>
              </w:rPr>
            </w:pPr>
            <w:r>
              <w:rPr>
                <w:rFonts w:ascii="Times New Roman" w:hAnsi="Times New Roman"/>
              </w:rPr>
              <w:t>密封脂加注器</w:t>
            </w:r>
          </w:p>
        </w:tc>
        <w:tc>
          <w:tcPr>
            <w:tcW w:w="751" w:type="dxa"/>
            <w:vAlign w:val="center"/>
          </w:tcPr>
          <w:p>
            <w:pPr>
              <w:pStyle w:val="39"/>
              <w:rPr>
                <w:rFonts w:ascii="Times New Roman" w:hAnsi="Times New Roman"/>
              </w:rPr>
            </w:pPr>
            <w:r>
              <w:rPr>
                <w:rFonts w:ascii="Times New Roman" w:hAnsi="Times New Roman"/>
              </w:rPr>
              <w:t>1套</w:t>
            </w:r>
          </w:p>
        </w:tc>
        <w:tc>
          <w:tcPr>
            <w:tcW w:w="2834" w:type="dxa"/>
            <w:vAlign w:val="center"/>
          </w:tcPr>
          <w:p>
            <w:pPr>
              <w:pStyle w:val="39"/>
              <w:rPr>
                <w:rFonts w:ascii="Times New Roman" w:hAnsi="Times New Roman"/>
              </w:rPr>
            </w:pPr>
            <w:r>
              <w:rPr>
                <w:rFonts w:ascii="Times New Roman" w:hAnsi="Times New Roman"/>
              </w:rPr>
              <w:t>三相汽油发电机（TF12）</w:t>
            </w:r>
          </w:p>
        </w:tc>
        <w:tc>
          <w:tcPr>
            <w:tcW w:w="1682" w:type="dxa"/>
            <w:vAlign w:val="center"/>
          </w:tcPr>
          <w:p>
            <w:pPr>
              <w:pStyle w:val="39"/>
              <w:rPr>
                <w:rFonts w:ascii="Times New Roman" w:hAnsi="Times New Roman"/>
              </w:rPr>
            </w:pPr>
            <w:r>
              <w:rPr>
                <w:rFonts w:ascii="Times New Roman" w:hAnsi="Times New Roman"/>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33" w:type="dxa"/>
            <w:gridSpan w:val="2"/>
            <w:vAlign w:val="center"/>
          </w:tcPr>
          <w:p>
            <w:pPr>
              <w:pStyle w:val="39"/>
              <w:rPr>
                <w:rFonts w:ascii="Times New Roman" w:hAnsi="Times New Roman"/>
              </w:rPr>
            </w:pPr>
            <w:r>
              <w:rPr>
                <w:rFonts w:ascii="Times New Roman" w:hAnsi="Times New Roman"/>
              </w:rPr>
              <w:t>单相汽油发电机（EC2500-CX）</w:t>
            </w:r>
          </w:p>
        </w:tc>
        <w:tc>
          <w:tcPr>
            <w:tcW w:w="751" w:type="dxa"/>
            <w:vAlign w:val="center"/>
          </w:tcPr>
          <w:p>
            <w:pPr>
              <w:pStyle w:val="39"/>
              <w:rPr>
                <w:rFonts w:ascii="Times New Roman" w:hAnsi="Times New Roman"/>
              </w:rPr>
            </w:pPr>
            <w:r>
              <w:rPr>
                <w:rFonts w:ascii="Times New Roman" w:hAnsi="Times New Roman"/>
              </w:rPr>
              <w:t>1台</w:t>
            </w:r>
          </w:p>
        </w:tc>
        <w:tc>
          <w:tcPr>
            <w:tcW w:w="2834" w:type="dxa"/>
            <w:vAlign w:val="center"/>
          </w:tcPr>
          <w:p>
            <w:pPr>
              <w:pStyle w:val="39"/>
              <w:rPr>
                <w:rFonts w:ascii="Times New Roman" w:hAnsi="Times New Roman"/>
              </w:rPr>
            </w:pPr>
            <w:r>
              <w:rPr>
                <w:rFonts w:ascii="Times New Roman" w:hAnsi="Times New Roman"/>
              </w:rPr>
              <w:t>全方位自动泛光工作灯</w:t>
            </w:r>
          </w:p>
        </w:tc>
        <w:tc>
          <w:tcPr>
            <w:tcW w:w="1682" w:type="dxa"/>
            <w:vAlign w:val="center"/>
          </w:tcPr>
          <w:p>
            <w:pPr>
              <w:pStyle w:val="39"/>
              <w:rPr>
                <w:rFonts w:ascii="Times New Roman" w:hAnsi="Times New Roman"/>
              </w:rPr>
            </w:pPr>
            <w:r>
              <w:rPr>
                <w:rFonts w:ascii="Times New Roman" w:hAnsi="Times New Roman"/>
              </w:rPr>
              <w:t>2套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33" w:type="dxa"/>
            <w:gridSpan w:val="2"/>
            <w:vAlign w:val="center"/>
          </w:tcPr>
          <w:p>
            <w:pPr>
              <w:pStyle w:val="39"/>
              <w:rPr>
                <w:rFonts w:ascii="Times New Roman" w:hAnsi="Times New Roman"/>
              </w:rPr>
            </w:pPr>
            <w:r>
              <w:rPr>
                <w:rFonts w:ascii="Times New Roman" w:hAnsi="Times New Roman"/>
              </w:rPr>
              <w:t>数字兆欧表（500-5000V）</w:t>
            </w:r>
          </w:p>
        </w:tc>
        <w:tc>
          <w:tcPr>
            <w:tcW w:w="751" w:type="dxa"/>
            <w:vAlign w:val="center"/>
          </w:tcPr>
          <w:p>
            <w:pPr>
              <w:pStyle w:val="39"/>
              <w:rPr>
                <w:rFonts w:ascii="Times New Roman" w:hAnsi="Times New Roman"/>
              </w:rPr>
            </w:pPr>
            <w:r>
              <w:rPr>
                <w:rFonts w:ascii="Times New Roman" w:hAnsi="Times New Roman"/>
              </w:rPr>
              <w:t>1台</w:t>
            </w:r>
          </w:p>
        </w:tc>
        <w:tc>
          <w:tcPr>
            <w:tcW w:w="2834" w:type="dxa"/>
            <w:vAlign w:val="center"/>
          </w:tcPr>
          <w:p>
            <w:pPr>
              <w:pStyle w:val="39"/>
              <w:rPr>
                <w:rFonts w:ascii="Times New Roman" w:hAnsi="Times New Roman"/>
              </w:rPr>
            </w:pPr>
            <w:r>
              <w:rPr>
                <w:rFonts w:ascii="Times New Roman" w:hAnsi="Times New Roman"/>
              </w:rPr>
              <w:t>接地电阻仪</w:t>
            </w:r>
          </w:p>
        </w:tc>
        <w:tc>
          <w:tcPr>
            <w:tcW w:w="1682" w:type="dxa"/>
            <w:vAlign w:val="center"/>
          </w:tcPr>
          <w:p>
            <w:pPr>
              <w:pStyle w:val="39"/>
              <w:rPr>
                <w:rFonts w:ascii="Times New Roman" w:hAnsi="Times New Roman"/>
              </w:rPr>
            </w:pPr>
            <w:r>
              <w:rPr>
                <w:rFonts w:ascii="Times New Roman" w:hAnsi="Times New Roman"/>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33" w:type="dxa"/>
            <w:gridSpan w:val="2"/>
            <w:vAlign w:val="center"/>
          </w:tcPr>
          <w:p>
            <w:pPr>
              <w:pStyle w:val="39"/>
              <w:rPr>
                <w:rFonts w:ascii="Times New Roman" w:hAnsi="Times New Roman"/>
              </w:rPr>
            </w:pPr>
            <w:r>
              <w:rPr>
                <w:rFonts w:ascii="Times New Roman" w:hAnsi="Times New Roman"/>
              </w:rPr>
              <w:t>绝缘棒（10kV）</w:t>
            </w:r>
          </w:p>
        </w:tc>
        <w:tc>
          <w:tcPr>
            <w:tcW w:w="751" w:type="dxa"/>
            <w:vAlign w:val="center"/>
          </w:tcPr>
          <w:p>
            <w:pPr>
              <w:pStyle w:val="39"/>
              <w:rPr>
                <w:rFonts w:ascii="Times New Roman" w:hAnsi="Times New Roman"/>
              </w:rPr>
            </w:pPr>
            <w:r>
              <w:rPr>
                <w:rFonts w:ascii="Times New Roman" w:hAnsi="Times New Roman"/>
              </w:rPr>
              <w:t>1套</w:t>
            </w:r>
          </w:p>
        </w:tc>
        <w:tc>
          <w:tcPr>
            <w:tcW w:w="2834" w:type="dxa"/>
            <w:vAlign w:val="center"/>
          </w:tcPr>
          <w:p>
            <w:pPr>
              <w:pStyle w:val="39"/>
              <w:rPr>
                <w:rFonts w:ascii="Times New Roman" w:hAnsi="Times New Roman"/>
              </w:rPr>
            </w:pPr>
            <w:r>
              <w:rPr>
                <w:rFonts w:ascii="Times New Roman" w:hAnsi="Times New Roman"/>
              </w:rPr>
              <w:t>保护接地线</w:t>
            </w:r>
          </w:p>
        </w:tc>
        <w:tc>
          <w:tcPr>
            <w:tcW w:w="1682" w:type="dxa"/>
            <w:vAlign w:val="center"/>
          </w:tcPr>
          <w:p>
            <w:pPr>
              <w:pStyle w:val="39"/>
              <w:rPr>
                <w:rFonts w:ascii="Times New Roman" w:hAnsi="Times New Roman"/>
              </w:rPr>
            </w:pPr>
            <w:r>
              <w:rPr>
                <w:rFonts w:ascii="Times New Roman" w:hAnsi="Times New Roman"/>
              </w:rPr>
              <w:t>2套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33" w:type="dxa"/>
            <w:gridSpan w:val="2"/>
            <w:vAlign w:val="center"/>
          </w:tcPr>
          <w:p>
            <w:pPr>
              <w:pStyle w:val="39"/>
              <w:rPr>
                <w:rFonts w:ascii="Times New Roman" w:hAnsi="Times New Roman"/>
              </w:rPr>
            </w:pPr>
            <w:r>
              <w:rPr>
                <w:rFonts w:ascii="Times New Roman" w:hAnsi="Times New Roman"/>
              </w:rPr>
              <w:t>高压试电笔（10kV）</w:t>
            </w:r>
          </w:p>
        </w:tc>
        <w:tc>
          <w:tcPr>
            <w:tcW w:w="751" w:type="dxa"/>
            <w:vAlign w:val="center"/>
          </w:tcPr>
          <w:p>
            <w:pPr>
              <w:pStyle w:val="39"/>
              <w:rPr>
                <w:rFonts w:ascii="Times New Roman" w:hAnsi="Times New Roman"/>
              </w:rPr>
            </w:pPr>
            <w:r>
              <w:rPr>
                <w:rFonts w:ascii="Times New Roman" w:hAnsi="Times New Roman"/>
              </w:rPr>
              <w:t>1支</w:t>
            </w:r>
          </w:p>
        </w:tc>
        <w:tc>
          <w:tcPr>
            <w:tcW w:w="2834" w:type="dxa"/>
            <w:vAlign w:val="center"/>
          </w:tcPr>
          <w:p>
            <w:pPr>
              <w:pStyle w:val="39"/>
              <w:rPr>
                <w:rFonts w:ascii="Times New Roman" w:hAnsi="Times New Roman"/>
              </w:rPr>
            </w:pPr>
            <w:r>
              <w:rPr>
                <w:rFonts w:ascii="Times New Roman" w:hAnsi="Times New Roman"/>
              </w:rPr>
              <w:t>绝缘手套（12kV）</w:t>
            </w:r>
          </w:p>
        </w:tc>
        <w:tc>
          <w:tcPr>
            <w:tcW w:w="1682" w:type="dxa"/>
            <w:vAlign w:val="center"/>
          </w:tcPr>
          <w:p>
            <w:pPr>
              <w:pStyle w:val="39"/>
              <w:rPr>
                <w:rFonts w:ascii="Times New Roman" w:hAnsi="Times New Roman"/>
              </w:rPr>
            </w:pPr>
            <w:r>
              <w:rPr>
                <w:rFonts w:ascii="Times New Roman" w:hAnsi="Times New Roman"/>
              </w:rPr>
              <w:t>2双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33" w:type="dxa"/>
            <w:gridSpan w:val="2"/>
            <w:vAlign w:val="center"/>
          </w:tcPr>
          <w:p>
            <w:pPr>
              <w:pStyle w:val="39"/>
              <w:rPr>
                <w:rFonts w:ascii="Times New Roman" w:hAnsi="Times New Roman"/>
              </w:rPr>
            </w:pPr>
            <w:r>
              <w:rPr>
                <w:rFonts w:ascii="Times New Roman" w:hAnsi="Times New Roman"/>
              </w:rPr>
              <w:t>绝缘雨靴（30kV）</w:t>
            </w:r>
          </w:p>
        </w:tc>
        <w:tc>
          <w:tcPr>
            <w:tcW w:w="751" w:type="dxa"/>
            <w:vAlign w:val="center"/>
          </w:tcPr>
          <w:p>
            <w:pPr>
              <w:pStyle w:val="39"/>
              <w:rPr>
                <w:rFonts w:ascii="Times New Roman" w:hAnsi="Times New Roman"/>
              </w:rPr>
            </w:pPr>
            <w:r>
              <w:rPr>
                <w:rFonts w:ascii="Times New Roman" w:hAnsi="Times New Roman"/>
              </w:rPr>
              <w:t>2双</w:t>
            </w:r>
          </w:p>
        </w:tc>
        <w:tc>
          <w:tcPr>
            <w:tcW w:w="2834" w:type="dxa"/>
            <w:vAlign w:val="center"/>
          </w:tcPr>
          <w:p>
            <w:pPr>
              <w:spacing w:line="240" w:lineRule="auto"/>
              <w:ind w:firstLine="480"/>
              <w:rPr>
                <w:rFonts w:ascii="Times New Roman" w:hAnsi="Times New Roman"/>
              </w:rPr>
            </w:pPr>
          </w:p>
        </w:tc>
        <w:tc>
          <w:tcPr>
            <w:tcW w:w="1682" w:type="dxa"/>
            <w:vAlign w:val="center"/>
          </w:tcPr>
          <w:p>
            <w:pPr>
              <w:spacing w:line="240" w:lineRule="auto"/>
              <w:ind w:firstLine="480"/>
              <w:rPr>
                <w:rFonts w:ascii="Times New Roman" w:hAnsi="Times New Roman"/>
              </w:rPr>
            </w:pPr>
          </w:p>
        </w:tc>
      </w:tr>
    </w:tbl>
    <w:p>
      <w:pPr>
        <w:ind w:firstLine="480"/>
        <w:rPr>
          <w:rFonts w:ascii="Times New Roman" w:hAnsi="Times New Roman"/>
        </w:rPr>
      </w:pPr>
      <w:r>
        <w:rPr>
          <w:rFonts w:ascii="Times New Roman" w:hAnsi="Times New Roman"/>
        </w:rPr>
        <w:t>本项目邻近的中石化普光气田应急救援中心为国家级的应急救援机构。普光气田应急救援中心组建于2006年6月，现有人员230余人，设置了普光消防站、毛坝应急救援站、环节监测站、医疗救护站、泥浆配送站等7个基层站。配备了消防坦克、强风抢险车、山地消防车等应急抢险装备60余台，配置气防那个、救生、化验、洗消、堵漏、消防和个人防护等各类抢险器材共3万余台件。应急物资清单见</w:t>
      </w:r>
      <w:r>
        <w:rPr>
          <w:rFonts w:ascii="Times New Roman" w:hAnsi="Times New Roman"/>
        </w:rPr>
        <w:fldChar w:fldCharType="begin"/>
      </w:r>
      <w:r>
        <w:rPr>
          <w:rFonts w:ascii="Times New Roman" w:hAnsi="Times New Roman"/>
        </w:rPr>
        <w:instrText xml:space="preserve"> REF _Ref154649542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80</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本项目周边还有宣汉天然气净化厂消气防站、罗家寨气田消防应急站，均可作为本项目的消防协作力量。应急物资清单见</w:t>
      </w:r>
      <w:r>
        <w:rPr>
          <w:rFonts w:ascii="Times New Roman" w:hAnsi="Times New Roman"/>
        </w:rPr>
        <w:fldChar w:fldCharType="begin"/>
      </w:r>
      <w:r>
        <w:rPr>
          <w:rFonts w:ascii="Times New Roman" w:hAnsi="Times New Roman"/>
        </w:rPr>
        <w:instrText xml:space="preserve"> REF _Ref154649479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81</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_Ref154649480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82</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_Ref154649481 \h  \* MERGEFORMAT </w:instrText>
      </w:r>
      <w:r>
        <w:rPr>
          <w:rFonts w:ascii="Times New Roman" w:hAnsi="Times New Roman"/>
        </w:rPr>
        <w:fldChar w:fldCharType="separate"/>
      </w:r>
      <w:r>
        <w:rPr>
          <w:rFonts w:ascii="Times New Roman" w:hAnsi="Times New Roman"/>
        </w:rPr>
        <w:t>表 7</w:t>
      </w:r>
      <w:r>
        <w:rPr>
          <w:rFonts w:ascii="Times New Roman" w:hAnsi="Times New Roman"/>
        </w:rPr>
        <w:noBreakHyphen/>
      </w:r>
      <w:r>
        <w:rPr>
          <w:rFonts w:ascii="Times New Roman" w:hAnsi="Times New Roman"/>
        </w:rPr>
        <w:t>83</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另外，中国石油四川油气田区域作业单位所建立的应急救援队伍，如位于广汉的中国石油井控应急救援中心，也可作为区域外的专业救援力量。</w:t>
      </w:r>
    </w:p>
    <w:p>
      <w:pPr>
        <w:pStyle w:val="37"/>
        <w:rPr>
          <w:rFonts w:ascii="Times New Roman" w:hAnsi="Times New Roman" w:cs="Times New Roman"/>
        </w:rPr>
      </w:pPr>
      <w:bookmarkStart w:id="361" w:name="_Ref15464954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80</w:t>
      </w:r>
      <w:r>
        <w:rPr>
          <w:rFonts w:ascii="Times New Roman" w:hAnsi="Times New Roman" w:cs="Times New Roman"/>
        </w:rPr>
        <w:fldChar w:fldCharType="end"/>
      </w:r>
      <w:bookmarkEnd w:id="361"/>
      <w:r>
        <w:rPr>
          <w:rFonts w:ascii="Times New Roman" w:hAnsi="Times New Roman" w:cs="Times New Roman"/>
        </w:rPr>
        <w:t xml:space="preserve">  普光气田应急救援中心突发环境事件主要应急物资统计</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0"/>
        <w:gridCol w:w="3856"/>
        <w:gridCol w:w="2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2309" w:type="dxa"/>
            <w:vAlign w:val="center"/>
          </w:tcPr>
          <w:p>
            <w:pPr>
              <w:pStyle w:val="39"/>
              <w:rPr>
                <w:rFonts w:ascii="Times New Roman" w:hAnsi="Times New Roman"/>
              </w:rPr>
            </w:pPr>
            <w:r>
              <w:rPr>
                <w:rFonts w:ascii="Times New Roman" w:hAnsi="Times New Roman"/>
              </w:rPr>
              <w:t>资源功能</w:t>
            </w:r>
          </w:p>
        </w:tc>
        <w:tc>
          <w:tcPr>
            <w:tcW w:w="7329" w:type="dxa"/>
            <w:gridSpan w:val="2"/>
            <w:vAlign w:val="center"/>
          </w:tcPr>
          <w:p>
            <w:pPr>
              <w:pStyle w:val="39"/>
              <w:rPr>
                <w:rFonts w:ascii="Times New Roman" w:hAnsi="Times New Roman"/>
              </w:rPr>
            </w:pPr>
            <w:r>
              <w:rPr>
                <w:rFonts w:ascii="Times New Roman" w:hAnsi="Times New Roman"/>
              </w:rPr>
              <w:t>普光气田重点应急资源名称及数量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Align w:val="center"/>
          </w:tcPr>
          <w:p>
            <w:pPr>
              <w:pStyle w:val="39"/>
              <w:rPr>
                <w:rFonts w:ascii="Times New Roman" w:hAnsi="Times New Roman"/>
              </w:rPr>
            </w:pPr>
            <w:r>
              <w:rPr>
                <w:rFonts w:ascii="Times New Roman" w:hAnsi="Times New Roman"/>
              </w:rPr>
              <w:t>污染源切断</w:t>
            </w:r>
          </w:p>
        </w:tc>
        <w:tc>
          <w:tcPr>
            <w:tcW w:w="4373" w:type="dxa"/>
            <w:vAlign w:val="center"/>
          </w:tcPr>
          <w:p>
            <w:pPr>
              <w:pStyle w:val="39"/>
              <w:rPr>
                <w:rFonts w:ascii="Times New Roman" w:hAnsi="Times New Roman"/>
              </w:rPr>
            </w:pPr>
            <w:r>
              <w:rPr>
                <w:rFonts w:ascii="Times New Roman" w:hAnsi="Times New Roman"/>
              </w:rPr>
              <w:t>便携式等离子切焊工具</w:t>
            </w:r>
          </w:p>
        </w:tc>
        <w:tc>
          <w:tcPr>
            <w:tcW w:w="2956" w:type="dxa"/>
            <w:vAlign w:val="center"/>
          </w:tcPr>
          <w:p>
            <w:pPr>
              <w:pStyle w:val="39"/>
              <w:rPr>
                <w:rFonts w:ascii="Times New Roman" w:hAnsi="Times New Roman"/>
              </w:rPr>
            </w:pPr>
            <w:r>
              <w:rPr>
                <w:rFonts w:ascii="Times New Roman" w:hAnsi="Times New Roman"/>
              </w:rPr>
              <w:t>9台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restart"/>
            <w:vAlign w:val="center"/>
          </w:tcPr>
          <w:p>
            <w:pPr>
              <w:pStyle w:val="39"/>
              <w:rPr>
                <w:rFonts w:ascii="Times New Roman" w:hAnsi="Times New Roman"/>
              </w:rPr>
            </w:pPr>
            <w:r>
              <w:rPr>
                <w:rFonts w:ascii="Times New Roman" w:hAnsi="Times New Roman"/>
              </w:rPr>
              <w:t>污染物收集</w:t>
            </w:r>
          </w:p>
        </w:tc>
        <w:tc>
          <w:tcPr>
            <w:tcW w:w="4373" w:type="dxa"/>
            <w:vAlign w:val="center"/>
          </w:tcPr>
          <w:p>
            <w:pPr>
              <w:pStyle w:val="39"/>
              <w:rPr>
                <w:rFonts w:ascii="Times New Roman" w:hAnsi="Times New Roman"/>
              </w:rPr>
            </w:pPr>
            <w:r>
              <w:rPr>
                <w:rFonts w:ascii="Times New Roman" w:hAnsi="Times New Roman"/>
              </w:rPr>
              <w:t>输转泵</w:t>
            </w:r>
          </w:p>
        </w:tc>
        <w:tc>
          <w:tcPr>
            <w:tcW w:w="2956" w:type="dxa"/>
            <w:vAlign w:val="center"/>
          </w:tcPr>
          <w:p>
            <w:pPr>
              <w:pStyle w:val="39"/>
              <w:rPr>
                <w:rFonts w:ascii="Times New Roman" w:hAnsi="Times New Roman"/>
              </w:rPr>
            </w:pPr>
            <w:r>
              <w:rPr>
                <w:rFonts w:ascii="Times New Roman" w:hAnsi="Times New Roman"/>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continue"/>
            <w:vAlign w:val="center"/>
          </w:tcPr>
          <w:p>
            <w:pPr>
              <w:ind w:firstLine="480"/>
              <w:rPr>
                <w:rFonts w:ascii="Times New Roman" w:hAnsi="Times New Roman"/>
              </w:rPr>
            </w:pPr>
          </w:p>
        </w:tc>
        <w:tc>
          <w:tcPr>
            <w:tcW w:w="4373" w:type="dxa"/>
            <w:vAlign w:val="center"/>
          </w:tcPr>
          <w:p>
            <w:pPr>
              <w:pStyle w:val="39"/>
              <w:rPr>
                <w:rFonts w:ascii="Times New Roman" w:hAnsi="Times New Roman"/>
              </w:rPr>
            </w:pPr>
            <w:r>
              <w:rPr>
                <w:rFonts w:ascii="Times New Roman" w:hAnsi="Times New Roman"/>
              </w:rPr>
              <w:t>堵漏气袋</w:t>
            </w:r>
          </w:p>
        </w:tc>
        <w:tc>
          <w:tcPr>
            <w:tcW w:w="2956" w:type="dxa"/>
            <w:vAlign w:val="center"/>
          </w:tcPr>
          <w:p>
            <w:pPr>
              <w:pStyle w:val="39"/>
              <w:rPr>
                <w:rFonts w:ascii="Times New Roman" w:hAnsi="Times New Roman"/>
              </w:rPr>
            </w:pPr>
            <w:r>
              <w:rPr>
                <w:rFonts w:ascii="Times New Roman" w:hAnsi="Times New Roman"/>
              </w:rPr>
              <w:t>12个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restart"/>
            <w:vAlign w:val="center"/>
          </w:tcPr>
          <w:p>
            <w:pPr>
              <w:pStyle w:val="39"/>
              <w:rPr>
                <w:rFonts w:ascii="Times New Roman" w:hAnsi="Times New Roman"/>
              </w:rPr>
            </w:pPr>
            <w:r>
              <w:rPr>
                <w:rFonts w:ascii="Times New Roman" w:hAnsi="Times New Roman"/>
              </w:rPr>
              <w:t>污染物降解</w:t>
            </w:r>
          </w:p>
        </w:tc>
        <w:tc>
          <w:tcPr>
            <w:tcW w:w="4373" w:type="dxa"/>
            <w:vAlign w:val="center"/>
          </w:tcPr>
          <w:p>
            <w:pPr>
              <w:pStyle w:val="39"/>
              <w:rPr>
                <w:rFonts w:ascii="Times New Roman" w:hAnsi="Times New Roman"/>
              </w:rPr>
            </w:pPr>
            <w:r>
              <w:rPr>
                <w:rFonts w:ascii="Times New Roman" w:hAnsi="Times New Roman"/>
              </w:rPr>
              <w:t>洗消站（座）</w:t>
            </w:r>
          </w:p>
        </w:tc>
        <w:tc>
          <w:tcPr>
            <w:tcW w:w="2956" w:type="dxa"/>
            <w:vAlign w:val="center"/>
          </w:tcPr>
          <w:p>
            <w:pPr>
              <w:pStyle w:val="39"/>
              <w:rPr>
                <w:rFonts w:ascii="Times New Roman" w:hAnsi="Times New Roman"/>
              </w:rPr>
            </w:pPr>
            <w:r>
              <w:rPr>
                <w:rFonts w:ascii="Times New Roman" w:hAnsi="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continue"/>
            <w:vAlign w:val="center"/>
          </w:tcPr>
          <w:p>
            <w:pPr>
              <w:ind w:firstLine="480"/>
              <w:rPr>
                <w:rFonts w:ascii="Times New Roman" w:hAnsi="Times New Roman"/>
              </w:rPr>
            </w:pPr>
          </w:p>
        </w:tc>
        <w:tc>
          <w:tcPr>
            <w:tcW w:w="4373" w:type="dxa"/>
            <w:vAlign w:val="center"/>
          </w:tcPr>
          <w:p>
            <w:pPr>
              <w:pStyle w:val="39"/>
              <w:rPr>
                <w:rFonts w:ascii="Times New Roman" w:hAnsi="Times New Roman"/>
              </w:rPr>
            </w:pPr>
            <w:r>
              <w:rPr>
                <w:rFonts w:ascii="Times New Roman" w:hAnsi="Times New Roman"/>
              </w:rPr>
              <w:t>洗消粉（袋）</w:t>
            </w:r>
          </w:p>
        </w:tc>
        <w:tc>
          <w:tcPr>
            <w:tcW w:w="2956" w:type="dxa"/>
            <w:vAlign w:val="center"/>
          </w:tcPr>
          <w:p>
            <w:pPr>
              <w:pStyle w:val="39"/>
              <w:rPr>
                <w:rFonts w:ascii="Times New Roman" w:hAnsi="Times New Roman"/>
              </w:rPr>
            </w:pPr>
            <w:r>
              <w:rPr>
                <w:rFonts w:ascii="Times New Roman" w:hAnsi="Times New Roma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restart"/>
            <w:vAlign w:val="center"/>
          </w:tcPr>
          <w:p>
            <w:pPr>
              <w:pStyle w:val="39"/>
              <w:rPr>
                <w:rFonts w:ascii="Times New Roman" w:hAnsi="Times New Roman"/>
              </w:rPr>
            </w:pPr>
            <w:r>
              <w:rPr>
                <w:rFonts w:ascii="Times New Roman" w:hAnsi="Times New Roman"/>
              </w:rPr>
              <w:t>应急指挥</w:t>
            </w:r>
          </w:p>
        </w:tc>
        <w:tc>
          <w:tcPr>
            <w:tcW w:w="4373" w:type="dxa"/>
            <w:vAlign w:val="center"/>
          </w:tcPr>
          <w:p>
            <w:pPr>
              <w:pStyle w:val="39"/>
              <w:rPr>
                <w:rFonts w:ascii="Times New Roman" w:hAnsi="Times New Roman"/>
              </w:rPr>
            </w:pPr>
            <w:r>
              <w:rPr>
                <w:rFonts w:ascii="Times New Roman" w:hAnsi="Times New Roman"/>
              </w:rPr>
              <w:t>应急指挥车</w:t>
            </w:r>
          </w:p>
        </w:tc>
        <w:tc>
          <w:tcPr>
            <w:tcW w:w="2956" w:type="dxa"/>
            <w:vAlign w:val="center"/>
          </w:tcPr>
          <w:p>
            <w:pPr>
              <w:pStyle w:val="39"/>
              <w:rPr>
                <w:rFonts w:ascii="Times New Roman" w:hAnsi="Times New Roman"/>
              </w:rPr>
            </w:pPr>
            <w:r>
              <w:rPr>
                <w:rFonts w:ascii="Times New Roman" w:hAnsi="Times New Roman"/>
              </w:rPr>
              <w:t>4辆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continue"/>
            <w:vAlign w:val="center"/>
          </w:tcPr>
          <w:p>
            <w:pPr>
              <w:ind w:firstLine="480"/>
              <w:rPr>
                <w:rFonts w:ascii="Times New Roman" w:hAnsi="Times New Roman"/>
              </w:rPr>
            </w:pPr>
          </w:p>
        </w:tc>
        <w:tc>
          <w:tcPr>
            <w:tcW w:w="4373" w:type="dxa"/>
            <w:vAlign w:val="center"/>
          </w:tcPr>
          <w:p>
            <w:pPr>
              <w:pStyle w:val="39"/>
              <w:rPr>
                <w:rFonts w:ascii="Times New Roman" w:hAnsi="Times New Roman"/>
              </w:rPr>
            </w:pPr>
            <w:r>
              <w:rPr>
                <w:rFonts w:ascii="Times New Roman" w:hAnsi="Times New Roman"/>
              </w:rPr>
              <w:t>对讲机</w:t>
            </w:r>
          </w:p>
        </w:tc>
        <w:tc>
          <w:tcPr>
            <w:tcW w:w="2956" w:type="dxa"/>
            <w:vAlign w:val="center"/>
          </w:tcPr>
          <w:p>
            <w:pPr>
              <w:pStyle w:val="39"/>
              <w:rPr>
                <w:rFonts w:ascii="Times New Roman" w:hAnsi="Times New Roman"/>
              </w:rPr>
            </w:pPr>
            <w:r>
              <w:rPr>
                <w:rFonts w:ascii="Times New Roman" w:hAnsi="Times New Roman"/>
              </w:rPr>
              <w:t>48个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continue"/>
            <w:vAlign w:val="center"/>
          </w:tcPr>
          <w:p>
            <w:pPr>
              <w:ind w:firstLine="480"/>
              <w:rPr>
                <w:rFonts w:ascii="Times New Roman" w:hAnsi="Times New Roman"/>
              </w:rPr>
            </w:pPr>
          </w:p>
        </w:tc>
        <w:tc>
          <w:tcPr>
            <w:tcW w:w="4373" w:type="dxa"/>
            <w:vAlign w:val="center"/>
          </w:tcPr>
          <w:p>
            <w:pPr>
              <w:pStyle w:val="39"/>
              <w:rPr>
                <w:rFonts w:ascii="Times New Roman" w:hAnsi="Times New Roman"/>
              </w:rPr>
            </w:pPr>
            <w:r>
              <w:rPr>
                <w:rFonts w:ascii="Times New Roman" w:hAnsi="Times New Roman"/>
              </w:rPr>
              <w:t>定位仪</w:t>
            </w:r>
          </w:p>
        </w:tc>
        <w:tc>
          <w:tcPr>
            <w:tcW w:w="2956" w:type="dxa"/>
            <w:vAlign w:val="center"/>
          </w:tcPr>
          <w:p>
            <w:pPr>
              <w:pStyle w:val="39"/>
              <w:rPr>
                <w:rFonts w:ascii="Times New Roman" w:hAnsi="Times New Roman"/>
              </w:rPr>
            </w:pPr>
            <w:r>
              <w:rPr>
                <w:rFonts w:ascii="Times New Roman" w:hAnsi="Times New Roman"/>
              </w:rPr>
              <w:t>8个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continue"/>
            <w:vAlign w:val="center"/>
          </w:tcPr>
          <w:p>
            <w:pPr>
              <w:ind w:firstLine="480"/>
              <w:rPr>
                <w:rFonts w:ascii="Times New Roman" w:hAnsi="Times New Roman"/>
              </w:rPr>
            </w:pPr>
          </w:p>
        </w:tc>
        <w:tc>
          <w:tcPr>
            <w:tcW w:w="4373" w:type="dxa"/>
            <w:vAlign w:val="center"/>
          </w:tcPr>
          <w:p>
            <w:pPr>
              <w:pStyle w:val="39"/>
              <w:rPr>
                <w:rFonts w:ascii="Times New Roman" w:hAnsi="Times New Roman"/>
              </w:rPr>
            </w:pPr>
            <w:r>
              <w:rPr>
                <w:rFonts w:ascii="Times New Roman" w:hAnsi="Times New Roman"/>
              </w:rPr>
              <w:t>中继台</w:t>
            </w:r>
          </w:p>
        </w:tc>
        <w:tc>
          <w:tcPr>
            <w:tcW w:w="2956" w:type="dxa"/>
            <w:vAlign w:val="center"/>
          </w:tcPr>
          <w:p>
            <w:pPr>
              <w:pStyle w:val="39"/>
              <w:rPr>
                <w:rFonts w:ascii="Times New Roman" w:hAnsi="Times New Roman"/>
              </w:rPr>
            </w:pPr>
            <w:r>
              <w:rPr>
                <w:rFonts w:ascii="Times New Roman" w:hAnsi="Times New Roman"/>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restart"/>
            <w:vAlign w:val="center"/>
          </w:tcPr>
          <w:p>
            <w:pPr>
              <w:pStyle w:val="39"/>
              <w:rPr>
                <w:rFonts w:ascii="Times New Roman" w:hAnsi="Times New Roman"/>
              </w:rPr>
            </w:pPr>
            <w:r>
              <w:rPr>
                <w:rFonts w:ascii="Times New Roman" w:hAnsi="Times New Roman"/>
              </w:rPr>
              <w:t>安全防护</w:t>
            </w:r>
          </w:p>
        </w:tc>
        <w:tc>
          <w:tcPr>
            <w:tcW w:w="4373" w:type="dxa"/>
            <w:vAlign w:val="center"/>
          </w:tcPr>
          <w:p>
            <w:pPr>
              <w:pStyle w:val="39"/>
              <w:rPr>
                <w:rFonts w:ascii="Times New Roman" w:hAnsi="Times New Roman"/>
              </w:rPr>
            </w:pPr>
            <w:r>
              <w:rPr>
                <w:rFonts w:ascii="Times New Roman" w:hAnsi="Times New Roman"/>
              </w:rPr>
              <w:t>防护服</w:t>
            </w:r>
          </w:p>
        </w:tc>
        <w:tc>
          <w:tcPr>
            <w:tcW w:w="2956" w:type="dxa"/>
            <w:vAlign w:val="center"/>
          </w:tcPr>
          <w:p>
            <w:pPr>
              <w:pStyle w:val="39"/>
              <w:rPr>
                <w:rFonts w:ascii="Times New Roman" w:hAnsi="Times New Roman"/>
              </w:rPr>
            </w:pPr>
            <w:r>
              <w:rPr>
                <w:rFonts w:ascii="Times New Roman" w:hAnsi="Times New Roman"/>
              </w:rPr>
              <w:t>72套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continue"/>
            <w:vAlign w:val="center"/>
          </w:tcPr>
          <w:p>
            <w:pPr>
              <w:ind w:firstLine="480"/>
              <w:rPr>
                <w:rFonts w:ascii="Times New Roman" w:hAnsi="Times New Roman"/>
              </w:rPr>
            </w:pPr>
          </w:p>
        </w:tc>
        <w:tc>
          <w:tcPr>
            <w:tcW w:w="4373" w:type="dxa"/>
            <w:vAlign w:val="center"/>
          </w:tcPr>
          <w:p>
            <w:pPr>
              <w:pStyle w:val="39"/>
              <w:rPr>
                <w:rFonts w:ascii="Times New Roman" w:hAnsi="Times New Roman"/>
              </w:rPr>
            </w:pPr>
            <w:r>
              <w:rPr>
                <w:rFonts w:ascii="Times New Roman" w:hAnsi="Times New Roman"/>
              </w:rPr>
              <w:t>防护手套</w:t>
            </w:r>
          </w:p>
        </w:tc>
        <w:tc>
          <w:tcPr>
            <w:tcW w:w="2956" w:type="dxa"/>
            <w:vAlign w:val="center"/>
          </w:tcPr>
          <w:p>
            <w:pPr>
              <w:pStyle w:val="39"/>
              <w:rPr>
                <w:rFonts w:ascii="Times New Roman" w:hAnsi="Times New Roman"/>
              </w:rPr>
            </w:pPr>
            <w:r>
              <w:rPr>
                <w:rFonts w:ascii="Times New Roman" w:hAnsi="Times New Roman"/>
              </w:rPr>
              <w:t>140双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continue"/>
            <w:vAlign w:val="center"/>
          </w:tcPr>
          <w:p>
            <w:pPr>
              <w:ind w:firstLine="480"/>
              <w:rPr>
                <w:rFonts w:ascii="Times New Roman" w:hAnsi="Times New Roman"/>
              </w:rPr>
            </w:pPr>
          </w:p>
        </w:tc>
        <w:tc>
          <w:tcPr>
            <w:tcW w:w="4373" w:type="dxa"/>
            <w:vAlign w:val="center"/>
          </w:tcPr>
          <w:p>
            <w:pPr>
              <w:pStyle w:val="39"/>
              <w:rPr>
                <w:rFonts w:ascii="Times New Roman" w:hAnsi="Times New Roman"/>
              </w:rPr>
            </w:pPr>
            <w:r>
              <w:rPr>
                <w:rFonts w:ascii="Times New Roman" w:hAnsi="Times New Roman"/>
              </w:rPr>
              <w:t>空气呼吸器</w:t>
            </w:r>
          </w:p>
        </w:tc>
        <w:tc>
          <w:tcPr>
            <w:tcW w:w="2956" w:type="dxa"/>
            <w:vAlign w:val="center"/>
          </w:tcPr>
          <w:p>
            <w:pPr>
              <w:pStyle w:val="39"/>
              <w:rPr>
                <w:rFonts w:ascii="Times New Roman" w:hAnsi="Times New Roman"/>
              </w:rPr>
            </w:pPr>
            <w:r>
              <w:rPr>
                <w:rFonts w:ascii="Times New Roman" w:hAnsi="Times New Roman"/>
              </w:rPr>
              <w:t>637个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continue"/>
            <w:vAlign w:val="center"/>
          </w:tcPr>
          <w:p>
            <w:pPr>
              <w:ind w:firstLine="480"/>
              <w:rPr>
                <w:rFonts w:ascii="Times New Roman" w:hAnsi="Times New Roman"/>
              </w:rPr>
            </w:pPr>
          </w:p>
        </w:tc>
        <w:tc>
          <w:tcPr>
            <w:tcW w:w="4373" w:type="dxa"/>
            <w:vAlign w:val="center"/>
          </w:tcPr>
          <w:p>
            <w:pPr>
              <w:pStyle w:val="39"/>
              <w:rPr>
                <w:rFonts w:ascii="Times New Roman" w:hAnsi="Times New Roman"/>
              </w:rPr>
            </w:pPr>
            <w:r>
              <w:rPr>
                <w:rFonts w:ascii="Times New Roman" w:hAnsi="Times New Roman"/>
              </w:rPr>
              <w:t>安全帽</w:t>
            </w:r>
          </w:p>
        </w:tc>
        <w:tc>
          <w:tcPr>
            <w:tcW w:w="2956" w:type="dxa"/>
            <w:vAlign w:val="center"/>
          </w:tcPr>
          <w:p>
            <w:pPr>
              <w:pStyle w:val="39"/>
              <w:rPr>
                <w:rFonts w:ascii="Times New Roman" w:hAnsi="Times New Roman"/>
              </w:rPr>
            </w:pPr>
            <w:r>
              <w:rPr>
                <w:rFonts w:ascii="Times New Roman" w:hAnsi="Times New Roman"/>
              </w:rPr>
              <w:t>140个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continue"/>
            <w:vAlign w:val="center"/>
          </w:tcPr>
          <w:p>
            <w:pPr>
              <w:ind w:firstLine="480"/>
              <w:rPr>
                <w:rFonts w:ascii="Times New Roman" w:hAnsi="Times New Roman"/>
              </w:rPr>
            </w:pPr>
          </w:p>
        </w:tc>
        <w:tc>
          <w:tcPr>
            <w:tcW w:w="4373" w:type="dxa"/>
            <w:vAlign w:val="center"/>
          </w:tcPr>
          <w:p>
            <w:pPr>
              <w:pStyle w:val="39"/>
              <w:rPr>
                <w:rFonts w:ascii="Times New Roman" w:hAnsi="Times New Roman"/>
              </w:rPr>
            </w:pPr>
            <w:r>
              <w:rPr>
                <w:rFonts w:ascii="Times New Roman" w:hAnsi="Times New Roman"/>
              </w:rPr>
              <w:t>安全鞋</w:t>
            </w:r>
          </w:p>
        </w:tc>
        <w:tc>
          <w:tcPr>
            <w:tcW w:w="2956" w:type="dxa"/>
            <w:vAlign w:val="center"/>
          </w:tcPr>
          <w:p>
            <w:pPr>
              <w:pStyle w:val="39"/>
              <w:rPr>
                <w:rFonts w:ascii="Times New Roman" w:hAnsi="Times New Roman"/>
              </w:rPr>
            </w:pPr>
            <w:r>
              <w:rPr>
                <w:rFonts w:ascii="Times New Roman" w:hAnsi="Times New Roman"/>
              </w:rPr>
              <w:t>140双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continue"/>
            <w:vAlign w:val="center"/>
          </w:tcPr>
          <w:p>
            <w:pPr>
              <w:ind w:firstLine="480"/>
              <w:rPr>
                <w:rFonts w:ascii="Times New Roman" w:hAnsi="Times New Roman"/>
              </w:rPr>
            </w:pPr>
          </w:p>
        </w:tc>
        <w:tc>
          <w:tcPr>
            <w:tcW w:w="4373" w:type="dxa"/>
            <w:vAlign w:val="center"/>
          </w:tcPr>
          <w:p>
            <w:pPr>
              <w:pStyle w:val="39"/>
              <w:rPr>
                <w:rFonts w:ascii="Times New Roman" w:hAnsi="Times New Roman"/>
              </w:rPr>
            </w:pPr>
            <w:r>
              <w:rPr>
                <w:rFonts w:ascii="Times New Roman" w:hAnsi="Times New Roman"/>
              </w:rPr>
              <w:t>手套</w:t>
            </w:r>
          </w:p>
        </w:tc>
        <w:tc>
          <w:tcPr>
            <w:tcW w:w="2956" w:type="dxa"/>
            <w:vAlign w:val="center"/>
          </w:tcPr>
          <w:p>
            <w:pPr>
              <w:pStyle w:val="39"/>
              <w:rPr>
                <w:rFonts w:ascii="Times New Roman" w:hAnsi="Times New Roman"/>
              </w:rPr>
            </w:pPr>
            <w:r>
              <w:rPr>
                <w:rFonts w:ascii="Times New Roman" w:hAnsi="Times New Roman"/>
              </w:rPr>
              <w:t>140双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continue"/>
            <w:vAlign w:val="center"/>
          </w:tcPr>
          <w:p>
            <w:pPr>
              <w:ind w:firstLine="480"/>
              <w:rPr>
                <w:rFonts w:ascii="Times New Roman" w:hAnsi="Times New Roman"/>
              </w:rPr>
            </w:pPr>
          </w:p>
        </w:tc>
        <w:tc>
          <w:tcPr>
            <w:tcW w:w="4373" w:type="dxa"/>
            <w:vAlign w:val="center"/>
          </w:tcPr>
          <w:p>
            <w:pPr>
              <w:pStyle w:val="39"/>
              <w:rPr>
                <w:rFonts w:ascii="Times New Roman" w:hAnsi="Times New Roman"/>
              </w:rPr>
            </w:pPr>
            <w:r>
              <w:rPr>
                <w:rFonts w:ascii="Times New Roman" w:hAnsi="Times New Roman"/>
              </w:rPr>
              <w:t>工作服</w:t>
            </w:r>
          </w:p>
        </w:tc>
        <w:tc>
          <w:tcPr>
            <w:tcW w:w="2956" w:type="dxa"/>
            <w:vAlign w:val="center"/>
          </w:tcPr>
          <w:p>
            <w:pPr>
              <w:pStyle w:val="39"/>
              <w:rPr>
                <w:rFonts w:ascii="Times New Roman" w:hAnsi="Times New Roman"/>
              </w:rPr>
            </w:pPr>
            <w:r>
              <w:rPr>
                <w:rFonts w:ascii="Times New Roman" w:hAnsi="Times New Roman"/>
              </w:rPr>
              <w:t>130套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continue"/>
            <w:vAlign w:val="center"/>
          </w:tcPr>
          <w:p>
            <w:pPr>
              <w:ind w:firstLine="480"/>
              <w:rPr>
                <w:rFonts w:ascii="Times New Roman" w:hAnsi="Times New Roman"/>
              </w:rPr>
            </w:pPr>
          </w:p>
        </w:tc>
        <w:tc>
          <w:tcPr>
            <w:tcW w:w="4373" w:type="dxa"/>
            <w:vAlign w:val="center"/>
          </w:tcPr>
          <w:p>
            <w:pPr>
              <w:pStyle w:val="39"/>
              <w:rPr>
                <w:rFonts w:ascii="Times New Roman" w:hAnsi="Times New Roman"/>
              </w:rPr>
            </w:pPr>
            <w:r>
              <w:rPr>
                <w:rFonts w:ascii="Times New Roman" w:hAnsi="Times New Roman"/>
              </w:rPr>
              <w:t>安全绳</w:t>
            </w:r>
          </w:p>
        </w:tc>
        <w:tc>
          <w:tcPr>
            <w:tcW w:w="2956" w:type="dxa"/>
            <w:vAlign w:val="center"/>
          </w:tcPr>
          <w:p>
            <w:pPr>
              <w:pStyle w:val="39"/>
              <w:rPr>
                <w:rFonts w:ascii="Times New Roman" w:hAnsi="Times New Roman"/>
              </w:rPr>
            </w:pPr>
            <w:r>
              <w:rPr>
                <w:rFonts w:ascii="Times New Roman" w:hAnsi="Times New Roman"/>
              </w:rPr>
              <w:t>20根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restart"/>
            <w:vAlign w:val="center"/>
          </w:tcPr>
          <w:p>
            <w:pPr>
              <w:pStyle w:val="39"/>
              <w:rPr>
                <w:rFonts w:ascii="Times New Roman" w:hAnsi="Times New Roman"/>
              </w:rPr>
            </w:pPr>
            <w:r>
              <w:rPr>
                <w:rFonts w:ascii="Times New Roman" w:hAnsi="Times New Roman"/>
              </w:rPr>
              <w:t>环境监测</w:t>
            </w:r>
          </w:p>
        </w:tc>
        <w:tc>
          <w:tcPr>
            <w:tcW w:w="4373" w:type="dxa"/>
            <w:vAlign w:val="center"/>
          </w:tcPr>
          <w:p>
            <w:pPr>
              <w:pStyle w:val="39"/>
              <w:rPr>
                <w:rFonts w:ascii="Times New Roman" w:hAnsi="Times New Roman"/>
              </w:rPr>
            </w:pPr>
            <w:r>
              <w:rPr>
                <w:rFonts w:ascii="Times New Roman" w:hAnsi="Times New Roman"/>
              </w:rPr>
              <w:t>硫化氢检测仪</w:t>
            </w:r>
          </w:p>
        </w:tc>
        <w:tc>
          <w:tcPr>
            <w:tcW w:w="2956" w:type="dxa"/>
            <w:vAlign w:val="center"/>
          </w:tcPr>
          <w:p>
            <w:pPr>
              <w:pStyle w:val="39"/>
              <w:rPr>
                <w:rFonts w:ascii="Times New Roman" w:hAnsi="Times New Roman"/>
              </w:rPr>
            </w:pPr>
            <w:r>
              <w:rPr>
                <w:rFonts w:ascii="Times New Roman" w:hAnsi="Times New Roman"/>
              </w:rPr>
              <w:t>39个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continue"/>
            <w:vAlign w:val="center"/>
          </w:tcPr>
          <w:p>
            <w:pPr>
              <w:ind w:firstLine="480"/>
              <w:rPr>
                <w:rFonts w:ascii="Times New Roman" w:hAnsi="Times New Roman"/>
              </w:rPr>
            </w:pPr>
          </w:p>
        </w:tc>
        <w:tc>
          <w:tcPr>
            <w:tcW w:w="4373" w:type="dxa"/>
            <w:vAlign w:val="center"/>
          </w:tcPr>
          <w:p>
            <w:pPr>
              <w:pStyle w:val="39"/>
              <w:rPr>
                <w:rFonts w:ascii="Times New Roman" w:hAnsi="Times New Roman"/>
              </w:rPr>
            </w:pPr>
            <w:r>
              <w:rPr>
                <w:rFonts w:ascii="Times New Roman" w:hAnsi="Times New Roman"/>
              </w:rPr>
              <w:t>二氧化硫检测仪</w:t>
            </w:r>
          </w:p>
        </w:tc>
        <w:tc>
          <w:tcPr>
            <w:tcW w:w="2956" w:type="dxa"/>
            <w:vAlign w:val="center"/>
          </w:tcPr>
          <w:p>
            <w:pPr>
              <w:pStyle w:val="39"/>
              <w:rPr>
                <w:rFonts w:ascii="Times New Roman" w:hAnsi="Times New Roman"/>
              </w:rPr>
            </w:pPr>
            <w:r>
              <w:rPr>
                <w:rFonts w:ascii="Times New Roman" w:hAnsi="Times New Roman"/>
              </w:rPr>
              <w:t>9个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continue"/>
            <w:vAlign w:val="center"/>
          </w:tcPr>
          <w:p>
            <w:pPr>
              <w:ind w:firstLine="480"/>
              <w:rPr>
                <w:rFonts w:ascii="Times New Roman" w:hAnsi="Times New Roman"/>
              </w:rPr>
            </w:pPr>
          </w:p>
        </w:tc>
        <w:tc>
          <w:tcPr>
            <w:tcW w:w="4373" w:type="dxa"/>
            <w:vAlign w:val="center"/>
          </w:tcPr>
          <w:p>
            <w:pPr>
              <w:pStyle w:val="39"/>
              <w:rPr>
                <w:rFonts w:ascii="Times New Roman" w:hAnsi="Times New Roman"/>
              </w:rPr>
            </w:pPr>
            <w:r>
              <w:rPr>
                <w:rFonts w:ascii="Times New Roman" w:hAnsi="Times New Roman"/>
              </w:rPr>
              <w:t>可燃气体检测仪</w:t>
            </w:r>
          </w:p>
        </w:tc>
        <w:tc>
          <w:tcPr>
            <w:tcW w:w="2956" w:type="dxa"/>
            <w:vAlign w:val="center"/>
          </w:tcPr>
          <w:p>
            <w:pPr>
              <w:pStyle w:val="39"/>
              <w:rPr>
                <w:rFonts w:ascii="Times New Roman" w:hAnsi="Times New Roman"/>
              </w:rPr>
            </w:pPr>
            <w:r>
              <w:rPr>
                <w:rFonts w:ascii="Times New Roman" w:hAnsi="Times New Roman"/>
              </w:rPr>
              <w:t>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09" w:type="dxa"/>
            <w:vMerge w:val="continue"/>
            <w:vAlign w:val="center"/>
          </w:tcPr>
          <w:p>
            <w:pPr>
              <w:ind w:firstLine="480"/>
              <w:rPr>
                <w:rFonts w:ascii="Times New Roman" w:hAnsi="Times New Roman"/>
              </w:rPr>
            </w:pPr>
          </w:p>
        </w:tc>
        <w:tc>
          <w:tcPr>
            <w:tcW w:w="4373" w:type="dxa"/>
            <w:vAlign w:val="center"/>
          </w:tcPr>
          <w:p>
            <w:pPr>
              <w:pStyle w:val="39"/>
              <w:rPr>
                <w:rFonts w:ascii="Times New Roman" w:hAnsi="Times New Roman"/>
              </w:rPr>
            </w:pPr>
            <w:r>
              <w:rPr>
                <w:rFonts w:ascii="Times New Roman" w:hAnsi="Times New Roman"/>
              </w:rPr>
              <w:t>红外测温仪</w:t>
            </w:r>
          </w:p>
        </w:tc>
        <w:tc>
          <w:tcPr>
            <w:tcW w:w="2956" w:type="dxa"/>
            <w:vAlign w:val="center"/>
          </w:tcPr>
          <w:p>
            <w:pPr>
              <w:pStyle w:val="39"/>
              <w:rPr>
                <w:rFonts w:ascii="Times New Roman" w:hAnsi="Times New Roman"/>
              </w:rPr>
            </w:pPr>
            <w:r>
              <w:rPr>
                <w:rFonts w:ascii="Times New Roman" w:hAnsi="Times New Roman"/>
              </w:rPr>
              <w:t>2个</w:t>
            </w:r>
          </w:p>
        </w:tc>
      </w:tr>
    </w:tbl>
    <w:p>
      <w:pPr>
        <w:pStyle w:val="37"/>
        <w:rPr>
          <w:rFonts w:ascii="Times New Roman" w:hAnsi="Times New Roman" w:cs="Times New Roman"/>
        </w:rPr>
      </w:pPr>
      <w:bookmarkStart w:id="362" w:name="_Ref15464947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81</w:t>
      </w:r>
      <w:r>
        <w:rPr>
          <w:rFonts w:ascii="Times New Roman" w:hAnsi="Times New Roman" w:cs="Times New Roman"/>
        </w:rPr>
        <w:fldChar w:fldCharType="end"/>
      </w:r>
      <w:bookmarkEnd w:id="362"/>
      <w:r>
        <w:rPr>
          <w:rFonts w:ascii="Times New Roman" w:hAnsi="Times New Roman" w:cs="Times New Roman"/>
        </w:rPr>
        <w:t xml:space="preserve">  宣汉净化厂应急物资明细</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28" w:type="dxa"/>
          <w:bottom w:w="28" w:type="dxa"/>
          <w:right w:w="28" w:type="dxa"/>
        </w:tblCellMar>
      </w:tblPr>
      <w:tblGrid>
        <w:gridCol w:w="866"/>
        <w:gridCol w:w="4708"/>
        <w:gridCol w:w="2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编号</w:t>
            </w:r>
          </w:p>
        </w:tc>
        <w:tc>
          <w:tcPr>
            <w:tcW w:w="2815" w:type="pct"/>
            <w:vAlign w:val="center"/>
          </w:tcPr>
          <w:p>
            <w:pPr>
              <w:pStyle w:val="39"/>
              <w:rPr>
                <w:rFonts w:ascii="Times New Roman" w:hAnsi="Times New Roman"/>
              </w:rPr>
            </w:pPr>
            <w:r>
              <w:rPr>
                <w:rFonts w:ascii="Times New Roman" w:hAnsi="Times New Roman"/>
              </w:rPr>
              <w:t>设备描述</w:t>
            </w:r>
          </w:p>
        </w:tc>
        <w:tc>
          <w:tcPr>
            <w:tcW w:w="1667" w:type="pct"/>
            <w:vAlign w:val="center"/>
          </w:tcPr>
          <w:p>
            <w:pPr>
              <w:pStyle w:val="39"/>
              <w:rPr>
                <w:rFonts w:ascii="Times New Roman" w:hAnsi="Times New Roman"/>
              </w:rPr>
            </w:pPr>
            <w:r>
              <w:rPr>
                <w:rFonts w:ascii="Times New Roman" w:hAnsi="Times New Roman"/>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1</w:t>
            </w:r>
          </w:p>
        </w:tc>
        <w:tc>
          <w:tcPr>
            <w:tcW w:w="2815" w:type="pct"/>
            <w:vAlign w:val="center"/>
          </w:tcPr>
          <w:p>
            <w:pPr>
              <w:pStyle w:val="39"/>
              <w:rPr>
                <w:rFonts w:ascii="Times New Roman" w:hAnsi="Times New Roman"/>
              </w:rPr>
            </w:pPr>
            <w:r>
              <w:rPr>
                <w:rFonts w:ascii="Times New Roman" w:hAnsi="Times New Roman"/>
              </w:rPr>
              <w:t>消防水泵（电动）</w:t>
            </w:r>
          </w:p>
        </w:tc>
        <w:tc>
          <w:tcPr>
            <w:tcW w:w="1667" w:type="pct"/>
            <w:vAlign w:val="center"/>
          </w:tcPr>
          <w:p>
            <w:pPr>
              <w:pStyle w:val="39"/>
              <w:rPr>
                <w:rFonts w:ascii="Times New Roman" w:hAnsi="Times New Roman"/>
              </w:rPr>
            </w:pPr>
            <w:r>
              <w:rPr>
                <w:rFonts w:ascii="Times New Roman" w:hAnsi="Times New Roman"/>
              </w:rPr>
              <w:t>8台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2</w:t>
            </w:r>
          </w:p>
        </w:tc>
        <w:tc>
          <w:tcPr>
            <w:tcW w:w="2815" w:type="pct"/>
            <w:vAlign w:val="center"/>
          </w:tcPr>
          <w:p>
            <w:pPr>
              <w:pStyle w:val="39"/>
              <w:rPr>
                <w:rFonts w:ascii="Times New Roman" w:hAnsi="Times New Roman"/>
              </w:rPr>
            </w:pPr>
            <w:r>
              <w:rPr>
                <w:rFonts w:ascii="Times New Roman" w:hAnsi="Times New Roman"/>
              </w:rPr>
              <w:t>消防水泵（柴油）</w:t>
            </w:r>
          </w:p>
        </w:tc>
        <w:tc>
          <w:tcPr>
            <w:tcW w:w="1667" w:type="pct"/>
            <w:vAlign w:val="center"/>
          </w:tcPr>
          <w:p>
            <w:pPr>
              <w:pStyle w:val="39"/>
              <w:rPr>
                <w:rFonts w:ascii="Times New Roman" w:hAnsi="Times New Roman"/>
              </w:rPr>
            </w:pPr>
            <w:r>
              <w:rPr>
                <w:rFonts w:ascii="Times New Roman" w:hAnsi="Times New Roman"/>
              </w:rPr>
              <w:t>4台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3</w:t>
            </w:r>
          </w:p>
        </w:tc>
        <w:tc>
          <w:tcPr>
            <w:tcW w:w="2815" w:type="pct"/>
            <w:vAlign w:val="center"/>
          </w:tcPr>
          <w:p>
            <w:pPr>
              <w:pStyle w:val="39"/>
              <w:rPr>
                <w:rFonts w:ascii="Times New Roman" w:hAnsi="Times New Roman"/>
              </w:rPr>
            </w:pPr>
            <w:r>
              <w:rPr>
                <w:rFonts w:ascii="Times New Roman" w:hAnsi="Times New Roman"/>
              </w:rPr>
              <w:t>泡沫灭火系统</w:t>
            </w:r>
          </w:p>
        </w:tc>
        <w:tc>
          <w:tcPr>
            <w:tcW w:w="1667" w:type="pct"/>
            <w:vAlign w:val="center"/>
          </w:tcPr>
          <w:p>
            <w:pPr>
              <w:pStyle w:val="39"/>
              <w:rPr>
                <w:rFonts w:ascii="Times New Roman" w:hAnsi="Times New Roman"/>
              </w:rPr>
            </w:pPr>
            <w:r>
              <w:rPr>
                <w:rFonts w:ascii="Times New Roman" w:hAnsi="Times New Roman"/>
              </w:rPr>
              <w:t>2套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4</w:t>
            </w:r>
          </w:p>
        </w:tc>
        <w:tc>
          <w:tcPr>
            <w:tcW w:w="2815" w:type="pct"/>
            <w:vAlign w:val="center"/>
          </w:tcPr>
          <w:p>
            <w:pPr>
              <w:pStyle w:val="39"/>
              <w:rPr>
                <w:rFonts w:ascii="Times New Roman" w:hAnsi="Times New Roman"/>
              </w:rPr>
            </w:pPr>
            <w:r>
              <w:rPr>
                <w:rFonts w:ascii="Times New Roman" w:hAnsi="Times New Roman"/>
              </w:rPr>
              <w:t>七氟丙烷</w:t>
            </w:r>
          </w:p>
        </w:tc>
        <w:tc>
          <w:tcPr>
            <w:tcW w:w="1667" w:type="pct"/>
            <w:vAlign w:val="center"/>
          </w:tcPr>
          <w:p>
            <w:pPr>
              <w:pStyle w:val="39"/>
              <w:rPr>
                <w:rFonts w:ascii="Times New Roman" w:hAnsi="Times New Roman"/>
              </w:rPr>
            </w:pPr>
            <w:r>
              <w:rPr>
                <w:rFonts w:ascii="Times New Roman" w:hAnsi="Times New Roman"/>
              </w:rPr>
              <w:t>2套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5</w:t>
            </w:r>
          </w:p>
        </w:tc>
        <w:tc>
          <w:tcPr>
            <w:tcW w:w="2815" w:type="pct"/>
            <w:vAlign w:val="center"/>
          </w:tcPr>
          <w:p>
            <w:pPr>
              <w:pStyle w:val="39"/>
              <w:rPr>
                <w:rFonts w:ascii="Times New Roman" w:hAnsi="Times New Roman"/>
              </w:rPr>
            </w:pPr>
            <w:r>
              <w:rPr>
                <w:rFonts w:ascii="Times New Roman" w:hAnsi="Times New Roman"/>
              </w:rPr>
              <w:t>消防水罐</w:t>
            </w:r>
          </w:p>
        </w:tc>
        <w:tc>
          <w:tcPr>
            <w:tcW w:w="1667" w:type="pct"/>
            <w:vAlign w:val="center"/>
          </w:tcPr>
          <w:p>
            <w:pPr>
              <w:pStyle w:val="39"/>
              <w:rPr>
                <w:rFonts w:ascii="Times New Roman" w:hAnsi="Times New Roman"/>
              </w:rPr>
            </w:pPr>
            <w:r>
              <w:rPr>
                <w:rFonts w:ascii="Times New Roman" w:hAnsi="Times New Roman"/>
              </w:rPr>
              <w:t>4座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6</w:t>
            </w:r>
          </w:p>
        </w:tc>
        <w:tc>
          <w:tcPr>
            <w:tcW w:w="2815" w:type="pct"/>
            <w:vAlign w:val="center"/>
          </w:tcPr>
          <w:p>
            <w:pPr>
              <w:pStyle w:val="39"/>
              <w:rPr>
                <w:rFonts w:ascii="Times New Roman" w:hAnsi="Times New Roman"/>
              </w:rPr>
            </w:pPr>
            <w:r>
              <w:rPr>
                <w:rFonts w:ascii="Times New Roman" w:hAnsi="Times New Roman"/>
              </w:rPr>
              <w:t>消防水池</w:t>
            </w:r>
          </w:p>
        </w:tc>
        <w:tc>
          <w:tcPr>
            <w:tcW w:w="1667" w:type="pct"/>
            <w:vAlign w:val="center"/>
          </w:tcPr>
          <w:p>
            <w:pPr>
              <w:pStyle w:val="39"/>
              <w:rPr>
                <w:rFonts w:ascii="Times New Roman" w:hAnsi="Times New Roman"/>
              </w:rPr>
            </w:pPr>
            <w:r>
              <w:rPr>
                <w:rFonts w:ascii="Times New Roman" w:hAnsi="Times New Roman"/>
              </w:rPr>
              <w:t>2座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7</w:t>
            </w:r>
          </w:p>
        </w:tc>
        <w:tc>
          <w:tcPr>
            <w:tcW w:w="2815" w:type="pct"/>
            <w:vAlign w:val="center"/>
          </w:tcPr>
          <w:p>
            <w:pPr>
              <w:pStyle w:val="39"/>
              <w:rPr>
                <w:rFonts w:ascii="Times New Roman" w:hAnsi="Times New Roman"/>
              </w:rPr>
            </w:pPr>
            <w:r>
              <w:rPr>
                <w:rFonts w:ascii="Times New Roman" w:hAnsi="Times New Roman"/>
              </w:rPr>
              <w:t>消防高位水池</w:t>
            </w:r>
          </w:p>
        </w:tc>
        <w:tc>
          <w:tcPr>
            <w:tcW w:w="1667" w:type="pct"/>
            <w:vAlign w:val="center"/>
          </w:tcPr>
          <w:p>
            <w:pPr>
              <w:pStyle w:val="39"/>
              <w:rPr>
                <w:rFonts w:ascii="Times New Roman" w:hAnsi="Times New Roman"/>
              </w:rPr>
            </w:pPr>
            <w:r>
              <w:rPr>
                <w:rFonts w:ascii="Times New Roman" w:hAnsi="Times New Roman"/>
              </w:rPr>
              <w:t>2座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8</w:t>
            </w:r>
          </w:p>
        </w:tc>
        <w:tc>
          <w:tcPr>
            <w:tcW w:w="2815" w:type="pct"/>
            <w:vAlign w:val="center"/>
          </w:tcPr>
          <w:p>
            <w:pPr>
              <w:pStyle w:val="39"/>
              <w:rPr>
                <w:rFonts w:ascii="Times New Roman" w:hAnsi="Times New Roman"/>
              </w:rPr>
            </w:pPr>
            <w:r>
              <w:rPr>
                <w:rFonts w:ascii="Times New Roman" w:hAnsi="Times New Roman"/>
              </w:rPr>
              <w:t>消防栓</w:t>
            </w:r>
          </w:p>
        </w:tc>
        <w:tc>
          <w:tcPr>
            <w:tcW w:w="1667" w:type="pct"/>
            <w:vAlign w:val="center"/>
          </w:tcPr>
          <w:p>
            <w:pPr>
              <w:pStyle w:val="39"/>
              <w:rPr>
                <w:rFonts w:ascii="Times New Roman" w:hAnsi="Times New Roman"/>
              </w:rPr>
            </w:pPr>
            <w:r>
              <w:rPr>
                <w:rFonts w:ascii="Times New Roman" w:hAnsi="Times New Roman"/>
              </w:rPr>
              <w:t>104座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9</w:t>
            </w:r>
          </w:p>
        </w:tc>
        <w:tc>
          <w:tcPr>
            <w:tcW w:w="2815" w:type="pct"/>
            <w:vAlign w:val="center"/>
          </w:tcPr>
          <w:p>
            <w:pPr>
              <w:pStyle w:val="39"/>
              <w:rPr>
                <w:rFonts w:ascii="Times New Roman" w:hAnsi="Times New Roman"/>
              </w:rPr>
            </w:pPr>
            <w:r>
              <w:rPr>
                <w:rFonts w:ascii="Times New Roman" w:hAnsi="Times New Roman"/>
              </w:rPr>
              <w:t>消防栓炮</w:t>
            </w:r>
          </w:p>
        </w:tc>
        <w:tc>
          <w:tcPr>
            <w:tcW w:w="1667" w:type="pct"/>
            <w:vAlign w:val="center"/>
          </w:tcPr>
          <w:p>
            <w:pPr>
              <w:pStyle w:val="39"/>
              <w:rPr>
                <w:rFonts w:ascii="Times New Roman" w:hAnsi="Times New Roman"/>
              </w:rPr>
            </w:pPr>
            <w:r>
              <w:rPr>
                <w:rFonts w:ascii="Times New Roman" w:hAnsi="Times New Roman"/>
              </w:rPr>
              <w:t>49座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10</w:t>
            </w:r>
          </w:p>
        </w:tc>
        <w:tc>
          <w:tcPr>
            <w:tcW w:w="2815" w:type="pct"/>
            <w:vAlign w:val="center"/>
          </w:tcPr>
          <w:p>
            <w:pPr>
              <w:pStyle w:val="39"/>
              <w:rPr>
                <w:rFonts w:ascii="Times New Roman" w:hAnsi="Times New Roman"/>
              </w:rPr>
            </w:pPr>
            <w:r>
              <w:rPr>
                <w:rFonts w:ascii="Times New Roman" w:hAnsi="Times New Roman"/>
              </w:rPr>
              <w:t>室内消火栓</w:t>
            </w:r>
          </w:p>
        </w:tc>
        <w:tc>
          <w:tcPr>
            <w:tcW w:w="1667" w:type="pct"/>
            <w:vAlign w:val="center"/>
          </w:tcPr>
          <w:p>
            <w:pPr>
              <w:pStyle w:val="39"/>
              <w:rPr>
                <w:rFonts w:ascii="Times New Roman" w:hAnsi="Times New Roman"/>
              </w:rPr>
            </w:pPr>
            <w:r>
              <w:rPr>
                <w:rFonts w:ascii="Times New Roman" w:hAnsi="Times New Roman"/>
              </w:rPr>
              <w:t>58套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11</w:t>
            </w:r>
          </w:p>
        </w:tc>
        <w:tc>
          <w:tcPr>
            <w:tcW w:w="2815" w:type="pct"/>
            <w:vAlign w:val="center"/>
          </w:tcPr>
          <w:p>
            <w:pPr>
              <w:pStyle w:val="39"/>
              <w:rPr>
                <w:rFonts w:ascii="Times New Roman" w:hAnsi="Times New Roman"/>
              </w:rPr>
            </w:pPr>
            <w:r>
              <w:rPr>
                <w:rFonts w:ascii="Times New Roman" w:hAnsi="Times New Roman"/>
              </w:rPr>
              <w:t>消防水带器材箱</w:t>
            </w:r>
          </w:p>
        </w:tc>
        <w:tc>
          <w:tcPr>
            <w:tcW w:w="1667" w:type="pct"/>
            <w:vAlign w:val="center"/>
          </w:tcPr>
          <w:p>
            <w:pPr>
              <w:pStyle w:val="39"/>
              <w:rPr>
                <w:rFonts w:ascii="Times New Roman" w:hAnsi="Times New Roman"/>
              </w:rPr>
            </w:pPr>
            <w:r>
              <w:rPr>
                <w:rFonts w:ascii="Times New Roman" w:hAnsi="Times New Roman"/>
              </w:rPr>
              <w:t>150个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12</w:t>
            </w:r>
          </w:p>
        </w:tc>
        <w:tc>
          <w:tcPr>
            <w:tcW w:w="2815" w:type="pct"/>
            <w:vAlign w:val="center"/>
          </w:tcPr>
          <w:p>
            <w:pPr>
              <w:pStyle w:val="39"/>
              <w:rPr>
                <w:rFonts w:ascii="Times New Roman" w:hAnsi="Times New Roman"/>
              </w:rPr>
            </w:pPr>
            <w:r>
              <w:rPr>
                <w:rFonts w:ascii="Times New Roman" w:hAnsi="Times New Roman"/>
              </w:rPr>
              <w:t>干粉及二氧化碳灭火器（厂区配备）</w:t>
            </w:r>
          </w:p>
        </w:tc>
        <w:tc>
          <w:tcPr>
            <w:tcW w:w="1667" w:type="pct"/>
            <w:vAlign w:val="center"/>
          </w:tcPr>
          <w:p>
            <w:pPr>
              <w:pStyle w:val="39"/>
              <w:rPr>
                <w:rFonts w:ascii="Times New Roman" w:hAnsi="Times New Roman"/>
              </w:rPr>
            </w:pPr>
            <w:r>
              <w:rPr>
                <w:rFonts w:ascii="Times New Roman" w:hAnsi="Times New Roman"/>
              </w:rPr>
              <w:t>1090具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13</w:t>
            </w:r>
          </w:p>
        </w:tc>
        <w:tc>
          <w:tcPr>
            <w:tcW w:w="2815" w:type="pct"/>
            <w:vAlign w:val="center"/>
          </w:tcPr>
          <w:p>
            <w:pPr>
              <w:pStyle w:val="39"/>
              <w:rPr>
                <w:rFonts w:ascii="Times New Roman" w:hAnsi="Times New Roman"/>
              </w:rPr>
            </w:pPr>
            <w:r>
              <w:rPr>
                <w:rFonts w:ascii="Times New Roman" w:hAnsi="Times New Roman"/>
              </w:rPr>
              <w:t>干粉及二氧化碳灭火器 库存</w:t>
            </w:r>
          </w:p>
        </w:tc>
        <w:tc>
          <w:tcPr>
            <w:tcW w:w="1667" w:type="pct"/>
            <w:vAlign w:val="center"/>
          </w:tcPr>
          <w:p>
            <w:pPr>
              <w:pStyle w:val="39"/>
              <w:rPr>
                <w:rFonts w:ascii="Times New Roman" w:hAnsi="Times New Roman"/>
              </w:rPr>
            </w:pPr>
            <w:r>
              <w:rPr>
                <w:rFonts w:ascii="Times New Roman" w:hAnsi="Times New Roman"/>
              </w:rPr>
              <w:t>100具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14</w:t>
            </w:r>
          </w:p>
        </w:tc>
        <w:tc>
          <w:tcPr>
            <w:tcW w:w="2815" w:type="pct"/>
            <w:vAlign w:val="center"/>
          </w:tcPr>
          <w:p>
            <w:pPr>
              <w:pStyle w:val="39"/>
              <w:rPr>
                <w:rFonts w:ascii="Times New Roman" w:hAnsi="Times New Roman"/>
              </w:rPr>
            </w:pPr>
            <w:r>
              <w:rPr>
                <w:rFonts w:ascii="Times New Roman" w:hAnsi="Times New Roman"/>
              </w:rPr>
              <w:t>对讲机</w:t>
            </w:r>
          </w:p>
        </w:tc>
        <w:tc>
          <w:tcPr>
            <w:tcW w:w="1667" w:type="pct"/>
            <w:vAlign w:val="center"/>
          </w:tcPr>
          <w:p>
            <w:pPr>
              <w:pStyle w:val="39"/>
              <w:rPr>
                <w:rFonts w:ascii="Times New Roman" w:hAnsi="Times New Roman"/>
              </w:rPr>
            </w:pPr>
            <w:r>
              <w:rPr>
                <w:rFonts w:ascii="Times New Roman" w:hAnsi="Times New Roman"/>
              </w:rPr>
              <w:t>36台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15</w:t>
            </w:r>
          </w:p>
        </w:tc>
        <w:tc>
          <w:tcPr>
            <w:tcW w:w="2815" w:type="pct"/>
            <w:vAlign w:val="center"/>
          </w:tcPr>
          <w:p>
            <w:pPr>
              <w:pStyle w:val="39"/>
              <w:rPr>
                <w:rFonts w:ascii="Times New Roman" w:hAnsi="Times New Roman"/>
              </w:rPr>
            </w:pPr>
            <w:r>
              <w:rPr>
                <w:rFonts w:ascii="Times New Roman" w:hAnsi="Times New Roman"/>
              </w:rPr>
              <w:t>干粉灭火剂 库存</w:t>
            </w:r>
          </w:p>
        </w:tc>
        <w:tc>
          <w:tcPr>
            <w:tcW w:w="1667" w:type="pct"/>
            <w:vAlign w:val="center"/>
          </w:tcPr>
          <w:p>
            <w:pPr>
              <w:pStyle w:val="39"/>
              <w:rPr>
                <w:rFonts w:ascii="Times New Roman" w:hAnsi="Times New Roman"/>
              </w:rPr>
            </w:pPr>
            <w:r>
              <w:rPr>
                <w:rFonts w:ascii="Times New Roman" w:hAnsi="Times New Roman"/>
              </w:rPr>
              <w:t>2吨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16</w:t>
            </w:r>
          </w:p>
        </w:tc>
        <w:tc>
          <w:tcPr>
            <w:tcW w:w="2815" w:type="pct"/>
            <w:vAlign w:val="center"/>
          </w:tcPr>
          <w:p>
            <w:pPr>
              <w:pStyle w:val="39"/>
              <w:rPr>
                <w:rFonts w:ascii="Times New Roman" w:hAnsi="Times New Roman"/>
              </w:rPr>
            </w:pPr>
            <w:r>
              <w:rPr>
                <w:rFonts w:ascii="Times New Roman" w:hAnsi="Times New Roman"/>
              </w:rPr>
              <w:t>泡沫灭火剂 库存</w:t>
            </w:r>
          </w:p>
        </w:tc>
        <w:tc>
          <w:tcPr>
            <w:tcW w:w="1667" w:type="pct"/>
            <w:vAlign w:val="center"/>
          </w:tcPr>
          <w:p>
            <w:pPr>
              <w:pStyle w:val="39"/>
              <w:rPr>
                <w:rFonts w:ascii="Times New Roman" w:hAnsi="Times New Roman"/>
              </w:rPr>
            </w:pPr>
            <w:r>
              <w:rPr>
                <w:rFonts w:ascii="Times New Roman" w:hAnsi="Times New Roman"/>
              </w:rPr>
              <w:t>1吨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17</w:t>
            </w:r>
          </w:p>
        </w:tc>
        <w:tc>
          <w:tcPr>
            <w:tcW w:w="2815" w:type="pct"/>
            <w:vAlign w:val="center"/>
          </w:tcPr>
          <w:p>
            <w:pPr>
              <w:pStyle w:val="39"/>
              <w:rPr>
                <w:rFonts w:ascii="Times New Roman" w:hAnsi="Times New Roman"/>
              </w:rPr>
            </w:pPr>
            <w:r>
              <w:rPr>
                <w:rFonts w:ascii="Times New Roman" w:hAnsi="Times New Roman"/>
              </w:rPr>
              <w:t>移动式空气压缩机</w:t>
            </w:r>
          </w:p>
        </w:tc>
        <w:tc>
          <w:tcPr>
            <w:tcW w:w="1667" w:type="pct"/>
            <w:vAlign w:val="center"/>
          </w:tcPr>
          <w:p>
            <w:pPr>
              <w:pStyle w:val="39"/>
              <w:rPr>
                <w:rFonts w:ascii="Times New Roman" w:hAnsi="Times New Roman"/>
              </w:rPr>
            </w:pPr>
            <w:r>
              <w:rPr>
                <w:rFonts w:ascii="Times New Roman" w:hAnsi="Times New Roman"/>
              </w:rPr>
              <w:t>10台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18</w:t>
            </w:r>
          </w:p>
        </w:tc>
        <w:tc>
          <w:tcPr>
            <w:tcW w:w="2815" w:type="pct"/>
            <w:vAlign w:val="center"/>
          </w:tcPr>
          <w:p>
            <w:pPr>
              <w:pStyle w:val="39"/>
              <w:rPr>
                <w:rFonts w:ascii="Times New Roman" w:hAnsi="Times New Roman"/>
              </w:rPr>
            </w:pPr>
            <w:r>
              <w:rPr>
                <w:rFonts w:ascii="Times New Roman" w:hAnsi="Times New Roman"/>
              </w:rPr>
              <w:t>多种气体检测仪</w:t>
            </w:r>
          </w:p>
        </w:tc>
        <w:tc>
          <w:tcPr>
            <w:tcW w:w="1667" w:type="pct"/>
            <w:vAlign w:val="center"/>
          </w:tcPr>
          <w:p>
            <w:pPr>
              <w:pStyle w:val="39"/>
              <w:rPr>
                <w:rFonts w:ascii="Times New Roman" w:hAnsi="Times New Roman"/>
              </w:rPr>
            </w:pPr>
            <w:r>
              <w:rPr>
                <w:rFonts w:ascii="Times New Roman" w:hAnsi="Times New Roman"/>
              </w:rPr>
              <w:t>102台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19</w:t>
            </w:r>
          </w:p>
        </w:tc>
        <w:tc>
          <w:tcPr>
            <w:tcW w:w="2815" w:type="pct"/>
            <w:vAlign w:val="center"/>
          </w:tcPr>
          <w:p>
            <w:pPr>
              <w:pStyle w:val="39"/>
              <w:rPr>
                <w:rFonts w:ascii="Times New Roman" w:hAnsi="Times New Roman"/>
              </w:rPr>
            </w:pPr>
            <w:r>
              <w:rPr>
                <w:rFonts w:ascii="Times New Roman" w:hAnsi="Times New Roman"/>
              </w:rPr>
              <w:t>空气呼吸器</w:t>
            </w:r>
          </w:p>
        </w:tc>
        <w:tc>
          <w:tcPr>
            <w:tcW w:w="1667" w:type="pct"/>
            <w:vAlign w:val="center"/>
          </w:tcPr>
          <w:p>
            <w:pPr>
              <w:pStyle w:val="39"/>
              <w:rPr>
                <w:rFonts w:ascii="Times New Roman" w:hAnsi="Times New Roman"/>
              </w:rPr>
            </w:pPr>
            <w:r>
              <w:rPr>
                <w:rFonts w:ascii="Times New Roman" w:hAnsi="Times New Roman"/>
              </w:rPr>
              <w:t>121套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20</w:t>
            </w:r>
          </w:p>
        </w:tc>
        <w:tc>
          <w:tcPr>
            <w:tcW w:w="2815" w:type="pct"/>
            <w:vAlign w:val="center"/>
          </w:tcPr>
          <w:p>
            <w:pPr>
              <w:pStyle w:val="39"/>
              <w:rPr>
                <w:rFonts w:ascii="Times New Roman" w:hAnsi="Times New Roman"/>
              </w:rPr>
            </w:pPr>
            <w:r>
              <w:rPr>
                <w:rFonts w:ascii="Times New Roman" w:hAnsi="Times New Roman"/>
              </w:rPr>
              <w:t>紧急逃生空气呼吸器</w:t>
            </w:r>
          </w:p>
        </w:tc>
        <w:tc>
          <w:tcPr>
            <w:tcW w:w="1667" w:type="pct"/>
            <w:vAlign w:val="center"/>
          </w:tcPr>
          <w:p>
            <w:pPr>
              <w:pStyle w:val="39"/>
              <w:rPr>
                <w:rFonts w:ascii="Times New Roman" w:hAnsi="Times New Roman"/>
              </w:rPr>
            </w:pPr>
            <w:r>
              <w:rPr>
                <w:rFonts w:ascii="Times New Roman" w:hAnsi="Times New Roman"/>
              </w:rPr>
              <w:t>86套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21</w:t>
            </w:r>
          </w:p>
        </w:tc>
        <w:tc>
          <w:tcPr>
            <w:tcW w:w="2815" w:type="pct"/>
            <w:vAlign w:val="center"/>
          </w:tcPr>
          <w:p>
            <w:pPr>
              <w:pStyle w:val="39"/>
              <w:rPr>
                <w:rFonts w:ascii="Times New Roman" w:hAnsi="Times New Roman"/>
              </w:rPr>
            </w:pPr>
            <w:r>
              <w:rPr>
                <w:rFonts w:ascii="Times New Roman" w:hAnsi="Times New Roman"/>
              </w:rPr>
              <w:t>长管推车式空气呼吸器</w:t>
            </w:r>
          </w:p>
        </w:tc>
        <w:tc>
          <w:tcPr>
            <w:tcW w:w="1667" w:type="pct"/>
            <w:vAlign w:val="center"/>
          </w:tcPr>
          <w:p>
            <w:pPr>
              <w:pStyle w:val="39"/>
              <w:rPr>
                <w:rFonts w:ascii="Times New Roman" w:hAnsi="Times New Roman"/>
              </w:rPr>
            </w:pPr>
            <w:r>
              <w:rPr>
                <w:rFonts w:ascii="Times New Roman" w:hAnsi="Times New Roman"/>
              </w:rPr>
              <w:t>61套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18" w:type="pct"/>
            <w:vAlign w:val="center"/>
          </w:tcPr>
          <w:p>
            <w:pPr>
              <w:pStyle w:val="39"/>
              <w:rPr>
                <w:rFonts w:ascii="Times New Roman" w:hAnsi="Times New Roman"/>
              </w:rPr>
            </w:pPr>
            <w:r>
              <w:rPr>
                <w:rFonts w:ascii="Times New Roman" w:hAnsi="Times New Roman"/>
              </w:rPr>
              <w:t>22</w:t>
            </w:r>
          </w:p>
        </w:tc>
        <w:tc>
          <w:tcPr>
            <w:tcW w:w="2815" w:type="pct"/>
            <w:vAlign w:val="center"/>
          </w:tcPr>
          <w:p>
            <w:pPr>
              <w:pStyle w:val="39"/>
              <w:rPr>
                <w:rFonts w:ascii="Times New Roman" w:hAnsi="Times New Roman"/>
              </w:rPr>
            </w:pPr>
            <w:r>
              <w:rPr>
                <w:rFonts w:ascii="Times New Roman" w:hAnsi="Times New Roman"/>
              </w:rPr>
              <w:t>重型消防车（E1/E2）</w:t>
            </w:r>
          </w:p>
        </w:tc>
        <w:tc>
          <w:tcPr>
            <w:tcW w:w="1667" w:type="pct"/>
            <w:vAlign w:val="center"/>
          </w:tcPr>
          <w:p>
            <w:pPr>
              <w:pStyle w:val="39"/>
              <w:rPr>
                <w:rFonts w:ascii="Times New Roman" w:hAnsi="Times New Roman"/>
              </w:rPr>
            </w:pPr>
            <w:r>
              <w:rPr>
                <w:rFonts w:ascii="Times New Roman" w:hAnsi="Times New Roman"/>
              </w:rPr>
              <w:t>2台</w:t>
            </w:r>
          </w:p>
        </w:tc>
      </w:tr>
    </w:tbl>
    <w:p>
      <w:pPr>
        <w:pStyle w:val="37"/>
        <w:rPr>
          <w:rFonts w:ascii="Times New Roman" w:hAnsi="Times New Roman" w:cs="Times New Roman"/>
        </w:rPr>
      </w:pPr>
      <w:bookmarkStart w:id="363" w:name="_Ref154649480"/>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82</w:t>
      </w:r>
      <w:r>
        <w:rPr>
          <w:rFonts w:ascii="Times New Roman" w:hAnsi="Times New Roman" w:cs="Times New Roman"/>
        </w:rPr>
        <w:fldChar w:fldCharType="end"/>
      </w:r>
      <w:bookmarkEnd w:id="363"/>
      <w:r>
        <w:rPr>
          <w:rFonts w:ascii="Times New Roman" w:hAnsi="Times New Roman" w:cs="Times New Roman"/>
        </w:rPr>
        <w:t xml:space="preserve">  罗家寨气田消防应急站快速反应消防车器材清单</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28" w:type="dxa"/>
          <w:bottom w:w="28" w:type="dxa"/>
          <w:right w:w="28" w:type="dxa"/>
        </w:tblCellMar>
      </w:tblPr>
      <w:tblGrid>
        <w:gridCol w:w="886"/>
        <w:gridCol w:w="3949"/>
        <w:gridCol w:w="1112"/>
        <w:gridCol w:w="2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tblHeader/>
          <w:jc w:val="center"/>
        </w:trPr>
        <w:tc>
          <w:tcPr>
            <w:tcW w:w="530" w:type="pct"/>
            <w:vAlign w:val="center"/>
          </w:tcPr>
          <w:p>
            <w:pPr>
              <w:pStyle w:val="39"/>
              <w:rPr>
                <w:rFonts w:ascii="Times New Roman" w:hAnsi="Times New Roman"/>
              </w:rPr>
            </w:pPr>
            <w:r>
              <w:rPr>
                <w:rFonts w:ascii="Times New Roman" w:hAnsi="Times New Roman"/>
              </w:rPr>
              <w:t>编号</w:t>
            </w:r>
          </w:p>
        </w:tc>
        <w:tc>
          <w:tcPr>
            <w:tcW w:w="2361" w:type="pct"/>
            <w:vAlign w:val="center"/>
          </w:tcPr>
          <w:p>
            <w:pPr>
              <w:pStyle w:val="39"/>
              <w:rPr>
                <w:rFonts w:ascii="Times New Roman" w:hAnsi="Times New Roman"/>
              </w:rPr>
            </w:pPr>
            <w:r>
              <w:rPr>
                <w:rFonts w:ascii="Times New Roman" w:hAnsi="Times New Roman"/>
              </w:rPr>
              <w:t>设备描述</w:t>
            </w:r>
          </w:p>
        </w:tc>
        <w:tc>
          <w:tcPr>
            <w:tcW w:w="665" w:type="pct"/>
            <w:vAlign w:val="center"/>
          </w:tcPr>
          <w:p>
            <w:pPr>
              <w:pStyle w:val="39"/>
              <w:rPr>
                <w:rFonts w:ascii="Times New Roman" w:hAnsi="Times New Roman"/>
              </w:rPr>
            </w:pPr>
            <w:r>
              <w:rPr>
                <w:rFonts w:ascii="Times New Roman" w:hAnsi="Times New Roman"/>
              </w:rPr>
              <w:t>数量</w:t>
            </w:r>
          </w:p>
        </w:tc>
        <w:tc>
          <w:tcPr>
            <w:tcW w:w="1444" w:type="pct"/>
            <w:vAlign w:val="center"/>
          </w:tcPr>
          <w:p>
            <w:pPr>
              <w:pStyle w:val="39"/>
              <w:rPr>
                <w:rFonts w:ascii="Times New Roman" w:hAnsi="Times New Roman"/>
              </w:rPr>
            </w:pPr>
            <w:r>
              <w:rPr>
                <w:rFonts w:ascii="Times New Roman" w:hAnsi="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rPr>
            </w:pPr>
            <w:r>
              <w:rPr>
                <w:rFonts w:ascii="Times New Roman" w:hAnsi="Times New Roman"/>
              </w:rPr>
              <w:t>1</w:t>
            </w:r>
          </w:p>
        </w:tc>
        <w:tc>
          <w:tcPr>
            <w:tcW w:w="2361" w:type="pct"/>
            <w:vAlign w:val="center"/>
          </w:tcPr>
          <w:p>
            <w:pPr>
              <w:pStyle w:val="39"/>
              <w:rPr>
                <w:rFonts w:ascii="Times New Roman" w:hAnsi="Times New Roman"/>
              </w:rPr>
            </w:pPr>
            <w:r>
              <w:rPr>
                <w:rFonts w:ascii="Times New Roman" w:hAnsi="Times New Roman"/>
              </w:rPr>
              <w:t>自给式呼吸器</w:t>
            </w:r>
          </w:p>
        </w:tc>
        <w:tc>
          <w:tcPr>
            <w:tcW w:w="665" w:type="pct"/>
            <w:vAlign w:val="center"/>
          </w:tcPr>
          <w:p>
            <w:pPr>
              <w:pStyle w:val="39"/>
              <w:rPr>
                <w:rFonts w:ascii="Times New Roman" w:hAnsi="Times New Roman"/>
              </w:rPr>
            </w:pPr>
            <w:r>
              <w:rPr>
                <w:rFonts w:ascii="Times New Roman" w:hAnsi="Times New Roman"/>
              </w:rPr>
              <w:t>5</w:t>
            </w:r>
          </w:p>
        </w:tc>
        <w:tc>
          <w:tcPr>
            <w:tcW w:w="1444" w:type="pct"/>
            <w:vAlign w:val="center"/>
          </w:tcPr>
          <w:p>
            <w:pPr>
              <w:pStyle w:val="39"/>
              <w:rPr>
                <w:rFonts w:ascii="Times New Roman" w:hAnsi="Times New Roman"/>
              </w:rPr>
            </w:pPr>
            <w:r>
              <w:rPr>
                <w:rFonts w:ascii="Times New Roman" w:hAnsi="Times New Roman"/>
              </w:rPr>
              <w:t>全套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lang w:eastAsia="en-US"/>
              </w:rPr>
            </w:pPr>
            <w:r>
              <w:rPr>
                <w:rFonts w:ascii="Times New Roman" w:hAnsi="Times New Roman"/>
              </w:rPr>
              <w:t>2</w:t>
            </w:r>
          </w:p>
        </w:tc>
        <w:tc>
          <w:tcPr>
            <w:tcW w:w="2361" w:type="pct"/>
            <w:vAlign w:val="center"/>
          </w:tcPr>
          <w:p>
            <w:pPr>
              <w:pStyle w:val="39"/>
              <w:rPr>
                <w:rFonts w:ascii="Times New Roman" w:hAnsi="Times New Roman"/>
              </w:rPr>
            </w:pPr>
            <w:r>
              <w:rPr>
                <w:rFonts w:ascii="Times New Roman" w:hAnsi="Times New Roman"/>
              </w:rPr>
              <w:t>气体检测器</w:t>
            </w:r>
          </w:p>
        </w:tc>
        <w:tc>
          <w:tcPr>
            <w:tcW w:w="665" w:type="pct"/>
            <w:vAlign w:val="center"/>
          </w:tcPr>
          <w:p>
            <w:pPr>
              <w:pStyle w:val="39"/>
              <w:rPr>
                <w:rFonts w:ascii="Times New Roman" w:hAnsi="Times New Roman"/>
              </w:rPr>
            </w:pPr>
            <w:r>
              <w:rPr>
                <w:rFonts w:ascii="Times New Roman" w:hAnsi="Times New Roman"/>
              </w:rPr>
              <w:t>2</w:t>
            </w:r>
          </w:p>
        </w:tc>
        <w:tc>
          <w:tcPr>
            <w:tcW w:w="1444" w:type="pct"/>
            <w:vAlign w:val="center"/>
          </w:tcPr>
          <w:p>
            <w:pPr>
              <w:pStyle w:val="39"/>
              <w:rPr>
                <w:rFonts w:ascii="Times New Roman" w:hAnsi="Times New Roman"/>
              </w:rPr>
            </w:pPr>
            <w:r>
              <w:rPr>
                <w:rFonts w:ascii="Times New Roman" w:hAnsi="Times New Roman"/>
              </w:rPr>
              <w:t>全套机组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lang w:eastAsia="en-US"/>
              </w:rPr>
            </w:pPr>
            <w:r>
              <w:rPr>
                <w:rFonts w:ascii="Times New Roman" w:hAnsi="Times New Roman"/>
              </w:rPr>
              <w:t>3</w:t>
            </w:r>
          </w:p>
        </w:tc>
        <w:tc>
          <w:tcPr>
            <w:tcW w:w="2361" w:type="pct"/>
            <w:vAlign w:val="center"/>
          </w:tcPr>
          <w:p>
            <w:pPr>
              <w:pStyle w:val="39"/>
              <w:rPr>
                <w:rFonts w:ascii="Times New Roman" w:hAnsi="Times New Roman"/>
              </w:rPr>
            </w:pPr>
            <w:r>
              <w:rPr>
                <w:rFonts w:ascii="Times New Roman" w:hAnsi="Times New Roman"/>
              </w:rPr>
              <w:t>热像仪</w:t>
            </w:r>
          </w:p>
        </w:tc>
        <w:tc>
          <w:tcPr>
            <w:tcW w:w="665" w:type="pct"/>
            <w:vAlign w:val="center"/>
          </w:tcPr>
          <w:p>
            <w:pPr>
              <w:pStyle w:val="39"/>
              <w:rPr>
                <w:rFonts w:ascii="Times New Roman" w:hAnsi="Times New Roman"/>
              </w:rPr>
            </w:pPr>
            <w:r>
              <w:rPr>
                <w:rFonts w:ascii="Times New Roman" w:hAnsi="Times New Roman"/>
              </w:rPr>
              <w:t>1</w:t>
            </w:r>
          </w:p>
        </w:tc>
        <w:tc>
          <w:tcPr>
            <w:tcW w:w="1444" w:type="pct"/>
            <w:vAlign w:val="center"/>
          </w:tcPr>
          <w:p>
            <w:pPr>
              <w:pStyle w:val="39"/>
              <w:rPr>
                <w:rFonts w:ascii="Times New Roman" w:hAnsi="Times New Roman"/>
              </w:rPr>
            </w:pPr>
            <w:r>
              <w:rPr>
                <w:rFonts w:ascii="Times New Roman" w:hAnsi="Times New Roman"/>
              </w:rPr>
              <w:t>移动式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rPr>
            </w:pPr>
            <w:r>
              <w:rPr>
                <w:rFonts w:ascii="Times New Roman" w:hAnsi="Times New Roman"/>
              </w:rPr>
              <w:t>4</w:t>
            </w:r>
          </w:p>
        </w:tc>
        <w:tc>
          <w:tcPr>
            <w:tcW w:w="2361" w:type="pct"/>
            <w:vAlign w:val="center"/>
          </w:tcPr>
          <w:p>
            <w:pPr>
              <w:pStyle w:val="39"/>
              <w:rPr>
                <w:rFonts w:ascii="Times New Roman" w:hAnsi="Times New Roman"/>
              </w:rPr>
            </w:pPr>
            <w:r>
              <w:rPr>
                <w:rFonts w:ascii="Times New Roman" w:hAnsi="Times New Roman"/>
              </w:rPr>
              <w:t>风机-密闭空间通风机</w:t>
            </w:r>
          </w:p>
        </w:tc>
        <w:tc>
          <w:tcPr>
            <w:tcW w:w="665" w:type="pct"/>
            <w:vAlign w:val="center"/>
          </w:tcPr>
          <w:p>
            <w:pPr>
              <w:pStyle w:val="39"/>
              <w:rPr>
                <w:rFonts w:ascii="Times New Roman" w:hAnsi="Times New Roman"/>
              </w:rPr>
            </w:pPr>
            <w:r>
              <w:rPr>
                <w:rFonts w:ascii="Times New Roman" w:hAnsi="Times New Roman"/>
              </w:rPr>
              <w:t>2</w:t>
            </w:r>
          </w:p>
        </w:tc>
        <w:tc>
          <w:tcPr>
            <w:tcW w:w="1444" w:type="pct"/>
            <w:vAlign w:val="center"/>
          </w:tcPr>
          <w:p>
            <w:pPr>
              <w:pStyle w:val="39"/>
              <w:rPr>
                <w:rFonts w:ascii="Times New Roman" w:hAnsi="Times New Roman"/>
              </w:rPr>
            </w:pPr>
            <w:r>
              <w:rPr>
                <w:rFonts w:ascii="Times New Roman" w:hAnsi="Times New Roman"/>
              </w:rPr>
              <w:t>空气置换风机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rPr>
            </w:pPr>
            <w:r>
              <w:rPr>
                <w:rFonts w:ascii="Times New Roman" w:hAnsi="Times New Roman"/>
              </w:rPr>
              <w:t>5</w:t>
            </w:r>
          </w:p>
        </w:tc>
        <w:tc>
          <w:tcPr>
            <w:tcW w:w="2361" w:type="pct"/>
            <w:vAlign w:val="center"/>
          </w:tcPr>
          <w:p>
            <w:pPr>
              <w:pStyle w:val="39"/>
              <w:rPr>
                <w:rFonts w:ascii="Times New Roman" w:hAnsi="Times New Roman"/>
              </w:rPr>
            </w:pPr>
            <w:r>
              <w:rPr>
                <w:rFonts w:ascii="Times New Roman" w:hAnsi="Times New Roman"/>
              </w:rPr>
              <w:t>无火花工具箱</w:t>
            </w:r>
          </w:p>
        </w:tc>
        <w:tc>
          <w:tcPr>
            <w:tcW w:w="665" w:type="pct"/>
            <w:vAlign w:val="center"/>
          </w:tcPr>
          <w:p>
            <w:pPr>
              <w:pStyle w:val="39"/>
              <w:rPr>
                <w:rFonts w:ascii="Times New Roman" w:hAnsi="Times New Roman"/>
              </w:rPr>
            </w:pPr>
            <w:r>
              <w:rPr>
                <w:rFonts w:ascii="Times New Roman" w:hAnsi="Times New Roman"/>
              </w:rPr>
              <w:t>1</w:t>
            </w:r>
          </w:p>
        </w:tc>
        <w:tc>
          <w:tcPr>
            <w:tcW w:w="1444" w:type="pct"/>
            <w:vAlign w:val="center"/>
          </w:tcPr>
          <w:p>
            <w:pPr>
              <w:pStyle w:val="39"/>
              <w:rPr>
                <w:rFonts w:ascii="Times New Roman" w:hAnsi="Times New Roman"/>
              </w:rPr>
            </w:pPr>
            <w:r>
              <w:rPr>
                <w:rFonts w:ascii="Times New Roman" w:hAnsi="Times New Roman"/>
              </w:rPr>
              <w:t>一套工具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rPr>
            </w:pPr>
            <w:r>
              <w:rPr>
                <w:rFonts w:ascii="Times New Roman" w:hAnsi="Times New Roman"/>
              </w:rPr>
              <w:t>6</w:t>
            </w:r>
          </w:p>
        </w:tc>
        <w:tc>
          <w:tcPr>
            <w:tcW w:w="2361" w:type="pct"/>
            <w:vAlign w:val="center"/>
          </w:tcPr>
          <w:p>
            <w:pPr>
              <w:pStyle w:val="39"/>
              <w:rPr>
                <w:rFonts w:ascii="Times New Roman" w:hAnsi="Times New Roman"/>
              </w:rPr>
            </w:pPr>
            <w:r>
              <w:rPr>
                <w:rFonts w:ascii="Times New Roman" w:hAnsi="Times New Roman"/>
              </w:rPr>
              <w:t>扩张器</w:t>
            </w:r>
          </w:p>
          <w:p>
            <w:pPr>
              <w:pStyle w:val="39"/>
              <w:rPr>
                <w:rFonts w:ascii="Times New Roman" w:hAnsi="Times New Roman"/>
              </w:rPr>
            </w:pPr>
            <w:r>
              <w:rPr>
                <w:rFonts w:ascii="Times New Roman" w:hAnsi="Times New Roman"/>
              </w:rPr>
              <w:t>切割机</w:t>
            </w:r>
          </w:p>
          <w:p>
            <w:pPr>
              <w:pStyle w:val="39"/>
              <w:rPr>
                <w:rFonts w:ascii="Times New Roman" w:hAnsi="Times New Roman"/>
              </w:rPr>
            </w:pPr>
            <w:r>
              <w:rPr>
                <w:rFonts w:ascii="Times New Roman" w:hAnsi="Times New Roman"/>
              </w:rPr>
              <w:t>伸缩式液压缸</w:t>
            </w:r>
          </w:p>
          <w:p>
            <w:pPr>
              <w:pStyle w:val="39"/>
              <w:rPr>
                <w:rFonts w:ascii="Times New Roman" w:hAnsi="Times New Roman"/>
              </w:rPr>
            </w:pPr>
            <w:r>
              <w:rPr>
                <w:rFonts w:ascii="Times New Roman" w:hAnsi="Times New Roman"/>
              </w:rPr>
              <w:t>汽油动力组合泵</w:t>
            </w:r>
          </w:p>
          <w:p>
            <w:pPr>
              <w:pStyle w:val="39"/>
              <w:rPr>
                <w:rFonts w:ascii="Times New Roman" w:hAnsi="Times New Roman"/>
              </w:rPr>
            </w:pPr>
            <w:r>
              <w:rPr>
                <w:rFonts w:ascii="Times New Roman" w:hAnsi="Times New Roman"/>
              </w:rPr>
              <w:t>双列液压软管</w:t>
            </w:r>
          </w:p>
        </w:tc>
        <w:tc>
          <w:tcPr>
            <w:tcW w:w="665" w:type="pct"/>
            <w:vAlign w:val="center"/>
          </w:tcPr>
          <w:p>
            <w:pPr>
              <w:pStyle w:val="39"/>
              <w:rPr>
                <w:rFonts w:ascii="Times New Roman" w:hAnsi="Times New Roman"/>
              </w:rPr>
            </w:pPr>
            <w:r>
              <w:rPr>
                <w:rFonts w:ascii="Times New Roman" w:hAnsi="Times New Roman"/>
              </w:rPr>
              <w:t>1 个</w:t>
            </w:r>
          </w:p>
        </w:tc>
        <w:tc>
          <w:tcPr>
            <w:tcW w:w="1444" w:type="pct"/>
            <w:vAlign w:val="center"/>
          </w:tcPr>
          <w:p>
            <w:pPr>
              <w:pStyle w:val="39"/>
              <w:rPr>
                <w:rFonts w:ascii="Times New Roman" w:hAnsi="Times New Roman"/>
              </w:rPr>
            </w:pPr>
            <w:r>
              <w:rPr>
                <w:rFonts w:ascii="Times New Roman" w:hAnsi="Times New Roman"/>
              </w:rPr>
              <w:t>全套Hurst液压系列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rPr>
            </w:pPr>
            <w:r>
              <w:rPr>
                <w:rFonts w:ascii="Times New Roman" w:hAnsi="Times New Roman"/>
              </w:rPr>
              <w:t>7</w:t>
            </w:r>
          </w:p>
        </w:tc>
        <w:tc>
          <w:tcPr>
            <w:tcW w:w="2361" w:type="pct"/>
            <w:vAlign w:val="center"/>
          </w:tcPr>
          <w:p>
            <w:pPr>
              <w:pStyle w:val="39"/>
              <w:rPr>
                <w:rFonts w:ascii="Times New Roman" w:hAnsi="Times New Roman"/>
              </w:rPr>
            </w:pPr>
            <w:r>
              <w:rPr>
                <w:rFonts w:ascii="Times New Roman" w:hAnsi="Times New Roman"/>
              </w:rPr>
              <w:t>提升袋附件包</w:t>
            </w:r>
          </w:p>
        </w:tc>
        <w:tc>
          <w:tcPr>
            <w:tcW w:w="665" w:type="pct"/>
            <w:vAlign w:val="center"/>
          </w:tcPr>
          <w:p>
            <w:pPr>
              <w:pStyle w:val="39"/>
              <w:rPr>
                <w:rFonts w:ascii="Times New Roman" w:hAnsi="Times New Roman"/>
              </w:rPr>
            </w:pPr>
            <w:r>
              <w:rPr>
                <w:rFonts w:ascii="Times New Roman" w:hAnsi="Times New Roman"/>
              </w:rPr>
              <w:t>1 套</w:t>
            </w:r>
          </w:p>
        </w:tc>
        <w:tc>
          <w:tcPr>
            <w:tcW w:w="1444" w:type="pct"/>
            <w:vAlign w:val="center"/>
          </w:tcPr>
          <w:p>
            <w:pPr>
              <w:pStyle w:val="39"/>
              <w:rPr>
                <w:rFonts w:ascii="Times New Roman" w:hAnsi="Times New Roman"/>
              </w:rPr>
            </w:pPr>
            <w:r>
              <w:rPr>
                <w:rFonts w:ascii="Times New Roman" w:hAnsi="Times New Roman"/>
              </w:rPr>
              <w:t>全套提升袋系列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rPr>
            </w:pPr>
            <w:r>
              <w:rPr>
                <w:rFonts w:ascii="Times New Roman" w:hAnsi="Times New Roman"/>
              </w:rPr>
              <w:t>8</w:t>
            </w:r>
          </w:p>
        </w:tc>
        <w:tc>
          <w:tcPr>
            <w:tcW w:w="2361" w:type="pct"/>
            <w:vAlign w:val="center"/>
          </w:tcPr>
          <w:p>
            <w:pPr>
              <w:pStyle w:val="39"/>
              <w:rPr>
                <w:rFonts w:ascii="Times New Roman" w:hAnsi="Times New Roman"/>
              </w:rPr>
            </w:pPr>
            <w:r>
              <w:rPr>
                <w:rFonts w:ascii="Times New Roman" w:hAnsi="Times New Roman"/>
              </w:rPr>
              <w:t>绳索救援箱</w:t>
            </w:r>
          </w:p>
        </w:tc>
        <w:tc>
          <w:tcPr>
            <w:tcW w:w="665" w:type="pct"/>
            <w:vAlign w:val="center"/>
          </w:tcPr>
          <w:p>
            <w:pPr>
              <w:pStyle w:val="39"/>
              <w:rPr>
                <w:rFonts w:ascii="Times New Roman" w:hAnsi="Times New Roman"/>
              </w:rPr>
            </w:pPr>
            <w:r>
              <w:rPr>
                <w:rFonts w:ascii="Times New Roman" w:hAnsi="Times New Roman"/>
              </w:rPr>
              <w:t>1 套</w:t>
            </w:r>
          </w:p>
        </w:tc>
        <w:tc>
          <w:tcPr>
            <w:tcW w:w="1444" w:type="pct"/>
            <w:vAlign w:val="center"/>
          </w:tcPr>
          <w:p>
            <w:pPr>
              <w:pStyle w:val="39"/>
              <w:rPr>
                <w:rFonts w:ascii="Times New Roman" w:hAnsi="Times New Roman"/>
              </w:rPr>
            </w:pPr>
            <w:r>
              <w:rPr>
                <w:rFonts w:ascii="Times New Roman" w:hAnsi="Times New Roman"/>
              </w:rPr>
              <w:t>全套绳索救援工具箱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rPr>
            </w:pPr>
            <w:r>
              <w:rPr>
                <w:rFonts w:ascii="Times New Roman" w:hAnsi="Times New Roman"/>
              </w:rPr>
              <w:t>9</w:t>
            </w:r>
          </w:p>
        </w:tc>
        <w:tc>
          <w:tcPr>
            <w:tcW w:w="2361" w:type="pct"/>
            <w:vAlign w:val="center"/>
          </w:tcPr>
          <w:p>
            <w:pPr>
              <w:pStyle w:val="39"/>
              <w:rPr>
                <w:rFonts w:ascii="Times New Roman" w:hAnsi="Times New Roman"/>
              </w:rPr>
            </w:pPr>
            <w:r>
              <w:rPr>
                <w:rFonts w:ascii="Times New Roman" w:hAnsi="Times New Roman"/>
                <w:lang w:val="fr-FR"/>
              </w:rPr>
              <w:t>风凿工具箱</w:t>
            </w:r>
          </w:p>
        </w:tc>
        <w:tc>
          <w:tcPr>
            <w:tcW w:w="665" w:type="pct"/>
            <w:vAlign w:val="center"/>
          </w:tcPr>
          <w:p>
            <w:pPr>
              <w:pStyle w:val="39"/>
              <w:rPr>
                <w:rFonts w:ascii="Times New Roman" w:hAnsi="Times New Roman"/>
              </w:rPr>
            </w:pPr>
            <w:r>
              <w:rPr>
                <w:rFonts w:ascii="Times New Roman" w:hAnsi="Times New Roman"/>
              </w:rPr>
              <w:t>1 套</w:t>
            </w:r>
          </w:p>
        </w:tc>
        <w:tc>
          <w:tcPr>
            <w:tcW w:w="1444" w:type="pct"/>
            <w:vAlign w:val="center"/>
          </w:tcPr>
          <w:p>
            <w:pPr>
              <w:pStyle w:val="39"/>
              <w:rPr>
                <w:rFonts w:ascii="Times New Roman" w:hAnsi="Times New Roman"/>
              </w:rPr>
            </w:pPr>
            <w:r>
              <w:rPr>
                <w:rFonts w:ascii="Times New Roman" w:hAnsi="Times New Roman"/>
              </w:rPr>
              <w:t>风凿套件及配套的手工工具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rPr>
            </w:pPr>
            <w:r>
              <w:rPr>
                <w:rFonts w:ascii="Times New Roman" w:hAnsi="Times New Roman"/>
              </w:rPr>
              <w:t>10</w:t>
            </w:r>
          </w:p>
        </w:tc>
        <w:tc>
          <w:tcPr>
            <w:tcW w:w="2361" w:type="pct"/>
            <w:vAlign w:val="center"/>
          </w:tcPr>
          <w:p>
            <w:pPr>
              <w:pStyle w:val="39"/>
              <w:rPr>
                <w:rFonts w:ascii="Times New Roman" w:hAnsi="Times New Roman"/>
              </w:rPr>
            </w:pPr>
            <w:r>
              <w:rPr>
                <w:rFonts w:ascii="Times New Roman" w:hAnsi="Times New Roman"/>
              </w:rPr>
              <w:t>36” 撬杆</w:t>
            </w:r>
          </w:p>
          <w:p>
            <w:pPr>
              <w:pStyle w:val="39"/>
              <w:rPr>
                <w:rFonts w:ascii="Times New Roman" w:hAnsi="Times New Roman"/>
              </w:rPr>
            </w:pPr>
            <w:r>
              <w:rPr>
                <w:rFonts w:ascii="Times New Roman" w:hAnsi="Times New Roman"/>
              </w:rPr>
              <w:t xml:space="preserve"> 51” 撬杆</w:t>
            </w:r>
          </w:p>
          <w:p>
            <w:pPr>
              <w:pStyle w:val="39"/>
              <w:rPr>
                <w:rFonts w:ascii="Times New Roman" w:hAnsi="Times New Roman"/>
              </w:rPr>
            </w:pPr>
            <w:r>
              <w:rPr>
                <w:rFonts w:ascii="Times New Roman" w:hAnsi="Times New Roman"/>
              </w:rPr>
              <w:t>二氧化碳灭火器</w:t>
            </w:r>
          </w:p>
          <w:p>
            <w:pPr>
              <w:pStyle w:val="39"/>
              <w:rPr>
                <w:rFonts w:ascii="Times New Roman" w:hAnsi="Times New Roman"/>
              </w:rPr>
            </w:pPr>
            <w:r>
              <w:rPr>
                <w:rFonts w:ascii="Times New Roman" w:hAnsi="Times New Roman"/>
              </w:rPr>
              <w:t>加仑预压清水灭火器</w:t>
            </w:r>
          </w:p>
        </w:tc>
        <w:tc>
          <w:tcPr>
            <w:tcW w:w="665" w:type="pct"/>
            <w:vAlign w:val="center"/>
          </w:tcPr>
          <w:p>
            <w:pPr>
              <w:pStyle w:val="39"/>
              <w:rPr>
                <w:rFonts w:ascii="Times New Roman" w:hAnsi="Times New Roman"/>
              </w:rPr>
            </w:pPr>
            <w:r>
              <w:rPr>
                <w:rFonts w:ascii="Times New Roman" w:hAnsi="Times New Roman"/>
              </w:rPr>
              <w:t>1或2 个</w:t>
            </w:r>
          </w:p>
        </w:tc>
        <w:tc>
          <w:tcPr>
            <w:tcW w:w="1444" w:type="pct"/>
            <w:vAlign w:val="center"/>
          </w:tcPr>
          <w:p>
            <w:pPr>
              <w:pStyle w:val="39"/>
              <w:rPr>
                <w:rFonts w:ascii="Times New Roman" w:hAnsi="Times New Roman"/>
              </w:rPr>
            </w:pPr>
            <w:r>
              <w:rPr>
                <w:rFonts w:ascii="Times New Roman" w:hAnsi="Times New Roman"/>
              </w:rPr>
              <w:t>重型手工工具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rPr>
            </w:pPr>
            <w:r>
              <w:rPr>
                <w:rFonts w:ascii="Times New Roman" w:hAnsi="Times New Roman"/>
              </w:rPr>
              <w:t>11</w:t>
            </w:r>
          </w:p>
        </w:tc>
        <w:tc>
          <w:tcPr>
            <w:tcW w:w="2361" w:type="pct"/>
            <w:vAlign w:val="center"/>
          </w:tcPr>
          <w:p>
            <w:pPr>
              <w:pStyle w:val="39"/>
              <w:rPr>
                <w:rFonts w:ascii="Times New Roman" w:hAnsi="Times New Roman"/>
              </w:rPr>
            </w:pPr>
            <w:r>
              <w:rPr>
                <w:rFonts w:ascii="Times New Roman" w:hAnsi="Times New Roman"/>
              </w:rPr>
              <w:t>配套 救援设备：SKED、3000psi空气瓶、篮式担架、半身式担架、双重锁防坠落制停系索、喉式话筒系统和硬线</w:t>
            </w:r>
          </w:p>
        </w:tc>
        <w:tc>
          <w:tcPr>
            <w:tcW w:w="665" w:type="pct"/>
            <w:vAlign w:val="center"/>
          </w:tcPr>
          <w:p>
            <w:pPr>
              <w:pStyle w:val="39"/>
              <w:rPr>
                <w:rFonts w:ascii="Times New Roman" w:hAnsi="Times New Roman"/>
              </w:rPr>
            </w:pPr>
            <w:r>
              <w:rPr>
                <w:rFonts w:ascii="Times New Roman" w:hAnsi="Times New Roman"/>
              </w:rPr>
              <w:t>配套</w:t>
            </w:r>
          </w:p>
        </w:tc>
        <w:tc>
          <w:tcPr>
            <w:tcW w:w="1444" w:type="pct"/>
            <w:vAlign w:val="center"/>
          </w:tcPr>
          <w:p>
            <w:pPr>
              <w:pStyle w:val="39"/>
              <w:rPr>
                <w:rFonts w:ascii="Times New Roman" w:hAnsi="Times New Roman"/>
              </w:rPr>
            </w:pPr>
            <w:r>
              <w:rPr>
                <w:rFonts w:ascii="Times New Roman" w:hAnsi="Times New Roman"/>
              </w:rPr>
              <w:t>救援设备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rPr>
            </w:pPr>
            <w:r>
              <w:rPr>
                <w:rFonts w:ascii="Times New Roman" w:hAnsi="Times New Roman"/>
              </w:rPr>
              <w:t>12</w:t>
            </w:r>
          </w:p>
        </w:tc>
        <w:tc>
          <w:tcPr>
            <w:tcW w:w="2361" w:type="pct"/>
            <w:vAlign w:val="center"/>
          </w:tcPr>
          <w:p>
            <w:pPr>
              <w:pStyle w:val="39"/>
              <w:rPr>
                <w:rFonts w:ascii="Times New Roman" w:hAnsi="Times New Roman"/>
              </w:rPr>
            </w:pPr>
            <w:r>
              <w:rPr>
                <w:rFonts w:ascii="Times New Roman" w:hAnsi="Times New Roman"/>
              </w:rPr>
              <w:t>急救箱</w:t>
            </w:r>
          </w:p>
        </w:tc>
        <w:tc>
          <w:tcPr>
            <w:tcW w:w="665" w:type="pct"/>
            <w:vAlign w:val="center"/>
          </w:tcPr>
          <w:p>
            <w:pPr>
              <w:pStyle w:val="39"/>
              <w:rPr>
                <w:rFonts w:ascii="Times New Roman" w:hAnsi="Times New Roman"/>
              </w:rPr>
            </w:pPr>
            <w:r>
              <w:rPr>
                <w:rFonts w:ascii="Times New Roman" w:hAnsi="Times New Roman"/>
              </w:rPr>
              <w:t>1</w:t>
            </w:r>
          </w:p>
        </w:tc>
        <w:tc>
          <w:tcPr>
            <w:tcW w:w="1444" w:type="pct"/>
            <w:vAlign w:val="center"/>
          </w:tcPr>
          <w:p>
            <w:pPr>
              <w:adjustRightInd w:val="0"/>
              <w:spacing w:line="240" w:lineRule="auto"/>
              <w:ind w:firstLine="48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rPr>
            </w:pPr>
            <w:r>
              <w:rPr>
                <w:rFonts w:ascii="Times New Roman" w:hAnsi="Times New Roman"/>
              </w:rPr>
              <w:t>13</w:t>
            </w:r>
          </w:p>
        </w:tc>
        <w:tc>
          <w:tcPr>
            <w:tcW w:w="2361" w:type="pct"/>
            <w:vAlign w:val="center"/>
          </w:tcPr>
          <w:p>
            <w:pPr>
              <w:pStyle w:val="39"/>
              <w:rPr>
                <w:rFonts w:ascii="Times New Roman" w:hAnsi="Times New Roman"/>
              </w:rPr>
            </w:pPr>
            <w:r>
              <w:rPr>
                <w:rFonts w:ascii="Times New Roman" w:hAnsi="Times New Roman"/>
              </w:rPr>
              <w:t>消防服</w:t>
            </w:r>
          </w:p>
        </w:tc>
        <w:tc>
          <w:tcPr>
            <w:tcW w:w="665" w:type="pct"/>
            <w:vMerge w:val="restart"/>
            <w:vAlign w:val="center"/>
          </w:tcPr>
          <w:p>
            <w:pPr>
              <w:pStyle w:val="39"/>
              <w:rPr>
                <w:rFonts w:ascii="Times New Roman" w:hAnsi="Times New Roman"/>
              </w:rPr>
            </w:pPr>
            <w:r>
              <w:rPr>
                <w:rFonts w:ascii="Times New Roman" w:hAnsi="Times New Roman"/>
              </w:rPr>
              <w:t>每名成员1套</w:t>
            </w:r>
          </w:p>
        </w:tc>
        <w:tc>
          <w:tcPr>
            <w:tcW w:w="1444" w:type="pct"/>
            <w:vAlign w:val="center"/>
          </w:tcPr>
          <w:p>
            <w:pPr>
              <w:adjustRightInd w:val="0"/>
              <w:spacing w:line="240" w:lineRule="auto"/>
              <w:ind w:firstLine="48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rPr>
            </w:pPr>
            <w:r>
              <w:rPr>
                <w:rFonts w:ascii="Times New Roman" w:hAnsi="Times New Roman"/>
              </w:rPr>
              <w:t>14</w:t>
            </w:r>
          </w:p>
        </w:tc>
        <w:tc>
          <w:tcPr>
            <w:tcW w:w="2361" w:type="pct"/>
            <w:vAlign w:val="center"/>
          </w:tcPr>
          <w:p>
            <w:pPr>
              <w:pStyle w:val="39"/>
              <w:rPr>
                <w:rFonts w:ascii="Times New Roman" w:hAnsi="Times New Roman"/>
              </w:rPr>
            </w:pPr>
            <w:r>
              <w:rPr>
                <w:rFonts w:ascii="Times New Roman" w:hAnsi="Times New Roman"/>
              </w:rPr>
              <w:t>消防靴</w:t>
            </w:r>
          </w:p>
        </w:tc>
        <w:tc>
          <w:tcPr>
            <w:tcW w:w="665" w:type="pct"/>
            <w:vMerge w:val="continue"/>
            <w:vAlign w:val="center"/>
          </w:tcPr>
          <w:p>
            <w:pPr>
              <w:adjustRightInd w:val="0"/>
              <w:spacing w:line="240" w:lineRule="auto"/>
              <w:ind w:firstLine="480"/>
              <w:rPr>
                <w:rFonts w:ascii="Times New Roman" w:hAnsi="Times New Roman"/>
              </w:rPr>
            </w:pPr>
          </w:p>
        </w:tc>
        <w:tc>
          <w:tcPr>
            <w:tcW w:w="1444" w:type="pct"/>
            <w:vAlign w:val="center"/>
          </w:tcPr>
          <w:p>
            <w:pPr>
              <w:adjustRightInd w:val="0"/>
              <w:spacing w:line="240" w:lineRule="auto"/>
              <w:ind w:firstLine="48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rPr>
            </w:pPr>
            <w:r>
              <w:rPr>
                <w:rFonts w:ascii="Times New Roman" w:hAnsi="Times New Roman"/>
              </w:rPr>
              <w:t>15</w:t>
            </w:r>
          </w:p>
        </w:tc>
        <w:tc>
          <w:tcPr>
            <w:tcW w:w="2361" w:type="pct"/>
            <w:vAlign w:val="center"/>
          </w:tcPr>
          <w:p>
            <w:pPr>
              <w:pStyle w:val="39"/>
              <w:rPr>
                <w:rFonts w:ascii="Times New Roman" w:hAnsi="Times New Roman"/>
              </w:rPr>
            </w:pPr>
            <w:r>
              <w:rPr>
                <w:rFonts w:ascii="Times New Roman" w:hAnsi="Times New Roman"/>
              </w:rPr>
              <w:t>救援靴</w:t>
            </w:r>
          </w:p>
        </w:tc>
        <w:tc>
          <w:tcPr>
            <w:tcW w:w="665" w:type="pct"/>
            <w:vMerge w:val="continue"/>
            <w:vAlign w:val="center"/>
          </w:tcPr>
          <w:p>
            <w:pPr>
              <w:adjustRightInd w:val="0"/>
              <w:spacing w:line="240" w:lineRule="auto"/>
              <w:ind w:firstLine="480"/>
              <w:rPr>
                <w:rFonts w:ascii="Times New Roman" w:hAnsi="Times New Roman"/>
              </w:rPr>
            </w:pPr>
          </w:p>
        </w:tc>
        <w:tc>
          <w:tcPr>
            <w:tcW w:w="1444" w:type="pct"/>
            <w:vAlign w:val="center"/>
          </w:tcPr>
          <w:p>
            <w:pPr>
              <w:adjustRightInd w:val="0"/>
              <w:spacing w:line="240" w:lineRule="auto"/>
              <w:ind w:firstLine="48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rPr>
            </w:pPr>
            <w:r>
              <w:rPr>
                <w:rFonts w:ascii="Times New Roman" w:hAnsi="Times New Roman"/>
              </w:rPr>
              <w:t>16</w:t>
            </w:r>
          </w:p>
        </w:tc>
        <w:tc>
          <w:tcPr>
            <w:tcW w:w="2361" w:type="pct"/>
            <w:vAlign w:val="center"/>
          </w:tcPr>
          <w:p>
            <w:pPr>
              <w:pStyle w:val="39"/>
              <w:rPr>
                <w:rFonts w:ascii="Times New Roman" w:hAnsi="Times New Roman"/>
              </w:rPr>
            </w:pPr>
            <w:r>
              <w:rPr>
                <w:rFonts w:ascii="Times New Roman" w:hAnsi="Times New Roman"/>
              </w:rPr>
              <w:t>消防手套种类</w:t>
            </w:r>
          </w:p>
        </w:tc>
        <w:tc>
          <w:tcPr>
            <w:tcW w:w="665" w:type="pct"/>
            <w:vMerge w:val="continue"/>
            <w:vAlign w:val="center"/>
          </w:tcPr>
          <w:p>
            <w:pPr>
              <w:adjustRightInd w:val="0"/>
              <w:spacing w:line="240" w:lineRule="auto"/>
              <w:ind w:firstLine="480"/>
              <w:rPr>
                <w:rFonts w:ascii="Times New Roman" w:hAnsi="Times New Roman"/>
              </w:rPr>
            </w:pPr>
          </w:p>
        </w:tc>
        <w:tc>
          <w:tcPr>
            <w:tcW w:w="1444" w:type="pct"/>
            <w:vAlign w:val="center"/>
          </w:tcPr>
          <w:p>
            <w:pPr>
              <w:adjustRightInd w:val="0"/>
              <w:spacing w:line="240" w:lineRule="auto"/>
              <w:ind w:firstLine="48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rPr>
            </w:pPr>
            <w:r>
              <w:rPr>
                <w:rFonts w:ascii="Times New Roman" w:hAnsi="Times New Roman"/>
              </w:rPr>
              <w:t>17</w:t>
            </w:r>
          </w:p>
        </w:tc>
        <w:tc>
          <w:tcPr>
            <w:tcW w:w="2361" w:type="pct"/>
            <w:vAlign w:val="center"/>
          </w:tcPr>
          <w:p>
            <w:pPr>
              <w:pStyle w:val="39"/>
              <w:rPr>
                <w:rFonts w:ascii="Times New Roman" w:hAnsi="Times New Roman"/>
              </w:rPr>
            </w:pPr>
            <w:r>
              <w:rPr>
                <w:rFonts w:ascii="Times New Roman" w:hAnsi="Times New Roman"/>
              </w:rPr>
              <w:t>消防头盔</w:t>
            </w:r>
          </w:p>
        </w:tc>
        <w:tc>
          <w:tcPr>
            <w:tcW w:w="665" w:type="pct"/>
            <w:vMerge w:val="continue"/>
            <w:vAlign w:val="center"/>
          </w:tcPr>
          <w:p>
            <w:pPr>
              <w:adjustRightInd w:val="0"/>
              <w:spacing w:line="240" w:lineRule="auto"/>
              <w:ind w:firstLine="480"/>
              <w:rPr>
                <w:rFonts w:ascii="Times New Roman" w:hAnsi="Times New Roman"/>
              </w:rPr>
            </w:pPr>
          </w:p>
        </w:tc>
        <w:tc>
          <w:tcPr>
            <w:tcW w:w="1444" w:type="pct"/>
            <w:vAlign w:val="center"/>
          </w:tcPr>
          <w:p>
            <w:pPr>
              <w:adjustRightInd w:val="0"/>
              <w:spacing w:line="240" w:lineRule="auto"/>
              <w:ind w:firstLine="48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530" w:type="pct"/>
            <w:vAlign w:val="center"/>
          </w:tcPr>
          <w:p>
            <w:pPr>
              <w:pStyle w:val="39"/>
              <w:rPr>
                <w:rFonts w:ascii="Times New Roman" w:hAnsi="Times New Roman"/>
              </w:rPr>
            </w:pPr>
            <w:r>
              <w:rPr>
                <w:rFonts w:ascii="Times New Roman" w:hAnsi="Times New Roman"/>
              </w:rPr>
              <w:t>18</w:t>
            </w:r>
          </w:p>
        </w:tc>
        <w:tc>
          <w:tcPr>
            <w:tcW w:w="2361" w:type="pct"/>
            <w:vAlign w:val="center"/>
          </w:tcPr>
          <w:p>
            <w:pPr>
              <w:pStyle w:val="39"/>
              <w:rPr>
                <w:rFonts w:ascii="Times New Roman" w:hAnsi="Times New Roman"/>
              </w:rPr>
            </w:pPr>
            <w:r>
              <w:rPr>
                <w:rFonts w:ascii="Times New Roman" w:hAnsi="Times New Roman"/>
              </w:rPr>
              <w:t>车辆救援支撑工具</w:t>
            </w:r>
          </w:p>
        </w:tc>
        <w:tc>
          <w:tcPr>
            <w:tcW w:w="665" w:type="pct"/>
            <w:vAlign w:val="center"/>
          </w:tcPr>
          <w:p>
            <w:pPr>
              <w:pStyle w:val="39"/>
              <w:rPr>
                <w:rFonts w:ascii="Times New Roman" w:hAnsi="Times New Roman"/>
              </w:rPr>
            </w:pPr>
            <w:r>
              <w:rPr>
                <w:rFonts w:ascii="Times New Roman" w:hAnsi="Times New Roman"/>
              </w:rPr>
              <w:t>1套</w:t>
            </w:r>
          </w:p>
        </w:tc>
        <w:tc>
          <w:tcPr>
            <w:tcW w:w="1444" w:type="pct"/>
            <w:vAlign w:val="center"/>
          </w:tcPr>
          <w:p>
            <w:pPr>
              <w:pStyle w:val="39"/>
              <w:rPr>
                <w:rFonts w:ascii="Times New Roman" w:hAnsi="Times New Roman"/>
              </w:rPr>
            </w:pPr>
            <w:r>
              <w:rPr>
                <w:rFonts w:ascii="Times New Roman" w:hAnsi="Times New Roman"/>
              </w:rPr>
              <w:t>新配备</w:t>
            </w:r>
          </w:p>
        </w:tc>
      </w:tr>
    </w:tbl>
    <w:p>
      <w:pPr>
        <w:pStyle w:val="37"/>
        <w:rPr>
          <w:rFonts w:ascii="Times New Roman" w:hAnsi="Times New Roman" w:cs="Times New Roman"/>
        </w:rPr>
      </w:pPr>
      <w:bookmarkStart w:id="364" w:name="_Ref15464948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83</w:t>
      </w:r>
      <w:r>
        <w:rPr>
          <w:rFonts w:ascii="Times New Roman" w:hAnsi="Times New Roman" w:cs="Times New Roman"/>
        </w:rPr>
        <w:fldChar w:fldCharType="end"/>
      </w:r>
      <w:bookmarkEnd w:id="364"/>
      <w:r>
        <w:rPr>
          <w:rFonts w:ascii="Times New Roman" w:hAnsi="Times New Roman" w:cs="Times New Roman"/>
        </w:rPr>
        <w:t xml:space="preserve">  罗家寨气田消防站气防库器材清单</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28" w:type="dxa"/>
          <w:bottom w:w="28" w:type="dxa"/>
          <w:right w:w="28" w:type="dxa"/>
        </w:tblCellMar>
      </w:tblPr>
      <w:tblGrid>
        <w:gridCol w:w="1141"/>
        <w:gridCol w:w="5987"/>
        <w:gridCol w:w="12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编号</w:t>
            </w:r>
          </w:p>
        </w:tc>
        <w:tc>
          <w:tcPr>
            <w:tcW w:w="3580" w:type="pct"/>
            <w:vAlign w:val="center"/>
          </w:tcPr>
          <w:p>
            <w:pPr>
              <w:pStyle w:val="39"/>
              <w:rPr>
                <w:rFonts w:ascii="Times New Roman" w:hAnsi="Times New Roman"/>
              </w:rPr>
            </w:pPr>
            <w:r>
              <w:rPr>
                <w:rFonts w:ascii="Times New Roman" w:hAnsi="Times New Roman"/>
              </w:rPr>
              <w:t>设备描述</w:t>
            </w:r>
          </w:p>
        </w:tc>
        <w:tc>
          <w:tcPr>
            <w:tcW w:w="738" w:type="pct"/>
            <w:vAlign w:val="center"/>
          </w:tcPr>
          <w:p>
            <w:pPr>
              <w:pStyle w:val="39"/>
              <w:rPr>
                <w:rFonts w:ascii="Times New Roman" w:hAnsi="Times New Roman"/>
              </w:rPr>
            </w:pPr>
            <w:r>
              <w:rPr>
                <w:rFonts w:ascii="Times New Roman" w:hAnsi="Times New Roman"/>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1</w:t>
            </w:r>
          </w:p>
        </w:tc>
        <w:tc>
          <w:tcPr>
            <w:tcW w:w="3580" w:type="pct"/>
            <w:vAlign w:val="center"/>
          </w:tcPr>
          <w:p>
            <w:pPr>
              <w:pStyle w:val="39"/>
              <w:rPr>
                <w:rFonts w:ascii="Times New Roman" w:hAnsi="Times New Roman"/>
              </w:rPr>
            </w:pPr>
            <w:r>
              <w:rPr>
                <w:rFonts w:ascii="Times New Roman" w:hAnsi="Times New Roman"/>
              </w:rPr>
              <w:t>7mm 细绳</w:t>
            </w:r>
          </w:p>
        </w:tc>
        <w:tc>
          <w:tcPr>
            <w:tcW w:w="738" w:type="pct"/>
            <w:vAlign w:val="center"/>
          </w:tcPr>
          <w:p>
            <w:pPr>
              <w:pStyle w:val="39"/>
              <w:rPr>
                <w:rFonts w:ascii="Times New Roman" w:hAnsi="Times New Roman"/>
              </w:rPr>
            </w:pPr>
            <w:r>
              <w:rPr>
                <w:rFonts w:ascii="Times New Roman" w:hAnsi="Times New Roma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2</w:t>
            </w:r>
          </w:p>
        </w:tc>
        <w:tc>
          <w:tcPr>
            <w:tcW w:w="3580" w:type="pct"/>
            <w:vAlign w:val="center"/>
          </w:tcPr>
          <w:p>
            <w:pPr>
              <w:pStyle w:val="39"/>
              <w:rPr>
                <w:rFonts w:ascii="Times New Roman" w:hAnsi="Times New Roman"/>
              </w:rPr>
            </w:pPr>
            <w:r>
              <w:rPr>
                <w:rFonts w:ascii="Times New Roman" w:hAnsi="Times New Roman"/>
              </w:rPr>
              <w:t>2寸扁带</w:t>
            </w:r>
          </w:p>
        </w:tc>
        <w:tc>
          <w:tcPr>
            <w:tcW w:w="738" w:type="pct"/>
            <w:vAlign w:val="center"/>
          </w:tcPr>
          <w:p>
            <w:pPr>
              <w:pStyle w:val="39"/>
              <w:rPr>
                <w:rFonts w:ascii="Times New Roman" w:hAnsi="Times New Roman"/>
              </w:rPr>
            </w:pPr>
            <w:r>
              <w:rPr>
                <w:rFonts w:ascii="Times New Roman" w:hAnsi="Times New Roma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3</w:t>
            </w:r>
          </w:p>
        </w:tc>
        <w:tc>
          <w:tcPr>
            <w:tcW w:w="3580" w:type="pct"/>
            <w:vAlign w:val="center"/>
          </w:tcPr>
          <w:p>
            <w:pPr>
              <w:pStyle w:val="39"/>
              <w:rPr>
                <w:rFonts w:ascii="Times New Roman" w:hAnsi="Times New Roman"/>
              </w:rPr>
            </w:pPr>
            <w:r>
              <w:rPr>
                <w:rFonts w:ascii="Times New Roman" w:hAnsi="Times New Roman"/>
              </w:rPr>
              <w:t>8mm细绳</w:t>
            </w:r>
          </w:p>
        </w:tc>
        <w:tc>
          <w:tcPr>
            <w:tcW w:w="738" w:type="pct"/>
            <w:vAlign w:val="center"/>
          </w:tcPr>
          <w:p>
            <w:pPr>
              <w:pStyle w:val="39"/>
              <w:rPr>
                <w:rFonts w:ascii="Times New Roman" w:hAnsi="Times New Roman"/>
              </w:rPr>
            </w:pPr>
            <w:r>
              <w:rPr>
                <w:rFonts w:ascii="Times New Roman" w:hAnsi="Times New Roma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4</w:t>
            </w:r>
          </w:p>
        </w:tc>
        <w:tc>
          <w:tcPr>
            <w:tcW w:w="3580" w:type="pct"/>
            <w:vAlign w:val="center"/>
          </w:tcPr>
          <w:p>
            <w:pPr>
              <w:pStyle w:val="39"/>
              <w:rPr>
                <w:rFonts w:ascii="Times New Roman" w:hAnsi="Times New Roman"/>
              </w:rPr>
            </w:pPr>
            <w:r>
              <w:rPr>
                <w:rFonts w:ascii="Times New Roman" w:hAnsi="Times New Roman"/>
              </w:rPr>
              <w:t>11mm静态绳</w:t>
            </w:r>
          </w:p>
        </w:tc>
        <w:tc>
          <w:tcPr>
            <w:tcW w:w="738" w:type="pct"/>
            <w:vAlign w:val="center"/>
          </w:tcPr>
          <w:p>
            <w:pPr>
              <w:pStyle w:val="39"/>
              <w:rPr>
                <w:rFonts w:ascii="Times New Roman" w:hAnsi="Times New Roman"/>
              </w:rPr>
            </w:pPr>
            <w:r>
              <w:rPr>
                <w:rFonts w:ascii="Times New Roman" w:hAnsi="Times New Roma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5</w:t>
            </w:r>
          </w:p>
        </w:tc>
        <w:tc>
          <w:tcPr>
            <w:tcW w:w="3580" w:type="pct"/>
            <w:vAlign w:val="center"/>
          </w:tcPr>
          <w:p>
            <w:pPr>
              <w:pStyle w:val="39"/>
              <w:rPr>
                <w:rFonts w:ascii="Times New Roman" w:hAnsi="Times New Roman"/>
              </w:rPr>
            </w:pPr>
            <w:r>
              <w:rPr>
                <w:rFonts w:ascii="Times New Roman" w:hAnsi="Times New Roman"/>
              </w:rPr>
              <w:t>10mm动态绳</w:t>
            </w:r>
          </w:p>
        </w:tc>
        <w:tc>
          <w:tcPr>
            <w:tcW w:w="738" w:type="pct"/>
            <w:vAlign w:val="center"/>
          </w:tcPr>
          <w:p>
            <w:pPr>
              <w:pStyle w:val="39"/>
              <w:rPr>
                <w:rFonts w:ascii="Times New Roman" w:hAnsi="Times New Roman"/>
              </w:rPr>
            </w:pPr>
            <w:r>
              <w:rPr>
                <w:rFonts w:ascii="Times New Roman" w:hAnsi="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6</w:t>
            </w:r>
          </w:p>
        </w:tc>
        <w:tc>
          <w:tcPr>
            <w:tcW w:w="3580" w:type="pct"/>
            <w:vAlign w:val="center"/>
          </w:tcPr>
          <w:p>
            <w:pPr>
              <w:pStyle w:val="39"/>
              <w:rPr>
                <w:rFonts w:ascii="Times New Roman" w:hAnsi="Times New Roman"/>
              </w:rPr>
            </w:pPr>
            <w:r>
              <w:rPr>
                <w:rFonts w:ascii="Times New Roman" w:hAnsi="Times New Roman"/>
              </w:rPr>
              <w:t>12.5mm静态绳</w:t>
            </w:r>
          </w:p>
        </w:tc>
        <w:tc>
          <w:tcPr>
            <w:tcW w:w="738" w:type="pct"/>
            <w:vAlign w:val="center"/>
          </w:tcPr>
          <w:p>
            <w:pPr>
              <w:pStyle w:val="39"/>
              <w:rPr>
                <w:rFonts w:ascii="Times New Roman" w:hAnsi="Times New Roman"/>
              </w:rPr>
            </w:pPr>
            <w:r>
              <w:rPr>
                <w:rFonts w:ascii="Times New Roman" w:hAnsi="Times New Roma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7</w:t>
            </w:r>
          </w:p>
        </w:tc>
        <w:tc>
          <w:tcPr>
            <w:tcW w:w="3580" w:type="pct"/>
            <w:vAlign w:val="center"/>
          </w:tcPr>
          <w:p>
            <w:pPr>
              <w:pStyle w:val="39"/>
              <w:rPr>
                <w:rFonts w:ascii="Times New Roman" w:hAnsi="Times New Roman"/>
              </w:rPr>
            </w:pPr>
            <w:r>
              <w:rPr>
                <w:rFonts w:ascii="Times New Roman" w:hAnsi="Times New Roman"/>
              </w:rPr>
              <w:t>热索管</w:t>
            </w:r>
          </w:p>
        </w:tc>
        <w:tc>
          <w:tcPr>
            <w:tcW w:w="738" w:type="pct"/>
            <w:vAlign w:val="center"/>
          </w:tcPr>
          <w:p>
            <w:pPr>
              <w:pStyle w:val="39"/>
              <w:rPr>
                <w:rFonts w:ascii="Times New Roman" w:hAnsi="Times New Roman"/>
              </w:rPr>
            </w:pPr>
            <w:r>
              <w:rPr>
                <w:rFonts w:ascii="Times New Roman" w:hAnsi="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8</w:t>
            </w:r>
          </w:p>
        </w:tc>
        <w:tc>
          <w:tcPr>
            <w:tcW w:w="3580" w:type="pct"/>
            <w:vAlign w:val="center"/>
          </w:tcPr>
          <w:p>
            <w:pPr>
              <w:pStyle w:val="39"/>
              <w:rPr>
                <w:rFonts w:ascii="Times New Roman" w:hAnsi="Times New Roman"/>
              </w:rPr>
            </w:pPr>
            <w:r>
              <w:rPr>
                <w:rFonts w:ascii="Times New Roman" w:hAnsi="Times New Roman"/>
              </w:rPr>
              <w:t>头部固定器</w:t>
            </w:r>
          </w:p>
        </w:tc>
        <w:tc>
          <w:tcPr>
            <w:tcW w:w="738" w:type="pct"/>
            <w:vAlign w:val="center"/>
          </w:tcPr>
          <w:p>
            <w:pPr>
              <w:pStyle w:val="39"/>
              <w:rPr>
                <w:rFonts w:ascii="Times New Roman" w:hAnsi="Times New Roman"/>
              </w:rPr>
            </w:pPr>
            <w:r>
              <w:rPr>
                <w:rFonts w:ascii="Times New Roman" w:hAnsi="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9</w:t>
            </w:r>
          </w:p>
        </w:tc>
        <w:tc>
          <w:tcPr>
            <w:tcW w:w="3580" w:type="pct"/>
            <w:vAlign w:val="center"/>
          </w:tcPr>
          <w:p>
            <w:pPr>
              <w:pStyle w:val="39"/>
              <w:rPr>
                <w:rFonts w:ascii="Times New Roman" w:hAnsi="Times New Roman"/>
              </w:rPr>
            </w:pPr>
            <w:r>
              <w:rPr>
                <w:rFonts w:ascii="Times New Roman" w:hAnsi="Times New Roman"/>
              </w:rPr>
              <w:t>16mm静态绳</w:t>
            </w:r>
          </w:p>
        </w:tc>
        <w:tc>
          <w:tcPr>
            <w:tcW w:w="738" w:type="pct"/>
            <w:vAlign w:val="center"/>
          </w:tcPr>
          <w:p>
            <w:pPr>
              <w:pStyle w:val="39"/>
              <w:rPr>
                <w:rFonts w:ascii="Times New Roman" w:hAnsi="Times New Roman"/>
              </w:rPr>
            </w:pPr>
            <w:r>
              <w:rPr>
                <w:rFonts w:ascii="Times New Roman" w:hAnsi="Times New Roma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10</w:t>
            </w:r>
          </w:p>
        </w:tc>
        <w:tc>
          <w:tcPr>
            <w:tcW w:w="3580" w:type="pct"/>
            <w:vAlign w:val="center"/>
          </w:tcPr>
          <w:p>
            <w:pPr>
              <w:pStyle w:val="39"/>
              <w:rPr>
                <w:rFonts w:ascii="Times New Roman" w:hAnsi="Times New Roman"/>
              </w:rPr>
            </w:pPr>
            <w:r>
              <w:rPr>
                <w:rFonts w:ascii="Times New Roman" w:hAnsi="Times New Roman"/>
              </w:rPr>
              <w:t>4：1牵拉系统</w:t>
            </w:r>
          </w:p>
        </w:tc>
        <w:tc>
          <w:tcPr>
            <w:tcW w:w="738" w:type="pct"/>
            <w:vAlign w:val="center"/>
          </w:tcPr>
          <w:p>
            <w:pPr>
              <w:pStyle w:val="39"/>
              <w:rPr>
                <w:rFonts w:ascii="Times New Roman" w:hAnsi="Times New Roman"/>
              </w:rPr>
            </w:pPr>
            <w:r>
              <w:rPr>
                <w:rFonts w:ascii="Times New Roman" w:hAnsi="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11</w:t>
            </w:r>
          </w:p>
        </w:tc>
        <w:tc>
          <w:tcPr>
            <w:tcW w:w="3580" w:type="pct"/>
            <w:vAlign w:val="center"/>
          </w:tcPr>
          <w:p>
            <w:pPr>
              <w:pStyle w:val="39"/>
              <w:rPr>
                <w:rFonts w:ascii="Times New Roman" w:hAnsi="Times New Roman"/>
              </w:rPr>
            </w:pPr>
            <w:r>
              <w:rPr>
                <w:rFonts w:ascii="Times New Roman" w:hAnsi="Times New Roman"/>
              </w:rPr>
              <w:t>天气监测系统</w:t>
            </w:r>
          </w:p>
        </w:tc>
        <w:tc>
          <w:tcPr>
            <w:tcW w:w="738" w:type="pct"/>
            <w:vAlign w:val="center"/>
          </w:tcPr>
          <w:p>
            <w:pPr>
              <w:pStyle w:val="39"/>
              <w:rPr>
                <w:rFonts w:ascii="Times New Roman" w:hAnsi="Times New Roman"/>
              </w:rPr>
            </w:pPr>
            <w:r>
              <w:rPr>
                <w:rFonts w:ascii="Times New Roman" w:hAnsi="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12</w:t>
            </w:r>
          </w:p>
        </w:tc>
        <w:tc>
          <w:tcPr>
            <w:tcW w:w="3580" w:type="pct"/>
            <w:vAlign w:val="center"/>
          </w:tcPr>
          <w:p>
            <w:pPr>
              <w:pStyle w:val="39"/>
              <w:rPr>
                <w:rFonts w:ascii="Times New Roman" w:hAnsi="Times New Roman"/>
              </w:rPr>
            </w:pPr>
            <w:r>
              <w:rPr>
                <w:rFonts w:ascii="Times New Roman" w:hAnsi="Times New Roman"/>
              </w:rPr>
              <w:t>防坠下降器</w:t>
            </w:r>
          </w:p>
        </w:tc>
        <w:tc>
          <w:tcPr>
            <w:tcW w:w="738" w:type="pct"/>
            <w:vAlign w:val="center"/>
          </w:tcPr>
          <w:p>
            <w:pPr>
              <w:pStyle w:val="39"/>
              <w:rPr>
                <w:rFonts w:ascii="Times New Roman" w:hAnsi="Times New Roman"/>
              </w:rPr>
            </w:pPr>
            <w:r>
              <w:rPr>
                <w:rFonts w:ascii="Times New Roman" w:hAnsi="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13</w:t>
            </w:r>
          </w:p>
        </w:tc>
        <w:tc>
          <w:tcPr>
            <w:tcW w:w="3580" w:type="pct"/>
            <w:vAlign w:val="center"/>
          </w:tcPr>
          <w:p>
            <w:pPr>
              <w:pStyle w:val="39"/>
              <w:rPr>
                <w:rFonts w:ascii="Times New Roman" w:hAnsi="Times New Roman"/>
              </w:rPr>
            </w:pPr>
            <w:r>
              <w:rPr>
                <w:rFonts w:ascii="Times New Roman" w:hAnsi="Times New Roman"/>
              </w:rPr>
              <w:t>升级设备</w:t>
            </w:r>
          </w:p>
        </w:tc>
        <w:tc>
          <w:tcPr>
            <w:tcW w:w="738" w:type="pct"/>
            <w:vAlign w:val="center"/>
          </w:tcPr>
          <w:p>
            <w:pPr>
              <w:pStyle w:val="39"/>
              <w:rPr>
                <w:rFonts w:ascii="Times New Roman" w:hAnsi="Times New Roman"/>
              </w:rPr>
            </w:pPr>
            <w:r>
              <w:rPr>
                <w:rFonts w:ascii="Times New Roman" w:hAnsi="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14</w:t>
            </w:r>
          </w:p>
        </w:tc>
        <w:tc>
          <w:tcPr>
            <w:tcW w:w="3580" w:type="pct"/>
            <w:vAlign w:val="center"/>
          </w:tcPr>
          <w:p>
            <w:pPr>
              <w:pStyle w:val="39"/>
              <w:rPr>
                <w:rFonts w:ascii="Times New Roman" w:hAnsi="Times New Roman"/>
              </w:rPr>
            </w:pPr>
            <w:r>
              <w:rPr>
                <w:rFonts w:ascii="Times New Roman" w:hAnsi="Times New Roman"/>
              </w:rPr>
              <w:t>逃生空呼</w:t>
            </w:r>
          </w:p>
        </w:tc>
        <w:tc>
          <w:tcPr>
            <w:tcW w:w="738" w:type="pct"/>
            <w:vAlign w:val="center"/>
          </w:tcPr>
          <w:p>
            <w:pPr>
              <w:pStyle w:val="39"/>
              <w:rPr>
                <w:rFonts w:ascii="Times New Roman" w:hAnsi="Times New Roman"/>
              </w:rPr>
            </w:pPr>
            <w:r>
              <w:rPr>
                <w:rFonts w:ascii="Times New Roman" w:hAnsi="Times New Roma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15</w:t>
            </w:r>
          </w:p>
        </w:tc>
        <w:tc>
          <w:tcPr>
            <w:tcW w:w="3580" w:type="pct"/>
            <w:vAlign w:val="center"/>
          </w:tcPr>
          <w:p>
            <w:pPr>
              <w:pStyle w:val="39"/>
              <w:rPr>
                <w:rFonts w:ascii="Times New Roman" w:hAnsi="Times New Roman"/>
              </w:rPr>
            </w:pPr>
            <w:r>
              <w:rPr>
                <w:rFonts w:ascii="Times New Roman" w:hAnsi="Times New Roman"/>
              </w:rPr>
              <w:t>12mm静态绳</w:t>
            </w:r>
          </w:p>
        </w:tc>
        <w:tc>
          <w:tcPr>
            <w:tcW w:w="738" w:type="pct"/>
            <w:vAlign w:val="center"/>
          </w:tcPr>
          <w:p>
            <w:pPr>
              <w:pStyle w:val="39"/>
              <w:rPr>
                <w:rFonts w:ascii="Times New Roman" w:hAnsi="Times New Roman"/>
              </w:rPr>
            </w:pPr>
            <w:r>
              <w:rPr>
                <w:rFonts w:ascii="Times New Roman" w:hAnsi="Times New Roma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16</w:t>
            </w:r>
          </w:p>
        </w:tc>
        <w:tc>
          <w:tcPr>
            <w:tcW w:w="3580" w:type="pct"/>
            <w:vAlign w:val="center"/>
          </w:tcPr>
          <w:p>
            <w:pPr>
              <w:pStyle w:val="39"/>
              <w:rPr>
                <w:rFonts w:ascii="Times New Roman" w:hAnsi="Times New Roman"/>
              </w:rPr>
            </w:pPr>
            <w:r>
              <w:rPr>
                <w:rFonts w:ascii="Times New Roman" w:hAnsi="Times New Roman"/>
              </w:rPr>
              <w:t>绳包</w:t>
            </w:r>
          </w:p>
        </w:tc>
        <w:tc>
          <w:tcPr>
            <w:tcW w:w="738" w:type="pct"/>
            <w:vAlign w:val="center"/>
          </w:tcPr>
          <w:p>
            <w:pPr>
              <w:pStyle w:val="39"/>
              <w:rPr>
                <w:rFonts w:ascii="Times New Roman" w:hAnsi="Times New Roman"/>
              </w:rPr>
            </w:pPr>
            <w:r>
              <w:rPr>
                <w:rFonts w:ascii="Times New Roman" w:hAnsi="Times New Roma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17</w:t>
            </w:r>
          </w:p>
        </w:tc>
        <w:tc>
          <w:tcPr>
            <w:tcW w:w="3580" w:type="pct"/>
            <w:vAlign w:val="center"/>
          </w:tcPr>
          <w:p>
            <w:pPr>
              <w:pStyle w:val="39"/>
              <w:rPr>
                <w:rFonts w:ascii="Times New Roman" w:hAnsi="Times New Roman"/>
              </w:rPr>
            </w:pPr>
            <w:r>
              <w:rPr>
                <w:rFonts w:ascii="Times New Roman" w:hAnsi="Times New Roman"/>
              </w:rPr>
              <w:t>环形吊带</w:t>
            </w:r>
          </w:p>
        </w:tc>
        <w:tc>
          <w:tcPr>
            <w:tcW w:w="738" w:type="pct"/>
            <w:vAlign w:val="center"/>
          </w:tcPr>
          <w:p>
            <w:pPr>
              <w:pStyle w:val="39"/>
              <w:rPr>
                <w:rFonts w:ascii="Times New Roman" w:hAnsi="Times New Roman"/>
              </w:rPr>
            </w:pPr>
            <w:r>
              <w:rPr>
                <w:rFonts w:ascii="Times New Roman" w:hAnsi="Times New Roma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18</w:t>
            </w:r>
          </w:p>
        </w:tc>
        <w:tc>
          <w:tcPr>
            <w:tcW w:w="3580" w:type="pct"/>
            <w:vAlign w:val="center"/>
          </w:tcPr>
          <w:p>
            <w:pPr>
              <w:pStyle w:val="39"/>
              <w:rPr>
                <w:rFonts w:ascii="Times New Roman" w:hAnsi="Times New Roman"/>
              </w:rPr>
            </w:pPr>
            <w:r>
              <w:rPr>
                <w:rFonts w:ascii="Times New Roman" w:hAnsi="Times New Roman"/>
              </w:rPr>
              <w:t>锚固扁带</w:t>
            </w:r>
          </w:p>
        </w:tc>
        <w:tc>
          <w:tcPr>
            <w:tcW w:w="738" w:type="pct"/>
            <w:vAlign w:val="center"/>
          </w:tcPr>
          <w:p>
            <w:pPr>
              <w:pStyle w:val="39"/>
              <w:rPr>
                <w:rFonts w:ascii="Times New Roman" w:hAnsi="Times New Roman"/>
              </w:rPr>
            </w:pPr>
            <w:r>
              <w:rPr>
                <w:rFonts w:ascii="Times New Roman" w:hAnsi="Times New Roman"/>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19</w:t>
            </w:r>
          </w:p>
        </w:tc>
        <w:tc>
          <w:tcPr>
            <w:tcW w:w="3580" w:type="pct"/>
            <w:vAlign w:val="center"/>
          </w:tcPr>
          <w:p>
            <w:pPr>
              <w:pStyle w:val="39"/>
              <w:rPr>
                <w:rFonts w:ascii="Times New Roman" w:hAnsi="Times New Roman"/>
              </w:rPr>
            </w:pPr>
            <w:r>
              <w:rPr>
                <w:rFonts w:ascii="Times New Roman" w:hAnsi="Times New Roman"/>
              </w:rPr>
              <w:t>缓冲器</w:t>
            </w:r>
          </w:p>
        </w:tc>
        <w:tc>
          <w:tcPr>
            <w:tcW w:w="738" w:type="pct"/>
            <w:vAlign w:val="center"/>
          </w:tcPr>
          <w:p>
            <w:pPr>
              <w:pStyle w:val="39"/>
              <w:rPr>
                <w:rFonts w:ascii="Times New Roman" w:hAnsi="Times New Roman"/>
              </w:rPr>
            </w:pPr>
            <w:r>
              <w:rPr>
                <w:rFonts w:ascii="Times New Roman" w:hAnsi="Times New Roma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20</w:t>
            </w:r>
          </w:p>
        </w:tc>
        <w:tc>
          <w:tcPr>
            <w:tcW w:w="3580" w:type="pct"/>
            <w:vAlign w:val="center"/>
          </w:tcPr>
          <w:p>
            <w:pPr>
              <w:pStyle w:val="39"/>
              <w:rPr>
                <w:rFonts w:ascii="Times New Roman" w:hAnsi="Times New Roman"/>
              </w:rPr>
            </w:pPr>
            <w:r>
              <w:rPr>
                <w:rFonts w:ascii="Times New Roman" w:hAnsi="Times New Roman"/>
              </w:rPr>
              <w:t>MPA保护器</w:t>
            </w:r>
          </w:p>
        </w:tc>
        <w:tc>
          <w:tcPr>
            <w:tcW w:w="738" w:type="pct"/>
            <w:vAlign w:val="center"/>
          </w:tcPr>
          <w:p>
            <w:pPr>
              <w:pStyle w:val="39"/>
              <w:rPr>
                <w:rFonts w:ascii="Times New Roman" w:hAnsi="Times New Roman"/>
              </w:rPr>
            </w:pPr>
            <w:r>
              <w:rPr>
                <w:rFonts w:ascii="Times New Roman" w:hAnsi="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21</w:t>
            </w:r>
          </w:p>
        </w:tc>
        <w:tc>
          <w:tcPr>
            <w:tcW w:w="3580" w:type="pct"/>
            <w:vAlign w:val="center"/>
          </w:tcPr>
          <w:p>
            <w:pPr>
              <w:pStyle w:val="39"/>
              <w:rPr>
                <w:rFonts w:ascii="Times New Roman" w:hAnsi="Times New Roman"/>
              </w:rPr>
            </w:pPr>
            <w:r>
              <w:rPr>
                <w:rFonts w:ascii="Times New Roman" w:hAnsi="Times New Roman"/>
              </w:rPr>
              <w:t>Rack锁绳器</w:t>
            </w:r>
          </w:p>
        </w:tc>
        <w:tc>
          <w:tcPr>
            <w:tcW w:w="738" w:type="pct"/>
            <w:vAlign w:val="center"/>
          </w:tcPr>
          <w:p>
            <w:pPr>
              <w:pStyle w:val="39"/>
              <w:rPr>
                <w:rFonts w:ascii="Times New Roman" w:hAnsi="Times New Roman"/>
              </w:rPr>
            </w:pPr>
            <w:r>
              <w:rPr>
                <w:rFonts w:ascii="Times New Roman" w:hAnsi="Times New Roma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22</w:t>
            </w:r>
          </w:p>
        </w:tc>
        <w:tc>
          <w:tcPr>
            <w:tcW w:w="3580" w:type="pct"/>
            <w:vAlign w:val="center"/>
          </w:tcPr>
          <w:p>
            <w:pPr>
              <w:pStyle w:val="39"/>
              <w:rPr>
                <w:rFonts w:ascii="Times New Roman" w:hAnsi="Times New Roman"/>
              </w:rPr>
            </w:pPr>
            <w:r>
              <w:rPr>
                <w:rFonts w:ascii="Times New Roman" w:hAnsi="Times New Roman"/>
              </w:rPr>
              <w:t>工具推车</w:t>
            </w:r>
          </w:p>
        </w:tc>
        <w:tc>
          <w:tcPr>
            <w:tcW w:w="738" w:type="pct"/>
            <w:vAlign w:val="center"/>
          </w:tcPr>
          <w:p>
            <w:pPr>
              <w:pStyle w:val="39"/>
              <w:rPr>
                <w:rFonts w:ascii="Times New Roman" w:hAnsi="Times New Roman"/>
              </w:rPr>
            </w:pPr>
            <w:r>
              <w:rPr>
                <w:rFonts w:ascii="Times New Roman" w:hAnsi="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23</w:t>
            </w:r>
          </w:p>
        </w:tc>
        <w:tc>
          <w:tcPr>
            <w:tcW w:w="3580" w:type="pct"/>
            <w:vAlign w:val="center"/>
          </w:tcPr>
          <w:p>
            <w:pPr>
              <w:pStyle w:val="39"/>
              <w:rPr>
                <w:rFonts w:ascii="Times New Roman" w:hAnsi="Times New Roman"/>
              </w:rPr>
            </w:pPr>
            <w:r>
              <w:rPr>
                <w:rFonts w:ascii="Times New Roman" w:hAnsi="Times New Roman"/>
              </w:rPr>
              <w:t>铁挂环</w:t>
            </w:r>
          </w:p>
        </w:tc>
        <w:tc>
          <w:tcPr>
            <w:tcW w:w="738" w:type="pct"/>
            <w:vAlign w:val="center"/>
          </w:tcPr>
          <w:p>
            <w:pPr>
              <w:pStyle w:val="39"/>
              <w:rPr>
                <w:rFonts w:ascii="Times New Roman" w:hAnsi="Times New Roman"/>
              </w:rPr>
            </w:pPr>
            <w:r>
              <w:rPr>
                <w:rFonts w:ascii="Times New Roman" w:hAnsi="Times New Roma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24</w:t>
            </w:r>
          </w:p>
        </w:tc>
        <w:tc>
          <w:tcPr>
            <w:tcW w:w="3580" w:type="pct"/>
            <w:vAlign w:val="center"/>
          </w:tcPr>
          <w:p>
            <w:pPr>
              <w:pStyle w:val="39"/>
              <w:rPr>
                <w:rFonts w:ascii="Times New Roman" w:hAnsi="Times New Roman"/>
              </w:rPr>
            </w:pPr>
            <w:r>
              <w:rPr>
                <w:rFonts w:ascii="Times New Roman" w:hAnsi="Times New Roman"/>
              </w:rPr>
              <w:t>10cm扁带短接</w:t>
            </w:r>
          </w:p>
        </w:tc>
        <w:tc>
          <w:tcPr>
            <w:tcW w:w="738" w:type="pct"/>
            <w:vAlign w:val="center"/>
          </w:tcPr>
          <w:p>
            <w:pPr>
              <w:pStyle w:val="39"/>
              <w:rPr>
                <w:rFonts w:ascii="Times New Roman" w:hAnsi="Times New Roman"/>
              </w:rPr>
            </w:pPr>
            <w:r>
              <w:rPr>
                <w:rFonts w:ascii="Times New Roman" w:hAnsi="Times New Roma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25</w:t>
            </w:r>
          </w:p>
        </w:tc>
        <w:tc>
          <w:tcPr>
            <w:tcW w:w="3580" w:type="pct"/>
            <w:vAlign w:val="center"/>
          </w:tcPr>
          <w:p>
            <w:pPr>
              <w:pStyle w:val="39"/>
              <w:rPr>
                <w:rFonts w:ascii="Times New Roman" w:hAnsi="Times New Roman"/>
              </w:rPr>
            </w:pPr>
            <w:r>
              <w:rPr>
                <w:rFonts w:ascii="Times New Roman" w:hAnsi="Times New Roman"/>
              </w:rPr>
              <w:t>紧急逃生绳</w:t>
            </w:r>
          </w:p>
        </w:tc>
        <w:tc>
          <w:tcPr>
            <w:tcW w:w="738" w:type="pct"/>
            <w:vAlign w:val="center"/>
          </w:tcPr>
          <w:p>
            <w:pPr>
              <w:pStyle w:val="39"/>
              <w:rPr>
                <w:rFonts w:ascii="Times New Roman" w:hAnsi="Times New Roman"/>
              </w:rPr>
            </w:pPr>
            <w:r>
              <w:rPr>
                <w:rFonts w:ascii="Times New Roman" w:hAnsi="Times New Roma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26</w:t>
            </w:r>
          </w:p>
        </w:tc>
        <w:tc>
          <w:tcPr>
            <w:tcW w:w="3580" w:type="pct"/>
            <w:vAlign w:val="center"/>
          </w:tcPr>
          <w:p>
            <w:pPr>
              <w:pStyle w:val="39"/>
              <w:rPr>
                <w:rFonts w:ascii="Times New Roman" w:hAnsi="Times New Roman"/>
              </w:rPr>
            </w:pPr>
            <w:r>
              <w:rPr>
                <w:rFonts w:ascii="Times New Roman" w:hAnsi="Times New Roman"/>
              </w:rPr>
              <w:t>扎带</w:t>
            </w:r>
          </w:p>
        </w:tc>
        <w:tc>
          <w:tcPr>
            <w:tcW w:w="738" w:type="pct"/>
            <w:vAlign w:val="center"/>
          </w:tcPr>
          <w:p>
            <w:pPr>
              <w:pStyle w:val="39"/>
              <w:rPr>
                <w:rFonts w:ascii="Times New Roman" w:hAnsi="Times New Roman"/>
              </w:rPr>
            </w:pPr>
            <w:r>
              <w:rPr>
                <w:rFonts w:ascii="Times New Roman" w:hAnsi="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27</w:t>
            </w:r>
          </w:p>
        </w:tc>
        <w:tc>
          <w:tcPr>
            <w:tcW w:w="3580" w:type="pct"/>
            <w:vAlign w:val="center"/>
          </w:tcPr>
          <w:p>
            <w:pPr>
              <w:pStyle w:val="39"/>
              <w:rPr>
                <w:rFonts w:ascii="Times New Roman" w:hAnsi="Times New Roman"/>
              </w:rPr>
            </w:pPr>
            <w:r>
              <w:rPr>
                <w:rFonts w:ascii="Times New Roman" w:hAnsi="Times New Roman"/>
              </w:rPr>
              <w:t>救援小绳</w:t>
            </w:r>
          </w:p>
        </w:tc>
        <w:tc>
          <w:tcPr>
            <w:tcW w:w="738" w:type="pct"/>
            <w:vAlign w:val="center"/>
          </w:tcPr>
          <w:p>
            <w:pPr>
              <w:pStyle w:val="39"/>
              <w:rPr>
                <w:rFonts w:ascii="Times New Roman" w:hAnsi="Times New Roman"/>
              </w:rPr>
            </w:pPr>
            <w:r>
              <w:rPr>
                <w:rFonts w:ascii="Times New Roman" w:hAnsi="Times New Roma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28</w:t>
            </w:r>
          </w:p>
        </w:tc>
        <w:tc>
          <w:tcPr>
            <w:tcW w:w="3580" w:type="pct"/>
            <w:vAlign w:val="center"/>
          </w:tcPr>
          <w:p>
            <w:pPr>
              <w:pStyle w:val="39"/>
              <w:rPr>
                <w:rFonts w:ascii="Times New Roman" w:hAnsi="Times New Roman"/>
              </w:rPr>
            </w:pPr>
            <w:r>
              <w:rPr>
                <w:rFonts w:ascii="Times New Roman" w:hAnsi="Times New Roman"/>
              </w:rPr>
              <w:t>脚蹬绳</w:t>
            </w:r>
          </w:p>
        </w:tc>
        <w:tc>
          <w:tcPr>
            <w:tcW w:w="738" w:type="pct"/>
            <w:vAlign w:val="center"/>
          </w:tcPr>
          <w:p>
            <w:pPr>
              <w:pStyle w:val="39"/>
              <w:rPr>
                <w:rFonts w:ascii="Times New Roman" w:hAnsi="Times New Roman"/>
              </w:rPr>
            </w:pPr>
            <w:r>
              <w:rPr>
                <w:rFonts w:ascii="Times New Roman" w:hAnsi="Times New Roma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29</w:t>
            </w:r>
          </w:p>
        </w:tc>
        <w:tc>
          <w:tcPr>
            <w:tcW w:w="3580" w:type="pct"/>
            <w:vAlign w:val="center"/>
          </w:tcPr>
          <w:p>
            <w:pPr>
              <w:pStyle w:val="39"/>
              <w:rPr>
                <w:rFonts w:ascii="Times New Roman" w:hAnsi="Times New Roman"/>
              </w:rPr>
            </w:pPr>
            <w:r>
              <w:rPr>
                <w:rFonts w:ascii="Times New Roman" w:hAnsi="Times New Roman"/>
              </w:rPr>
              <w:t>边沿保护器塑料</w:t>
            </w:r>
          </w:p>
        </w:tc>
        <w:tc>
          <w:tcPr>
            <w:tcW w:w="738" w:type="pct"/>
            <w:vAlign w:val="center"/>
          </w:tcPr>
          <w:p>
            <w:pPr>
              <w:pStyle w:val="39"/>
              <w:rPr>
                <w:rFonts w:ascii="Times New Roman" w:hAnsi="Times New Roman"/>
              </w:rPr>
            </w:pPr>
            <w:r>
              <w:rPr>
                <w:rFonts w:ascii="Times New Roman" w:hAnsi="Times New Roma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30</w:t>
            </w:r>
          </w:p>
        </w:tc>
        <w:tc>
          <w:tcPr>
            <w:tcW w:w="3580" w:type="pct"/>
            <w:vAlign w:val="center"/>
          </w:tcPr>
          <w:p>
            <w:pPr>
              <w:pStyle w:val="39"/>
              <w:rPr>
                <w:rFonts w:ascii="Times New Roman" w:hAnsi="Times New Roman"/>
              </w:rPr>
            </w:pPr>
            <w:r>
              <w:rPr>
                <w:rFonts w:ascii="Times New Roman" w:hAnsi="Times New Roman"/>
              </w:rPr>
              <w:t>边沿保护器滚轴</w:t>
            </w:r>
          </w:p>
        </w:tc>
        <w:tc>
          <w:tcPr>
            <w:tcW w:w="738" w:type="pct"/>
            <w:vAlign w:val="center"/>
          </w:tcPr>
          <w:p>
            <w:pPr>
              <w:pStyle w:val="39"/>
              <w:rPr>
                <w:rFonts w:ascii="Times New Roman" w:hAnsi="Times New Roman"/>
              </w:rPr>
            </w:pPr>
            <w:r>
              <w:rPr>
                <w:rFonts w:ascii="Times New Roman" w:hAnsi="Times New Roma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31</w:t>
            </w:r>
          </w:p>
        </w:tc>
        <w:tc>
          <w:tcPr>
            <w:tcW w:w="3580" w:type="pct"/>
            <w:vAlign w:val="center"/>
          </w:tcPr>
          <w:p>
            <w:pPr>
              <w:pStyle w:val="39"/>
              <w:rPr>
                <w:rFonts w:ascii="Times New Roman" w:hAnsi="Times New Roman"/>
              </w:rPr>
            </w:pPr>
            <w:r>
              <w:rPr>
                <w:rFonts w:ascii="Times New Roman" w:hAnsi="Times New Roman"/>
              </w:rPr>
              <w:t>边沿保护管</w:t>
            </w:r>
          </w:p>
        </w:tc>
        <w:tc>
          <w:tcPr>
            <w:tcW w:w="738" w:type="pct"/>
            <w:vAlign w:val="center"/>
          </w:tcPr>
          <w:p>
            <w:pPr>
              <w:pStyle w:val="39"/>
              <w:rPr>
                <w:rFonts w:ascii="Times New Roman" w:hAnsi="Times New Roman"/>
              </w:rPr>
            </w:pPr>
            <w:r>
              <w:rPr>
                <w:rFonts w:ascii="Times New Roman" w:hAnsi="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32</w:t>
            </w:r>
          </w:p>
        </w:tc>
        <w:tc>
          <w:tcPr>
            <w:tcW w:w="3580" w:type="pct"/>
            <w:vAlign w:val="center"/>
          </w:tcPr>
          <w:p>
            <w:pPr>
              <w:pStyle w:val="39"/>
              <w:rPr>
                <w:rFonts w:ascii="Times New Roman" w:hAnsi="Times New Roman"/>
              </w:rPr>
            </w:pPr>
            <w:r>
              <w:rPr>
                <w:rFonts w:ascii="Times New Roman" w:hAnsi="Times New Roman"/>
              </w:rPr>
              <w:t>帆布垫</w:t>
            </w:r>
          </w:p>
        </w:tc>
        <w:tc>
          <w:tcPr>
            <w:tcW w:w="738" w:type="pct"/>
            <w:vAlign w:val="center"/>
          </w:tcPr>
          <w:p>
            <w:pPr>
              <w:pStyle w:val="39"/>
              <w:rPr>
                <w:rFonts w:ascii="Times New Roman" w:hAnsi="Times New Roman"/>
              </w:rPr>
            </w:pPr>
            <w:r>
              <w:rPr>
                <w:rFonts w:ascii="Times New Roman" w:hAnsi="Times New Roma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33</w:t>
            </w:r>
          </w:p>
        </w:tc>
        <w:tc>
          <w:tcPr>
            <w:tcW w:w="3580" w:type="pct"/>
            <w:vAlign w:val="center"/>
          </w:tcPr>
          <w:p>
            <w:pPr>
              <w:pStyle w:val="39"/>
              <w:rPr>
                <w:rFonts w:ascii="Times New Roman" w:hAnsi="Times New Roman"/>
              </w:rPr>
            </w:pPr>
            <w:r>
              <w:rPr>
                <w:rFonts w:ascii="Times New Roman" w:hAnsi="Times New Roman"/>
              </w:rPr>
              <w:t>单双滑轮</w:t>
            </w:r>
          </w:p>
        </w:tc>
        <w:tc>
          <w:tcPr>
            <w:tcW w:w="738" w:type="pct"/>
            <w:vAlign w:val="center"/>
          </w:tcPr>
          <w:p>
            <w:pPr>
              <w:pStyle w:val="39"/>
              <w:rPr>
                <w:rFonts w:ascii="Times New Roman" w:hAnsi="Times New Roman"/>
              </w:rPr>
            </w:pPr>
            <w:r>
              <w:rPr>
                <w:rFonts w:ascii="Times New Roman" w:hAnsi="Times New Roma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34</w:t>
            </w:r>
          </w:p>
        </w:tc>
        <w:tc>
          <w:tcPr>
            <w:tcW w:w="3580" w:type="pct"/>
            <w:vAlign w:val="center"/>
          </w:tcPr>
          <w:p>
            <w:pPr>
              <w:pStyle w:val="39"/>
              <w:rPr>
                <w:rFonts w:ascii="Times New Roman" w:hAnsi="Times New Roman"/>
              </w:rPr>
            </w:pPr>
            <w:r>
              <w:rPr>
                <w:rFonts w:ascii="Times New Roman" w:hAnsi="Times New Roman"/>
              </w:rPr>
              <w:t>锚固板</w:t>
            </w:r>
          </w:p>
        </w:tc>
        <w:tc>
          <w:tcPr>
            <w:tcW w:w="738" w:type="pct"/>
            <w:vAlign w:val="center"/>
          </w:tcPr>
          <w:p>
            <w:pPr>
              <w:pStyle w:val="39"/>
              <w:rPr>
                <w:rFonts w:ascii="Times New Roman" w:hAnsi="Times New Roman"/>
              </w:rPr>
            </w:pPr>
            <w:r>
              <w:rPr>
                <w:rFonts w:ascii="Times New Roman" w:hAnsi="Times New Roma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35</w:t>
            </w:r>
          </w:p>
        </w:tc>
        <w:tc>
          <w:tcPr>
            <w:tcW w:w="3580" w:type="pct"/>
            <w:vAlign w:val="center"/>
          </w:tcPr>
          <w:p>
            <w:pPr>
              <w:pStyle w:val="39"/>
              <w:rPr>
                <w:rFonts w:ascii="Times New Roman" w:hAnsi="Times New Roman"/>
              </w:rPr>
            </w:pPr>
            <w:r>
              <w:rPr>
                <w:rFonts w:ascii="Times New Roman" w:hAnsi="Times New Roman"/>
              </w:rPr>
              <w:t>托拽吊带</w:t>
            </w:r>
          </w:p>
        </w:tc>
        <w:tc>
          <w:tcPr>
            <w:tcW w:w="738" w:type="pct"/>
            <w:vAlign w:val="center"/>
          </w:tcPr>
          <w:p>
            <w:pPr>
              <w:pStyle w:val="39"/>
              <w:rPr>
                <w:rFonts w:ascii="Times New Roman" w:hAnsi="Times New Roman"/>
              </w:rPr>
            </w:pPr>
            <w:r>
              <w:rPr>
                <w:rFonts w:ascii="Times New Roman" w:hAnsi="Times New Roma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36</w:t>
            </w:r>
          </w:p>
        </w:tc>
        <w:tc>
          <w:tcPr>
            <w:tcW w:w="3580" w:type="pct"/>
            <w:vAlign w:val="center"/>
          </w:tcPr>
          <w:p>
            <w:pPr>
              <w:pStyle w:val="39"/>
              <w:rPr>
                <w:rFonts w:ascii="Times New Roman" w:hAnsi="Times New Roman"/>
              </w:rPr>
            </w:pPr>
            <w:r>
              <w:rPr>
                <w:rFonts w:ascii="Times New Roman" w:hAnsi="Times New Roman"/>
              </w:rPr>
              <w:t>小工具包</w:t>
            </w:r>
          </w:p>
        </w:tc>
        <w:tc>
          <w:tcPr>
            <w:tcW w:w="738" w:type="pct"/>
            <w:vAlign w:val="center"/>
          </w:tcPr>
          <w:p>
            <w:pPr>
              <w:pStyle w:val="39"/>
              <w:rPr>
                <w:rFonts w:ascii="Times New Roman" w:hAnsi="Times New Roman"/>
              </w:rPr>
            </w:pPr>
            <w:r>
              <w:rPr>
                <w:rFonts w:ascii="Times New Roman" w:hAnsi="Times New Roma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37</w:t>
            </w:r>
          </w:p>
        </w:tc>
        <w:tc>
          <w:tcPr>
            <w:tcW w:w="3580" w:type="pct"/>
            <w:vAlign w:val="center"/>
          </w:tcPr>
          <w:p>
            <w:pPr>
              <w:pStyle w:val="39"/>
              <w:rPr>
                <w:rFonts w:ascii="Times New Roman" w:hAnsi="Times New Roman"/>
              </w:rPr>
            </w:pPr>
            <w:r>
              <w:rPr>
                <w:rFonts w:ascii="Times New Roman" w:hAnsi="Times New Roman"/>
              </w:rPr>
              <w:t>量绳器</w:t>
            </w:r>
          </w:p>
        </w:tc>
        <w:tc>
          <w:tcPr>
            <w:tcW w:w="738" w:type="pct"/>
            <w:vAlign w:val="center"/>
          </w:tcPr>
          <w:p>
            <w:pPr>
              <w:pStyle w:val="39"/>
              <w:rPr>
                <w:rFonts w:ascii="Times New Roman" w:hAnsi="Times New Roman"/>
              </w:rPr>
            </w:pPr>
            <w:r>
              <w:rPr>
                <w:rFonts w:ascii="Times New Roman" w:hAnsi="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38</w:t>
            </w:r>
          </w:p>
        </w:tc>
        <w:tc>
          <w:tcPr>
            <w:tcW w:w="3580" w:type="pct"/>
            <w:vAlign w:val="center"/>
          </w:tcPr>
          <w:p>
            <w:pPr>
              <w:pStyle w:val="39"/>
              <w:rPr>
                <w:rFonts w:ascii="Times New Roman" w:hAnsi="Times New Roman"/>
              </w:rPr>
            </w:pPr>
            <w:r>
              <w:rPr>
                <w:rFonts w:ascii="Times New Roman" w:hAnsi="Times New Roman"/>
              </w:rPr>
              <w:t>拖车拉杆</w:t>
            </w:r>
          </w:p>
        </w:tc>
        <w:tc>
          <w:tcPr>
            <w:tcW w:w="738" w:type="pct"/>
            <w:vAlign w:val="center"/>
          </w:tcPr>
          <w:p>
            <w:pPr>
              <w:pStyle w:val="39"/>
              <w:rPr>
                <w:rFonts w:ascii="Times New Roman" w:hAnsi="Times New Roman"/>
              </w:rPr>
            </w:pPr>
            <w:r>
              <w:rPr>
                <w:rFonts w:ascii="Times New Roman" w:hAnsi="Times New Roma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39</w:t>
            </w:r>
          </w:p>
        </w:tc>
        <w:tc>
          <w:tcPr>
            <w:tcW w:w="3580" w:type="pct"/>
            <w:vAlign w:val="center"/>
          </w:tcPr>
          <w:p>
            <w:pPr>
              <w:pStyle w:val="39"/>
              <w:rPr>
                <w:rFonts w:ascii="Times New Roman" w:hAnsi="Times New Roman"/>
              </w:rPr>
            </w:pPr>
            <w:r>
              <w:rPr>
                <w:rFonts w:ascii="Times New Roman" w:hAnsi="Times New Roman"/>
              </w:rPr>
              <w:t>吊杆</w:t>
            </w:r>
          </w:p>
        </w:tc>
        <w:tc>
          <w:tcPr>
            <w:tcW w:w="738" w:type="pct"/>
            <w:vAlign w:val="center"/>
          </w:tcPr>
          <w:p>
            <w:pPr>
              <w:pStyle w:val="39"/>
              <w:rPr>
                <w:rFonts w:ascii="Times New Roman" w:hAnsi="Times New Roman"/>
              </w:rPr>
            </w:pPr>
            <w:r>
              <w:rPr>
                <w:rFonts w:ascii="Times New Roman" w:hAnsi="Times New Roma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40</w:t>
            </w:r>
          </w:p>
        </w:tc>
        <w:tc>
          <w:tcPr>
            <w:tcW w:w="3580" w:type="pct"/>
            <w:vAlign w:val="center"/>
          </w:tcPr>
          <w:p>
            <w:pPr>
              <w:pStyle w:val="39"/>
              <w:rPr>
                <w:rFonts w:ascii="Times New Roman" w:hAnsi="Times New Roman"/>
              </w:rPr>
            </w:pPr>
            <w:r>
              <w:rPr>
                <w:rFonts w:ascii="Times New Roman" w:hAnsi="Times New Roman"/>
              </w:rPr>
              <w:t>下滑器</w:t>
            </w:r>
          </w:p>
        </w:tc>
        <w:tc>
          <w:tcPr>
            <w:tcW w:w="738" w:type="pct"/>
            <w:vAlign w:val="center"/>
          </w:tcPr>
          <w:p>
            <w:pPr>
              <w:pStyle w:val="39"/>
              <w:rPr>
                <w:rFonts w:ascii="Times New Roman" w:hAnsi="Times New Roman"/>
              </w:rPr>
            </w:pPr>
            <w:r>
              <w:rPr>
                <w:rFonts w:ascii="Times New Roman" w:hAnsi="Times New Roma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41</w:t>
            </w:r>
          </w:p>
        </w:tc>
        <w:tc>
          <w:tcPr>
            <w:tcW w:w="3580" w:type="pct"/>
            <w:vAlign w:val="center"/>
          </w:tcPr>
          <w:p>
            <w:pPr>
              <w:pStyle w:val="39"/>
              <w:rPr>
                <w:rFonts w:ascii="Times New Roman" w:hAnsi="Times New Roman"/>
              </w:rPr>
            </w:pPr>
            <w:r>
              <w:rPr>
                <w:rFonts w:ascii="Times New Roman" w:hAnsi="Times New Roman"/>
              </w:rPr>
              <w:t>8字下滑器</w:t>
            </w:r>
          </w:p>
        </w:tc>
        <w:tc>
          <w:tcPr>
            <w:tcW w:w="738" w:type="pct"/>
            <w:vAlign w:val="center"/>
          </w:tcPr>
          <w:p>
            <w:pPr>
              <w:pStyle w:val="39"/>
              <w:rPr>
                <w:rFonts w:ascii="Times New Roman" w:hAnsi="Times New Roman"/>
              </w:rPr>
            </w:pPr>
            <w:r>
              <w:rPr>
                <w:rFonts w:ascii="Times New Roman" w:hAnsi="Times New Roma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42</w:t>
            </w:r>
          </w:p>
        </w:tc>
        <w:tc>
          <w:tcPr>
            <w:tcW w:w="3580" w:type="pct"/>
            <w:vAlign w:val="center"/>
          </w:tcPr>
          <w:p>
            <w:pPr>
              <w:pStyle w:val="39"/>
              <w:rPr>
                <w:rFonts w:ascii="Times New Roman" w:hAnsi="Times New Roman"/>
              </w:rPr>
            </w:pPr>
            <w:r>
              <w:rPr>
                <w:rFonts w:ascii="Times New Roman" w:hAnsi="Times New Roman"/>
              </w:rPr>
              <w:t>气瓶维修平台</w:t>
            </w:r>
          </w:p>
        </w:tc>
        <w:tc>
          <w:tcPr>
            <w:tcW w:w="738" w:type="pct"/>
            <w:vAlign w:val="center"/>
          </w:tcPr>
          <w:p>
            <w:pPr>
              <w:pStyle w:val="39"/>
              <w:rPr>
                <w:rFonts w:ascii="Times New Roman" w:hAnsi="Times New Roman"/>
              </w:rPr>
            </w:pPr>
            <w:r>
              <w:rPr>
                <w:rFonts w:ascii="Times New Roman" w:hAnsi="Times New Roma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43</w:t>
            </w:r>
          </w:p>
        </w:tc>
        <w:tc>
          <w:tcPr>
            <w:tcW w:w="3580" w:type="pct"/>
            <w:vAlign w:val="center"/>
          </w:tcPr>
          <w:p>
            <w:pPr>
              <w:pStyle w:val="39"/>
              <w:rPr>
                <w:rFonts w:ascii="Times New Roman" w:hAnsi="Times New Roman"/>
              </w:rPr>
            </w:pPr>
            <w:r>
              <w:rPr>
                <w:rFonts w:ascii="Times New Roman" w:hAnsi="Times New Roman"/>
              </w:rPr>
              <w:t>气瓶</w:t>
            </w:r>
          </w:p>
        </w:tc>
        <w:tc>
          <w:tcPr>
            <w:tcW w:w="738" w:type="pct"/>
            <w:vAlign w:val="center"/>
          </w:tcPr>
          <w:p>
            <w:pPr>
              <w:pStyle w:val="39"/>
              <w:rPr>
                <w:rFonts w:ascii="Times New Roman" w:hAnsi="Times New Roman"/>
              </w:rPr>
            </w:pPr>
            <w:r>
              <w:rPr>
                <w:rFonts w:ascii="Times New Roman" w:hAnsi="Times New Roma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20" w:hRule="atLeast"/>
          <w:jc w:val="center"/>
        </w:trPr>
        <w:tc>
          <w:tcPr>
            <w:tcW w:w="682" w:type="pct"/>
            <w:vAlign w:val="center"/>
          </w:tcPr>
          <w:p>
            <w:pPr>
              <w:pStyle w:val="39"/>
              <w:rPr>
                <w:rFonts w:ascii="Times New Roman" w:hAnsi="Times New Roman"/>
              </w:rPr>
            </w:pPr>
            <w:r>
              <w:rPr>
                <w:rFonts w:ascii="Times New Roman" w:hAnsi="Times New Roman"/>
              </w:rPr>
              <w:t>44</w:t>
            </w:r>
          </w:p>
        </w:tc>
        <w:tc>
          <w:tcPr>
            <w:tcW w:w="3580" w:type="pct"/>
            <w:vAlign w:val="center"/>
          </w:tcPr>
          <w:p>
            <w:pPr>
              <w:pStyle w:val="39"/>
              <w:rPr>
                <w:rFonts w:ascii="Times New Roman" w:hAnsi="Times New Roman"/>
              </w:rPr>
            </w:pPr>
            <w:r>
              <w:rPr>
                <w:rFonts w:ascii="Times New Roman" w:hAnsi="Times New Roman"/>
              </w:rPr>
              <w:t>充气机</w:t>
            </w:r>
          </w:p>
        </w:tc>
        <w:tc>
          <w:tcPr>
            <w:tcW w:w="738" w:type="pct"/>
            <w:vAlign w:val="center"/>
          </w:tcPr>
          <w:p>
            <w:pPr>
              <w:pStyle w:val="39"/>
              <w:rPr>
                <w:rFonts w:ascii="Times New Roman" w:hAnsi="Times New Roman"/>
              </w:rPr>
            </w:pPr>
            <w:r>
              <w:rPr>
                <w:rFonts w:ascii="Times New Roman" w:hAnsi="Times New Roman"/>
              </w:rPr>
              <w:t>2</w:t>
            </w:r>
          </w:p>
        </w:tc>
      </w:tr>
    </w:tbl>
    <w:p>
      <w:pPr>
        <w:pStyle w:val="5"/>
        <w:rPr>
          <w:rFonts w:ascii="Times New Roman" w:hAnsi="Times New Roman"/>
        </w:rPr>
      </w:pPr>
      <w:r>
        <w:rPr>
          <w:rFonts w:ascii="Times New Roman" w:hAnsi="Times New Roman"/>
        </w:rPr>
        <w:t>应急演练</w:t>
      </w:r>
    </w:p>
    <w:p>
      <w:pPr>
        <w:ind w:firstLine="480"/>
        <w:rPr>
          <w:rFonts w:ascii="Times New Roman" w:hAnsi="Times New Roman"/>
        </w:rPr>
      </w:pPr>
      <w:r>
        <w:rPr>
          <w:rFonts w:ascii="Times New Roman" w:hAnsi="Times New Roman"/>
        </w:rPr>
        <w:t>气矿突发环境事件应急办公室负责演练计划编制，指导各基层单位</w:t>
      </w:r>
      <w:r>
        <w:rPr>
          <w:rFonts w:hint="eastAsia" w:ascii="Times New Roman" w:hAnsi="Times New Roman"/>
          <w:lang w:eastAsia="zh-CN"/>
        </w:rPr>
        <w:t>制定</w:t>
      </w:r>
      <w:r>
        <w:rPr>
          <w:rFonts w:ascii="Times New Roman" w:hAnsi="Times New Roman"/>
        </w:rPr>
        <w:t xml:space="preserve">应急预案演练计划，督促实施。气矿每年对应急预案进行一次演练；基层单位每半年进行一次预案演练；井站班组每月至少进行一次预案演练。应急预案演练结束后，应急预案演练组织单位应当按照合规、客观、公正、科学的原则对应急预案演练效果进行评估，填写应急演练评估记录表，分析存在的问题，并对应急预案提出修订意见。 </w:t>
      </w:r>
    </w:p>
    <w:p>
      <w:pPr>
        <w:ind w:firstLine="480"/>
        <w:rPr>
          <w:rFonts w:ascii="Times New Roman" w:hAnsi="Times New Roman"/>
        </w:rPr>
      </w:pPr>
      <w:r>
        <w:rPr>
          <w:rFonts w:ascii="Times New Roman" w:hAnsi="Times New Roman"/>
        </w:rPr>
        <w:t>演练方案内容包括演练目的、步骤、各组分工以及具体的时间任务要求等。</w:t>
      </w:r>
    </w:p>
    <w:p>
      <w:pPr>
        <w:ind w:firstLine="480"/>
        <w:rPr>
          <w:rFonts w:ascii="Times New Roman" w:hAnsi="Times New Roman"/>
        </w:rPr>
      </w:pPr>
      <w:r>
        <w:rPr>
          <w:rFonts w:ascii="Times New Roman" w:hAnsi="Times New Roman"/>
        </w:rPr>
        <w:t>演练评估内容包括应急准备（应急预案的实施、信息接收、流转、报送、应急组织指挥情况等）、应急处置（现场监控、警戒、处置、环境影响防控与检测、信息发布情况等）、救援工作（现场救援方案的制定及执行、救援队伍、联动协调、应急救援装备、物资储备、资金保障落实、救援成效、经验教训等）等三个方面。</w:t>
      </w:r>
    </w:p>
    <w:p>
      <w:pPr>
        <w:pStyle w:val="5"/>
        <w:rPr>
          <w:rFonts w:ascii="Times New Roman" w:hAnsi="Times New Roman"/>
        </w:rPr>
      </w:pPr>
      <w:r>
        <w:rPr>
          <w:rFonts w:ascii="Times New Roman" w:hAnsi="Times New Roman"/>
        </w:rPr>
        <w:t>应急联动</w:t>
      </w:r>
    </w:p>
    <w:p>
      <w:pPr>
        <w:ind w:firstLine="480"/>
        <w:rPr>
          <w:rFonts w:ascii="Times New Roman" w:hAnsi="Times New Roman"/>
        </w:rPr>
      </w:pPr>
      <w:r>
        <w:rPr>
          <w:rFonts w:ascii="Times New Roman" w:hAnsi="Times New Roman"/>
        </w:rPr>
        <w:t>（1）与地方政府应急预案的联动与衔接</w:t>
      </w:r>
    </w:p>
    <w:p>
      <w:pPr>
        <w:ind w:firstLine="480"/>
        <w:rPr>
          <w:rFonts w:ascii="Times New Roman" w:hAnsi="Times New Roman"/>
        </w:rPr>
      </w:pPr>
      <w:r>
        <w:rPr>
          <w:rFonts w:ascii="Times New Roman" w:hAnsi="Times New Roman"/>
        </w:rPr>
        <w:t>本项目突发环境事件应急预案应充分考虑与地方政府突发环境事件应急预案相衔接与联动。达州市制定了《达州市突发事件总体应急预案（试行）》（达市府〔2021〕14号，2021年6月3日发布）、《宣汉县突发事件总体应急预案（试行）》（2021年9月30日）。达州市、宣汉县针对水旱灾害、地质灾害、地震灾害、森林火灾、气象灾害、生产安全事件、消防安全事件、道路交通安全事件、交通运输安全事件、旅游安全事件、突发环境事件、生产运行突发事件、突发公共卫生事件、食品药品安全事件、动植物疫情事件、生活必需品异常波动事件、金融突发事件等均制定了专项预案。社区街道、农村乡镇、居委会、村委会也要制定应急预案。</w:t>
      </w:r>
    </w:p>
    <w:p>
      <w:pPr>
        <w:ind w:firstLine="480"/>
        <w:rPr>
          <w:rFonts w:ascii="Times New Roman" w:hAnsi="Times New Roman"/>
        </w:rPr>
      </w:pPr>
      <w:r>
        <w:rPr>
          <w:rFonts w:ascii="Times New Roman" w:hAnsi="Times New Roman"/>
        </w:rPr>
        <w:t>本项目预案应与上述地方政府环境应急预案相衔接，充分利用区域现有应急救援资源，若发生环境污染事件，首先启动本单位应急预案，并及时将事故向宣汉县有关部门报告。同时，应急响应行动与宣汉县应急响应保持联动，确保信息传递和人员的救助以及事故处理的及时性和准确性。</w:t>
      </w:r>
    </w:p>
    <w:p>
      <w:pPr>
        <w:ind w:firstLine="480"/>
        <w:rPr>
          <w:rFonts w:ascii="Times New Roman" w:hAnsi="Times New Roman"/>
        </w:rPr>
      </w:pPr>
      <w:r>
        <w:rPr>
          <w:rFonts w:ascii="Times New Roman" w:hAnsi="Times New Roman"/>
        </w:rPr>
        <w:t>（2）与其他油气生产场所的应急联动</w:t>
      </w:r>
    </w:p>
    <w:p>
      <w:pPr>
        <w:ind w:firstLine="480"/>
        <w:rPr>
          <w:rFonts w:ascii="Times New Roman" w:hAnsi="Times New Roman"/>
        </w:rPr>
      </w:pPr>
      <w:r>
        <w:rPr>
          <w:rFonts w:ascii="Times New Roman" w:hAnsi="Times New Roman"/>
        </w:rPr>
        <w:t>根据《硫化氢环境人身防护规范》（SY/T6277-2017）规定：“应急撤离区域指发生硫化氢泄漏时，人员应进行撤离的区域。当空气中硫化氢浓度达到安全临界浓度时，无任何人身防护的人员应进行撤离的区域；当空气中硫化氢浓度达到危险临界浓度时，有人身防护的现场人员，经应急处置无望，可进行撤离的区域。”其中安全临界浓度为30mg/m³，危险临界浓度150mg/m³。</w:t>
      </w:r>
    </w:p>
    <w:p>
      <w:pPr>
        <w:ind w:firstLine="480"/>
        <w:rPr>
          <w:rFonts w:ascii="Times New Roman" w:hAnsi="Times New Roman"/>
        </w:rPr>
      </w:pPr>
      <w:r>
        <w:rPr>
          <w:rFonts w:ascii="Times New Roman" w:hAnsi="Times New Roman"/>
        </w:rPr>
        <w:t>当本项目任意一个危险单元发生事故时，其应急撤离范围内的其他危险单元或其他油气生产场所应进行应急响应。</w:t>
      </w:r>
    </w:p>
    <w:p>
      <w:pPr>
        <w:ind w:firstLine="480"/>
        <w:rPr>
          <w:rFonts w:ascii="Times New Roman" w:hAnsi="Times New Roman"/>
        </w:rPr>
      </w:pPr>
      <w:r>
        <w:rPr>
          <w:rFonts w:ascii="Times New Roman" w:hAnsi="Times New Roman"/>
        </w:rPr>
        <w:t>当油气生产场所监测到硫化氢达到某一特定浓度时（如20ppm），人员全部采取庇护手段（佩戴空呼或者进入庇护所），同时关注设备情况，视情况评估是否对设备设施进行关停，避免盲目应急停车或人员撤离，避免发生累积事故。当油气生产场所监测到硫化氢达到某一特定相对较高的浓度时（如100ppm），油气生产场所立即关停生产设备并放空。</w:t>
      </w:r>
    </w:p>
    <w:p>
      <w:pPr>
        <w:ind w:firstLine="480"/>
        <w:rPr>
          <w:rFonts w:ascii="Times New Roman" w:hAnsi="Times New Roman"/>
        </w:rPr>
      </w:pPr>
      <w:r>
        <w:rPr>
          <w:rFonts w:ascii="Times New Roman" w:hAnsi="Times New Roman"/>
        </w:rPr>
        <w:t>为了提升本项目事故时其他油气生产场所应急响应的及时性和可靠性，建设单位应协调上级行业主管部门强化生产调度职能，灵活开展生产调度，避免事故规模相对较小时，其他油气生产场所盲目关停引发叠加效应；同时避免事故规模扩大时其他油气生产场所未能及时关停引发叠加效应。建议协调川东北作业分公司，将SCADA等自控系统接入中国石油西南油气田公司，从技术保障层面实现公司级的统一调度，实现事故情况下的统一联动与应急。</w:t>
      </w:r>
    </w:p>
    <w:p>
      <w:pPr>
        <w:ind w:firstLine="480"/>
        <w:rPr>
          <w:rFonts w:ascii="Times New Roman" w:hAnsi="Times New Roman"/>
        </w:rPr>
      </w:pPr>
      <w:r>
        <w:rPr>
          <w:rFonts w:ascii="Times New Roman" w:hAnsi="Times New Roman"/>
        </w:rPr>
        <w:t>与中石化普光气田签订应急救援协议，定期开展联合应急演练。</w:t>
      </w:r>
    </w:p>
    <w:p>
      <w:pPr>
        <w:pStyle w:val="3"/>
        <w:rPr>
          <w:rFonts w:ascii="Times New Roman" w:hAnsi="Times New Roman" w:cs="Times New Roman"/>
        </w:rPr>
      </w:pPr>
      <w:bookmarkStart w:id="365" w:name="_Toc162339438"/>
      <w:r>
        <w:rPr>
          <w:rFonts w:ascii="Times New Roman" w:hAnsi="Times New Roman" w:cs="Times New Roman"/>
        </w:rPr>
        <w:t>评价结论与建议</w:t>
      </w:r>
      <w:bookmarkEnd w:id="365"/>
    </w:p>
    <w:p>
      <w:pPr>
        <w:pStyle w:val="4"/>
        <w:rPr>
          <w:rFonts w:ascii="Times New Roman" w:hAnsi="Times New Roman" w:cs="Times New Roman"/>
        </w:rPr>
      </w:pPr>
      <w:r>
        <w:rPr>
          <w:rFonts w:ascii="Times New Roman" w:hAnsi="Times New Roman" w:cs="Times New Roman"/>
        </w:rPr>
        <w:t>项目危险因素</w:t>
      </w:r>
    </w:p>
    <w:p>
      <w:pPr>
        <w:ind w:firstLine="480"/>
        <w:rPr>
          <w:rFonts w:ascii="Times New Roman" w:hAnsi="Times New Roman"/>
        </w:rPr>
      </w:pPr>
      <w:r>
        <w:rPr>
          <w:rFonts w:ascii="Times New Roman" w:hAnsi="Times New Roman"/>
        </w:rPr>
        <w:t>本项目工程建设主要为井站工程、集输管线工程，涉及的危险物质包括：甲烷、硫化氢、二氧化碳、硫化亚铁、气田水、元素硫，以及火灾、爆炸事故伴生物一氧化碳和二氧化硫等。本项目存在物质或能量意外释放，并可能产生环境危害的源主要有：采气井站内的管道及设备；集气管道；气田水外运罐车。</w:t>
      </w:r>
    </w:p>
    <w:p>
      <w:pPr>
        <w:ind w:firstLine="480"/>
        <w:rPr>
          <w:rFonts w:ascii="Times New Roman" w:hAnsi="Times New Roman"/>
        </w:rPr>
      </w:pPr>
      <w:r>
        <w:rPr>
          <w:rFonts w:ascii="Times New Roman" w:hAnsi="Times New Roman"/>
        </w:rPr>
        <w:t>环境风险类型包括危险物质泄漏，火灾、爆炸等引发的伴生/次生污染物排放，同一种危险物质可能有多种环境风险类型。本项目主要环境风险物质为CH4，H2S，气田水等。一般来说，风险事故的触发因素多为设备（包括管线、阀门或其它设施）腐蚀、材质缺陷或操作失误等，有毒有害的危险物质CH4和H2S泄漏至空气中，对周围大气环境造成污染；对于可能引发火灾、爆炸事故的危险物质CH</w:t>
      </w:r>
      <w:r>
        <w:rPr>
          <w:rFonts w:ascii="Times New Roman" w:hAnsi="Times New Roman"/>
          <w:vertAlign w:val="subscript"/>
        </w:rPr>
        <w:t>4</w:t>
      </w:r>
      <w:r>
        <w:rPr>
          <w:rFonts w:ascii="Times New Roman" w:hAnsi="Times New Roman"/>
        </w:rPr>
        <w:t>，还需要考虑到伴生/次生污染物如CO和SO</w:t>
      </w:r>
      <w:r>
        <w:rPr>
          <w:rFonts w:ascii="Times New Roman" w:hAnsi="Times New Roman"/>
          <w:vertAlign w:val="subscript"/>
        </w:rPr>
        <w:t>2</w:t>
      </w:r>
      <w:r>
        <w:rPr>
          <w:rFonts w:ascii="Times New Roman" w:hAnsi="Times New Roman"/>
        </w:rPr>
        <w:t>的排放引发的环境影响。另外，气田水、扑救火灾时产生的消防水及污染雨水等沿地面漫流，可能会对地表水、地下水及土壤环境造成污染。</w:t>
      </w:r>
    </w:p>
    <w:p>
      <w:pPr>
        <w:pStyle w:val="4"/>
        <w:rPr>
          <w:rFonts w:ascii="Times New Roman" w:hAnsi="Times New Roman" w:cs="Times New Roman"/>
        </w:rPr>
      </w:pPr>
      <w:r>
        <w:rPr>
          <w:rFonts w:ascii="Times New Roman" w:hAnsi="Times New Roman" w:cs="Times New Roman"/>
        </w:rPr>
        <w:t>环境敏感性及事故环境影响</w:t>
      </w:r>
    </w:p>
    <w:p>
      <w:pPr>
        <w:ind w:firstLine="480"/>
        <w:rPr>
          <w:rFonts w:ascii="Times New Roman" w:hAnsi="Times New Roman"/>
        </w:rPr>
      </w:pPr>
      <w:r>
        <w:rPr>
          <w:rFonts w:ascii="Times New Roman" w:hAnsi="Times New Roman"/>
        </w:rPr>
        <w:t>本项目井站周边500m范围内居住区、文化教育等机构人口总数小于500人，5km范围内人口总数大于1万人，小于5万人；管线周边仅宣探阀室-宣探清管站段，部分管段每千米管段人口数大于200人，其他管线每千米管段人口数小于100人。宣探1井站周边涉及清溪镇乱石滩河吴家湾集中式饮用水水源地，集气支线穿越清溪河处，位于该水源地上游1.5km。宣探1井站地下水评价范围内，没有分散式水井等；宣兴1井站周边和集气管道周边，分布有分散式水井。</w:t>
      </w:r>
    </w:p>
    <w:p>
      <w:pPr>
        <w:ind w:firstLine="480"/>
        <w:rPr>
          <w:rFonts w:ascii="Times New Roman" w:hAnsi="Times New Roman"/>
        </w:rPr>
      </w:pPr>
      <w:r>
        <w:rPr>
          <w:rFonts w:ascii="Times New Roman" w:hAnsi="Times New Roman"/>
        </w:rPr>
        <w:t>本项目大气环境风险主要是集输管线发生泄漏事故，造成硫化氢外泄，对周边环境带来影响，根据预测结果可知：</w:t>
      </w:r>
    </w:p>
    <w:p>
      <w:pPr>
        <w:ind w:firstLine="480"/>
        <w:rPr>
          <w:rFonts w:ascii="Times New Roman" w:hAnsi="Times New Roman"/>
        </w:rPr>
      </w:pPr>
      <w:r>
        <w:rPr>
          <w:rFonts w:ascii="Times New Roman" w:hAnsi="Times New Roman"/>
        </w:rPr>
        <w:t>宣探集气干线（宣兴1井站-宣探阀室）管道泄漏时，根据模拟预测，在最不利气象条件下，西北风向下，毒性终点浓度-1影响范围最大，泄漏发生86min后毒性终点浓度-1影响范围达到694m；东风向下，毒性终点浓度-2影响范围最大，泄漏发生83min后毒性终点浓度-2影响范围达到840m。风险源周边关心点中，以H</w:t>
      </w:r>
      <w:r>
        <w:rPr>
          <w:rFonts w:ascii="Times New Roman" w:hAnsi="Times New Roman"/>
          <w:vertAlign w:val="subscript"/>
        </w:rPr>
        <w:t>2</w:t>
      </w:r>
      <w:r>
        <w:rPr>
          <w:rFonts w:ascii="Times New Roman" w:hAnsi="Times New Roman"/>
        </w:rPr>
        <w:t>S毒性终点浓度-2作为超标参考依据，除关心点5，其他关心点均超标，超标时间出现在泄漏事故发生21-52min后，持续超标时间在54-66min。</w:t>
      </w:r>
    </w:p>
    <w:p>
      <w:pPr>
        <w:ind w:firstLine="480"/>
        <w:rPr>
          <w:rFonts w:ascii="Times New Roman" w:hAnsi="Times New Roman"/>
        </w:rPr>
      </w:pPr>
      <w:r>
        <w:rPr>
          <w:rFonts w:ascii="Times New Roman" w:hAnsi="Times New Roman"/>
        </w:rPr>
        <w:t>宣探集气干线（宣探阀室-宣探清管站）管道泄漏时，根据模拟预测，在最不利气象条件下，东风向下，毒性终点浓度-1和毒性终点浓度-2影响范围最大，泄漏发生104min后毒性终点浓度-1影响范围达到1340m，泄漏发生105min后毒性终点浓度-2影响范围达到1470m。风险源周边关心点中，以H</w:t>
      </w:r>
      <w:r>
        <w:rPr>
          <w:rFonts w:ascii="Times New Roman" w:hAnsi="Times New Roman"/>
          <w:vertAlign w:val="subscript"/>
        </w:rPr>
        <w:t>2</w:t>
      </w:r>
      <w:r>
        <w:rPr>
          <w:rFonts w:ascii="Times New Roman" w:hAnsi="Times New Roman"/>
        </w:rPr>
        <w:t>S毒性终点浓度-2作为超标参考依据，除关心点4、关心点5、关心点10，其他关心点均超标，超标时间出现在泄漏事故发生30-61min后，持续超标时间在14-86min。</w:t>
      </w:r>
    </w:p>
    <w:p>
      <w:pPr>
        <w:ind w:firstLine="480"/>
        <w:rPr>
          <w:rFonts w:ascii="Times New Roman" w:hAnsi="Times New Roman"/>
        </w:rPr>
      </w:pPr>
      <w:r>
        <w:rPr>
          <w:rFonts w:ascii="Times New Roman" w:hAnsi="Times New Roman"/>
        </w:rPr>
        <w:t>宣探联络线（宣探清管站-304集气站）管道泄漏时，根据模拟预测，在最不利气象条件下，各风向下均没有出现H</w:t>
      </w:r>
      <w:r>
        <w:rPr>
          <w:rFonts w:ascii="Times New Roman" w:hAnsi="Times New Roman"/>
          <w:vertAlign w:val="subscript"/>
        </w:rPr>
        <w:t>2</w:t>
      </w:r>
      <w:r>
        <w:rPr>
          <w:rFonts w:ascii="Times New Roman" w:hAnsi="Times New Roman"/>
        </w:rPr>
        <w:t>S毒性终点浓度-1影响范围，亦没有出现H</w:t>
      </w:r>
      <w:r>
        <w:rPr>
          <w:rFonts w:ascii="Times New Roman" w:hAnsi="Times New Roman"/>
          <w:vertAlign w:val="subscript"/>
        </w:rPr>
        <w:t>2</w:t>
      </w:r>
      <w:r>
        <w:rPr>
          <w:rFonts w:ascii="Times New Roman" w:hAnsi="Times New Roman"/>
        </w:rPr>
        <w:t>S毒性终点浓度-2影响范围。风险源周边关心点中，以H</w:t>
      </w:r>
      <w:r>
        <w:rPr>
          <w:rFonts w:ascii="Times New Roman" w:hAnsi="Times New Roman"/>
          <w:vertAlign w:val="subscript"/>
        </w:rPr>
        <w:t>2</w:t>
      </w:r>
      <w:r>
        <w:rPr>
          <w:rFonts w:ascii="Times New Roman" w:hAnsi="Times New Roman"/>
        </w:rPr>
        <w:t>S毒性终点浓度-2作为超标参考依据，各关心点均未超标。</w:t>
      </w:r>
    </w:p>
    <w:p>
      <w:pPr>
        <w:ind w:firstLine="480"/>
        <w:rPr>
          <w:rFonts w:ascii="Times New Roman" w:hAnsi="Times New Roman"/>
        </w:rPr>
      </w:pPr>
      <w:r>
        <w:rPr>
          <w:rFonts w:ascii="Times New Roman" w:hAnsi="Times New Roman"/>
        </w:rPr>
        <w:t>宣探集气支线（宣探1井-宣兴1井）管道泄漏时，根据模拟预测，在最不利气象条件下，北风向下，毒性终点浓度-1影响范围最大，泄漏发生52min后毒性终点浓度-1影响范围达到31m；西风向下，毒性终点浓度-2影响范围最大，泄漏发生40min后毒性终点浓度-2影响范围达到57m。风险源周边关心点中，以H</w:t>
      </w:r>
      <w:r>
        <w:rPr>
          <w:rFonts w:ascii="Times New Roman" w:hAnsi="Times New Roman"/>
          <w:vertAlign w:val="subscript"/>
        </w:rPr>
        <w:t>2</w:t>
      </w:r>
      <w:r>
        <w:rPr>
          <w:rFonts w:ascii="Times New Roman" w:hAnsi="Times New Roman"/>
        </w:rPr>
        <w:t>S毒性终点浓度-2作为超标参考依据，各关心点均未超标。</w:t>
      </w:r>
    </w:p>
    <w:p>
      <w:pPr>
        <w:ind w:firstLine="480"/>
        <w:rPr>
          <w:rFonts w:ascii="Times New Roman" w:hAnsi="Times New Roman"/>
        </w:rPr>
      </w:pPr>
      <w:r>
        <w:rPr>
          <w:rFonts w:ascii="Times New Roman" w:hAnsi="Times New Roman"/>
        </w:rPr>
        <w:t>宣探1井站、宣兴1井站的站内管道泄漏时，根据模拟预测，在最不利气象条件下，各风向下均没有出现H</w:t>
      </w:r>
      <w:r>
        <w:rPr>
          <w:rFonts w:ascii="Times New Roman" w:hAnsi="Times New Roman"/>
          <w:vertAlign w:val="subscript"/>
        </w:rPr>
        <w:t>2</w:t>
      </w:r>
      <w:r>
        <w:rPr>
          <w:rFonts w:ascii="Times New Roman" w:hAnsi="Times New Roman"/>
        </w:rPr>
        <w:t>S毒性终点浓度-1影响范围，亦没有出现H</w:t>
      </w:r>
      <w:r>
        <w:rPr>
          <w:rFonts w:ascii="Times New Roman" w:hAnsi="Times New Roman"/>
          <w:vertAlign w:val="subscript"/>
        </w:rPr>
        <w:t>2</w:t>
      </w:r>
      <w:r>
        <w:rPr>
          <w:rFonts w:ascii="Times New Roman" w:hAnsi="Times New Roman"/>
        </w:rPr>
        <w:t>S毒性终点浓度-2影响范围。风险源周边关心点中，以H</w:t>
      </w:r>
      <w:r>
        <w:rPr>
          <w:rFonts w:ascii="Times New Roman" w:hAnsi="Times New Roman"/>
          <w:vertAlign w:val="subscript"/>
        </w:rPr>
        <w:t>2</w:t>
      </w:r>
      <w:r>
        <w:rPr>
          <w:rFonts w:ascii="Times New Roman" w:hAnsi="Times New Roman"/>
        </w:rPr>
        <w:t>S毒性终点浓度-2作为超标参考依据，各关心点均未超标。这两种事故情形对大气环境风险影响较小。</w:t>
      </w:r>
    </w:p>
    <w:p>
      <w:pPr>
        <w:pStyle w:val="4"/>
        <w:rPr>
          <w:rFonts w:ascii="Times New Roman" w:hAnsi="Times New Roman" w:cs="Times New Roman"/>
        </w:rPr>
      </w:pPr>
      <w:r>
        <w:rPr>
          <w:rFonts w:ascii="Times New Roman" w:hAnsi="Times New Roman" w:cs="Times New Roman"/>
        </w:rPr>
        <w:t>环境风险防范措施及应急预案</w:t>
      </w:r>
    </w:p>
    <w:p>
      <w:pPr>
        <w:ind w:firstLine="480"/>
        <w:rPr>
          <w:rFonts w:ascii="Times New Roman" w:hAnsi="Times New Roman"/>
        </w:rPr>
      </w:pPr>
      <w:r>
        <w:rPr>
          <w:rFonts w:ascii="Times New Roman" w:hAnsi="Times New Roman"/>
        </w:rPr>
        <w:t>项目应严格落实以下风险防范措施：井场、阀室等站控系统将数据上传至气田SCADA系统并接受其下达的控制指令；井站和阀室设置甲烷、硫化氢、二氧化硫等检测仪；集输管线设置分布式声学感应系统（DAS）、分布式温度传感系统（DTS）和增加次声波管道泄漏检测系统；全线设置20台高后果区视频监视摄像机，用于视频安防监控；对应急撤离区内的民房等实施房屋密闭性改造、配发逃生呼吸器、安装固定式硫化氢检测仪、修缮撤离道路；加强与周边区域、周边其他油气生产场所的应急联动与衔接，灵活开展生产调度。</w:t>
      </w:r>
    </w:p>
    <w:p>
      <w:pPr>
        <w:ind w:firstLine="480"/>
        <w:rPr>
          <w:rFonts w:ascii="Times New Roman" w:hAnsi="Times New Roman"/>
        </w:rPr>
      </w:pPr>
      <w:r>
        <w:rPr>
          <w:rFonts w:ascii="Times New Roman" w:hAnsi="Times New Roman"/>
        </w:rPr>
        <w:t>本项目根据QRA计算最远安全防护距离，划定了拆迁范围，减小了事故可能对居民造成的伤害；同时，拆迁范围外至毒性终点浓度-2最远距离内划定应急撤离区，项目一旦发生泄漏事故，立即启动应急撤离，通过社区报警系统确保事故状态下居民的安全撤离。</w:t>
      </w:r>
    </w:p>
    <w:p>
      <w:pPr>
        <w:ind w:firstLine="480"/>
        <w:rPr>
          <w:rFonts w:ascii="Times New Roman" w:hAnsi="Times New Roman"/>
        </w:rPr>
      </w:pPr>
      <w:r>
        <w:rPr>
          <w:rFonts w:ascii="Times New Roman" w:hAnsi="Times New Roman"/>
        </w:rPr>
        <w:t>本项目应在投产前根据相关规范修订企业现有环境突发事件应急预案，并向达州市生态环境局进行备案。预案应明确各级应急组织机构的设置，职责要求，并制定各类环境风险事故已经、救援措施；同时明确各级响应的启动和关闭条件，以及应急保障，为控制企业可能发生的各类、各级环境风险事故、降低并最终消除其环境影响，提供有效的组织保障、措施保障，将环境风险事故造成的环境影响控制在可接受范围内。</w:t>
      </w:r>
    </w:p>
    <w:p>
      <w:pPr>
        <w:pStyle w:val="4"/>
        <w:rPr>
          <w:rFonts w:ascii="Times New Roman" w:hAnsi="Times New Roman" w:cs="Times New Roman"/>
        </w:rPr>
      </w:pPr>
      <w:r>
        <w:rPr>
          <w:rFonts w:ascii="Times New Roman" w:hAnsi="Times New Roman" w:cs="Times New Roman"/>
        </w:rPr>
        <w:t>环境风险评价结论与建议</w:t>
      </w:r>
    </w:p>
    <w:p>
      <w:pPr>
        <w:ind w:firstLine="480"/>
        <w:rPr>
          <w:rFonts w:ascii="Times New Roman" w:hAnsi="Times New Roman"/>
        </w:rPr>
      </w:pPr>
      <w:r>
        <w:rPr>
          <w:rFonts w:ascii="Times New Roman" w:hAnsi="Times New Roman"/>
        </w:rPr>
        <w:t>在全面、完整的落实各项环保措施和本评价所列出的各项环境风险防范措施，建立有效的突发环境事件应急预案，加强风险管理，加强区域应急联动的条件下，本项目的环境风险可控可防。</w:t>
      </w:r>
    </w:p>
    <w:p>
      <w:pPr>
        <w:ind w:firstLine="480"/>
        <w:rPr>
          <w:rFonts w:ascii="Times New Roman" w:hAnsi="Times New Roman"/>
        </w:rPr>
      </w:pPr>
    </w:p>
    <w:p>
      <w:pPr>
        <w:widowControl/>
        <w:spacing w:line="240" w:lineRule="auto"/>
        <w:ind w:firstLine="0" w:firstLineChars="0"/>
        <w:rPr>
          <w:rFonts w:ascii="Times New Roman" w:hAnsi="Times New Roman"/>
        </w:rPr>
      </w:pPr>
      <w:r>
        <w:rPr>
          <w:rFonts w:ascii="Times New Roman" w:hAnsi="Times New Roman"/>
        </w:rPr>
        <w:br w:type="page"/>
      </w:r>
    </w:p>
    <w:p>
      <w:pPr>
        <w:pStyle w:val="2"/>
        <w:rPr>
          <w:rFonts w:ascii="Times New Roman" w:hAnsi="Times New Roman" w:cs="Times New Roman"/>
        </w:rPr>
      </w:pPr>
      <w:bookmarkStart w:id="366" w:name="_Toc162339439"/>
      <w:r>
        <w:rPr>
          <w:rFonts w:ascii="Times New Roman" w:hAnsi="Times New Roman" w:cs="Times New Roman"/>
        </w:rPr>
        <w:t>碳排放评价</w:t>
      </w:r>
      <w:bookmarkEnd w:id="366"/>
    </w:p>
    <w:p>
      <w:pPr>
        <w:pStyle w:val="3"/>
        <w:rPr>
          <w:rFonts w:ascii="Times New Roman" w:hAnsi="Times New Roman" w:cs="Times New Roman"/>
        </w:rPr>
      </w:pPr>
      <w:bookmarkStart w:id="367" w:name="_Toc162339440"/>
      <w:r>
        <w:rPr>
          <w:rFonts w:ascii="Times New Roman" w:hAnsi="Times New Roman" w:cs="Times New Roman"/>
        </w:rPr>
        <w:t>评价依据</w:t>
      </w:r>
      <w:bookmarkEnd w:id="367"/>
    </w:p>
    <w:p>
      <w:pPr>
        <w:ind w:firstLine="480"/>
        <w:rPr>
          <w:rFonts w:ascii="Times New Roman" w:hAnsi="Times New Roman"/>
        </w:rPr>
      </w:pPr>
      <w:r>
        <w:rPr>
          <w:rFonts w:ascii="Times New Roman" w:hAnsi="Times New Roman"/>
        </w:rPr>
        <w:t>1）《2030年前碳达峰行动方案》（国发〔2021〕23号）；</w:t>
      </w:r>
    </w:p>
    <w:p>
      <w:pPr>
        <w:ind w:firstLine="480"/>
        <w:rPr>
          <w:rFonts w:ascii="Times New Roman" w:hAnsi="Times New Roman"/>
        </w:rPr>
      </w:pPr>
      <w:r>
        <w:rPr>
          <w:rFonts w:ascii="Times New Roman" w:hAnsi="Times New Roman"/>
        </w:rPr>
        <w:t>2）《中共中央国务院关于完整准确全面贯彻新发展理念做好碳达峰碳中和工作的意见》</w:t>
      </w:r>
    </w:p>
    <w:p>
      <w:pPr>
        <w:ind w:firstLine="480"/>
        <w:rPr>
          <w:rFonts w:ascii="Times New Roman" w:hAnsi="Times New Roman"/>
        </w:rPr>
      </w:pPr>
      <w:r>
        <w:rPr>
          <w:rFonts w:ascii="Times New Roman" w:hAnsi="Times New Roman"/>
        </w:rPr>
        <w:t>3）四川省人民政府《关于印发四川省碳达峰实施方案的通知》（川府发〔2022〕37号）；</w:t>
      </w:r>
    </w:p>
    <w:p>
      <w:pPr>
        <w:ind w:firstLine="480"/>
        <w:rPr>
          <w:rFonts w:ascii="Times New Roman" w:hAnsi="Times New Roman"/>
        </w:rPr>
      </w:pPr>
      <w:r>
        <w:rPr>
          <w:rFonts w:ascii="Times New Roman" w:hAnsi="Times New Roman"/>
        </w:rPr>
        <w:t>4）四川省“十四五”生态环境保护规划（川府发〔2022〕2号）；</w:t>
      </w:r>
    </w:p>
    <w:p>
      <w:pPr>
        <w:ind w:firstLine="480"/>
        <w:rPr>
          <w:rFonts w:ascii="Times New Roman" w:hAnsi="Times New Roman"/>
        </w:rPr>
      </w:pPr>
      <w:r>
        <w:rPr>
          <w:rFonts w:ascii="Times New Roman" w:hAnsi="Times New Roman"/>
        </w:rPr>
        <w:t>5）《企业温室气体排放报告核查指南》（环办气候函〔2021〕130号）；</w:t>
      </w:r>
    </w:p>
    <w:p>
      <w:pPr>
        <w:ind w:firstLine="480"/>
        <w:rPr>
          <w:rFonts w:ascii="Times New Roman" w:hAnsi="Times New Roman"/>
        </w:rPr>
      </w:pPr>
      <w:r>
        <w:rPr>
          <w:rFonts w:ascii="Times New Roman" w:hAnsi="Times New Roman"/>
        </w:rPr>
        <w:t>6）《工业企业温室气体排放核算和报告通则》（GB/T32150-2015）；</w:t>
      </w:r>
    </w:p>
    <w:p>
      <w:pPr>
        <w:ind w:firstLine="480"/>
        <w:rPr>
          <w:rFonts w:ascii="Times New Roman" w:hAnsi="Times New Roman"/>
        </w:rPr>
      </w:pPr>
      <w:r>
        <w:rPr>
          <w:rFonts w:ascii="Times New Roman" w:hAnsi="Times New Roman"/>
        </w:rPr>
        <w:t>7）《中国石油和天然气生产企业温室气体排放核算方法与报告指南（试行）》（发改办气候〔2014〕2920号）；</w:t>
      </w:r>
    </w:p>
    <w:p>
      <w:pPr>
        <w:ind w:firstLine="480"/>
        <w:rPr>
          <w:rFonts w:ascii="Times New Roman" w:hAnsi="Times New Roman"/>
        </w:rPr>
      </w:pPr>
      <w:r>
        <w:rPr>
          <w:rFonts w:ascii="Times New Roman" w:hAnsi="Times New Roman"/>
        </w:rPr>
        <w:t>8）《关于开展重点行业建设项目碳排放环境影响评价试点的通知》（环办环评函〔2021〕346号）；</w:t>
      </w:r>
    </w:p>
    <w:p>
      <w:pPr>
        <w:ind w:firstLine="480"/>
        <w:rPr>
          <w:rFonts w:ascii="Times New Roman" w:hAnsi="Times New Roman"/>
        </w:rPr>
      </w:pPr>
      <w:r>
        <w:rPr>
          <w:rFonts w:ascii="Times New Roman" w:hAnsi="Times New Roman"/>
        </w:rPr>
        <w:t>9）《重点行业建设项目碳排放环境影响评价试点技术指南（试行）》；</w:t>
      </w:r>
    </w:p>
    <w:p>
      <w:pPr>
        <w:ind w:firstLine="480"/>
        <w:rPr>
          <w:rFonts w:ascii="Times New Roman" w:hAnsi="Times New Roman"/>
        </w:rPr>
      </w:pPr>
      <w:r>
        <w:rPr>
          <w:rFonts w:ascii="Times New Roman" w:hAnsi="Times New Roman"/>
        </w:rPr>
        <w:t>10）《企业温室气体排放管理规范》（DB51/T 2987-2022）；</w:t>
      </w:r>
    </w:p>
    <w:p>
      <w:pPr>
        <w:ind w:firstLine="480"/>
        <w:rPr>
          <w:rFonts w:ascii="Times New Roman" w:hAnsi="Times New Roman"/>
        </w:rPr>
      </w:pPr>
      <w:r>
        <w:rPr>
          <w:rFonts w:ascii="Times New Roman" w:hAnsi="Times New Roman"/>
        </w:rPr>
        <w:t>11）《石油天然气开采企业二氧化碳排放计算方法》（SY/T 7297-2016）。</w:t>
      </w:r>
    </w:p>
    <w:p>
      <w:pPr>
        <w:pStyle w:val="3"/>
        <w:rPr>
          <w:rFonts w:ascii="Times New Roman" w:hAnsi="Times New Roman" w:cs="Times New Roman"/>
        </w:rPr>
      </w:pPr>
      <w:bookmarkStart w:id="368" w:name="_Toc162339441"/>
      <w:r>
        <w:rPr>
          <w:rFonts w:ascii="Times New Roman" w:hAnsi="Times New Roman" w:cs="Times New Roman"/>
        </w:rPr>
        <w:t>碳排放政策符合性分析</w:t>
      </w:r>
      <w:bookmarkEnd w:id="368"/>
    </w:p>
    <w:p>
      <w:pPr>
        <w:ind w:firstLine="480"/>
        <w:rPr>
          <w:rFonts w:ascii="Times New Roman" w:hAnsi="Times New Roman"/>
        </w:rPr>
      </w:pPr>
      <w:r>
        <w:rPr>
          <w:rFonts w:ascii="Times New Roman" w:hAnsi="Times New Roman"/>
        </w:rPr>
        <w:t>本项目碳排放与国家、地方碳达峰碳中和行动方案、生态环境保护规划等的相符性分析如下表：</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 xml:space="preserve">  项目碳排放相关政策符合性</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4108"/>
        <w:gridCol w:w="1987"/>
        <w:gridCol w:w="1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7" w:type="pct"/>
            <w:gridSpan w:val="2"/>
            <w:vAlign w:val="center"/>
          </w:tcPr>
          <w:p>
            <w:pPr>
              <w:pStyle w:val="39"/>
              <w:rPr>
                <w:rFonts w:ascii="Times New Roman" w:hAnsi="Times New Roman"/>
              </w:rPr>
            </w:pPr>
            <w:r>
              <w:rPr>
                <w:rFonts w:ascii="Times New Roman" w:hAnsi="Times New Roman"/>
              </w:rPr>
              <w:t>相关政策内容</w:t>
            </w:r>
          </w:p>
        </w:tc>
        <w:tc>
          <w:tcPr>
            <w:tcW w:w="1166" w:type="pct"/>
            <w:vAlign w:val="center"/>
          </w:tcPr>
          <w:p>
            <w:pPr>
              <w:pStyle w:val="39"/>
              <w:rPr>
                <w:rFonts w:ascii="Times New Roman" w:hAnsi="Times New Roman"/>
              </w:rPr>
            </w:pPr>
            <w:r>
              <w:rPr>
                <w:rFonts w:ascii="Times New Roman" w:hAnsi="Times New Roman"/>
              </w:rPr>
              <w:t>项目情况</w:t>
            </w:r>
          </w:p>
        </w:tc>
        <w:tc>
          <w:tcPr>
            <w:tcW w:w="776" w:type="pct"/>
            <w:vAlign w:val="center"/>
          </w:tcPr>
          <w:p>
            <w:pPr>
              <w:pStyle w:val="39"/>
              <w:rPr>
                <w:rFonts w:ascii="Times New Roman" w:hAnsi="Times New Roman"/>
              </w:rPr>
            </w:pPr>
            <w:r>
              <w:rPr>
                <w:rFonts w:ascii="Times New Roman" w:hAnsi="Times New Roman"/>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pPr>
              <w:pStyle w:val="39"/>
              <w:rPr>
                <w:rFonts w:ascii="Times New Roman" w:hAnsi="Times New Roman"/>
              </w:rPr>
            </w:pPr>
            <w:r>
              <w:rPr>
                <w:rFonts w:ascii="Times New Roman" w:hAnsi="Times New Roman"/>
              </w:rPr>
              <w:t>2030年前碳达峰行动方案（国发〔2021〕23号）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pct"/>
            <w:vAlign w:val="center"/>
          </w:tcPr>
          <w:p>
            <w:pPr>
              <w:pStyle w:val="39"/>
              <w:rPr>
                <w:rFonts w:ascii="Times New Roman" w:hAnsi="Times New Roman"/>
              </w:rPr>
            </w:pPr>
            <w:r>
              <w:rPr>
                <w:rFonts w:ascii="Times New Roman" w:hAnsi="Times New Roman"/>
              </w:rPr>
              <w:t>（三）工业领域碳达峰行动</w:t>
            </w:r>
          </w:p>
        </w:tc>
        <w:tc>
          <w:tcPr>
            <w:tcW w:w="2410" w:type="pct"/>
            <w:vAlign w:val="center"/>
          </w:tcPr>
          <w:p>
            <w:pPr>
              <w:pStyle w:val="39"/>
              <w:rPr>
                <w:rFonts w:ascii="Times New Roman" w:hAnsi="Times New Roman"/>
              </w:rPr>
            </w:pPr>
            <w:r>
              <w:rPr>
                <w:rFonts w:ascii="Times New Roman" w:hAnsi="Times New Roman"/>
              </w:rPr>
              <w:t>坚决遏制“两髙”项目盲目发展。科学评估拟建项目，对产能已饱和的行业，按照“减量替代”原则压减产能；对产能尚未饱和的行业，按照国家布局和审批备案等要求，对标国际先进水平提高准入门槛；对能耗量较大的新兴产业，支持引导企业应用绿色低碳技术，提高能效水平。深入挖潜存量项目，加快淘汰落后产能，通过改造升级挖掘节能减排潜力。强化常态化监管，坚决拿下不符合要求的“两高”项目估</w:t>
            </w:r>
          </w:p>
        </w:tc>
        <w:tc>
          <w:tcPr>
            <w:tcW w:w="1166" w:type="pct"/>
            <w:vAlign w:val="center"/>
          </w:tcPr>
          <w:p>
            <w:pPr>
              <w:pStyle w:val="39"/>
              <w:rPr>
                <w:rFonts w:ascii="Times New Roman" w:hAnsi="Times New Roman"/>
              </w:rPr>
            </w:pPr>
            <w:r>
              <w:rPr>
                <w:rFonts w:ascii="Times New Roman" w:hAnsi="Times New Roman"/>
              </w:rPr>
              <w:t>本项目不属于“两髙”项目</w:t>
            </w:r>
          </w:p>
        </w:tc>
        <w:tc>
          <w:tcPr>
            <w:tcW w:w="776" w:type="pct"/>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pPr>
              <w:pStyle w:val="39"/>
              <w:rPr>
                <w:rFonts w:ascii="Times New Roman" w:hAnsi="Times New Roman"/>
              </w:rPr>
            </w:pPr>
            <w:r>
              <w:rPr>
                <w:rFonts w:ascii="Times New Roman" w:hAnsi="Times New Roman"/>
              </w:rPr>
              <w:t>中共中央国务院关于完整准确全面贯彻新发展理念做好碳达峰碳中和工作的意见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pct"/>
            <w:vAlign w:val="center"/>
          </w:tcPr>
          <w:p>
            <w:pPr>
              <w:pStyle w:val="39"/>
              <w:rPr>
                <w:rFonts w:ascii="Times New Roman" w:hAnsi="Times New Roman"/>
              </w:rPr>
            </w:pPr>
            <w:r>
              <w:rPr>
                <w:rFonts w:ascii="Times New Roman" w:hAnsi="Times New Roman"/>
              </w:rPr>
              <w:t>四、深度调整产业结构</w:t>
            </w:r>
          </w:p>
        </w:tc>
        <w:tc>
          <w:tcPr>
            <w:tcW w:w="2410" w:type="pct"/>
            <w:vAlign w:val="center"/>
          </w:tcPr>
          <w:p>
            <w:pPr>
              <w:pStyle w:val="39"/>
              <w:rPr>
                <w:rFonts w:ascii="Times New Roman" w:hAnsi="Times New Roman"/>
              </w:rPr>
            </w:pPr>
            <w:r>
              <w:rPr>
                <w:rFonts w:ascii="Times New Roman" w:hAnsi="Times New Roman"/>
              </w:rPr>
              <w:t>坚决遏制高耗能高排放项目盲目发展。新建、扩建钢铁、水泥、平板玻璃、电解铝等高耗能高排放项目严格落实产能等量或减量置换，出台煤电、石化、煤化工等产能控制政策。未纳入国家有关领域产业规划的，一律不得新建改扩建炼油和新建乙烯、对二甲苯、煤制烯烃项目。合理控制煤制油气产能规模。提升高耗能高排放项目能耗准入标准。加强产能过剩分析预警和窗口指导。</w:t>
            </w:r>
          </w:p>
        </w:tc>
        <w:tc>
          <w:tcPr>
            <w:tcW w:w="1166" w:type="pct"/>
            <w:vAlign w:val="center"/>
          </w:tcPr>
          <w:p>
            <w:pPr>
              <w:pStyle w:val="39"/>
              <w:rPr>
                <w:rFonts w:ascii="Times New Roman" w:hAnsi="Times New Roman"/>
              </w:rPr>
            </w:pPr>
            <w:r>
              <w:rPr>
                <w:rFonts w:ascii="Times New Roman" w:hAnsi="Times New Roman"/>
              </w:rPr>
              <w:t>本项目不属于钢铁、水泥、平板玻璃、电解铝等高耗能高排放项目、不属于新建改扩建炼油和新建乙烯、对二甲苯、煤制烯烃项目</w:t>
            </w:r>
          </w:p>
        </w:tc>
        <w:tc>
          <w:tcPr>
            <w:tcW w:w="776" w:type="pct"/>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pPr>
              <w:pStyle w:val="39"/>
              <w:rPr>
                <w:rFonts w:ascii="Times New Roman" w:hAnsi="Times New Roman"/>
              </w:rPr>
            </w:pPr>
            <w:r>
              <w:rPr>
                <w:rFonts w:ascii="Times New Roman" w:hAnsi="Times New Roman"/>
              </w:rPr>
              <w:t>四川省人民政府关于印发四川省碳达峰实施方案的通知（川府发〔2022〕37号）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pct"/>
            <w:vMerge w:val="restart"/>
            <w:vAlign w:val="center"/>
          </w:tcPr>
          <w:p>
            <w:pPr>
              <w:pStyle w:val="39"/>
              <w:rPr>
                <w:rFonts w:ascii="Times New Roman" w:hAnsi="Times New Roman"/>
              </w:rPr>
            </w:pPr>
            <w:r>
              <w:rPr>
                <w:rFonts w:ascii="Times New Roman" w:hAnsi="Times New Roman"/>
              </w:rPr>
              <w:t>二、重点行动</w:t>
            </w:r>
          </w:p>
        </w:tc>
        <w:tc>
          <w:tcPr>
            <w:tcW w:w="2410" w:type="pct"/>
            <w:vAlign w:val="center"/>
          </w:tcPr>
          <w:p>
            <w:pPr>
              <w:pStyle w:val="39"/>
              <w:rPr>
                <w:rFonts w:ascii="Times New Roman" w:hAnsi="Times New Roman" w:eastAsiaTheme="minorEastAsia"/>
              </w:rPr>
            </w:pPr>
            <w:r>
              <w:rPr>
                <w:rFonts w:ascii="Times New Roman" w:hAnsi="Times New Roman"/>
              </w:rPr>
              <w:t>1、加大天然气(页岩气)勘探开发力度。加快建设国家天然气(页岩气) 千亿立方米级产能基地</w:t>
            </w:r>
            <w:r>
              <w:rPr>
                <w:rFonts w:ascii="Times New Roman" w:hAnsi="Times New Roman" w:eastAsia="Microsoft Yi Baiti"/>
              </w:rPr>
              <w:t>ꎬ</w:t>
            </w:r>
            <w:r>
              <w:rPr>
                <w:rFonts w:ascii="Times New Roman" w:hAnsi="Times New Roman"/>
              </w:rPr>
              <w:t>重点实施川中安岳气田、川东北普光和元坝气田、川西气田、川南页岩气田滚动开发等项目……。到2025年天然气(页岩气) 年产量达到630亿立方米。到 2030年天然气(页岩气)年产量达到850亿立方米。</w:t>
            </w:r>
          </w:p>
        </w:tc>
        <w:tc>
          <w:tcPr>
            <w:tcW w:w="1166" w:type="pct"/>
            <w:vAlign w:val="center"/>
          </w:tcPr>
          <w:p>
            <w:pPr>
              <w:pStyle w:val="39"/>
              <w:rPr>
                <w:rFonts w:ascii="Times New Roman" w:hAnsi="Times New Roman"/>
              </w:rPr>
            </w:pPr>
            <w:r>
              <w:rPr>
                <w:rFonts w:ascii="Times New Roman" w:hAnsi="Times New Roman"/>
              </w:rPr>
              <w:t>本项目属于西南油气田桃花气田宣探1井组飞仙关组气藏试采产能建设项目，宣兴1井站产能为（20~40）×10</w:t>
            </w:r>
            <w:r>
              <w:rPr>
                <w:rFonts w:ascii="Times New Roman" w:hAnsi="Times New Roman"/>
                <w:vertAlign w:val="superscript"/>
              </w:rPr>
              <w:t>4</w:t>
            </w:r>
            <w:r>
              <w:rPr>
                <w:rFonts w:ascii="Times New Roman" w:hAnsi="Times New Roman"/>
              </w:rPr>
              <w:t>Nm</w:t>
            </w:r>
            <w:r>
              <w:rPr>
                <w:rFonts w:ascii="Times New Roman" w:hAnsi="Times New Roman"/>
                <w:vertAlign w:val="superscript"/>
              </w:rPr>
              <w:t>3</w:t>
            </w:r>
            <w:r>
              <w:rPr>
                <w:rFonts w:ascii="Times New Roman" w:hAnsi="Times New Roman"/>
              </w:rPr>
              <w:t>/d，</w:t>
            </w:r>
          </w:p>
          <w:p>
            <w:pPr>
              <w:pStyle w:val="39"/>
              <w:rPr>
                <w:rFonts w:ascii="Times New Roman" w:hAnsi="Times New Roman"/>
              </w:rPr>
            </w:pPr>
            <w:r>
              <w:rPr>
                <w:rFonts w:ascii="Times New Roman" w:hAnsi="Times New Roman"/>
              </w:rPr>
              <w:t>宣探1井站产能为（40~60）×10</w:t>
            </w:r>
            <w:r>
              <w:rPr>
                <w:rFonts w:ascii="Times New Roman" w:hAnsi="Times New Roman"/>
                <w:vertAlign w:val="superscript"/>
              </w:rPr>
              <w:t>4</w:t>
            </w:r>
            <w:r>
              <w:rPr>
                <w:rFonts w:ascii="Times New Roman" w:hAnsi="Times New Roman"/>
              </w:rPr>
              <w:t>Nm</w:t>
            </w:r>
            <w:r>
              <w:rPr>
                <w:rFonts w:ascii="Times New Roman" w:hAnsi="Times New Roman"/>
                <w:vertAlign w:val="superscript"/>
              </w:rPr>
              <w:t>3</w:t>
            </w:r>
            <w:r>
              <w:rPr>
                <w:rFonts w:ascii="Times New Roman" w:hAnsi="Times New Roman"/>
              </w:rPr>
              <w:t>/d。本项目建成后，进一步完善了区域天然气管网建设。</w:t>
            </w:r>
          </w:p>
        </w:tc>
        <w:tc>
          <w:tcPr>
            <w:tcW w:w="776" w:type="pct"/>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pct"/>
            <w:vMerge w:val="continue"/>
            <w:vAlign w:val="center"/>
          </w:tcPr>
          <w:p>
            <w:pPr>
              <w:pStyle w:val="39"/>
              <w:rPr>
                <w:rFonts w:ascii="Times New Roman" w:hAnsi="Times New Roman"/>
              </w:rPr>
            </w:pPr>
          </w:p>
        </w:tc>
        <w:tc>
          <w:tcPr>
            <w:tcW w:w="2410" w:type="pct"/>
            <w:vAlign w:val="center"/>
          </w:tcPr>
          <w:p>
            <w:pPr>
              <w:pStyle w:val="39"/>
              <w:rPr>
                <w:rFonts w:ascii="Times New Roman" w:hAnsi="Times New Roman" w:eastAsiaTheme="minorEastAsia"/>
              </w:rPr>
            </w:pPr>
            <w:r>
              <w:rPr>
                <w:rFonts w:ascii="Times New Roman" w:hAnsi="Times New Roman"/>
              </w:rPr>
              <w:t>2、推进能源消费低碳化。大力推进天然气与多种能源融合发展，加快保供调峰天然气机组建设，有序发展天然气分布式能源，实施工业、交通等领域天然气燃料替代。</w:t>
            </w:r>
          </w:p>
        </w:tc>
        <w:tc>
          <w:tcPr>
            <w:tcW w:w="1166" w:type="pct"/>
            <w:vAlign w:val="center"/>
          </w:tcPr>
          <w:p>
            <w:pPr>
              <w:pStyle w:val="39"/>
              <w:rPr>
                <w:rFonts w:ascii="Times New Roman" w:hAnsi="Times New Roman"/>
              </w:rPr>
            </w:pPr>
            <w:r>
              <w:rPr>
                <w:rFonts w:ascii="Times New Roman" w:hAnsi="Times New Roman"/>
              </w:rPr>
              <w:t>本项目能源消耗主要为天然气和电力，不涉及煤炭消耗。项目建成后促进天然气能源替代</w:t>
            </w:r>
          </w:p>
        </w:tc>
        <w:tc>
          <w:tcPr>
            <w:tcW w:w="776" w:type="pct"/>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pct"/>
            <w:vMerge w:val="continue"/>
            <w:vAlign w:val="center"/>
          </w:tcPr>
          <w:p>
            <w:pPr>
              <w:pStyle w:val="39"/>
              <w:rPr>
                <w:rFonts w:ascii="Times New Roman" w:hAnsi="Times New Roman"/>
              </w:rPr>
            </w:pPr>
          </w:p>
        </w:tc>
        <w:tc>
          <w:tcPr>
            <w:tcW w:w="2410" w:type="pct"/>
            <w:vAlign w:val="center"/>
          </w:tcPr>
          <w:p>
            <w:pPr>
              <w:pStyle w:val="39"/>
              <w:rPr>
                <w:rFonts w:ascii="Times New Roman" w:hAnsi="Times New Roman"/>
              </w:rPr>
            </w:pPr>
            <w:r>
              <w:rPr>
                <w:rFonts w:ascii="Times New Roman" w:hAnsi="Times New Roman"/>
              </w:rPr>
              <w:t>3、推动化工行业碳达峰。严格项目准入，严控新增炼油、乙烯、合成氨、电石生产能力，加大落后产能淘汰力度</w:t>
            </w:r>
            <w:r>
              <w:rPr>
                <w:rFonts w:ascii="Times New Roman" w:hAnsi="Times New Roman" w:eastAsiaTheme="minorEastAsia"/>
              </w:rPr>
              <w:t>。</w:t>
            </w:r>
            <w:r>
              <w:rPr>
                <w:rFonts w:ascii="Times New Roman" w:hAnsi="Times New Roman"/>
              </w:rPr>
              <w:t>优化产品结构，积极开发优质耐用可循环的绿色石化产品。引导企业转变用</w:t>
            </w:r>
          </w:p>
          <w:p>
            <w:pPr>
              <w:pStyle w:val="39"/>
              <w:rPr>
                <w:rFonts w:ascii="Times New Roman" w:hAnsi="Times New Roman"/>
              </w:rPr>
            </w:pPr>
            <w:r>
              <w:rPr>
                <w:rFonts w:ascii="Times New Roman" w:hAnsi="Times New Roman"/>
              </w:rPr>
              <w:t>能方式，鼓励以电力、天然气代替煤炭作为燃料。</w:t>
            </w:r>
          </w:p>
        </w:tc>
        <w:tc>
          <w:tcPr>
            <w:tcW w:w="1166" w:type="pct"/>
            <w:vAlign w:val="center"/>
          </w:tcPr>
          <w:p>
            <w:pPr>
              <w:pStyle w:val="39"/>
              <w:rPr>
                <w:rFonts w:ascii="Times New Roman" w:hAnsi="Times New Roman"/>
              </w:rPr>
            </w:pPr>
            <w:r>
              <w:rPr>
                <w:rFonts w:ascii="Times New Roman" w:hAnsi="Times New Roman"/>
              </w:rPr>
              <w:t>本项目不属于新增炼油、乙烯、合成氨、电石生产能力项目。能源消耗主要为天然气和力电力，不涉及煤炭消耗。项目建成后促进天然气能源替代</w:t>
            </w:r>
          </w:p>
        </w:tc>
        <w:tc>
          <w:tcPr>
            <w:tcW w:w="776" w:type="pct"/>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pct"/>
            <w:vMerge w:val="continue"/>
            <w:vAlign w:val="center"/>
          </w:tcPr>
          <w:p>
            <w:pPr>
              <w:pStyle w:val="39"/>
              <w:rPr>
                <w:rFonts w:ascii="Times New Roman" w:hAnsi="Times New Roman"/>
              </w:rPr>
            </w:pPr>
          </w:p>
        </w:tc>
        <w:tc>
          <w:tcPr>
            <w:tcW w:w="2410" w:type="pct"/>
            <w:vAlign w:val="center"/>
          </w:tcPr>
          <w:p>
            <w:pPr>
              <w:pStyle w:val="39"/>
              <w:rPr>
                <w:rFonts w:ascii="Times New Roman" w:hAnsi="Times New Roman"/>
              </w:rPr>
            </w:pPr>
            <w:r>
              <w:rPr>
                <w:rFonts w:ascii="Times New Roman" w:hAnsi="Times New Roman"/>
              </w:rPr>
              <w:t>4、坚决遏制“两高一低”项目盲目发展</w:t>
            </w:r>
          </w:p>
        </w:tc>
        <w:tc>
          <w:tcPr>
            <w:tcW w:w="1166" w:type="pct"/>
            <w:vAlign w:val="center"/>
          </w:tcPr>
          <w:p>
            <w:pPr>
              <w:pStyle w:val="39"/>
              <w:rPr>
                <w:rFonts w:ascii="Times New Roman" w:hAnsi="Times New Roman"/>
              </w:rPr>
            </w:pPr>
            <w:r>
              <w:rPr>
                <w:rFonts w:ascii="Times New Roman" w:hAnsi="Times New Roman"/>
              </w:rPr>
              <w:t>本项目不属于“两髙”项目</w:t>
            </w:r>
          </w:p>
        </w:tc>
        <w:tc>
          <w:tcPr>
            <w:tcW w:w="776" w:type="pct"/>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pPr>
              <w:pStyle w:val="39"/>
              <w:rPr>
                <w:rFonts w:ascii="Times New Roman" w:hAnsi="Times New Roman"/>
              </w:rPr>
            </w:pPr>
            <w:r>
              <w:rPr>
                <w:rFonts w:ascii="Times New Roman" w:hAnsi="Times New Roman"/>
              </w:rPr>
              <w:t>四川省“十四五”生态环境保护规划（川府发〔2022〕2号）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pct"/>
            <w:vAlign w:val="center"/>
          </w:tcPr>
          <w:p>
            <w:pPr>
              <w:pStyle w:val="39"/>
              <w:rPr>
                <w:rFonts w:ascii="Times New Roman" w:hAnsi="Times New Roman"/>
              </w:rPr>
            </w:pPr>
            <w:r>
              <w:rPr>
                <w:rFonts w:ascii="Times New Roman" w:hAnsi="Times New Roman"/>
              </w:rPr>
              <w:t>四、积极应对气候变化,建设西部地区低碳发展高地</w:t>
            </w:r>
          </w:p>
        </w:tc>
        <w:tc>
          <w:tcPr>
            <w:tcW w:w="2410" w:type="pct"/>
            <w:vAlign w:val="center"/>
          </w:tcPr>
          <w:p>
            <w:pPr>
              <w:pStyle w:val="39"/>
              <w:rPr>
                <w:rFonts w:ascii="Times New Roman" w:hAnsi="Times New Roman"/>
              </w:rPr>
            </w:pPr>
            <w:r>
              <w:rPr>
                <w:rFonts w:ascii="Times New Roman" w:hAnsi="Times New Roman"/>
              </w:rPr>
              <w:t>探索实施控制甲烷排放行动，开展化石能源开发过程甲烷泄漏检测与修复,减少天然气(页岩气)勘探开发过程中的甲烷放空，加快煤层气高效抽采和梯级利用</w:t>
            </w:r>
          </w:p>
        </w:tc>
        <w:tc>
          <w:tcPr>
            <w:tcW w:w="1166" w:type="pct"/>
            <w:vAlign w:val="center"/>
          </w:tcPr>
          <w:p>
            <w:pPr>
              <w:pStyle w:val="39"/>
              <w:rPr>
                <w:rFonts w:ascii="Times New Roman" w:hAnsi="Times New Roman"/>
              </w:rPr>
            </w:pPr>
            <w:r>
              <w:rPr>
                <w:rFonts w:ascii="Times New Roman" w:hAnsi="Times New Roman"/>
              </w:rPr>
              <w:t>本项目在出站处设有远程控制的线路放空阀门，通过远程控制主动对线路管道利用站内火炬进行放空燃烧，减少线路部分有毒有害其他的泄漏量</w:t>
            </w:r>
          </w:p>
        </w:tc>
        <w:tc>
          <w:tcPr>
            <w:tcW w:w="776" w:type="pct"/>
            <w:vAlign w:val="center"/>
          </w:tcPr>
          <w:p>
            <w:pPr>
              <w:pStyle w:val="39"/>
              <w:rPr>
                <w:rFonts w:ascii="Times New Roman" w:hAnsi="Times New Roman"/>
              </w:rPr>
            </w:pPr>
            <w:r>
              <w:rPr>
                <w:rFonts w:ascii="Times New Roman" w:hAnsi="Times New Roman"/>
              </w:rPr>
              <w:t>符合</w:t>
            </w:r>
          </w:p>
        </w:tc>
      </w:tr>
    </w:tbl>
    <w:p>
      <w:pPr>
        <w:ind w:firstLine="480"/>
        <w:rPr>
          <w:rFonts w:ascii="Times New Roman" w:hAnsi="Times New Roman"/>
        </w:rPr>
      </w:pPr>
      <w:r>
        <w:rPr>
          <w:rFonts w:ascii="Times New Roman" w:hAnsi="Times New Roman"/>
        </w:rPr>
        <w:t>根据以上分析，本项目碳排放符合</w:t>
      </w:r>
      <w:r>
        <w:rPr>
          <w:rFonts w:ascii="Times New Roman" w:hAnsi="Times New Roman"/>
          <w:kern w:val="0"/>
        </w:rPr>
        <w:t>国家、地方相关的碳达峰、碳中和、碳排放</w:t>
      </w:r>
      <w:r>
        <w:rPr>
          <w:rFonts w:ascii="Times New Roman" w:hAnsi="Times New Roman"/>
        </w:rPr>
        <w:t>政策要求。</w:t>
      </w:r>
    </w:p>
    <w:p>
      <w:pPr>
        <w:pStyle w:val="3"/>
        <w:rPr>
          <w:rFonts w:ascii="Times New Roman" w:hAnsi="Times New Roman" w:cs="Times New Roman"/>
        </w:rPr>
      </w:pPr>
      <w:bookmarkStart w:id="369" w:name="_Toc162339442"/>
      <w:r>
        <w:rPr>
          <w:rFonts w:ascii="Times New Roman" w:hAnsi="Times New Roman" w:cs="Times New Roman"/>
        </w:rPr>
        <w:t>碳排放分析</w:t>
      </w:r>
      <w:bookmarkEnd w:id="369"/>
    </w:p>
    <w:p>
      <w:pPr>
        <w:pStyle w:val="4"/>
        <w:rPr>
          <w:rFonts w:ascii="Times New Roman" w:hAnsi="Times New Roman" w:cs="Times New Roman"/>
        </w:rPr>
      </w:pPr>
      <w:r>
        <w:rPr>
          <w:rFonts w:ascii="Times New Roman" w:hAnsi="Times New Roman" w:cs="Times New Roman"/>
        </w:rPr>
        <w:t>碳排放影响因素分析</w:t>
      </w:r>
    </w:p>
    <w:p>
      <w:pPr>
        <w:ind w:firstLine="480"/>
        <w:rPr>
          <w:rFonts w:ascii="Times New Roman" w:hAnsi="Times New Roman"/>
        </w:rPr>
      </w:pPr>
      <w:r>
        <w:rPr>
          <w:rFonts w:ascii="Times New Roman" w:hAnsi="Times New Roman"/>
        </w:rPr>
        <w:t>根据《中国石油和天然气生产企业温室气体排放核算方法与报告指南（试行）》（发改办气候〔2014〕2920号），以各开发单元涉及的内输工程、辅助工程、公用工程为核算边界。</w:t>
      </w:r>
    </w:p>
    <w:p>
      <w:pPr>
        <w:ind w:firstLine="480"/>
        <w:rPr>
          <w:rFonts w:ascii="Times New Roman" w:hAnsi="Times New Roman"/>
        </w:rPr>
      </w:pPr>
      <w:r>
        <w:rPr>
          <w:rFonts w:ascii="Times New Roman" w:hAnsi="Times New Roman"/>
        </w:rPr>
        <w:t>（1）本项目的碳源流</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 xml:space="preserve"> 进出本项目的碳源流</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1"/>
        <w:gridCol w:w="3859"/>
        <w:gridCol w:w="2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133" w:type="pct"/>
            <w:vAlign w:val="center"/>
          </w:tcPr>
          <w:p>
            <w:pPr>
              <w:pStyle w:val="39"/>
              <w:rPr>
                <w:rFonts w:ascii="Times New Roman" w:hAnsi="Times New Roman"/>
              </w:rPr>
            </w:pPr>
            <w:r>
              <w:rPr>
                <w:rFonts w:ascii="Times New Roman" w:hAnsi="Times New Roman"/>
              </w:rPr>
              <w:t>类别</w:t>
            </w:r>
          </w:p>
        </w:tc>
        <w:tc>
          <w:tcPr>
            <w:tcW w:w="2264" w:type="pct"/>
            <w:vAlign w:val="center"/>
          </w:tcPr>
          <w:p>
            <w:pPr>
              <w:pStyle w:val="39"/>
              <w:ind w:firstLine="480"/>
              <w:rPr>
                <w:rFonts w:ascii="Times New Roman" w:hAnsi="Times New Roman"/>
              </w:rPr>
            </w:pPr>
            <w:r>
              <w:rPr>
                <w:rFonts w:ascii="Times New Roman" w:hAnsi="Times New Roman"/>
              </w:rPr>
              <w:t>流入核算边界</w:t>
            </w:r>
          </w:p>
        </w:tc>
        <w:tc>
          <w:tcPr>
            <w:tcW w:w="1603" w:type="pct"/>
            <w:vAlign w:val="center"/>
          </w:tcPr>
          <w:p>
            <w:pPr>
              <w:pStyle w:val="39"/>
              <w:rPr>
                <w:rFonts w:ascii="Times New Roman" w:hAnsi="Times New Roman"/>
              </w:rPr>
            </w:pPr>
            <w:r>
              <w:rPr>
                <w:rFonts w:ascii="Times New Roman" w:hAnsi="Times New Roman"/>
              </w:rPr>
              <w:t>流出核算边界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133" w:type="pct"/>
            <w:vAlign w:val="center"/>
          </w:tcPr>
          <w:p>
            <w:pPr>
              <w:pStyle w:val="39"/>
              <w:rPr>
                <w:rFonts w:ascii="Times New Roman" w:hAnsi="Times New Roman"/>
              </w:rPr>
            </w:pPr>
            <w:r>
              <w:rPr>
                <w:rFonts w:ascii="Times New Roman" w:hAnsi="Times New Roman"/>
              </w:rPr>
              <w:t>燃料燃烧</w:t>
            </w:r>
          </w:p>
        </w:tc>
        <w:tc>
          <w:tcPr>
            <w:tcW w:w="2264" w:type="pct"/>
            <w:vAlign w:val="center"/>
          </w:tcPr>
          <w:p>
            <w:pPr>
              <w:pStyle w:val="39"/>
              <w:ind w:firstLine="480"/>
              <w:rPr>
                <w:rFonts w:ascii="Times New Roman" w:hAnsi="Times New Roman"/>
              </w:rPr>
            </w:pPr>
            <w:r>
              <w:rPr>
                <w:rFonts w:ascii="Times New Roman" w:hAnsi="Times New Roman"/>
              </w:rPr>
              <w:t>加热炉</w:t>
            </w:r>
          </w:p>
        </w:tc>
        <w:tc>
          <w:tcPr>
            <w:tcW w:w="1603" w:type="pct"/>
            <w:vAlign w:val="center"/>
          </w:tcPr>
          <w:p>
            <w:pPr>
              <w:pStyle w:val="39"/>
              <w:rPr>
                <w:rFonts w:ascii="Times New Roman" w:hAnsi="Times New Roman"/>
              </w:rPr>
            </w:pPr>
            <w:r>
              <w:rPr>
                <w:rFonts w:ascii="Times New Roman" w:hAnsi="Times New Roman"/>
              </w:rPr>
              <w:t>CO</w:t>
            </w:r>
            <w:r>
              <w:rPr>
                <w:rFonts w:ascii="Times New Roman" w:hAnsi="Times New Roman"/>
                <w:vertAlign w:val="subscript"/>
              </w:rPr>
              <w:t>2</w:t>
            </w:r>
            <w:r>
              <w:rPr>
                <w:rFonts w:ascii="Times New Roman" w:hAnsi="Times New Roman"/>
              </w:rPr>
              <w:t>排放至大气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133" w:type="pct"/>
            <w:vAlign w:val="center"/>
          </w:tcPr>
          <w:p>
            <w:pPr>
              <w:pStyle w:val="39"/>
              <w:rPr>
                <w:rFonts w:ascii="Times New Roman" w:hAnsi="Times New Roman"/>
              </w:rPr>
            </w:pPr>
            <w:r>
              <w:rPr>
                <w:rFonts w:ascii="Times New Roman" w:hAnsi="Times New Roman"/>
              </w:rPr>
              <w:t>火炬燃烧排放</w:t>
            </w:r>
          </w:p>
        </w:tc>
        <w:tc>
          <w:tcPr>
            <w:tcW w:w="2264" w:type="pct"/>
            <w:vAlign w:val="center"/>
          </w:tcPr>
          <w:p>
            <w:pPr>
              <w:pStyle w:val="39"/>
              <w:ind w:firstLine="480"/>
              <w:rPr>
                <w:rFonts w:ascii="Times New Roman" w:hAnsi="Times New Roman"/>
              </w:rPr>
            </w:pPr>
            <w:r>
              <w:rPr>
                <w:rFonts w:ascii="Times New Roman" w:hAnsi="Times New Roman"/>
              </w:rPr>
              <w:t>火炬</w:t>
            </w:r>
          </w:p>
        </w:tc>
        <w:tc>
          <w:tcPr>
            <w:tcW w:w="1603" w:type="pct"/>
            <w:vAlign w:val="center"/>
          </w:tcPr>
          <w:p>
            <w:pPr>
              <w:pStyle w:val="39"/>
              <w:rPr>
                <w:rFonts w:ascii="Times New Roman" w:hAnsi="Times New Roman"/>
              </w:rPr>
            </w:pPr>
            <w:r>
              <w:rPr>
                <w:rFonts w:ascii="Times New Roman" w:hAnsi="Times New Roman"/>
              </w:rPr>
              <w:t>CO</w:t>
            </w:r>
            <w:r>
              <w:rPr>
                <w:rFonts w:ascii="Times New Roman" w:hAnsi="Times New Roman"/>
                <w:vertAlign w:val="subscript"/>
              </w:rPr>
              <w:t>2</w:t>
            </w:r>
            <w:r>
              <w:rPr>
                <w:rFonts w:ascii="Times New Roman" w:hAnsi="Times New Roman"/>
              </w:rPr>
              <w:t>、CH</w:t>
            </w:r>
            <w:r>
              <w:rPr>
                <w:rFonts w:ascii="Times New Roman" w:hAnsi="Times New Roman"/>
                <w:vertAlign w:val="subscript"/>
              </w:rPr>
              <w:t>4</w:t>
            </w:r>
            <w:r>
              <w:rPr>
                <w:rFonts w:ascii="Times New Roman" w:hAnsi="Times New Roman"/>
              </w:rPr>
              <w:t>排放至大气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133" w:type="pct"/>
            <w:vAlign w:val="center"/>
          </w:tcPr>
          <w:p>
            <w:pPr>
              <w:pStyle w:val="39"/>
              <w:rPr>
                <w:rFonts w:ascii="Times New Roman" w:hAnsi="Times New Roman"/>
              </w:rPr>
            </w:pPr>
            <w:r>
              <w:rPr>
                <w:rFonts w:ascii="Times New Roman" w:hAnsi="Times New Roman"/>
              </w:rPr>
              <w:t>过程逃逸放空排放</w:t>
            </w:r>
          </w:p>
        </w:tc>
        <w:tc>
          <w:tcPr>
            <w:tcW w:w="2264" w:type="pct"/>
            <w:vAlign w:val="center"/>
          </w:tcPr>
          <w:p>
            <w:pPr>
              <w:pStyle w:val="39"/>
              <w:ind w:firstLine="480"/>
              <w:rPr>
                <w:rFonts w:ascii="Times New Roman" w:hAnsi="Times New Roman"/>
              </w:rPr>
            </w:pPr>
            <w:r>
              <w:rPr>
                <w:rFonts w:ascii="Times New Roman" w:hAnsi="Times New Roman"/>
              </w:rPr>
              <w:t>天然气井口装置、天然气输送管线（逆止阀）、清管站</w:t>
            </w:r>
          </w:p>
        </w:tc>
        <w:tc>
          <w:tcPr>
            <w:tcW w:w="1603" w:type="pct"/>
            <w:vAlign w:val="center"/>
          </w:tcPr>
          <w:p>
            <w:pPr>
              <w:pStyle w:val="39"/>
              <w:rPr>
                <w:rFonts w:ascii="Times New Roman" w:hAnsi="Times New Roman"/>
              </w:rPr>
            </w:pPr>
            <w:r>
              <w:rPr>
                <w:rFonts w:ascii="Times New Roman" w:hAnsi="Times New Roman"/>
              </w:rPr>
              <w:t>CH</w:t>
            </w:r>
            <w:r>
              <w:rPr>
                <w:rFonts w:ascii="Times New Roman" w:hAnsi="Times New Roman"/>
                <w:vertAlign w:val="subscript"/>
              </w:rPr>
              <w:t>4</w:t>
            </w:r>
            <w:r>
              <w:rPr>
                <w:rFonts w:ascii="Times New Roman" w:hAnsi="Times New Roman"/>
              </w:rPr>
              <w:t>排放至大气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133" w:type="pct"/>
            <w:vAlign w:val="center"/>
          </w:tcPr>
          <w:p>
            <w:pPr>
              <w:pStyle w:val="39"/>
              <w:rPr>
                <w:rFonts w:ascii="Times New Roman" w:hAnsi="Times New Roman"/>
              </w:rPr>
            </w:pPr>
            <w:r>
              <w:rPr>
                <w:rFonts w:ascii="Times New Roman" w:hAnsi="Times New Roman"/>
              </w:rPr>
              <w:t>净购入电力</w:t>
            </w:r>
          </w:p>
        </w:tc>
        <w:tc>
          <w:tcPr>
            <w:tcW w:w="2264" w:type="pct"/>
            <w:vAlign w:val="center"/>
          </w:tcPr>
          <w:p>
            <w:pPr>
              <w:pStyle w:val="39"/>
              <w:ind w:firstLine="480"/>
              <w:rPr>
                <w:rFonts w:ascii="Times New Roman" w:hAnsi="Times New Roman"/>
              </w:rPr>
            </w:pPr>
            <w:r>
              <w:rPr>
                <w:rFonts w:ascii="Times New Roman" w:hAnsi="Times New Roman"/>
              </w:rPr>
              <w:t>用电设施</w:t>
            </w:r>
          </w:p>
        </w:tc>
        <w:tc>
          <w:tcPr>
            <w:tcW w:w="1603" w:type="pct"/>
            <w:vAlign w:val="center"/>
          </w:tcPr>
          <w:p>
            <w:pPr>
              <w:pStyle w:val="39"/>
              <w:rPr>
                <w:rFonts w:ascii="Times New Roman" w:hAnsi="Times New Roman"/>
              </w:rPr>
            </w:pPr>
            <w:r>
              <w:rPr>
                <w:rFonts w:ascii="Times New Roman" w:hAnsi="Times New Roman"/>
              </w:rPr>
              <w:t>CO</w:t>
            </w:r>
            <w:r>
              <w:rPr>
                <w:rFonts w:ascii="Times New Roman" w:hAnsi="Times New Roman"/>
                <w:vertAlign w:val="subscript"/>
              </w:rPr>
              <w:t>2</w:t>
            </w:r>
            <w:r>
              <w:rPr>
                <w:rFonts w:ascii="Times New Roman" w:hAnsi="Times New Roman"/>
              </w:rPr>
              <w:t>排放至大气</w:t>
            </w:r>
          </w:p>
        </w:tc>
      </w:tr>
    </w:tbl>
    <w:p>
      <w:pPr>
        <w:ind w:firstLine="480"/>
        <w:rPr>
          <w:rFonts w:ascii="Times New Roman" w:hAnsi="Times New Roman"/>
        </w:rPr>
      </w:pPr>
      <w:r>
        <w:rPr>
          <w:rFonts w:ascii="Times New Roman" w:hAnsi="Times New Roman"/>
        </w:rPr>
        <w:t>（2）碳排放源</w:t>
      </w:r>
    </w:p>
    <w:p>
      <w:pPr>
        <w:ind w:firstLine="480"/>
        <w:rPr>
          <w:rFonts w:ascii="Times New Roman" w:hAnsi="Times New Roman"/>
        </w:rPr>
      </w:pPr>
      <w:r>
        <w:rPr>
          <w:rFonts w:ascii="Times New Roman" w:hAnsi="Times New Roman"/>
        </w:rPr>
        <w:t>本项目碳排放主要来自燃料燃烧排放、火炬燃烧排放、过程逃逸放空排放、净购入电力消耗碳排放，不涉及电力和热力的输出以及二氧化碳回收利用量。</w:t>
      </w:r>
    </w:p>
    <w:p>
      <w:pPr>
        <w:pStyle w:val="43"/>
        <w:numPr>
          <w:ilvl w:val="1"/>
          <w:numId w:val="16"/>
        </w:numPr>
        <w:ind w:left="0" w:firstLine="480"/>
        <w:rPr>
          <w:rFonts w:ascii="Times New Roman" w:hAnsi="Times New Roman"/>
        </w:rPr>
      </w:pPr>
      <w:r>
        <w:rPr>
          <w:rFonts w:ascii="Times New Roman" w:hAnsi="Times New Roman"/>
        </w:rPr>
        <w:t>净购入电力和热力的碳排放：本项目有新增净购入电力的二氧化碳排放。</w:t>
      </w:r>
    </w:p>
    <w:p>
      <w:pPr>
        <w:pStyle w:val="43"/>
        <w:numPr>
          <w:ilvl w:val="1"/>
          <w:numId w:val="16"/>
        </w:numPr>
        <w:ind w:left="0" w:firstLine="480"/>
        <w:rPr>
          <w:rFonts w:ascii="Times New Roman" w:hAnsi="Times New Roman"/>
        </w:rPr>
      </w:pPr>
      <w:r>
        <w:rPr>
          <w:rFonts w:ascii="Times New Roman" w:hAnsi="Times New Roman"/>
        </w:rPr>
        <w:t>燃料燃烧的碳排放：本项目设2套水套加热炉，设备使用天然气作燃料。</w:t>
      </w:r>
    </w:p>
    <w:p>
      <w:pPr>
        <w:pStyle w:val="43"/>
        <w:numPr>
          <w:ilvl w:val="1"/>
          <w:numId w:val="16"/>
        </w:numPr>
        <w:ind w:left="0" w:firstLine="480"/>
        <w:rPr>
          <w:rFonts w:ascii="Times New Roman" w:hAnsi="Times New Roman"/>
        </w:rPr>
      </w:pPr>
      <w:r>
        <w:rPr>
          <w:rFonts w:ascii="Times New Roman" w:hAnsi="Times New Roman"/>
        </w:rPr>
        <w:t>火炬燃烧的碳排放：本项目设3套放空火炬，长明火炬设备使用天然气作燃料。</w:t>
      </w:r>
    </w:p>
    <w:p>
      <w:pPr>
        <w:pStyle w:val="43"/>
        <w:numPr>
          <w:ilvl w:val="1"/>
          <w:numId w:val="16"/>
        </w:numPr>
        <w:ind w:left="0" w:firstLine="480"/>
        <w:rPr>
          <w:rFonts w:ascii="Times New Roman" w:hAnsi="Times New Roman"/>
        </w:rPr>
      </w:pPr>
      <w:r>
        <w:rPr>
          <w:rFonts w:ascii="Times New Roman" w:hAnsi="Times New Roman"/>
        </w:rPr>
        <w:t>过程逃逸放空碳排放：本项目天然气井口装置2个、天然气输送管线（逆止阀）7个、清管站1座设施设备涉及甲烷逃逸放空。</w:t>
      </w:r>
    </w:p>
    <w:p>
      <w:pPr>
        <w:ind w:firstLine="480"/>
        <w:rPr>
          <w:rFonts w:ascii="Times New Roman" w:hAnsi="Times New Roman"/>
        </w:rPr>
      </w:pPr>
      <w:r>
        <w:rPr>
          <w:rFonts w:ascii="Times New Roman" w:hAnsi="Times New Roman"/>
        </w:rPr>
        <w:t>根据各个过程的产排放特点，识别本项目的碳排放源和排放因子见</w:t>
      </w:r>
      <w:r>
        <w:rPr>
          <w:rFonts w:ascii="Times New Roman" w:hAnsi="Times New Roman"/>
        </w:rPr>
        <w:fldChar w:fldCharType="begin"/>
      </w:r>
      <w:r>
        <w:rPr>
          <w:rFonts w:ascii="Times New Roman" w:hAnsi="Times New Roman"/>
        </w:rPr>
        <w:instrText xml:space="preserve"> REF _Ref155278381 \h  \* MERGEFORMAT </w:instrText>
      </w:r>
      <w:r>
        <w:rPr>
          <w:rFonts w:ascii="Times New Roman" w:hAnsi="Times New Roman"/>
        </w:rPr>
        <w:fldChar w:fldCharType="separate"/>
      </w:r>
      <w:r>
        <w:rPr>
          <w:rFonts w:ascii="Times New Roman" w:hAnsi="Times New Roman"/>
        </w:rPr>
        <w:t>表8</w:t>
      </w:r>
      <w:r>
        <w:rPr>
          <w:rFonts w:ascii="Times New Roman" w:hAnsi="Times New Roman"/>
        </w:rPr>
        <w:noBreakHyphen/>
      </w:r>
      <w:r>
        <w:rPr>
          <w:rFonts w:ascii="Times New Roman" w:hAnsi="Times New Roman"/>
        </w:rPr>
        <w:t>3</w:t>
      </w:r>
      <w:r>
        <w:rPr>
          <w:rFonts w:ascii="Times New Roman" w:hAnsi="Times New Roman"/>
        </w:rPr>
        <w:fldChar w:fldCharType="end"/>
      </w:r>
      <w:r>
        <w:rPr>
          <w:rFonts w:ascii="Times New Roman" w:hAnsi="Times New Roman"/>
        </w:rPr>
        <w:t>，确定本项目碳排放的核算因子为CO</w:t>
      </w:r>
      <w:r>
        <w:rPr>
          <w:rFonts w:ascii="Times New Roman" w:hAnsi="Times New Roman"/>
          <w:vertAlign w:val="subscript"/>
        </w:rPr>
        <w:t>2</w:t>
      </w:r>
      <w:r>
        <w:rPr>
          <w:rFonts w:ascii="Times New Roman" w:hAnsi="Times New Roman"/>
        </w:rPr>
        <w:t>和CH</w:t>
      </w:r>
      <w:r>
        <w:rPr>
          <w:rFonts w:ascii="Times New Roman" w:hAnsi="Times New Roman"/>
          <w:vertAlign w:val="subscript"/>
        </w:rPr>
        <w:t>4</w:t>
      </w:r>
      <w:r>
        <w:rPr>
          <w:rFonts w:ascii="Times New Roman" w:hAnsi="Times New Roman"/>
        </w:rPr>
        <w:t>，最终将CH</w:t>
      </w:r>
      <w:r>
        <w:rPr>
          <w:rFonts w:ascii="Times New Roman" w:hAnsi="Times New Roman"/>
          <w:vertAlign w:val="subscript"/>
        </w:rPr>
        <w:t>4</w:t>
      </w:r>
      <w:r>
        <w:rPr>
          <w:rFonts w:ascii="Times New Roman" w:hAnsi="Times New Roman"/>
        </w:rPr>
        <w:t>折算为CO</w:t>
      </w:r>
      <w:r>
        <w:rPr>
          <w:rFonts w:ascii="Times New Roman" w:hAnsi="Times New Roman"/>
          <w:vertAlign w:val="subscript"/>
        </w:rPr>
        <w:t>2</w:t>
      </w:r>
      <w:r>
        <w:rPr>
          <w:rFonts w:ascii="Times New Roman" w:hAnsi="Times New Roman"/>
        </w:rPr>
        <w:t>当量。</w:t>
      </w:r>
    </w:p>
    <w:p>
      <w:pPr>
        <w:pStyle w:val="37"/>
        <w:rPr>
          <w:rFonts w:ascii="Times New Roman" w:hAnsi="Times New Roman" w:cs="Times New Roman"/>
        </w:rPr>
      </w:pPr>
      <w:bookmarkStart w:id="370" w:name="_Ref155278381"/>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bookmarkEnd w:id="370"/>
      <w:r>
        <w:rPr>
          <w:rFonts w:ascii="Times New Roman" w:hAnsi="Times New Roman" w:cs="Times New Roman"/>
        </w:rPr>
        <w:t>本项目碳排放源识别</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5"/>
        <w:gridCol w:w="1648"/>
        <w:gridCol w:w="3261"/>
        <w:gridCol w:w="2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727" w:type="pct"/>
            <w:gridSpan w:val="2"/>
            <w:vAlign w:val="center"/>
          </w:tcPr>
          <w:p>
            <w:pPr>
              <w:pStyle w:val="39"/>
              <w:rPr>
                <w:rFonts w:ascii="Times New Roman" w:hAnsi="Times New Roman"/>
              </w:rPr>
            </w:pPr>
            <w:r>
              <w:rPr>
                <w:rFonts w:ascii="Times New Roman" w:hAnsi="Times New Roman"/>
              </w:rPr>
              <w:t>排放类型</w:t>
            </w:r>
          </w:p>
        </w:tc>
        <w:tc>
          <w:tcPr>
            <w:tcW w:w="1913" w:type="pct"/>
            <w:vAlign w:val="center"/>
          </w:tcPr>
          <w:p>
            <w:pPr>
              <w:pStyle w:val="39"/>
              <w:ind w:firstLine="480"/>
              <w:rPr>
                <w:rFonts w:ascii="Times New Roman" w:hAnsi="Times New Roman"/>
              </w:rPr>
            </w:pPr>
            <w:r>
              <w:rPr>
                <w:rFonts w:ascii="Times New Roman" w:hAnsi="Times New Roman"/>
              </w:rPr>
              <w:t>设施/设备</w:t>
            </w:r>
          </w:p>
        </w:tc>
        <w:tc>
          <w:tcPr>
            <w:tcW w:w="1360" w:type="pct"/>
            <w:vAlign w:val="center"/>
          </w:tcPr>
          <w:p>
            <w:pPr>
              <w:pStyle w:val="39"/>
              <w:rPr>
                <w:rFonts w:ascii="Times New Roman" w:hAnsi="Times New Roman"/>
              </w:rPr>
            </w:pPr>
            <w:r>
              <w:rPr>
                <w:rFonts w:ascii="Times New Roman" w:hAnsi="Times New Roman"/>
              </w:rPr>
              <w:t>排放因子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60" w:type="pct"/>
            <w:vMerge w:val="restart"/>
            <w:vAlign w:val="center"/>
          </w:tcPr>
          <w:p>
            <w:pPr>
              <w:pStyle w:val="39"/>
              <w:rPr>
                <w:rFonts w:ascii="Times New Roman" w:hAnsi="Times New Roman"/>
              </w:rPr>
            </w:pPr>
            <w:r>
              <w:rPr>
                <w:rFonts w:ascii="Times New Roman" w:hAnsi="Times New Roman"/>
              </w:rPr>
              <w:t>直接排放</w:t>
            </w:r>
          </w:p>
        </w:tc>
        <w:tc>
          <w:tcPr>
            <w:tcW w:w="967" w:type="pct"/>
            <w:vAlign w:val="center"/>
          </w:tcPr>
          <w:p>
            <w:pPr>
              <w:pStyle w:val="39"/>
              <w:rPr>
                <w:rFonts w:ascii="Times New Roman" w:hAnsi="Times New Roman"/>
              </w:rPr>
            </w:pPr>
            <w:r>
              <w:rPr>
                <w:rFonts w:ascii="Times New Roman" w:hAnsi="Times New Roman"/>
              </w:rPr>
              <w:t>燃料燃烧</w:t>
            </w:r>
          </w:p>
        </w:tc>
        <w:tc>
          <w:tcPr>
            <w:tcW w:w="1913" w:type="pct"/>
            <w:vAlign w:val="center"/>
          </w:tcPr>
          <w:p>
            <w:pPr>
              <w:pStyle w:val="39"/>
              <w:ind w:firstLine="480"/>
              <w:rPr>
                <w:rFonts w:ascii="Times New Roman" w:hAnsi="Times New Roman"/>
              </w:rPr>
            </w:pPr>
            <w:r>
              <w:rPr>
                <w:rFonts w:ascii="Times New Roman" w:hAnsi="Times New Roman"/>
              </w:rPr>
              <w:t>加热炉</w:t>
            </w:r>
          </w:p>
        </w:tc>
        <w:tc>
          <w:tcPr>
            <w:tcW w:w="1360" w:type="pct"/>
            <w:vAlign w:val="center"/>
          </w:tcPr>
          <w:p>
            <w:pPr>
              <w:pStyle w:val="39"/>
              <w:rPr>
                <w:rFonts w:ascii="Times New Roman" w:hAnsi="Times New Roman"/>
              </w:rPr>
            </w:pPr>
            <w:r>
              <w:rPr>
                <w:rFonts w:ascii="Times New Roman" w:hAnsi="Times New Roman"/>
              </w:rPr>
              <w:t>CO</w:t>
            </w:r>
            <w:r>
              <w:rPr>
                <w:rFonts w:ascii="Times New Roman" w:hAnsi="Times New Roman"/>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60" w:type="pct"/>
            <w:vMerge w:val="continue"/>
            <w:vAlign w:val="center"/>
          </w:tcPr>
          <w:p>
            <w:pPr>
              <w:pStyle w:val="39"/>
              <w:ind w:firstLine="480"/>
              <w:rPr>
                <w:rFonts w:ascii="Times New Roman" w:hAnsi="Times New Roman"/>
              </w:rPr>
            </w:pPr>
          </w:p>
        </w:tc>
        <w:tc>
          <w:tcPr>
            <w:tcW w:w="967" w:type="pct"/>
            <w:vAlign w:val="center"/>
          </w:tcPr>
          <w:p>
            <w:pPr>
              <w:pStyle w:val="39"/>
              <w:rPr>
                <w:rFonts w:ascii="Times New Roman" w:hAnsi="Times New Roman"/>
              </w:rPr>
            </w:pPr>
            <w:r>
              <w:rPr>
                <w:rFonts w:ascii="Times New Roman" w:hAnsi="Times New Roman"/>
              </w:rPr>
              <w:t>火炬排放</w:t>
            </w:r>
          </w:p>
        </w:tc>
        <w:tc>
          <w:tcPr>
            <w:tcW w:w="1913" w:type="pct"/>
            <w:vAlign w:val="center"/>
          </w:tcPr>
          <w:p>
            <w:pPr>
              <w:pStyle w:val="39"/>
              <w:ind w:firstLine="480"/>
              <w:rPr>
                <w:rFonts w:ascii="Times New Roman" w:hAnsi="Times New Roman"/>
              </w:rPr>
            </w:pPr>
            <w:r>
              <w:rPr>
                <w:rFonts w:ascii="Times New Roman" w:hAnsi="Times New Roman"/>
              </w:rPr>
              <w:t>火炬</w:t>
            </w:r>
          </w:p>
        </w:tc>
        <w:tc>
          <w:tcPr>
            <w:tcW w:w="1360" w:type="pct"/>
            <w:vAlign w:val="center"/>
          </w:tcPr>
          <w:p>
            <w:pPr>
              <w:pStyle w:val="39"/>
              <w:rPr>
                <w:rFonts w:ascii="Times New Roman" w:hAnsi="Times New Roman"/>
              </w:rPr>
            </w:pPr>
            <w:r>
              <w:rPr>
                <w:rFonts w:ascii="Times New Roman" w:hAnsi="Times New Roman"/>
              </w:rPr>
              <w:t>CO</w:t>
            </w:r>
            <w:r>
              <w:rPr>
                <w:rFonts w:ascii="Times New Roman" w:hAnsi="Times New Roman"/>
                <w:vertAlign w:val="subscript"/>
              </w:rPr>
              <w:t>2</w:t>
            </w:r>
            <w:r>
              <w:rPr>
                <w:rFonts w:ascii="Times New Roman" w:hAnsi="Times New Roman"/>
              </w:rPr>
              <w:t>、CH</w:t>
            </w:r>
            <w:r>
              <w:rPr>
                <w:rFonts w:ascii="Times New Roman" w:hAnsi="Times New Roman"/>
                <w:vertAlign w:val="subscript"/>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60" w:type="pct"/>
            <w:vMerge w:val="continue"/>
            <w:vAlign w:val="center"/>
          </w:tcPr>
          <w:p>
            <w:pPr>
              <w:pStyle w:val="39"/>
              <w:ind w:firstLine="480"/>
              <w:rPr>
                <w:rFonts w:ascii="Times New Roman" w:hAnsi="Times New Roman"/>
              </w:rPr>
            </w:pPr>
          </w:p>
        </w:tc>
        <w:tc>
          <w:tcPr>
            <w:tcW w:w="967" w:type="pct"/>
            <w:vAlign w:val="center"/>
          </w:tcPr>
          <w:p>
            <w:pPr>
              <w:pStyle w:val="39"/>
              <w:rPr>
                <w:rFonts w:ascii="Times New Roman" w:hAnsi="Times New Roman"/>
              </w:rPr>
            </w:pPr>
            <w:r>
              <w:rPr>
                <w:rFonts w:ascii="Times New Roman" w:hAnsi="Times New Roman"/>
              </w:rPr>
              <w:t>过程逃逸放空排放</w:t>
            </w:r>
          </w:p>
        </w:tc>
        <w:tc>
          <w:tcPr>
            <w:tcW w:w="1913" w:type="pct"/>
            <w:vAlign w:val="center"/>
          </w:tcPr>
          <w:p>
            <w:pPr>
              <w:pStyle w:val="39"/>
              <w:ind w:firstLine="480"/>
              <w:rPr>
                <w:rFonts w:ascii="Times New Roman" w:hAnsi="Times New Roman"/>
              </w:rPr>
            </w:pPr>
            <w:r>
              <w:rPr>
                <w:rFonts w:ascii="Times New Roman" w:hAnsi="Times New Roman"/>
              </w:rPr>
              <w:t>天然气井口装置、天然气输送管线（逆止阀）、清管站</w:t>
            </w:r>
          </w:p>
        </w:tc>
        <w:tc>
          <w:tcPr>
            <w:tcW w:w="1360" w:type="pct"/>
            <w:vAlign w:val="center"/>
          </w:tcPr>
          <w:p>
            <w:pPr>
              <w:pStyle w:val="39"/>
              <w:rPr>
                <w:rFonts w:ascii="Times New Roman" w:hAnsi="Times New Roman"/>
              </w:rPr>
            </w:pPr>
            <w:r>
              <w:rPr>
                <w:rFonts w:ascii="Times New Roman" w:hAnsi="Times New Roman"/>
              </w:rPr>
              <w:t>CH</w:t>
            </w:r>
            <w:r>
              <w:rPr>
                <w:rFonts w:ascii="Times New Roman" w:hAnsi="Times New Roman"/>
                <w:vertAlign w:val="subscript"/>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60" w:type="pct"/>
            <w:vAlign w:val="center"/>
          </w:tcPr>
          <w:p>
            <w:pPr>
              <w:pStyle w:val="39"/>
              <w:rPr>
                <w:rFonts w:ascii="Times New Roman" w:hAnsi="Times New Roman"/>
              </w:rPr>
            </w:pPr>
            <w:r>
              <w:rPr>
                <w:rFonts w:ascii="Times New Roman" w:hAnsi="Times New Roman"/>
              </w:rPr>
              <w:t>间接排放</w:t>
            </w:r>
          </w:p>
        </w:tc>
        <w:tc>
          <w:tcPr>
            <w:tcW w:w="967" w:type="pct"/>
            <w:vAlign w:val="center"/>
          </w:tcPr>
          <w:p>
            <w:pPr>
              <w:pStyle w:val="39"/>
              <w:rPr>
                <w:rFonts w:ascii="Times New Roman" w:hAnsi="Times New Roman"/>
              </w:rPr>
            </w:pPr>
            <w:r>
              <w:rPr>
                <w:rFonts w:ascii="Times New Roman" w:hAnsi="Times New Roman"/>
              </w:rPr>
              <w:t>净购入电力</w:t>
            </w:r>
          </w:p>
        </w:tc>
        <w:tc>
          <w:tcPr>
            <w:tcW w:w="1913" w:type="pct"/>
            <w:vAlign w:val="center"/>
          </w:tcPr>
          <w:p>
            <w:pPr>
              <w:pStyle w:val="39"/>
              <w:ind w:firstLine="480"/>
              <w:rPr>
                <w:rFonts w:ascii="Times New Roman" w:hAnsi="Times New Roman"/>
              </w:rPr>
            </w:pPr>
            <w:r>
              <w:rPr>
                <w:rFonts w:ascii="Times New Roman" w:hAnsi="Times New Roman"/>
              </w:rPr>
              <w:t>用电设施</w:t>
            </w:r>
          </w:p>
        </w:tc>
        <w:tc>
          <w:tcPr>
            <w:tcW w:w="1360" w:type="pct"/>
            <w:vAlign w:val="center"/>
          </w:tcPr>
          <w:p>
            <w:pPr>
              <w:pStyle w:val="39"/>
              <w:rPr>
                <w:rFonts w:ascii="Times New Roman" w:hAnsi="Times New Roman"/>
              </w:rPr>
            </w:pPr>
            <w:r>
              <w:rPr>
                <w:rFonts w:ascii="Times New Roman" w:hAnsi="Times New Roman"/>
              </w:rPr>
              <w:t>CO</w:t>
            </w:r>
            <w:r>
              <w:rPr>
                <w:rFonts w:ascii="Times New Roman" w:hAnsi="Times New Roman"/>
                <w:vertAlign w:val="subscript"/>
              </w:rPr>
              <w:t>2</w:t>
            </w:r>
          </w:p>
        </w:tc>
      </w:tr>
    </w:tbl>
    <w:p>
      <w:pPr>
        <w:pStyle w:val="4"/>
        <w:rPr>
          <w:rFonts w:ascii="Times New Roman" w:hAnsi="Times New Roman" w:cs="Times New Roman"/>
        </w:rPr>
      </w:pPr>
      <w:r>
        <w:rPr>
          <w:rFonts w:ascii="Times New Roman" w:hAnsi="Times New Roman" w:cs="Times New Roman"/>
        </w:rPr>
        <w:t>核算方法及核算结果</w:t>
      </w:r>
    </w:p>
    <w:p>
      <w:pPr>
        <w:ind w:firstLine="480"/>
        <w:rPr>
          <w:rFonts w:ascii="Times New Roman" w:hAnsi="Times New Roman"/>
        </w:rPr>
      </w:pPr>
      <w:r>
        <w:rPr>
          <w:rFonts w:ascii="Times New Roman" w:hAnsi="Times New Roman"/>
        </w:rPr>
        <w:t>根据《中国石油和天然气生产企业温室气体排放核算方法与报告指南（试行）》（发改办气候〔2014〕2920号），本项目碳排放总量计算公式按下式计算。</w:t>
      </w:r>
    </w:p>
    <w:p>
      <w:pPr>
        <w:ind w:firstLine="480"/>
        <w:jc w:val="center"/>
        <w:rPr>
          <w:rFonts w:ascii="Times New Roman" w:hAnsi="Times New Roman"/>
        </w:rPr>
      </w:pPr>
      <w:r>
        <w:rPr>
          <w:rFonts w:ascii="Cambria Math" w:hAnsi="Cambria Math" w:cs="Cambria Math"/>
        </w:rPr>
        <w:t>𝐸</w:t>
      </w:r>
      <w:r>
        <w:rPr>
          <w:rFonts w:ascii="Times New Roman" w:hAnsi="Times New Roman"/>
          <w:vertAlign w:val="subscript"/>
        </w:rPr>
        <w:t>总</w:t>
      </w:r>
      <w:r>
        <w:rPr>
          <w:rFonts w:ascii="Times New Roman" w:hAnsi="Times New Roman"/>
        </w:rPr>
        <w:t>=</w:t>
      </w:r>
      <w:r>
        <w:rPr>
          <w:rFonts w:ascii="Cambria Math" w:hAnsi="Cambria Math" w:cs="Cambria Math"/>
        </w:rPr>
        <w:t>𝐸</w:t>
      </w:r>
      <w:r>
        <w:rPr>
          <w:rFonts w:ascii="Times New Roman" w:hAnsi="Times New Roman"/>
          <w:vertAlign w:val="subscript"/>
        </w:rPr>
        <w:t>购入电</w:t>
      </w:r>
      <w:r>
        <w:rPr>
          <w:rFonts w:ascii="Times New Roman" w:hAnsi="Times New Roman"/>
        </w:rPr>
        <w:t>+</w:t>
      </w:r>
      <w:r>
        <w:rPr>
          <w:rFonts w:ascii="Cambria Math" w:hAnsi="Cambria Math" w:cs="Cambria Math"/>
        </w:rPr>
        <w:t>𝐸</w:t>
      </w:r>
      <w:r>
        <w:rPr>
          <w:rFonts w:ascii="Times New Roman" w:hAnsi="Times New Roman"/>
          <w:vertAlign w:val="subscript"/>
        </w:rPr>
        <w:t>燃料燃烧</w:t>
      </w:r>
      <w:r>
        <w:rPr>
          <w:rFonts w:ascii="Times New Roman" w:hAnsi="Times New Roman"/>
        </w:rPr>
        <w:t>+</w:t>
      </w:r>
      <w:r>
        <w:rPr>
          <w:rFonts w:ascii="Cambria Math" w:hAnsi="Cambria Math" w:cs="Cambria Math"/>
        </w:rPr>
        <w:t>𝐸</w:t>
      </w:r>
      <w:r>
        <w:rPr>
          <w:rFonts w:ascii="Times New Roman" w:hAnsi="Times New Roman"/>
          <w:vertAlign w:val="subscript"/>
        </w:rPr>
        <w:t>正常火炬</w:t>
      </w:r>
      <w:r>
        <w:rPr>
          <w:rFonts w:ascii="Times New Roman" w:hAnsi="Times New Roman"/>
        </w:rPr>
        <w:t>+</w:t>
      </w:r>
      <w:r>
        <w:rPr>
          <w:rFonts w:ascii="Cambria Math" w:hAnsi="Cambria Math" w:cs="Cambria Math"/>
        </w:rPr>
        <w:t>𝐸</w:t>
      </w:r>
      <w:r>
        <w:rPr>
          <w:rFonts w:ascii="Cambria Math" w:hAnsi="Cambria Math" w:cs="Cambria Math"/>
          <w:vertAlign w:val="subscript"/>
        </w:rPr>
        <w:t>𝐶𝐻</w:t>
      </w:r>
      <w:r>
        <w:rPr>
          <w:rFonts w:ascii="Times New Roman" w:hAnsi="Times New Roman"/>
          <w:vertAlign w:val="subscript"/>
        </w:rPr>
        <w:t>4逃逸</w:t>
      </w:r>
    </w:p>
    <w:p>
      <w:pPr>
        <w:ind w:firstLine="480"/>
        <w:rPr>
          <w:rFonts w:ascii="Times New Roman" w:hAnsi="Times New Roman"/>
        </w:rPr>
      </w:pPr>
      <w:r>
        <w:rPr>
          <w:rFonts w:ascii="Times New Roman" w:hAnsi="Times New Roman"/>
        </w:rPr>
        <w:t>式中：</w:t>
      </w:r>
    </w:p>
    <w:p>
      <w:pPr>
        <w:ind w:firstLine="480"/>
        <w:rPr>
          <w:rFonts w:ascii="Times New Roman" w:hAnsi="Times New Roman"/>
        </w:rPr>
      </w:pPr>
      <w:r>
        <w:rPr>
          <w:rFonts w:ascii="Cambria Math" w:hAnsi="Cambria Math" w:cs="Cambria Math"/>
        </w:rPr>
        <w:t>𝐸</w:t>
      </w:r>
      <w:r>
        <w:rPr>
          <w:rFonts w:ascii="Times New Roman" w:hAnsi="Times New Roman"/>
          <w:vertAlign w:val="subscript"/>
        </w:rPr>
        <w:t>总</w:t>
      </w:r>
      <w:r>
        <w:rPr>
          <w:rFonts w:ascii="Times New Roman" w:hAnsi="Times New Roman"/>
        </w:rPr>
        <w:t>—碳排放总量，tCO</w:t>
      </w:r>
      <w:r>
        <w:rPr>
          <w:rFonts w:ascii="Times New Roman" w:hAnsi="Times New Roman"/>
          <w:vertAlign w:val="subscript"/>
        </w:rPr>
        <w:t>2</w:t>
      </w:r>
      <w:r>
        <w:rPr>
          <w:rFonts w:ascii="Times New Roman" w:hAnsi="Times New Roman"/>
        </w:rPr>
        <w:t>；</w:t>
      </w:r>
    </w:p>
    <w:p>
      <w:pPr>
        <w:ind w:firstLine="480"/>
        <w:rPr>
          <w:rFonts w:ascii="Times New Roman" w:hAnsi="Times New Roman"/>
        </w:rPr>
      </w:pPr>
      <w:r>
        <w:rPr>
          <w:rFonts w:ascii="Cambria Math" w:hAnsi="Cambria Math" w:cs="Cambria Math"/>
        </w:rPr>
        <w:t>𝐸</w:t>
      </w:r>
      <w:r>
        <w:rPr>
          <w:rFonts w:ascii="Times New Roman" w:hAnsi="Times New Roman"/>
          <w:vertAlign w:val="subscript"/>
        </w:rPr>
        <w:t>购入电</w:t>
      </w:r>
      <w:r>
        <w:rPr>
          <w:rFonts w:ascii="Times New Roman" w:hAnsi="Times New Roman"/>
        </w:rPr>
        <w:t>—净购入电力碳排放量，tCO</w:t>
      </w:r>
      <w:r>
        <w:rPr>
          <w:rFonts w:ascii="Times New Roman" w:hAnsi="Times New Roman"/>
          <w:vertAlign w:val="subscript"/>
        </w:rPr>
        <w:t>2</w:t>
      </w:r>
      <w:r>
        <w:rPr>
          <w:rFonts w:ascii="Times New Roman" w:hAnsi="Times New Roman"/>
        </w:rPr>
        <w:t>；</w:t>
      </w:r>
    </w:p>
    <w:p>
      <w:pPr>
        <w:ind w:firstLine="480"/>
        <w:rPr>
          <w:rFonts w:ascii="Times New Roman" w:hAnsi="Times New Roman"/>
        </w:rPr>
      </w:pPr>
      <w:r>
        <w:rPr>
          <w:rFonts w:ascii="Cambria Math" w:hAnsi="Cambria Math" w:cs="Cambria Math"/>
        </w:rPr>
        <w:t>𝐸</w:t>
      </w:r>
      <w:r>
        <w:rPr>
          <w:rFonts w:ascii="Times New Roman" w:hAnsi="Times New Roman"/>
          <w:vertAlign w:val="subscript"/>
        </w:rPr>
        <w:t>燃料燃烧</w:t>
      </w:r>
      <w:r>
        <w:rPr>
          <w:rFonts w:ascii="Times New Roman" w:hAnsi="Times New Roman"/>
        </w:rPr>
        <w:t>—燃料燃烧碳排放量，tCO</w:t>
      </w:r>
      <w:r>
        <w:rPr>
          <w:rFonts w:ascii="Times New Roman" w:hAnsi="Times New Roman"/>
          <w:vertAlign w:val="subscript"/>
        </w:rPr>
        <w:t>2</w:t>
      </w:r>
      <w:r>
        <w:rPr>
          <w:rFonts w:ascii="Times New Roman" w:hAnsi="Times New Roman"/>
        </w:rPr>
        <w:t>；</w:t>
      </w:r>
    </w:p>
    <w:p>
      <w:pPr>
        <w:ind w:firstLine="480"/>
        <w:rPr>
          <w:rFonts w:ascii="Times New Roman" w:hAnsi="Times New Roman"/>
        </w:rPr>
      </w:pPr>
      <w:r>
        <w:rPr>
          <w:rFonts w:ascii="Cambria Math" w:hAnsi="Cambria Math" w:cs="Cambria Math"/>
        </w:rPr>
        <w:t>𝐸</w:t>
      </w:r>
      <w:r>
        <w:rPr>
          <w:rFonts w:ascii="Times New Roman" w:hAnsi="Times New Roman"/>
          <w:vertAlign w:val="subscript"/>
        </w:rPr>
        <w:t>正常火炬</w:t>
      </w:r>
      <w:r>
        <w:rPr>
          <w:rFonts w:ascii="Times New Roman" w:hAnsi="Times New Roman"/>
        </w:rPr>
        <w:t>—火炬运行碳排放量，tCO</w:t>
      </w:r>
      <w:r>
        <w:rPr>
          <w:rFonts w:ascii="Times New Roman" w:hAnsi="Times New Roman"/>
          <w:vertAlign w:val="subscript"/>
        </w:rPr>
        <w:t>2</w:t>
      </w:r>
      <w:r>
        <w:rPr>
          <w:rFonts w:ascii="Times New Roman" w:hAnsi="Times New Roman"/>
        </w:rPr>
        <w:t>；</w:t>
      </w:r>
    </w:p>
    <w:p>
      <w:pPr>
        <w:ind w:firstLine="480"/>
        <w:rPr>
          <w:rFonts w:ascii="Times New Roman" w:hAnsi="Times New Roman"/>
        </w:rPr>
      </w:pPr>
      <w:r>
        <w:rPr>
          <w:rFonts w:ascii="Cambria Math" w:hAnsi="Cambria Math" w:cs="Cambria Math"/>
        </w:rPr>
        <w:t>𝐸</w:t>
      </w:r>
      <w:r>
        <w:rPr>
          <w:rFonts w:ascii="Cambria Math" w:hAnsi="Cambria Math" w:cs="Cambria Math"/>
          <w:vertAlign w:val="subscript"/>
        </w:rPr>
        <w:t>𝐶𝐻</w:t>
      </w:r>
      <w:r>
        <w:rPr>
          <w:rFonts w:ascii="Times New Roman" w:hAnsi="Times New Roman"/>
          <w:vertAlign w:val="subscript"/>
        </w:rPr>
        <w:t>4逃逸</w:t>
      </w:r>
      <w:r>
        <w:rPr>
          <w:rFonts w:ascii="Times New Roman" w:hAnsi="Times New Roman"/>
        </w:rPr>
        <w:t>—CH</w:t>
      </w:r>
      <w:r>
        <w:rPr>
          <w:rFonts w:ascii="Times New Roman" w:hAnsi="Times New Roman"/>
          <w:vertAlign w:val="subscript"/>
        </w:rPr>
        <w:t>4</w:t>
      </w:r>
      <w:r>
        <w:rPr>
          <w:rFonts w:ascii="Times New Roman" w:hAnsi="Times New Roman"/>
        </w:rPr>
        <w:t>过程逃逸放空碳排放当量，tCO</w:t>
      </w:r>
      <w:r>
        <w:rPr>
          <w:rFonts w:ascii="Times New Roman" w:hAnsi="Times New Roman"/>
          <w:vertAlign w:val="subscript"/>
        </w:rPr>
        <w:t>2</w:t>
      </w:r>
      <w:r>
        <w:rPr>
          <w:rFonts w:ascii="Times New Roman" w:hAnsi="Times New Roman"/>
        </w:rPr>
        <w:t>；</w:t>
      </w:r>
    </w:p>
    <w:p>
      <w:pPr>
        <w:ind w:firstLine="482"/>
        <w:rPr>
          <w:rFonts w:ascii="Times New Roman" w:hAnsi="Times New Roman"/>
          <w:b/>
          <w:bCs/>
        </w:rPr>
      </w:pPr>
      <w:r>
        <w:rPr>
          <w:rFonts w:ascii="Times New Roman" w:hAnsi="Times New Roman"/>
          <w:b/>
          <w:bCs/>
        </w:rPr>
        <w:t>（1）净购入电力</w:t>
      </w:r>
    </w:p>
    <w:p>
      <w:pPr>
        <w:ind w:firstLine="480" w:firstLineChars="0"/>
        <w:rPr>
          <w:rFonts w:ascii="Times New Roman" w:hAnsi="Times New Roman"/>
          <w:b/>
          <w:bCs/>
        </w:rPr>
      </w:pPr>
      <w:r>
        <w:rPr>
          <w:rFonts w:ascii="Times New Roman" w:hAnsi="Times New Roman"/>
          <w:b/>
          <w:bCs/>
        </w:rPr>
        <w:t>1）计算公式</w:t>
      </w:r>
    </w:p>
    <w:p>
      <w:pPr>
        <w:ind w:firstLine="480"/>
        <w:jc w:val="center"/>
        <w:rPr>
          <w:rFonts w:ascii="Times New Roman" w:hAnsi="Times New Roman"/>
        </w:rPr>
      </w:pPr>
      <w:r>
        <w:rPr>
          <w:rFonts w:ascii="Cambria Math" w:hAnsi="Cambria Math" w:cs="Cambria Math"/>
        </w:rPr>
        <w:t>𝐸</w:t>
      </w:r>
      <w:r>
        <w:rPr>
          <w:rFonts w:ascii="Times New Roman" w:hAnsi="Times New Roman"/>
          <w:vertAlign w:val="subscript"/>
        </w:rPr>
        <w:t>购入电</w:t>
      </w:r>
      <w:r>
        <w:rPr>
          <w:rFonts w:ascii="Times New Roman" w:hAnsi="Times New Roman"/>
        </w:rPr>
        <w:t>=</w:t>
      </w:r>
      <w:r>
        <w:rPr>
          <w:rFonts w:ascii="Times New Roman" w:hAnsi="Times New Roman"/>
          <w:i/>
          <w:iCs/>
        </w:rPr>
        <w:t>AD</w:t>
      </w:r>
      <w:r>
        <w:rPr>
          <w:rFonts w:ascii="Times New Roman" w:hAnsi="Times New Roman"/>
          <w:vertAlign w:val="subscript"/>
        </w:rPr>
        <w:t>购入电</w:t>
      </w:r>
      <w:r>
        <w:rPr>
          <w:rFonts w:ascii="Times New Roman" w:hAnsi="Times New Roman"/>
        </w:rPr>
        <w:t>×</w:t>
      </w:r>
      <w:r>
        <w:rPr>
          <w:rFonts w:ascii="Times New Roman" w:hAnsi="Times New Roman"/>
          <w:i/>
          <w:iCs/>
        </w:rPr>
        <w:t>EF</w:t>
      </w:r>
      <w:r>
        <w:rPr>
          <w:rFonts w:ascii="Times New Roman" w:hAnsi="Times New Roman"/>
          <w:vertAlign w:val="subscript"/>
        </w:rPr>
        <w:t>电</w:t>
      </w:r>
    </w:p>
    <w:p>
      <w:pPr>
        <w:ind w:firstLine="480"/>
        <w:rPr>
          <w:rFonts w:ascii="Times New Roman" w:hAnsi="Times New Roman"/>
        </w:rPr>
      </w:pPr>
      <w:r>
        <w:rPr>
          <w:rFonts w:ascii="Times New Roman" w:hAnsi="Times New Roman"/>
        </w:rPr>
        <w:t>式中：</w:t>
      </w:r>
    </w:p>
    <w:p>
      <w:pPr>
        <w:ind w:firstLine="480"/>
        <w:rPr>
          <w:rFonts w:ascii="Times New Roman" w:hAnsi="Times New Roman"/>
        </w:rPr>
      </w:pPr>
      <w:r>
        <w:rPr>
          <w:rFonts w:ascii="Times New Roman" w:hAnsi="Times New Roman"/>
          <w:i/>
          <w:iCs/>
        </w:rPr>
        <w:t>AD</w:t>
      </w:r>
      <w:r>
        <w:rPr>
          <w:rFonts w:ascii="Times New Roman" w:hAnsi="Times New Roman"/>
          <w:vertAlign w:val="subscript"/>
        </w:rPr>
        <w:t>购入电</w:t>
      </w:r>
      <w:r>
        <w:rPr>
          <w:rFonts w:ascii="Times New Roman" w:hAnsi="Times New Roman"/>
        </w:rPr>
        <w:t>—企业净购入的电力消费量，MWh；</w:t>
      </w:r>
    </w:p>
    <w:p>
      <w:pPr>
        <w:ind w:firstLine="480"/>
        <w:rPr>
          <w:rFonts w:ascii="Times New Roman" w:hAnsi="Times New Roman"/>
        </w:rPr>
      </w:pPr>
      <w:r>
        <w:rPr>
          <w:rFonts w:ascii="Times New Roman" w:hAnsi="Times New Roman"/>
          <w:i/>
          <w:iCs/>
        </w:rPr>
        <w:t>EF</w:t>
      </w:r>
      <w:r>
        <w:rPr>
          <w:rFonts w:ascii="Times New Roman" w:hAnsi="Times New Roman"/>
          <w:vertAlign w:val="subscript"/>
        </w:rPr>
        <w:t>电</w:t>
      </w:r>
      <w:r>
        <w:rPr>
          <w:rFonts w:ascii="Times New Roman" w:hAnsi="Times New Roman"/>
        </w:rPr>
        <w:t>—电力供应的CO</w:t>
      </w:r>
      <w:r>
        <w:rPr>
          <w:rFonts w:ascii="Times New Roman" w:hAnsi="Times New Roman"/>
          <w:vertAlign w:val="subscript"/>
        </w:rPr>
        <w:t>2</w:t>
      </w:r>
      <w:r>
        <w:rPr>
          <w:rFonts w:ascii="Times New Roman" w:hAnsi="Times New Roman"/>
        </w:rPr>
        <w:t>排放因子，tCO</w:t>
      </w:r>
      <w:r>
        <w:rPr>
          <w:rFonts w:ascii="Times New Roman" w:hAnsi="Times New Roman"/>
          <w:vertAlign w:val="subscript"/>
        </w:rPr>
        <w:t>2</w:t>
      </w:r>
      <w:r>
        <w:rPr>
          <w:rFonts w:ascii="Times New Roman" w:hAnsi="Times New Roman"/>
        </w:rPr>
        <w:t>/MWh。</w:t>
      </w:r>
    </w:p>
    <w:p>
      <w:pPr>
        <w:pStyle w:val="43"/>
        <w:numPr>
          <w:ilvl w:val="0"/>
          <w:numId w:val="17"/>
        </w:numPr>
        <w:ind w:firstLineChars="0"/>
        <w:rPr>
          <w:rFonts w:ascii="Times New Roman" w:hAnsi="Times New Roman"/>
        </w:rPr>
      </w:pPr>
      <w:r>
        <w:rPr>
          <w:rFonts w:ascii="Times New Roman" w:hAnsi="Times New Roman"/>
        </w:rPr>
        <w:t>活动水平数据</w:t>
      </w:r>
    </w:p>
    <w:p>
      <w:pPr>
        <w:ind w:firstLine="480"/>
        <w:rPr>
          <w:rFonts w:ascii="Times New Roman" w:hAnsi="Times New Roman"/>
        </w:rPr>
      </w:pPr>
      <w:r>
        <w:rPr>
          <w:rFonts w:ascii="Times New Roman" w:hAnsi="Times New Roman"/>
        </w:rPr>
        <w:t>本项目设计外购电量为78.42×10</w:t>
      </w:r>
      <w:r>
        <w:rPr>
          <w:rFonts w:ascii="Times New Roman" w:hAnsi="Times New Roman"/>
          <w:vertAlign w:val="superscript"/>
        </w:rPr>
        <w:t>4</w:t>
      </w:r>
      <w:r>
        <w:rPr>
          <w:rFonts w:ascii="Times New Roman" w:hAnsi="Times New Roman"/>
        </w:rPr>
        <w:t>kWh。</w:t>
      </w:r>
    </w:p>
    <w:p>
      <w:pPr>
        <w:pStyle w:val="43"/>
        <w:numPr>
          <w:ilvl w:val="0"/>
          <w:numId w:val="17"/>
        </w:numPr>
        <w:ind w:firstLineChars="0"/>
        <w:rPr>
          <w:rFonts w:ascii="Times New Roman" w:hAnsi="Times New Roman"/>
        </w:rPr>
      </w:pPr>
      <w:r>
        <w:rPr>
          <w:rFonts w:ascii="Times New Roman" w:hAnsi="Times New Roman"/>
        </w:rPr>
        <w:t>排放因子数据</w:t>
      </w:r>
    </w:p>
    <w:p>
      <w:pPr>
        <w:ind w:firstLine="480"/>
        <w:rPr>
          <w:rFonts w:ascii="Times New Roman" w:hAnsi="Times New Roman"/>
        </w:rPr>
      </w:pPr>
      <w:r>
        <w:rPr>
          <w:rFonts w:ascii="Times New Roman" w:hAnsi="Times New Roman"/>
        </w:rPr>
        <w:t>按照生态环境部印发《关于做好2022年企业温室气体排放报告管理相关重点工作的通知》，CO</w:t>
      </w:r>
      <w:r>
        <w:rPr>
          <w:rFonts w:ascii="Times New Roman" w:hAnsi="Times New Roman"/>
          <w:vertAlign w:val="subscript"/>
        </w:rPr>
        <w:t>2</w:t>
      </w:r>
      <w:r>
        <w:rPr>
          <w:rFonts w:ascii="Times New Roman" w:hAnsi="Times New Roman"/>
        </w:rPr>
        <w:t>排放因子选值为0.5810tCO</w:t>
      </w:r>
      <w:r>
        <w:rPr>
          <w:rFonts w:ascii="Times New Roman" w:hAnsi="Times New Roman"/>
          <w:vertAlign w:val="subscript"/>
        </w:rPr>
        <w:t>2</w:t>
      </w:r>
      <w:r>
        <w:rPr>
          <w:rFonts w:ascii="Times New Roman" w:hAnsi="Times New Roman"/>
        </w:rPr>
        <w:t>/MWh。</w:t>
      </w:r>
    </w:p>
    <w:p>
      <w:pPr>
        <w:ind w:firstLine="480" w:firstLineChars="0"/>
        <w:rPr>
          <w:rFonts w:ascii="Times New Roman" w:hAnsi="Times New Roman"/>
          <w:b/>
          <w:bCs/>
        </w:rPr>
      </w:pPr>
      <w:r>
        <w:rPr>
          <w:rFonts w:ascii="Times New Roman" w:hAnsi="Times New Roman"/>
          <w:b/>
          <w:bCs/>
        </w:rPr>
        <w:t>2）计算结果</w:t>
      </w:r>
    </w:p>
    <w:p>
      <w:pPr>
        <w:widowControl/>
        <w:ind w:firstLine="480" w:firstLineChars="0"/>
        <w:rPr>
          <w:rFonts w:ascii="Times New Roman" w:hAnsi="Times New Roman"/>
          <w:kern w:val="0"/>
        </w:rPr>
      </w:pPr>
      <w:r>
        <w:rPr>
          <w:rFonts w:ascii="Times New Roman" w:hAnsi="Times New Roman"/>
          <w:kern w:val="0"/>
        </w:rPr>
        <w:t>根据以上公式计算，购入电排放计算结果见</w:t>
      </w:r>
      <w:r>
        <w:rPr>
          <w:rFonts w:ascii="Times New Roman" w:hAnsi="Times New Roman"/>
          <w:kern w:val="0"/>
        </w:rPr>
        <w:fldChar w:fldCharType="begin"/>
      </w:r>
      <w:r>
        <w:rPr>
          <w:rFonts w:ascii="Times New Roman" w:hAnsi="Times New Roman"/>
          <w:kern w:val="0"/>
        </w:rPr>
        <w:instrText xml:space="preserve"> REF _Ref155279428 \h  \* MERGEFORMAT </w:instrText>
      </w:r>
      <w:r>
        <w:rPr>
          <w:rFonts w:ascii="Times New Roman" w:hAnsi="Times New Roman"/>
          <w:kern w:val="0"/>
        </w:rPr>
        <w:fldChar w:fldCharType="separate"/>
      </w:r>
      <w:r>
        <w:rPr>
          <w:rFonts w:ascii="Times New Roman" w:hAnsi="Times New Roman"/>
        </w:rPr>
        <w:t>表8</w:t>
      </w:r>
      <w:r>
        <w:rPr>
          <w:rFonts w:ascii="Times New Roman" w:hAnsi="Times New Roman"/>
        </w:rPr>
        <w:noBreakHyphen/>
      </w:r>
      <w:r>
        <w:rPr>
          <w:rFonts w:ascii="Times New Roman" w:hAnsi="Times New Roman"/>
        </w:rPr>
        <w:t>4</w:t>
      </w:r>
      <w:r>
        <w:rPr>
          <w:rFonts w:ascii="Times New Roman" w:hAnsi="Times New Roman"/>
          <w:kern w:val="0"/>
        </w:rPr>
        <w:fldChar w:fldCharType="end"/>
      </w:r>
      <w:r>
        <w:rPr>
          <w:rFonts w:ascii="Times New Roman" w:hAnsi="Times New Roman"/>
          <w:kern w:val="0"/>
        </w:rPr>
        <w:t>，本项目净购入电力产生的</w:t>
      </w:r>
      <w:r>
        <w:rPr>
          <w:rFonts w:ascii="Times New Roman" w:hAnsi="Times New Roman"/>
        </w:rPr>
        <w:t>碳排放量为455.62 tCO</w:t>
      </w:r>
      <w:r>
        <w:rPr>
          <w:rFonts w:ascii="Times New Roman" w:hAnsi="Times New Roman"/>
          <w:vertAlign w:val="subscript"/>
        </w:rPr>
        <w:t>2</w:t>
      </w:r>
      <w:r>
        <w:rPr>
          <w:rFonts w:ascii="Times New Roman" w:hAnsi="Times New Roman"/>
          <w:kern w:val="0"/>
        </w:rPr>
        <w:t>。</w:t>
      </w:r>
    </w:p>
    <w:p>
      <w:pPr>
        <w:pStyle w:val="37"/>
        <w:rPr>
          <w:rFonts w:ascii="Times New Roman" w:hAnsi="Times New Roman" w:cs="Times New Roman"/>
        </w:rPr>
      </w:pPr>
      <w:bookmarkStart w:id="371" w:name="_Ref155279428"/>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bookmarkEnd w:id="371"/>
      <w:r>
        <w:rPr>
          <w:rFonts w:ascii="Times New Roman" w:hAnsi="Times New Roman" w:cs="Times New Roman"/>
        </w:rPr>
        <w:t xml:space="preserve">  本项目净购入电力碳排放情况</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6"/>
        <w:gridCol w:w="2074"/>
        <w:gridCol w:w="2580"/>
        <w:gridCol w:w="22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6" w:type="pct"/>
            <w:vMerge w:val="restart"/>
          </w:tcPr>
          <w:p>
            <w:pPr>
              <w:pStyle w:val="39"/>
              <w:rPr>
                <w:rFonts w:ascii="Times New Roman" w:hAnsi="Times New Roman"/>
              </w:rPr>
            </w:pPr>
            <w:r>
              <w:rPr>
                <w:rFonts w:ascii="Times New Roman" w:hAnsi="Times New Roman"/>
              </w:rPr>
              <w:t>名称</w:t>
            </w:r>
          </w:p>
        </w:tc>
        <w:tc>
          <w:tcPr>
            <w:tcW w:w="1217" w:type="pct"/>
          </w:tcPr>
          <w:p>
            <w:pPr>
              <w:pStyle w:val="39"/>
              <w:rPr>
                <w:rFonts w:ascii="Times New Roman" w:hAnsi="Times New Roman"/>
                <w:i/>
                <w:iCs/>
              </w:rPr>
            </w:pPr>
            <w:r>
              <w:rPr>
                <w:rFonts w:ascii="Times New Roman" w:hAnsi="Times New Roman"/>
                <w:i/>
                <w:iCs/>
              </w:rPr>
              <w:t>AD</w:t>
            </w:r>
            <w:r>
              <w:rPr>
                <w:rFonts w:ascii="Times New Roman" w:hAnsi="Times New Roman"/>
                <w:i/>
                <w:iCs/>
                <w:vertAlign w:val="subscript"/>
              </w:rPr>
              <w:t>购入电</w:t>
            </w:r>
          </w:p>
        </w:tc>
        <w:tc>
          <w:tcPr>
            <w:tcW w:w="1514" w:type="pct"/>
          </w:tcPr>
          <w:p>
            <w:pPr>
              <w:pStyle w:val="39"/>
              <w:rPr>
                <w:rFonts w:ascii="Times New Roman" w:hAnsi="Times New Roman"/>
                <w:i/>
                <w:iCs/>
              </w:rPr>
            </w:pPr>
            <w:r>
              <w:rPr>
                <w:rFonts w:ascii="Times New Roman" w:hAnsi="Times New Roman"/>
                <w:i/>
                <w:iCs/>
              </w:rPr>
              <w:t>EF</w:t>
            </w:r>
            <w:r>
              <w:rPr>
                <w:rFonts w:ascii="Times New Roman" w:hAnsi="Times New Roman"/>
                <w:i/>
                <w:iCs/>
                <w:vertAlign w:val="subscript"/>
              </w:rPr>
              <w:t>电</w:t>
            </w:r>
          </w:p>
        </w:tc>
        <w:tc>
          <w:tcPr>
            <w:tcW w:w="1303" w:type="pct"/>
          </w:tcPr>
          <w:p>
            <w:pPr>
              <w:pStyle w:val="39"/>
              <w:rPr>
                <w:rFonts w:ascii="Times New Roman" w:hAnsi="Times New Roman"/>
                <w:i/>
                <w:iCs/>
              </w:rPr>
            </w:pPr>
            <w:r>
              <w:rPr>
                <w:rFonts w:ascii="Times New Roman" w:hAnsi="Times New Roman"/>
                <w:i/>
                <w:iCs/>
              </w:rPr>
              <w:t>E</w:t>
            </w:r>
            <w:r>
              <w:rPr>
                <w:rFonts w:ascii="Times New Roman" w:hAnsi="Times New Roman"/>
                <w:i/>
                <w:iCs/>
                <w:vertAlign w:val="subscript"/>
              </w:rPr>
              <w:t>购入电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6" w:type="pct"/>
            <w:vMerge w:val="continue"/>
          </w:tcPr>
          <w:p>
            <w:pPr>
              <w:pStyle w:val="39"/>
              <w:rPr>
                <w:rFonts w:ascii="Times New Roman" w:hAnsi="Times New Roman"/>
              </w:rPr>
            </w:pPr>
          </w:p>
        </w:tc>
        <w:tc>
          <w:tcPr>
            <w:tcW w:w="1217" w:type="pct"/>
          </w:tcPr>
          <w:p>
            <w:pPr>
              <w:pStyle w:val="39"/>
              <w:rPr>
                <w:rFonts w:ascii="Times New Roman" w:hAnsi="Times New Roman"/>
              </w:rPr>
            </w:pPr>
            <w:r>
              <w:rPr>
                <w:rFonts w:ascii="Times New Roman" w:hAnsi="Times New Roman"/>
              </w:rPr>
              <w:t>MWh</w:t>
            </w:r>
          </w:p>
        </w:tc>
        <w:tc>
          <w:tcPr>
            <w:tcW w:w="1514" w:type="pct"/>
          </w:tcPr>
          <w:p>
            <w:pPr>
              <w:pStyle w:val="39"/>
              <w:rPr>
                <w:rFonts w:ascii="Times New Roman" w:hAnsi="Times New Roman"/>
              </w:rPr>
            </w:pPr>
            <w:r>
              <w:rPr>
                <w:rFonts w:ascii="Times New Roman" w:hAnsi="Times New Roman"/>
              </w:rPr>
              <w:t>tCO</w:t>
            </w:r>
            <w:r>
              <w:rPr>
                <w:rFonts w:ascii="Times New Roman" w:hAnsi="Times New Roman"/>
                <w:vertAlign w:val="subscript"/>
              </w:rPr>
              <w:t>2</w:t>
            </w:r>
            <w:r>
              <w:rPr>
                <w:rFonts w:ascii="Times New Roman" w:hAnsi="Times New Roman"/>
              </w:rPr>
              <w:t>/ MWh</w:t>
            </w:r>
          </w:p>
        </w:tc>
        <w:tc>
          <w:tcPr>
            <w:tcW w:w="1303" w:type="pct"/>
          </w:tcPr>
          <w:p>
            <w:pPr>
              <w:pStyle w:val="39"/>
              <w:rPr>
                <w:rFonts w:ascii="Times New Roman" w:hAnsi="Times New Roman"/>
              </w:rPr>
            </w:pPr>
            <w:r>
              <w:rPr>
                <w:rFonts w:ascii="Times New Roman" w:hAnsi="Times New Roman"/>
              </w:rPr>
              <w:t>tCO</w:t>
            </w:r>
            <w:r>
              <w:rPr>
                <w:rFonts w:ascii="Times New Roman" w:hAnsi="Times New Roman"/>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6" w:type="pct"/>
          </w:tcPr>
          <w:p>
            <w:pPr>
              <w:pStyle w:val="39"/>
              <w:rPr>
                <w:rFonts w:ascii="Times New Roman" w:hAnsi="Times New Roman"/>
              </w:rPr>
            </w:pPr>
            <w:r>
              <w:rPr>
                <w:rFonts w:ascii="Times New Roman" w:hAnsi="Times New Roman"/>
              </w:rPr>
              <w:t>合计</w:t>
            </w:r>
          </w:p>
        </w:tc>
        <w:tc>
          <w:tcPr>
            <w:tcW w:w="1217" w:type="pct"/>
          </w:tcPr>
          <w:p>
            <w:pPr>
              <w:pStyle w:val="39"/>
              <w:rPr>
                <w:rFonts w:ascii="Times New Roman" w:hAnsi="Times New Roman"/>
              </w:rPr>
            </w:pPr>
            <w:r>
              <w:rPr>
                <w:rFonts w:ascii="Times New Roman" w:hAnsi="Times New Roman"/>
              </w:rPr>
              <w:t>784.20</w:t>
            </w:r>
          </w:p>
        </w:tc>
        <w:tc>
          <w:tcPr>
            <w:tcW w:w="1514" w:type="pct"/>
          </w:tcPr>
          <w:p>
            <w:pPr>
              <w:pStyle w:val="39"/>
              <w:rPr>
                <w:rFonts w:ascii="Times New Roman" w:hAnsi="Times New Roman"/>
              </w:rPr>
            </w:pPr>
            <w:r>
              <w:rPr>
                <w:rFonts w:ascii="Times New Roman" w:hAnsi="Times New Roman"/>
              </w:rPr>
              <w:t>0.5810</w:t>
            </w:r>
          </w:p>
        </w:tc>
        <w:tc>
          <w:tcPr>
            <w:tcW w:w="1303" w:type="pct"/>
          </w:tcPr>
          <w:p>
            <w:pPr>
              <w:pStyle w:val="39"/>
              <w:rPr>
                <w:rFonts w:ascii="Times New Roman" w:hAnsi="Times New Roman"/>
              </w:rPr>
            </w:pPr>
            <w:r>
              <w:rPr>
                <w:rFonts w:ascii="Times New Roman" w:hAnsi="Times New Roman"/>
              </w:rPr>
              <w:t>455.62</w:t>
            </w:r>
          </w:p>
        </w:tc>
      </w:tr>
    </w:tbl>
    <w:p>
      <w:pPr>
        <w:ind w:firstLine="482"/>
        <w:rPr>
          <w:rFonts w:ascii="Times New Roman" w:hAnsi="Times New Roman"/>
          <w:b/>
          <w:bCs/>
        </w:rPr>
      </w:pPr>
      <w:r>
        <w:rPr>
          <w:rFonts w:ascii="Times New Roman" w:hAnsi="Times New Roman"/>
          <w:b/>
          <w:bCs/>
        </w:rPr>
        <w:t>（2）燃料燃烧</w:t>
      </w:r>
    </w:p>
    <w:p>
      <w:pPr>
        <w:ind w:firstLine="480" w:firstLineChars="0"/>
        <w:rPr>
          <w:rFonts w:ascii="Times New Roman" w:hAnsi="Times New Roman"/>
          <w:b/>
          <w:bCs/>
        </w:rPr>
      </w:pPr>
      <w:r>
        <w:rPr>
          <w:rFonts w:ascii="Times New Roman" w:hAnsi="Times New Roman"/>
          <w:b/>
          <w:bCs/>
        </w:rPr>
        <w:t>1）计算公式</w:t>
      </w:r>
    </w:p>
    <w:p>
      <w:pPr>
        <w:ind w:firstLine="480"/>
        <w:jc w:val="center"/>
        <w:rPr>
          <w:rFonts w:ascii="Times New Roman" w:hAnsi="Times New Roman"/>
        </w:rPr>
      </w:pPr>
      <w:r>
        <w:rPr>
          <w:rFonts w:ascii="Cambria Math" w:hAnsi="Cambria Math" w:cs="Cambria Math"/>
        </w:rPr>
        <w:t>𝐸</w:t>
      </w:r>
      <w:r>
        <w:rPr>
          <w:rFonts w:ascii="Times New Roman" w:hAnsi="Times New Roman"/>
          <w:vertAlign w:val="subscript"/>
        </w:rPr>
        <w:t>燃料燃烧</w:t>
      </w:r>
      <w:r>
        <w:rPr>
          <w:rFonts w:ascii="Times New Roman" w:hAnsi="Times New Roman"/>
        </w:rPr>
        <w:t>=∑</w:t>
      </w:r>
      <w:r>
        <w:rPr>
          <w:rFonts w:ascii="Times New Roman" w:hAnsi="Times New Roman"/>
          <w:i/>
          <w:iCs/>
        </w:rPr>
        <w:t>AD</w:t>
      </w:r>
      <w:r>
        <w:rPr>
          <w:rFonts w:ascii="Times New Roman" w:hAnsi="Times New Roman"/>
        </w:rPr>
        <w:t>×</w:t>
      </w:r>
      <w:r>
        <w:rPr>
          <w:rFonts w:ascii="Times New Roman" w:hAnsi="Times New Roman"/>
          <w:i/>
          <w:iCs/>
        </w:rPr>
        <w:t>CC</w:t>
      </w:r>
      <w:r>
        <w:rPr>
          <w:rFonts w:ascii="Times New Roman" w:hAnsi="Times New Roman"/>
        </w:rPr>
        <w:t>×</w:t>
      </w:r>
      <w:r>
        <w:rPr>
          <w:rFonts w:ascii="Times New Roman" w:hAnsi="Times New Roman"/>
          <w:i/>
          <w:iCs/>
        </w:rPr>
        <w:t>OF</w:t>
      </w:r>
      <w:r>
        <w:rPr>
          <w:rFonts w:ascii="Times New Roman" w:hAnsi="Times New Roman"/>
        </w:rPr>
        <w:t>×44/12</w:t>
      </w:r>
    </w:p>
    <w:p>
      <w:pPr>
        <w:ind w:firstLine="480"/>
        <w:rPr>
          <w:rFonts w:ascii="Times New Roman" w:hAnsi="Times New Roman"/>
        </w:rPr>
      </w:pPr>
      <w:r>
        <w:rPr>
          <w:rFonts w:ascii="Times New Roman" w:hAnsi="Times New Roman"/>
        </w:rPr>
        <w:t>式中：</w:t>
      </w:r>
    </w:p>
    <w:p>
      <w:pPr>
        <w:ind w:firstLine="480"/>
        <w:rPr>
          <w:rFonts w:ascii="Times New Roman" w:hAnsi="Times New Roman"/>
          <w:i/>
          <w:iCs/>
        </w:rPr>
      </w:pPr>
      <w:r>
        <w:rPr>
          <w:rFonts w:ascii="Cambria Math" w:hAnsi="Cambria Math" w:cs="Cambria Math"/>
        </w:rPr>
        <w:t>𝐸</w:t>
      </w:r>
      <w:r>
        <w:rPr>
          <w:rFonts w:ascii="Times New Roman" w:hAnsi="Times New Roman"/>
          <w:vertAlign w:val="subscript"/>
        </w:rPr>
        <w:t>燃料燃烧</w:t>
      </w:r>
      <w:r>
        <w:rPr>
          <w:rFonts w:ascii="Times New Roman" w:hAnsi="Times New Roman"/>
        </w:rPr>
        <w:t>—燃料燃烧产生的CO</w:t>
      </w:r>
      <w:r>
        <w:rPr>
          <w:rFonts w:ascii="Times New Roman" w:hAnsi="Times New Roman"/>
          <w:vertAlign w:val="subscript"/>
        </w:rPr>
        <w:t>2</w:t>
      </w:r>
      <w:r>
        <w:rPr>
          <w:rFonts w:ascii="Times New Roman" w:hAnsi="Times New Roman"/>
        </w:rPr>
        <w:t>排放量，tCO</w:t>
      </w:r>
      <w:r>
        <w:rPr>
          <w:rFonts w:ascii="Times New Roman" w:hAnsi="Times New Roman"/>
          <w:vertAlign w:val="subscript"/>
        </w:rPr>
        <w:t>2</w:t>
      </w:r>
      <w:r>
        <w:rPr>
          <w:rFonts w:ascii="Times New Roman" w:hAnsi="Times New Roman"/>
        </w:rPr>
        <w:t>；</w:t>
      </w:r>
    </w:p>
    <w:p>
      <w:pPr>
        <w:ind w:firstLine="480"/>
        <w:rPr>
          <w:rFonts w:ascii="Times New Roman" w:hAnsi="Times New Roman"/>
        </w:rPr>
      </w:pPr>
      <w:r>
        <w:rPr>
          <w:rFonts w:ascii="Times New Roman" w:hAnsi="Times New Roman"/>
          <w:i/>
          <w:iCs/>
        </w:rPr>
        <w:t>AD</w:t>
      </w:r>
      <w:r>
        <w:rPr>
          <w:rFonts w:ascii="Times New Roman" w:hAnsi="Times New Roman"/>
        </w:rPr>
        <w:t>—燃烧设施燃烧的燃料气量，万Nm</w:t>
      </w:r>
      <w:r>
        <w:rPr>
          <w:rFonts w:ascii="Times New Roman" w:hAnsi="Times New Roman"/>
          <w:vertAlign w:val="superscript"/>
        </w:rPr>
        <w:t>3</w:t>
      </w:r>
      <w:r>
        <w:rPr>
          <w:rFonts w:ascii="Times New Roman" w:hAnsi="Times New Roman"/>
        </w:rPr>
        <w:t>；</w:t>
      </w:r>
    </w:p>
    <w:p>
      <w:pPr>
        <w:ind w:firstLine="480"/>
        <w:rPr>
          <w:rFonts w:ascii="Times New Roman" w:hAnsi="Times New Roman"/>
        </w:rPr>
      </w:pPr>
      <w:r>
        <w:rPr>
          <w:rFonts w:ascii="Times New Roman" w:hAnsi="Times New Roman"/>
          <w:i/>
          <w:iCs/>
        </w:rPr>
        <w:t>CC</w:t>
      </w:r>
      <w:r>
        <w:rPr>
          <w:rFonts w:ascii="Times New Roman" w:hAnsi="Times New Roman"/>
        </w:rPr>
        <w:t>—设施燃烧的燃料气含碳量，本项目涉及燃料气含碳量，tCO</w:t>
      </w:r>
      <w:r>
        <w:rPr>
          <w:rFonts w:ascii="Times New Roman" w:hAnsi="Times New Roman"/>
          <w:vertAlign w:val="subscript"/>
        </w:rPr>
        <w:t>2</w:t>
      </w:r>
      <w:r>
        <w:rPr>
          <w:rFonts w:ascii="Times New Roman" w:hAnsi="Times New Roman"/>
        </w:rPr>
        <w:t>/万Nm</w:t>
      </w:r>
      <w:r>
        <w:rPr>
          <w:rFonts w:ascii="Times New Roman" w:hAnsi="Times New Roman"/>
          <w:vertAlign w:val="superscript"/>
        </w:rPr>
        <w:t>3</w:t>
      </w:r>
      <w:r>
        <w:rPr>
          <w:rFonts w:ascii="Times New Roman" w:hAnsi="Times New Roman"/>
        </w:rPr>
        <w:t>；</w:t>
      </w:r>
    </w:p>
    <w:p>
      <w:pPr>
        <w:ind w:firstLine="480"/>
        <w:rPr>
          <w:rFonts w:ascii="Times New Roman" w:hAnsi="Times New Roman"/>
        </w:rPr>
      </w:pPr>
      <w:r>
        <w:rPr>
          <w:rFonts w:ascii="Times New Roman" w:hAnsi="Times New Roman"/>
          <w:i/>
          <w:iCs/>
        </w:rPr>
        <w:t>OF</w:t>
      </w:r>
      <w:r>
        <w:rPr>
          <w:rFonts w:ascii="Times New Roman" w:hAnsi="Times New Roman"/>
        </w:rPr>
        <w:t>—燃烧的燃料气的碳氧化率，取值范围为0～1，本项目取0.99。</w:t>
      </w:r>
    </w:p>
    <w:p>
      <w:pPr>
        <w:pStyle w:val="43"/>
        <w:numPr>
          <w:ilvl w:val="0"/>
          <w:numId w:val="18"/>
        </w:numPr>
        <w:ind w:firstLineChars="0"/>
        <w:rPr>
          <w:rFonts w:ascii="Times New Roman" w:hAnsi="Times New Roman"/>
        </w:rPr>
      </w:pPr>
      <w:r>
        <w:rPr>
          <w:rFonts w:ascii="Times New Roman" w:hAnsi="Times New Roman"/>
        </w:rPr>
        <w:t>活动水平数据</w:t>
      </w:r>
    </w:p>
    <w:p>
      <w:pPr>
        <w:ind w:firstLine="480"/>
        <w:rPr>
          <w:rFonts w:ascii="Times New Roman" w:hAnsi="Times New Roman"/>
        </w:rPr>
      </w:pPr>
      <w:r>
        <w:rPr>
          <w:rFonts w:ascii="Times New Roman" w:hAnsi="Times New Roman"/>
        </w:rPr>
        <w:t>本项目加热炉正常负荷下，宣探1井站加热炉设计燃料气的消耗为111.1×10</w:t>
      </w:r>
      <w:r>
        <w:rPr>
          <w:rFonts w:ascii="Times New Roman" w:hAnsi="Times New Roman"/>
          <w:vertAlign w:val="superscript"/>
        </w:rPr>
        <w:t>4</w:t>
      </w:r>
      <w:r>
        <w:rPr>
          <w:rFonts w:ascii="Times New Roman" w:hAnsi="Times New Roman"/>
        </w:rPr>
        <w:t>m</w:t>
      </w:r>
      <w:r>
        <w:rPr>
          <w:rFonts w:ascii="Times New Roman" w:hAnsi="Times New Roman"/>
          <w:vertAlign w:val="superscript"/>
        </w:rPr>
        <w:t>3</w:t>
      </w:r>
      <w:r>
        <w:rPr>
          <w:rFonts w:ascii="Times New Roman" w:hAnsi="Times New Roman"/>
        </w:rPr>
        <w:t>/a，宣兴1井站加热炉设计燃料气的消耗为37.7×10</w:t>
      </w:r>
      <w:r>
        <w:rPr>
          <w:rFonts w:ascii="Times New Roman" w:hAnsi="Times New Roman"/>
          <w:vertAlign w:val="superscript"/>
        </w:rPr>
        <w:t>4</w:t>
      </w:r>
      <w:r>
        <w:rPr>
          <w:rFonts w:ascii="Times New Roman" w:hAnsi="Times New Roman"/>
        </w:rPr>
        <w:t>m</w:t>
      </w:r>
      <w:r>
        <w:rPr>
          <w:rFonts w:ascii="Times New Roman" w:hAnsi="Times New Roman"/>
          <w:vertAlign w:val="superscript"/>
        </w:rPr>
        <w:t>3</w:t>
      </w:r>
      <w:r>
        <w:rPr>
          <w:rFonts w:ascii="Times New Roman" w:hAnsi="Times New Roman"/>
        </w:rPr>
        <w:t>/a，设计工况8000h。</w:t>
      </w:r>
    </w:p>
    <w:p>
      <w:pPr>
        <w:pStyle w:val="43"/>
        <w:numPr>
          <w:ilvl w:val="0"/>
          <w:numId w:val="18"/>
        </w:numPr>
        <w:ind w:firstLineChars="0"/>
        <w:rPr>
          <w:rFonts w:ascii="Times New Roman" w:hAnsi="Times New Roman"/>
        </w:rPr>
      </w:pPr>
      <w:r>
        <w:rPr>
          <w:rFonts w:ascii="Times New Roman" w:hAnsi="Times New Roman"/>
        </w:rPr>
        <w:t>排放因子数据</w:t>
      </w:r>
    </w:p>
    <w:p>
      <w:pPr>
        <w:ind w:firstLine="480"/>
        <w:jc w:val="center"/>
        <w:rPr>
          <w:rFonts w:ascii="Times New Roman" w:hAnsi="Times New Roman"/>
        </w:rPr>
      </w:pPr>
      <w:r>
        <w:rPr>
          <w:rFonts w:ascii="Times New Roman" w:hAnsi="Times New Roman"/>
          <w:i/>
          <w:iCs/>
        </w:rPr>
        <w:t>CC</w:t>
      </w:r>
      <w:r>
        <w:rPr>
          <w:rFonts w:ascii="Times New Roman" w:hAnsi="Times New Roman"/>
        </w:rPr>
        <w:t>=</w:t>
      </w:r>
      <w:r>
        <w:rPr>
          <w:rFonts w:ascii="Cambria Math" w:hAnsi="Cambria Math" w:cs="Cambria Math"/>
        </w:rPr>
        <w:t>𝑁𝐶𝑉</w:t>
      </w:r>
      <w:r>
        <w:rPr>
          <w:rFonts w:ascii="Times New Roman" w:hAnsi="Times New Roman"/>
        </w:rPr>
        <w:t>×</w:t>
      </w:r>
      <w:r>
        <w:rPr>
          <w:rFonts w:ascii="Cambria Math" w:hAnsi="Cambria Math" w:cs="Cambria Math"/>
        </w:rPr>
        <w:t>𝐸𝐹</w:t>
      </w:r>
    </w:p>
    <w:p>
      <w:pPr>
        <w:ind w:firstLine="480"/>
        <w:rPr>
          <w:rFonts w:ascii="Times New Roman" w:hAnsi="Times New Roman"/>
        </w:rPr>
      </w:pPr>
      <w:r>
        <w:rPr>
          <w:rFonts w:ascii="Times New Roman" w:hAnsi="Times New Roman"/>
        </w:rPr>
        <w:t>式中：</w:t>
      </w:r>
    </w:p>
    <w:p>
      <w:pPr>
        <w:ind w:firstLine="480"/>
        <w:rPr>
          <w:rFonts w:ascii="Times New Roman" w:hAnsi="Times New Roman"/>
        </w:rPr>
      </w:pPr>
      <w:r>
        <w:rPr>
          <w:rFonts w:ascii="Times New Roman" w:hAnsi="Times New Roman"/>
          <w:i/>
          <w:iCs/>
        </w:rPr>
        <w:t>CC</w:t>
      </w:r>
      <w:r>
        <w:rPr>
          <w:rFonts w:ascii="Times New Roman" w:hAnsi="Times New Roman"/>
        </w:rPr>
        <w:t>—设施燃烧的燃料气含碳量，本项目涉及燃料气含碳量，tCO</w:t>
      </w:r>
      <w:r>
        <w:rPr>
          <w:rFonts w:ascii="Times New Roman" w:hAnsi="Times New Roman"/>
          <w:vertAlign w:val="subscript"/>
        </w:rPr>
        <w:t>2</w:t>
      </w:r>
      <w:r>
        <w:rPr>
          <w:rFonts w:ascii="Times New Roman" w:hAnsi="Times New Roman"/>
        </w:rPr>
        <w:t>/万Nm</w:t>
      </w:r>
      <w:r>
        <w:rPr>
          <w:rFonts w:ascii="Times New Roman" w:hAnsi="Times New Roman"/>
          <w:vertAlign w:val="superscript"/>
        </w:rPr>
        <w:t>3</w:t>
      </w:r>
      <w:r>
        <w:rPr>
          <w:rFonts w:ascii="Times New Roman" w:hAnsi="Times New Roman"/>
        </w:rPr>
        <w:t>；</w:t>
      </w:r>
    </w:p>
    <w:p>
      <w:pPr>
        <w:ind w:firstLine="480"/>
        <w:rPr>
          <w:rFonts w:ascii="Times New Roman" w:hAnsi="Times New Roman"/>
        </w:rPr>
      </w:pPr>
      <w:r>
        <w:rPr>
          <w:rFonts w:ascii="Cambria Math" w:hAnsi="Cambria Math" w:cs="Cambria Math"/>
        </w:rPr>
        <w:t>𝑁𝐶𝑉</w:t>
      </w:r>
      <w:r>
        <w:rPr>
          <w:rFonts w:ascii="Times New Roman" w:hAnsi="Times New Roman"/>
        </w:rPr>
        <w:t>—燃料气的低位发热量取值参考</w:t>
      </w:r>
      <w:r>
        <w:rPr>
          <w:rFonts w:ascii="Times New Roman" w:hAnsi="Times New Roman"/>
        </w:rPr>
        <w:fldChar w:fldCharType="begin"/>
      </w:r>
      <w:r>
        <w:rPr>
          <w:rFonts w:ascii="Times New Roman" w:hAnsi="Times New Roman"/>
        </w:rPr>
        <w:instrText xml:space="preserve"> REF _Ref155279710 \h  \* MERGEFORMAT </w:instrText>
      </w:r>
      <w:r>
        <w:rPr>
          <w:rFonts w:ascii="Times New Roman" w:hAnsi="Times New Roman"/>
        </w:rPr>
        <w:fldChar w:fldCharType="separate"/>
      </w:r>
      <w:r>
        <w:rPr>
          <w:rFonts w:ascii="Times New Roman" w:hAnsi="Times New Roman"/>
        </w:rPr>
        <w:t>表8</w:t>
      </w:r>
      <w:r>
        <w:rPr>
          <w:rFonts w:ascii="Times New Roman" w:hAnsi="Times New Roman"/>
        </w:rPr>
        <w:noBreakHyphen/>
      </w:r>
      <w:r>
        <w:rPr>
          <w:rFonts w:ascii="Times New Roman" w:hAnsi="Times New Roman"/>
        </w:rPr>
        <w:t>5</w:t>
      </w:r>
      <w:r>
        <w:rPr>
          <w:rFonts w:ascii="Times New Roman" w:hAnsi="Times New Roman"/>
        </w:rPr>
        <w:fldChar w:fldCharType="end"/>
      </w:r>
      <w:r>
        <w:rPr>
          <w:rFonts w:ascii="Times New Roman" w:hAnsi="Times New Roman"/>
        </w:rPr>
        <w:t>取值为常见化石燃料特性参数表中天然气的对应值，389.31GJ/万Nm</w:t>
      </w:r>
      <w:r>
        <w:rPr>
          <w:rFonts w:ascii="Times New Roman" w:hAnsi="Times New Roman"/>
          <w:vertAlign w:val="superscript"/>
        </w:rPr>
        <w:t>3</w:t>
      </w:r>
      <w:r>
        <w:rPr>
          <w:rFonts w:ascii="Times New Roman" w:hAnsi="Times New Roman"/>
        </w:rPr>
        <w:t>；</w:t>
      </w:r>
    </w:p>
    <w:p>
      <w:pPr>
        <w:ind w:firstLine="480"/>
        <w:rPr>
          <w:rFonts w:ascii="Times New Roman" w:hAnsi="Times New Roman"/>
        </w:rPr>
      </w:pPr>
      <w:r>
        <w:rPr>
          <w:rFonts w:ascii="Times New Roman" w:hAnsi="Times New Roman"/>
          <w:i/>
          <w:iCs/>
        </w:rPr>
        <w:t>EF</w:t>
      </w:r>
      <w:r>
        <w:rPr>
          <w:rFonts w:ascii="Times New Roman" w:hAnsi="Times New Roman"/>
        </w:rPr>
        <w:t>—燃料气单位热值含碳量，取值参考</w:t>
      </w:r>
      <w:r>
        <w:rPr>
          <w:rFonts w:ascii="Times New Roman" w:hAnsi="Times New Roman"/>
        </w:rPr>
        <w:fldChar w:fldCharType="begin"/>
      </w:r>
      <w:r>
        <w:rPr>
          <w:rFonts w:ascii="Times New Roman" w:hAnsi="Times New Roman"/>
        </w:rPr>
        <w:instrText xml:space="preserve"> REF _Ref155279710 \h  \* MERGEFORMAT </w:instrText>
      </w:r>
      <w:r>
        <w:rPr>
          <w:rFonts w:ascii="Times New Roman" w:hAnsi="Times New Roman"/>
        </w:rPr>
        <w:fldChar w:fldCharType="separate"/>
      </w:r>
      <w:r>
        <w:rPr>
          <w:rFonts w:ascii="Times New Roman" w:hAnsi="Times New Roman"/>
        </w:rPr>
        <w:t>表8</w:t>
      </w:r>
      <w:r>
        <w:rPr>
          <w:rFonts w:ascii="Times New Roman" w:hAnsi="Times New Roman"/>
        </w:rPr>
        <w:noBreakHyphen/>
      </w:r>
      <w:r>
        <w:rPr>
          <w:rFonts w:ascii="Times New Roman" w:hAnsi="Times New Roman"/>
        </w:rPr>
        <w:t>5</w:t>
      </w:r>
      <w:r>
        <w:rPr>
          <w:rFonts w:ascii="Times New Roman" w:hAnsi="Times New Roman"/>
        </w:rPr>
        <w:fldChar w:fldCharType="end"/>
      </w:r>
      <w:r>
        <w:rPr>
          <w:rFonts w:ascii="Times New Roman" w:hAnsi="Times New Roman"/>
        </w:rPr>
        <w:t>取值为常见化石燃料特性参数表中天然气的对应值，15.3×10</w:t>
      </w:r>
      <w:r>
        <w:rPr>
          <w:rFonts w:ascii="Times New Roman" w:hAnsi="Times New Roman"/>
          <w:vertAlign w:val="superscript"/>
        </w:rPr>
        <w:t>-3</w:t>
      </w:r>
      <w:r>
        <w:rPr>
          <w:rFonts w:ascii="Times New Roman" w:hAnsi="Times New Roman"/>
        </w:rPr>
        <w:t xml:space="preserve"> tCO</w:t>
      </w:r>
      <w:r>
        <w:rPr>
          <w:rFonts w:ascii="Times New Roman" w:hAnsi="Times New Roman"/>
          <w:vertAlign w:val="subscript"/>
        </w:rPr>
        <w:t>2</w:t>
      </w:r>
      <w:r>
        <w:rPr>
          <w:rFonts w:ascii="Times New Roman" w:hAnsi="Times New Roman"/>
        </w:rPr>
        <w:t>/GJ；</w:t>
      </w:r>
    </w:p>
    <w:p>
      <w:pPr>
        <w:pStyle w:val="37"/>
        <w:rPr>
          <w:rFonts w:ascii="Times New Roman" w:hAnsi="Times New Roman" w:cs="Times New Roman"/>
        </w:rPr>
      </w:pPr>
      <w:bookmarkStart w:id="372" w:name="_Ref155279710"/>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bookmarkEnd w:id="372"/>
      <w:r>
        <w:rPr>
          <w:rFonts w:ascii="Times New Roman" w:hAnsi="Times New Roman" w:cs="Times New Roman"/>
        </w:rPr>
        <w:t xml:space="preserve"> 常见化石燃料特性参数表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5"/>
        <w:gridCol w:w="1919"/>
        <w:gridCol w:w="1919"/>
        <w:gridCol w:w="1998"/>
        <w:gridCol w:w="17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2" w:type="pct"/>
            <w:gridSpan w:val="2"/>
            <w:vAlign w:val="center"/>
          </w:tcPr>
          <w:p>
            <w:pPr>
              <w:pStyle w:val="39"/>
              <w:rPr>
                <w:rFonts w:ascii="Times New Roman" w:hAnsi="Times New Roman"/>
              </w:rPr>
            </w:pPr>
            <w:r>
              <w:rPr>
                <w:rFonts w:ascii="Times New Roman" w:hAnsi="Times New Roman"/>
              </w:rPr>
              <w:t>燃料品种</w:t>
            </w:r>
          </w:p>
        </w:tc>
        <w:tc>
          <w:tcPr>
            <w:tcW w:w="1126" w:type="pct"/>
          </w:tcPr>
          <w:p>
            <w:pPr>
              <w:pStyle w:val="39"/>
              <w:rPr>
                <w:rFonts w:ascii="Times New Roman" w:hAnsi="Times New Roman"/>
              </w:rPr>
            </w:pPr>
            <w:r>
              <w:rPr>
                <w:rFonts w:ascii="Times New Roman" w:hAnsi="Times New Roman"/>
              </w:rPr>
              <w:t>低位发热量（GJ/万Nm</w:t>
            </w:r>
            <w:r>
              <w:rPr>
                <w:rFonts w:ascii="Times New Roman" w:hAnsi="Times New Roman"/>
                <w:vertAlign w:val="superscript"/>
              </w:rPr>
              <w:t>3</w:t>
            </w:r>
            <w:r>
              <w:rPr>
                <w:rFonts w:ascii="Times New Roman" w:hAnsi="Times New Roman"/>
              </w:rPr>
              <w:t>）</w:t>
            </w:r>
          </w:p>
        </w:tc>
        <w:tc>
          <w:tcPr>
            <w:tcW w:w="1172" w:type="pct"/>
          </w:tcPr>
          <w:p>
            <w:pPr>
              <w:pStyle w:val="39"/>
              <w:rPr>
                <w:rFonts w:ascii="Times New Roman" w:hAnsi="Times New Roman"/>
              </w:rPr>
            </w:pPr>
            <w:r>
              <w:rPr>
                <w:rFonts w:ascii="Times New Roman" w:hAnsi="Times New Roman"/>
              </w:rPr>
              <w:t>单位热值含碳量</w:t>
            </w:r>
          </w:p>
          <w:p>
            <w:pPr>
              <w:pStyle w:val="39"/>
              <w:rPr>
                <w:rFonts w:ascii="Times New Roman" w:hAnsi="Times New Roman"/>
              </w:rPr>
            </w:pPr>
            <w:r>
              <w:rPr>
                <w:rFonts w:ascii="Times New Roman" w:hAnsi="Times New Roman"/>
              </w:rPr>
              <w:t>（tCO</w:t>
            </w:r>
            <w:r>
              <w:rPr>
                <w:rFonts w:ascii="Times New Roman" w:hAnsi="Times New Roman"/>
                <w:vertAlign w:val="subscript"/>
              </w:rPr>
              <w:t>2</w:t>
            </w:r>
            <w:r>
              <w:rPr>
                <w:rFonts w:ascii="Times New Roman" w:hAnsi="Times New Roman"/>
              </w:rPr>
              <w:t>/GJ）</w:t>
            </w:r>
          </w:p>
        </w:tc>
        <w:tc>
          <w:tcPr>
            <w:tcW w:w="1010" w:type="pct"/>
          </w:tcPr>
          <w:p>
            <w:pPr>
              <w:pStyle w:val="39"/>
              <w:rPr>
                <w:rFonts w:ascii="Times New Roman" w:hAnsi="Times New Roman"/>
              </w:rPr>
            </w:pPr>
            <w:r>
              <w:rPr>
                <w:rFonts w:ascii="Times New Roman" w:hAnsi="Times New Roman"/>
              </w:rPr>
              <w:t>燃料碳氧化率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6" w:type="pct"/>
            <w:vMerge w:val="restart"/>
            <w:vAlign w:val="center"/>
          </w:tcPr>
          <w:p>
            <w:pPr>
              <w:pStyle w:val="39"/>
              <w:rPr>
                <w:rFonts w:ascii="Times New Roman" w:hAnsi="Times New Roman"/>
              </w:rPr>
            </w:pPr>
            <w:r>
              <w:rPr>
                <w:rFonts w:ascii="Times New Roman" w:hAnsi="Times New Roman"/>
              </w:rPr>
              <w:t>气体燃料</w:t>
            </w:r>
          </w:p>
        </w:tc>
        <w:tc>
          <w:tcPr>
            <w:tcW w:w="1126" w:type="pct"/>
            <w:vAlign w:val="center"/>
          </w:tcPr>
          <w:p>
            <w:pPr>
              <w:pStyle w:val="39"/>
              <w:rPr>
                <w:rFonts w:ascii="Times New Roman" w:hAnsi="Times New Roman"/>
                <w:i/>
                <w:iCs/>
              </w:rPr>
            </w:pPr>
            <w:r>
              <w:rPr>
                <w:rFonts w:ascii="Times New Roman" w:hAnsi="Times New Roman"/>
              </w:rPr>
              <w:t>炼厂干气</w:t>
            </w:r>
          </w:p>
        </w:tc>
        <w:tc>
          <w:tcPr>
            <w:tcW w:w="1126" w:type="pct"/>
            <w:vAlign w:val="center"/>
          </w:tcPr>
          <w:p>
            <w:pPr>
              <w:pStyle w:val="39"/>
              <w:rPr>
                <w:rFonts w:ascii="Times New Roman" w:hAnsi="Times New Roman"/>
                <w:i/>
                <w:iCs/>
              </w:rPr>
            </w:pPr>
            <w:r>
              <w:rPr>
                <w:rFonts w:ascii="Times New Roman" w:hAnsi="Times New Roman"/>
              </w:rPr>
              <w:t>46.050GJ/吨</w:t>
            </w:r>
          </w:p>
        </w:tc>
        <w:tc>
          <w:tcPr>
            <w:tcW w:w="1172" w:type="pct"/>
            <w:vAlign w:val="center"/>
          </w:tcPr>
          <w:p>
            <w:pPr>
              <w:pStyle w:val="39"/>
              <w:rPr>
                <w:rFonts w:ascii="Times New Roman" w:hAnsi="Times New Roman"/>
                <w:i/>
                <w:iCs/>
              </w:rPr>
            </w:pPr>
            <w:r>
              <w:rPr>
                <w:rFonts w:ascii="Times New Roman" w:hAnsi="Times New Roman"/>
              </w:rPr>
              <w:t>18.20×10</w:t>
            </w:r>
            <w:r>
              <w:rPr>
                <w:rFonts w:ascii="Times New Roman" w:hAnsi="Times New Roman"/>
                <w:vertAlign w:val="superscript"/>
              </w:rPr>
              <w:t>−3</w:t>
            </w:r>
          </w:p>
        </w:tc>
        <w:tc>
          <w:tcPr>
            <w:tcW w:w="1010" w:type="pct"/>
            <w:vAlign w:val="center"/>
          </w:tcPr>
          <w:p>
            <w:pPr>
              <w:pStyle w:val="39"/>
              <w:rPr>
                <w:rFonts w:ascii="Times New Roman" w:hAnsi="Times New Roman"/>
                <w:i/>
                <w:iCs/>
              </w:rPr>
            </w:pPr>
            <w:r>
              <w:rPr>
                <w:rFonts w:ascii="Times New Roman" w:hAnsi="Times New Roman"/>
              </w:rPr>
              <w:t>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6" w:type="pct"/>
            <w:vMerge w:val="continue"/>
            <w:vAlign w:val="center"/>
          </w:tcPr>
          <w:p>
            <w:pPr>
              <w:pStyle w:val="39"/>
              <w:rPr>
                <w:rFonts w:ascii="Times New Roman" w:hAnsi="Times New Roman"/>
              </w:rPr>
            </w:pPr>
          </w:p>
        </w:tc>
        <w:tc>
          <w:tcPr>
            <w:tcW w:w="1126" w:type="pct"/>
            <w:vAlign w:val="center"/>
          </w:tcPr>
          <w:p>
            <w:pPr>
              <w:pStyle w:val="39"/>
              <w:rPr>
                <w:rFonts w:ascii="Times New Roman" w:hAnsi="Times New Roman"/>
                <w:i/>
                <w:iCs/>
              </w:rPr>
            </w:pPr>
            <w:r>
              <w:rPr>
                <w:rFonts w:ascii="Times New Roman" w:hAnsi="Times New Roman"/>
              </w:rPr>
              <w:t xml:space="preserve">液化石油气 </w:t>
            </w:r>
          </w:p>
        </w:tc>
        <w:tc>
          <w:tcPr>
            <w:tcW w:w="1126" w:type="pct"/>
            <w:vAlign w:val="center"/>
          </w:tcPr>
          <w:p>
            <w:pPr>
              <w:pStyle w:val="39"/>
              <w:rPr>
                <w:rFonts w:ascii="Times New Roman" w:hAnsi="Times New Roman"/>
                <w:i/>
                <w:iCs/>
              </w:rPr>
            </w:pPr>
            <w:r>
              <w:rPr>
                <w:rFonts w:ascii="Times New Roman" w:hAnsi="Times New Roman"/>
              </w:rPr>
              <w:t>47.310GJ/吨</w:t>
            </w:r>
          </w:p>
        </w:tc>
        <w:tc>
          <w:tcPr>
            <w:tcW w:w="1172" w:type="pct"/>
            <w:vAlign w:val="center"/>
          </w:tcPr>
          <w:p>
            <w:pPr>
              <w:pStyle w:val="39"/>
              <w:rPr>
                <w:rFonts w:ascii="Times New Roman" w:hAnsi="Times New Roman"/>
                <w:i/>
                <w:iCs/>
              </w:rPr>
            </w:pPr>
            <w:r>
              <w:rPr>
                <w:rFonts w:ascii="Times New Roman" w:hAnsi="Times New Roman"/>
              </w:rPr>
              <w:t>17.20×10</w:t>
            </w:r>
            <w:r>
              <w:rPr>
                <w:rFonts w:ascii="Times New Roman" w:hAnsi="Times New Roman"/>
                <w:vertAlign w:val="superscript"/>
              </w:rPr>
              <w:t>−3</w:t>
            </w:r>
          </w:p>
        </w:tc>
        <w:tc>
          <w:tcPr>
            <w:tcW w:w="1010" w:type="pct"/>
            <w:vAlign w:val="center"/>
          </w:tcPr>
          <w:p>
            <w:pPr>
              <w:pStyle w:val="39"/>
              <w:rPr>
                <w:rFonts w:ascii="Times New Roman" w:hAnsi="Times New Roman"/>
                <w:i/>
                <w:iCs/>
              </w:rPr>
            </w:pPr>
            <w:r>
              <w:rPr>
                <w:rFonts w:ascii="Times New Roman" w:hAnsi="Times New Roman"/>
              </w:rPr>
              <w:t>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6" w:type="pct"/>
            <w:vMerge w:val="continue"/>
            <w:vAlign w:val="center"/>
          </w:tcPr>
          <w:p>
            <w:pPr>
              <w:pStyle w:val="39"/>
              <w:rPr>
                <w:rFonts w:ascii="Times New Roman" w:hAnsi="Times New Roman"/>
              </w:rPr>
            </w:pPr>
          </w:p>
        </w:tc>
        <w:tc>
          <w:tcPr>
            <w:tcW w:w="1126" w:type="pct"/>
            <w:vAlign w:val="center"/>
          </w:tcPr>
          <w:p>
            <w:pPr>
              <w:pStyle w:val="39"/>
              <w:rPr>
                <w:rFonts w:ascii="Times New Roman" w:hAnsi="Times New Roman"/>
                <w:i/>
                <w:iCs/>
              </w:rPr>
            </w:pPr>
            <w:r>
              <w:rPr>
                <w:rFonts w:ascii="Times New Roman" w:hAnsi="Times New Roman"/>
              </w:rPr>
              <w:t xml:space="preserve">液化天然气 </w:t>
            </w:r>
          </w:p>
        </w:tc>
        <w:tc>
          <w:tcPr>
            <w:tcW w:w="1126" w:type="pct"/>
            <w:vAlign w:val="center"/>
          </w:tcPr>
          <w:p>
            <w:pPr>
              <w:pStyle w:val="39"/>
              <w:rPr>
                <w:rFonts w:ascii="Times New Roman" w:hAnsi="Times New Roman"/>
                <w:i/>
                <w:iCs/>
              </w:rPr>
            </w:pPr>
            <w:r>
              <w:rPr>
                <w:rFonts w:ascii="Times New Roman" w:hAnsi="Times New Roman"/>
              </w:rPr>
              <w:t>41.868</w:t>
            </w:r>
          </w:p>
        </w:tc>
        <w:tc>
          <w:tcPr>
            <w:tcW w:w="1172" w:type="pct"/>
            <w:vAlign w:val="center"/>
          </w:tcPr>
          <w:p>
            <w:pPr>
              <w:pStyle w:val="39"/>
              <w:rPr>
                <w:rFonts w:ascii="Times New Roman" w:hAnsi="Times New Roman"/>
                <w:i/>
                <w:iCs/>
              </w:rPr>
            </w:pPr>
            <w:r>
              <w:rPr>
                <w:rFonts w:ascii="Times New Roman" w:hAnsi="Times New Roman"/>
              </w:rPr>
              <w:t>17.20×10</w:t>
            </w:r>
            <w:r>
              <w:rPr>
                <w:rFonts w:ascii="Times New Roman" w:hAnsi="Times New Roman"/>
                <w:vertAlign w:val="superscript"/>
              </w:rPr>
              <w:t>−3</w:t>
            </w:r>
          </w:p>
        </w:tc>
        <w:tc>
          <w:tcPr>
            <w:tcW w:w="1010" w:type="pct"/>
            <w:vAlign w:val="center"/>
          </w:tcPr>
          <w:p>
            <w:pPr>
              <w:pStyle w:val="39"/>
              <w:rPr>
                <w:rFonts w:ascii="Times New Roman" w:hAnsi="Times New Roman"/>
                <w:i/>
                <w:iCs/>
              </w:rPr>
            </w:pPr>
            <w:r>
              <w:rPr>
                <w:rFonts w:ascii="Times New Roman" w:hAnsi="Times New Roman"/>
              </w:rPr>
              <w:t>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6" w:type="pct"/>
            <w:vMerge w:val="continue"/>
            <w:vAlign w:val="center"/>
          </w:tcPr>
          <w:p>
            <w:pPr>
              <w:pStyle w:val="39"/>
              <w:rPr>
                <w:rFonts w:ascii="Times New Roman" w:hAnsi="Times New Roman"/>
              </w:rPr>
            </w:pPr>
          </w:p>
        </w:tc>
        <w:tc>
          <w:tcPr>
            <w:tcW w:w="1126" w:type="pct"/>
            <w:vAlign w:val="center"/>
          </w:tcPr>
          <w:p>
            <w:pPr>
              <w:pStyle w:val="39"/>
              <w:rPr>
                <w:rFonts w:ascii="Times New Roman" w:hAnsi="Times New Roman"/>
                <w:b/>
                <w:bCs/>
                <w:i/>
                <w:iCs/>
              </w:rPr>
            </w:pPr>
            <w:r>
              <w:rPr>
                <w:rFonts w:ascii="Times New Roman" w:hAnsi="Times New Roman"/>
                <w:b/>
                <w:bCs/>
              </w:rPr>
              <w:t>天然气</w:t>
            </w:r>
          </w:p>
        </w:tc>
        <w:tc>
          <w:tcPr>
            <w:tcW w:w="1126" w:type="pct"/>
            <w:vAlign w:val="center"/>
          </w:tcPr>
          <w:p>
            <w:pPr>
              <w:pStyle w:val="39"/>
              <w:rPr>
                <w:rFonts w:ascii="Times New Roman" w:hAnsi="Times New Roman"/>
                <w:b/>
                <w:bCs/>
                <w:i/>
                <w:iCs/>
              </w:rPr>
            </w:pPr>
            <w:r>
              <w:rPr>
                <w:rFonts w:ascii="Times New Roman" w:hAnsi="Times New Roman"/>
                <w:b/>
                <w:bCs/>
              </w:rPr>
              <w:t>389.31</w:t>
            </w:r>
          </w:p>
        </w:tc>
        <w:tc>
          <w:tcPr>
            <w:tcW w:w="1172" w:type="pct"/>
            <w:vAlign w:val="center"/>
          </w:tcPr>
          <w:p>
            <w:pPr>
              <w:pStyle w:val="39"/>
              <w:rPr>
                <w:rFonts w:ascii="Times New Roman" w:hAnsi="Times New Roman"/>
                <w:b/>
                <w:bCs/>
                <w:i/>
                <w:iCs/>
              </w:rPr>
            </w:pPr>
            <w:r>
              <w:rPr>
                <w:rFonts w:ascii="Times New Roman" w:hAnsi="Times New Roman"/>
                <w:b/>
                <w:bCs/>
              </w:rPr>
              <w:t>15.30×10</w:t>
            </w:r>
            <w:r>
              <w:rPr>
                <w:rFonts w:ascii="Times New Roman" w:hAnsi="Times New Roman"/>
                <w:b/>
                <w:bCs/>
                <w:vertAlign w:val="superscript"/>
              </w:rPr>
              <w:t>−3</w:t>
            </w:r>
          </w:p>
        </w:tc>
        <w:tc>
          <w:tcPr>
            <w:tcW w:w="1010" w:type="pct"/>
            <w:vAlign w:val="center"/>
          </w:tcPr>
          <w:p>
            <w:pPr>
              <w:pStyle w:val="39"/>
              <w:rPr>
                <w:rFonts w:ascii="Times New Roman" w:hAnsi="Times New Roman"/>
                <w:b/>
                <w:bCs/>
                <w:i/>
                <w:iCs/>
              </w:rPr>
            </w:pPr>
            <w:r>
              <w:rPr>
                <w:rFonts w:ascii="Times New Roman" w:hAnsi="Times New Roman"/>
                <w:b/>
                <w:bCs/>
              </w:rPr>
              <w:t>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6" w:type="pct"/>
            <w:vMerge w:val="continue"/>
            <w:vAlign w:val="center"/>
          </w:tcPr>
          <w:p>
            <w:pPr>
              <w:pStyle w:val="39"/>
              <w:rPr>
                <w:rFonts w:ascii="Times New Roman" w:hAnsi="Times New Roman"/>
              </w:rPr>
            </w:pPr>
          </w:p>
        </w:tc>
        <w:tc>
          <w:tcPr>
            <w:tcW w:w="1126" w:type="pct"/>
            <w:vAlign w:val="center"/>
          </w:tcPr>
          <w:p>
            <w:pPr>
              <w:pStyle w:val="39"/>
              <w:rPr>
                <w:rFonts w:ascii="Times New Roman" w:hAnsi="Times New Roman"/>
                <w:i/>
                <w:iCs/>
              </w:rPr>
            </w:pPr>
            <w:r>
              <w:rPr>
                <w:rFonts w:ascii="Times New Roman" w:hAnsi="Times New Roman"/>
              </w:rPr>
              <w:t>焦炉煤气</w:t>
            </w:r>
          </w:p>
        </w:tc>
        <w:tc>
          <w:tcPr>
            <w:tcW w:w="1126" w:type="pct"/>
            <w:vAlign w:val="center"/>
          </w:tcPr>
          <w:p>
            <w:pPr>
              <w:pStyle w:val="39"/>
              <w:rPr>
                <w:rFonts w:ascii="Times New Roman" w:hAnsi="Times New Roman"/>
                <w:i/>
                <w:iCs/>
              </w:rPr>
            </w:pPr>
            <w:r>
              <w:rPr>
                <w:rFonts w:ascii="Times New Roman" w:hAnsi="Times New Roman"/>
              </w:rPr>
              <w:t>173.540</w:t>
            </w:r>
          </w:p>
        </w:tc>
        <w:tc>
          <w:tcPr>
            <w:tcW w:w="1172" w:type="pct"/>
            <w:vAlign w:val="center"/>
          </w:tcPr>
          <w:p>
            <w:pPr>
              <w:pStyle w:val="39"/>
              <w:rPr>
                <w:rFonts w:ascii="Times New Roman" w:hAnsi="Times New Roman"/>
                <w:i/>
                <w:iCs/>
              </w:rPr>
            </w:pPr>
            <w:r>
              <w:rPr>
                <w:rFonts w:ascii="Times New Roman" w:hAnsi="Times New Roman"/>
              </w:rPr>
              <w:t>13.60×10</w:t>
            </w:r>
            <w:r>
              <w:rPr>
                <w:rFonts w:ascii="Times New Roman" w:hAnsi="Times New Roman"/>
                <w:vertAlign w:val="superscript"/>
              </w:rPr>
              <w:t>−3</w:t>
            </w:r>
          </w:p>
        </w:tc>
        <w:tc>
          <w:tcPr>
            <w:tcW w:w="1010" w:type="pct"/>
            <w:vAlign w:val="center"/>
          </w:tcPr>
          <w:p>
            <w:pPr>
              <w:pStyle w:val="39"/>
              <w:rPr>
                <w:rFonts w:ascii="Times New Roman" w:hAnsi="Times New Roman"/>
                <w:i/>
                <w:iCs/>
              </w:rPr>
            </w:pPr>
            <w:r>
              <w:rPr>
                <w:rFonts w:ascii="Times New Roman" w:hAnsi="Times New Roman"/>
              </w:rPr>
              <w:t>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6" w:type="pct"/>
            <w:vMerge w:val="continue"/>
            <w:vAlign w:val="center"/>
          </w:tcPr>
          <w:p>
            <w:pPr>
              <w:pStyle w:val="39"/>
              <w:rPr>
                <w:rFonts w:ascii="Times New Roman" w:hAnsi="Times New Roman"/>
              </w:rPr>
            </w:pPr>
          </w:p>
        </w:tc>
        <w:tc>
          <w:tcPr>
            <w:tcW w:w="1126" w:type="pct"/>
            <w:vAlign w:val="center"/>
          </w:tcPr>
          <w:p>
            <w:pPr>
              <w:pStyle w:val="39"/>
              <w:rPr>
                <w:rFonts w:ascii="Times New Roman" w:hAnsi="Times New Roman"/>
                <w:i/>
                <w:iCs/>
              </w:rPr>
            </w:pPr>
            <w:r>
              <w:rPr>
                <w:rFonts w:ascii="Times New Roman" w:hAnsi="Times New Roman"/>
              </w:rPr>
              <w:t>高炉煤气</w:t>
            </w:r>
          </w:p>
        </w:tc>
        <w:tc>
          <w:tcPr>
            <w:tcW w:w="1126" w:type="pct"/>
            <w:vAlign w:val="center"/>
          </w:tcPr>
          <w:p>
            <w:pPr>
              <w:pStyle w:val="39"/>
              <w:rPr>
                <w:rFonts w:ascii="Times New Roman" w:hAnsi="Times New Roman"/>
                <w:i/>
                <w:iCs/>
              </w:rPr>
            </w:pPr>
            <w:r>
              <w:rPr>
                <w:rFonts w:ascii="Times New Roman" w:hAnsi="Times New Roman"/>
              </w:rPr>
              <w:t>33.000</w:t>
            </w:r>
          </w:p>
        </w:tc>
        <w:tc>
          <w:tcPr>
            <w:tcW w:w="1172" w:type="pct"/>
            <w:vAlign w:val="center"/>
          </w:tcPr>
          <w:p>
            <w:pPr>
              <w:pStyle w:val="39"/>
              <w:rPr>
                <w:rFonts w:ascii="Times New Roman" w:hAnsi="Times New Roman"/>
                <w:i/>
                <w:iCs/>
              </w:rPr>
            </w:pPr>
            <w:r>
              <w:rPr>
                <w:rFonts w:ascii="Times New Roman" w:hAnsi="Times New Roman"/>
              </w:rPr>
              <w:t>70.80×10</w:t>
            </w:r>
            <w:r>
              <w:rPr>
                <w:rFonts w:ascii="Times New Roman" w:hAnsi="Times New Roman"/>
                <w:vertAlign w:val="superscript"/>
              </w:rPr>
              <w:t>−3</w:t>
            </w:r>
          </w:p>
        </w:tc>
        <w:tc>
          <w:tcPr>
            <w:tcW w:w="1010" w:type="pct"/>
            <w:vAlign w:val="center"/>
          </w:tcPr>
          <w:p>
            <w:pPr>
              <w:pStyle w:val="39"/>
              <w:rPr>
                <w:rFonts w:ascii="Times New Roman" w:hAnsi="Times New Roman"/>
                <w:i/>
                <w:iCs/>
              </w:rPr>
            </w:pPr>
            <w:r>
              <w:rPr>
                <w:rFonts w:ascii="Times New Roman" w:hAnsi="Times New Roman"/>
              </w:rPr>
              <w:t>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6" w:type="pct"/>
            <w:vMerge w:val="continue"/>
            <w:vAlign w:val="center"/>
          </w:tcPr>
          <w:p>
            <w:pPr>
              <w:pStyle w:val="39"/>
              <w:rPr>
                <w:rFonts w:ascii="Times New Roman" w:hAnsi="Times New Roman"/>
              </w:rPr>
            </w:pPr>
          </w:p>
        </w:tc>
        <w:tc>
          <w:tcPr>
            <w:tcW w:w="1126" w:type="pct"/>
            <w:vAlign w:val="center"/>
          </w:tcPr>
          <w:p>
            <w:pPr>
              <w:pStyle w:val="39"/>
              <w:rPr>
                <w:rFonts w:ascii="Times New Roman" w:hAnsi="Times New Roman"/>
                <w:i/>
                <w:iCs/>
              </w:rPr>
            </w:pPr>
            <w:r>
              <w:rPr>
                <w:rFonts w:ascii="Times New Roman" w:hAnsi="Times New Roman"/>
              </w:rPr>
              <w:t>转炉煤气</w:t>
            </w:r>
          </w:p>
        </w:tc>
        <w:tc>
          <w:tcPr>
            <w:tcW w:w="1126" w:type="pct"/>
            <w:vAlign w:val="center"/>
          </w:tcPr>
          <w:p>
            <w:pPr>
              <w:pStyle w:val="39"/>
              <w:rPr>
                <w:rFonts w:ascii="Times New Roman" w:hAnsi="Times New Roman"/>
                <w:i/>
                <w:iCs/>
              </w:rPr>
            </w:pPr>
            <w:r>
              <w:rPr>
                <w:rFonts w:ascii="Times New Roman" w:hAnsi="Times New Roman"/>
              </w:rPr>
              <w:t>84.000</w:t>
            </w:r>
          </w:p>
        </w:tc>
        <w:tc>
          <w:tcPr>
            <w:tcW w:w="1172" w:type="pct"/>
            <w:vAlign w:val="center"/>
          </w:tcPr>
          <w:p>
            <w:pPr>
              <w:pStyle w:val="39"/>
              <w:rPr>
                <w:rFonts w:ascii="Times New Roman" w:hAnsi="Times New Roman"/>
                <w:i/>
                <w:iCs/>
              </w:rPr>
            </w:pPr>
            <w:r>
              <w:rPr>
                <w:rFonts w:ascii="Times New Roman" w:hAnsi="Times New Roman"/>
              </w:rPr>
              <w:t>49.60×10</w:t>
            </w:r>
            <w:r>
              <w:rPr>
                <w:rFonts w:ascii="Times New Roman" w:hAnsi="Times New Roman"/>
                <w:vertAlign w:val="superscript"/>
              </w:rPr>
              <w:t>−3</w:t>
            </w:r>
          </w:p>
        </w:tc>
        <w:tc>
          <w:tcPr>
            <w:tcW w:w="1010" w:type="pct"/>
            <w:vAlign w:val="center"/>
          </w:tcPr>
          <w:p>
            <w:pPr>
              <w:pStyle w:val="39"/>
              <w:rPr>
                <w:rFonts w:ascii="Times New Roman" w:hAnsi="Times New Roman"/>
                <w:i/>
                <w:iCs/>
              </w:rPr>
            </w:pPr>
            <w:r>
              <w:rPr>
                <w:rFonts w:ascii="Times New Roman" w:hAnsi="Times New Roman"/>
              </w:rPr>
              <w:t>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6" w:type="pct"/>
            <w:vMerge w:val="continue"/>
            <w:vAlign w:val="center"/>
          </w:tcPr>
          <w:p>
            <w:pPr>
              <w:pStyle w:val="39"/>
              <w:rPr>
                <w:rFonts w:ascii="Times New Roman" w:hAnsi="Times New Roman"/>
              </w:rPr>
            </w:pPr>
          </w:p>
        </w:tc>
        <w:tc>
          <w:tcPr>
            <w:tcW w:w="1126" w:type="pct"/>
            <w:vAlign w:val="center"/>
          </w:tcPr>
          <w:p>
            <w:pPr>
              <w:pStyle w:val="39"/>
              <w:rPr>
                <w:rFonts w:ascii="Times New Roman" w:hAnsi="Times New Roman"/>
                <w:i/>
                <w:iCs/>
              </w:rPr>
            </w:pPr>
            <w:r>
              <w:rPr>
                <w:rFonts w:ascii="Times New Roman" w:hAnsi="Times New Roman"/>
              </w:rPr>
              <w:t xml:space="preserve">密闭电石炉炉气 </w:t>
            </w:r>
          </w:p>
        </w:tc>
        <w:tc>
          <w:tcPr>
            <w:tcW w:w="1126" w:type="pct"/>
            <w:vAlign w:val="center"/>
          </w:tcPr>
          <w:p>
            <w:pPr>
              <w:pStyle w:val="39"/>
              <w:rPr>
                <w:rFonts w:ascii="Times New Roman" w:hAnsi="Times New Roman"/>
                <w:i/>
                <w:iCs/>
              </w:rPr>
            </w:pPr>
            <w:r>
              <w:rPr>
                <w:rFonts w:ascii="Times New Roman" w:hAnsi="Times New Roman"/>
              </w:rPr>
              <w:t>111.190</w:t>
            </w:r>
          </w:p>
        </w:tc>
        <w:tc>
          <w:tcPr>
            <w:tcW w:w="1172" w:type="pct"/>
            <w:vAlign w:val="center"/>
          </w:tcPr>
          <w:p>
            <w:pPr>
              <w:pStyle w:val="39"/>
              <w:rPr>
                <w:rFonts w:ascii="Times New Roman" w:hAnsi="Times New Roman"/>
                <w:i/>
                <w:iCs/>
              </w:rPr>
            </w:pPr>
            <w:r>
              <w:rPr>
                <w:rFonts w:ascii="Times New Roman" w:hAnsi="Times New Roman"/>
              </w:rPr>
              <w:t>39.51×10</w:t>
            </w:r>
            <w:r>
              <w:rPr>
                <w:rFonts w:ascii="Times New Roman" w:hAnsi="Times New Roman"/>
                <w:vertAlign w:val="superscript"/>
              </w:rPr>
              <w:t>−3</w:t>
            </w:r>
          </w:p>
        </w:tc>
        <w:tc>
          <w:tcPr>
            <w:tcW w:w="1010" w:type="pct"/>
            <w:vAlign w:val="center"/>
          </w:tcPr>
          <w:p>
            <w:pPr>
              <w:pStyle w:val="39"/>
              <w:rPr>
                <w:rFonts w:ascii="Times New Roman" w:hAnsi="Times New Roman"/>
                <w:i/>
                <w:iCs/>
              </w:rPr>
            </w:pPr>
            <w:r>
              <w:rPr>
                <w:rFonts w:ascii="Times New Roman" w:hAnsi="Times New Roman"/>
              </w:rPr>
              <w:t>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6" w:type="pct"/>
            <w:vMerge w:val="continue"/>
            <w:vAlign w:val="center"/>
          </w:tcPr>
          <w:p>
            <w:pPr>
              <w:pStyle w:val="39"/>
              <w:rPr>
                <w:rFonts w:ascii="Times New Roman" w:hAnsi="Times New Roman"/>
              </w:rPr>
            </w:pPr>
          </w:p>
        </w:tc>
        <w:tc>
          <w:tcPr>
            <w:tcW w:w="1126" w:type="pct"/>
            <w:vAlign w:val="center"/>
          </w:tcPr>
          <w:p>
            <w:pPr>
              <w:pStyle w:val="39"/>
              <w:rPr>
                <w:rFonts w:ascii="Times New Roman" w:hAnsi="Times New Roman"/>
                <w:i/>
                <w:iCs/>
              </w:rPr>
            </w:pPr>
            <w:r>
              <w:rPr>
                <w:rFonts w:ascii="Times New Roman" w:hAnsi="Times New Roman"/>
              </w:rPr>
              <w:t>其他煤气</w:t>
            </w:r>
          </w:p>
        </w:tc>
        <w:tc>
          <w:tcPr>
            <w:tcW w:w="1126" w:type="pct"/>
            <w:vAlign w:val="center"/>
          </w:tcPr>
          <w:p>
            <w:pPr>
              <w:pStyle w:val="39"/>
              <w:rPr>
                <w:rFonts w:ascii="Times New Roman" w:hAnsi="Times New Roman"/>
                <w:i/>
                <w:iCs/>
              </w:rPr>
            </w:pPr>
            <w:r>
              <w:rPr>
                <w:rFonts w:ascii="Times New Roman" w:hAnsi="Times New Roman"/>
              </w:rPr>
              <w:t>52.270</w:t>
            </w:r>
          </w:p>
        </w:tc>
        <w:tc>
          <w:tcPr>
            <w:tcW w:w="1172" w:type="pct"/>
            <w:vAlign w:val="center"/>
          </w:tcPr>
          <w:p>
            <w:pPr>
              <w:pStyle w:val="39"/>
              <w:rPr>
                <w:rFonts w:ascii="Times New Roman" w:hAnsi="Times New Roman"/>
                <w:i/>
                <w:iCs/>
              </w:rPr>
            </w:pPr>
            <w:r>
              <w:rPr>
                <w:rFonts w:ascii="Times New Roman" w:hAnsi="Times New Roman"/>
              </w:rPr>
              <w:t>12.20×10</w:t>
            </w:r>
            <w:r>
              <w:rPr>
                <w:rFonts w:ascii="Times New Roman" w:hAnsi="Times New Roman"/>
                <w:vertAlign w:val="superscript"/>
              </w:rPr>
              <w:t>−3</w:t>
            </w:r>
          </w:p>
        </w:tc>
        <w:tc>
          <w:tcPr>
            <w:tcW w:w="1010" w:type="pct"/>
            <w:vAlign w:val="center"/>
          </w:tcPr>
          <w:p>
            <w:pPr>
              <w:pStyle w:val="39"/>
              <w:rPr>
                <w:rFonts w:ascii="Times New Roman" w:hAnsi="Times New Roman"/>
                <w:i/>
                <w:iCs/>
              </w:rPr>
            </w:pPr>
            <w:r>
              <w:rPr>
                <w:rFonts w:ascii="Times New Roman" w:hAnsi="Times New Roman"/>
              </w:rPr>
              <w:t>99%</w:t>
            </w:r>
          </w:p>
        </w:tc>
      </w:tr>
    </w:tbl>
    <w:p>
      <w:pPr>
        <w:ind w:firstLine="480" w:firstLineChars="0"/>
        <w:rPr>
          <w:rFonts w:ascii="Times New Roman" w:hAnsi="Times New Roman"/>
          <w:sz w:val="21"/>
          <w:szCs w:val="21"/>
        </w:rPr>
      </w:pPr>
      <w:r>
        <w:rPr>
          <w:rFonts w:ascii="Times New Roman" w:hAnsi="Times New Roman"/>
          <w:sz w:val="21"/>
          <w:szCs w:val="21"/>
        </w:rPr>
        <w:t>注：该数据来自《中国石油和天然气生产企业温室气体排放核算方法与报告指南（试行）》附录二</w:t>
      </w:r>
    </w:p>
    <w:p>
      <w:pPr>
        <w:ind w:firstLine="480" w:firstLineChars="0"/>
        <w:rPr>
          <w:rFonts w:ascii="Times New Roman" w:hAnsi="Times New Roman"/>
          <w:b/>
          <w:bCs/>
        </w:rPr>
      </w:pPr>
      <w:r>
        <w:rPr>
          <w:rFonts w:ascii="Times New Roman" w:hAnsi="Times New Roman"/>
          <w:b/>
          <w:bCs/>
        </w:rPr>
        <w:t>2）计算结果</w:t>
      </w:r>
    </w:p>
    <w:p>
      <w:pPr>
        <w:widowControl/>
        <w:ind w:firstLine="480" w:firstLineChars="0"/>
        <w:rPr>
          <w:rFonts w:ascii="Times New Roman" w:hAnsi="Times New Roman"/>
          <w:kern w:val="0"/>
        </w:rPr>
      </w:pPr>
      <w:r>
        <w:rPr>
          <w:rFonts w:ascii="Times New Roman" w:hAnsi="Times New Roman"/>
          <w:kern w:val="0"/>
        </w:rPr>
        <w:t>根据以上公式计算，燃料燃烧碳排放计算结果见</w:t>
      </w:r>
      <w:r>
        <w:rPr>
          <w:rFonts w:ascii="Times New Roman" w:hAnsi="Times New Roman"/>
          <w:kern w:val="0"/>
        </w:rPr>
        <w:fldChar w:fldCharType="begin"/>
      </w:r>
      <w:r>
        <w:rPr>
          <w:rFonts w:ascii="Times New Roman" w:hAnsi="Times New Roman"/>
          <w:kern w:val="0"/>
        </w:rPr>
        <w:instrText xml:space="preserve"> REF _Ref155279880 \h  \* MERGEFORMAT </w:instrText>
      </w:r>
      <w:r>
        <w:rPr>
          <w:rFonts w:ascii="Times New Roman" w:hAnsi="Times New Roman"/>
          <w:kern w:val="0"/>
        </w:rPr>
        <w:fldChar w:fldCharType="separate"/>
      </w:r>
      <w:r>
        <w:rPr>
          <w:rFonts w:ascii="Times New Roman" w:hAnsi="Times New Roman"/>
        </w:rPr>
        <w:t>表8</w:t>
      </w:r>
      <w:r>
        <w:rPr>
          <w:rFonts w:ascii="Times New Roman" w:hAnsi="Times New Roman"/>
        </w:rPr>
        <w:noBreakHyphen/>
      </w:r>
      <w:r>
        <w:rPr>
          <w:rFonts w:ascii="Times New Roman" w:hAnsi="Times New Roman"/>
        </w:rPr>
        <w:t>6</w:t>
      </w:r>
      <w:r>
        <w:rPr>
          <w:rFonts w:ascii="Times New Roman" w:hAnsi="Times New Roman"/>
          <w:kern w:val="0"/>
        </w:rPr>
        <w:fldChar w:fldCharType="end"/>
      </w:r>
      <w:r>
        <w:rPr>
          <w:rFonts w:ascii="Times New Roman" w:hAnsi="Times New Roman"/>
          <w:kern w:val="0"/>
        </w:rPr>
        <w:t>，本项目燃料燃烧产生的碳排放量为</w:t>
      </w:r>
      <w:r>
        <w:rPr>
          <w:rFonts w:ascii="Times New Roman" w:hAnsi="Times New Roman"/>
        </w:rPr>
        <w:t>3217.34tCO</w:t>
      </w:r>
      <w:r>
        <w:rPr>
          <w:rFonts w:ascii="Times New Roman" w:hAnsi="Times New Roman"/>
          <w:vertAlign w:val="subscript"/>
        </w:rPr>
        <w:t>2</w:t>
      </w:r>
      <w:r>
        <w:rPr>
          <w:rFonts w:ascii="Times New Roman" w:hAnsi="Times New Roman"/>
        </w:rPr>
        <w:t>。</w:t>
      </w:r>
    </w:p>
    <w:p>
      <w:pPr>
        <w:pStyle w:val="37"/>
        <w:rPr>
          <w:rFonts w:ascii="Times New Roman" w:hAnsi="Times New Roman" w:cs="Times New Roman"/>
        </w:rPr>
      </w:pPr>
      <w:bookmarkStart w:id="373" w:name="_Ref155279880"/>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bookmarkEnd w:id="373"/>
      <w:r>
        <w:rPr>
          <w:rFonts w:ascii="Times New Roman" w:hAnsi="Times New Roman" w:cs="Times New Roman"/>
        </w:rPr>
        <w:t xml:space="preserve"> 本项目燃料燃烧碳排放情况</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4"/>
        <w:gridCol w:w="1646"/>
        <w:gridCol w:w="2047"/>
        <w:gridCol w:w="1764"/>
        <w:gridCol w:w="1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 w:type="pct"/>
            <w:vMerge w:val="restart"/>
          </w:tcPr>
          <w:p>
            <w:pPr>
              <w:pStyle w:val="39"/>
              <w:rPr>
                <w:rFonts w:ascii="Times New Roman" w:hAnsi="Times New Roman"/>
              </w:rPr>
            </w:pPr>
            <w:r>
              <w:rPr>
                <w:rFonts w:ascii="Times New Roman" w:hAnsi="Times New Roman"/>
              </w:rPr>
              <w:t>名称</w:t>
            </w:r>
          </w:p>
        </w:tc>
        <w:tc>
          <w:tcPr>
            <w:tcW w:w="966" w:type="pct"/>
          </w:tcPr>
          <w:p>
            <w:pPr>
              <w:pStyle w:val="39"/>
              <w:rPr>
                <w:rFonts w:ascii="Times New Roman" w:hAnsi="Times New Roman"/>
              </w:rPr>
            </w:pPr>
            <w:r>
              <w:rPr>
                <w:rFonts w:ascii="Times New Roman" w:hAnsi="Times New Roman"/>
                <w:i/>
                <w:iCs/>
              </w:rPr>
              <w:t>AD</w:t>
            </w:r>
            <w:r>
              <w:rPr>
                <w:rFonts w:ascii="Times New Roman" w:hAnsi="Times New Roman"/>
                <w:vertAlign w:val="subscript"/>
              </w:rPr>
              <w:t>燃料气量</w:t>
            </w:r>
          </w:p>
        </w:tc>
        <w:tc>
          <w:tcPr>
            <w:tcW w:w="1201" w:type="pct"/>
          </w:tcPr>
          <w:p>
            <w:pPr>
              <w:pStyle w:val="39"/>
              <w:rPr>
                <w:rFonts w:ascii="Times New Roman" w:hAnsi="Times New Roman"/>
              </w:rPr>
            </w:pPr>
            <w:r>
              <w:rPr>
                <w:rFonts w:ascii="Times New Roman" w:hAnsi="Times New Roman"/>
                <w:i/>
                <w:iCs/>
              </w:rPr>
              <w:t>CC</w:t>
            </w:r>
            <w:r>
              <w:rPr>
                <w:rFonts w:ascii="Times New Roman" w:hAnsi="Times New Roman"/>
                <w:vertAlign w:val="subscript"/>
              </w:rPr>
              <w:t>燃料气含碳量</w:t>
            </w:r>
          </w:p>
        </w:tc>
        <w:tc>
          <w:tcPr>
            <w:tcW w:w="1035" w:type="pct"/>
          </w:tcPr>
          <w:p>
            <w:pPr>
              <w:pStyle w:val="39"/>
              <w:rPr>
                <w:rFonts w:ascii="Times New Roman" w:hAnsi="Times New Roman"/>
                <w:i/>
                <w:iCs/>
              </w:rPr>
            </w:pPr>
            <w:r>
              <w:rPr>
                <w:rFonts w:ascii="Times New Roman" w:hAnsi="Times New Roman"/>
                <w:i/>
                <w:iCs/>
              </w:rPr>
              <w:t>OF</w:t>
            </w:r>
            <w:r>
              <w:rPr>
                <w:rFonts w:ascii="Times New Roman" w:hAnsi="Times New Roman"/>
                <w:vertAlign w:val="subscript"/>
              </w:rPr>
              <w:t>燃料气碳氧化率</w:t>
            </w:r>
          </w:p>
        </w:tc>
        <w:tc>
          <w:tcPr>
            <w:tcW w:w="1033" w:type="pct"/>
          </w:tcPr>
          <w:p>
            <w:pPr>
              <w:pStyle w:val="39"/>
              <w:rPr>
                <w:rFonts w:ascii="Times New Roman" w:hAnsi="Times New Roman"/>
              </w:rPr>
            </w:pPr>
            <w:r>
              <w:rPr>
                <w:rFonts w:ascii="Times New Roman" w:hAnsi="Times New Roman"/>
                <w:i/>
                <w:iCs/>
              </w:rPr>
              <w:t>E</w:t>
            </w:r>
            <w:r>
              <w:rPr>
                <w:rFonts w:ascii="Times New Roman" w:hAnsi="Times New Roman"/>
                <w:i/>
                <w:iCs/>
                <w:vertAlign w:val="subscript"/>
              </w:rPr>
              <w:t>燃料燃烧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 w:type="pct"/>
            <w:vMerge w:val="continue"/>
          </w:tcPr>
          <w:p>
            <w:pPr>
              <w:pStyle w:val="39"/>
              <w:rPr>
                <w:rFonts w:ascii="Times New Roman" w:hAnsi="Times New Roman"/>
              </w:rPr>
            </w:pPr>
          </w:p>
        </w:tc>
        <w:tc>
          <w:tcPr>
            <w:tcW w:w="966" w:type="pct"/>
          </w:tcPr>
          <w:p>
            <w:pPr>
              <w:pStyle w:val="39"/>
              <w:rPr>
                <w:rFonts w:ascii="Times New Roman" w:hAnsi="Times New Roman"/>
              </w:rPr>
            </w:pPr>
            <w:r>
              <w:rPr>
                <w:rFonts w:ascii="Times New Roman" w:hAnsi="Times New Roman"/>
              </w:rPr>
              <w:t>万Nm</w:t>
            </w:r>
            <w:r>
              <w:rPr>
                <w:rFonts w:ascii="Times New Roman" w:hAnsi="Times New Roman"/>
                <w:vertAlign w:val="superscript"/>
              </w:rPr>
              <w:t>3</w:t>
            </w:r>
          </w:p>
        </w:tc>
        <w:tc>
          <w:tcPr>
            <w:tcW w:w="1201" w:type="pct"/>
          </w:tcPr>
          <w:p>
            <w:pPr>
              <w:pStyle w:val="39"/>
              <w:rPr>
                <w:rFonts w:ascii="Times New Roman" w:hAnsi="Times New Roman"/>
              </w:rPr>
            </w:pPr>
            <w:r>
              <w:rPr>
                <w:rFonts w:ascii="Times New Roman" w:hAnsi="Times New Roman"/>
              </w:rPr>
              <w:t>tCO</w:t>
            </w:r>
            <w:r>
              <w:rPr>
                <w:rFonts w:ascii="Times New Roman" w:hAnsi="Times New Roman"/>
                <w:vertAlign w:val="subscript"/>
              </w:rPr>
              <w:t>2</w:t>
            </w:r>
            <w:r>
              <w:rPr>
                <w:rFonts w:ascii="Times New Roman" w:hAnsi="Times New Roman"/>
              </w:rPr>
              <w:t>/万Nm</w:t>
            </w:r>
            <w:r>
              <w:rPr>
                <w:rFonts w:ascii="Times New Roman" w:hAnsi="Times New Roman"/>
                <w:vertAlign w:val="superscript"/>
              </w:rPr>
              <w:t>3</w:t>
            </w:r>
          </w:p>
        </w:tc>
        <w:tc>
          <w:tcPr>
            <w:tcW w:w="1035" w:type="pct"/>
          </w:tcPr>
          <w:p>
            <w:pPr>
              <w:pStyle w:val="39"/>
              <w:rPr>
                <w:rFonts w:ascii="Times New Roman" w:hAnsi="Times New Roman"/>
              </w:rPr>
            </w:pPr>
            <w:r>
              <w:rPr>
                <w:rFonts w:ascii="Times New Roman" w:hAnsi="Times New Roman"/>
              </w:rPr>
              <w:t>%</w:t>
            </w:r>
          </w:p>
        </w:tc>
        <w:tc>
          <w:tcPr>
            <w:tcW w:w="1033" w:type="pct"/>
          </w:tcPr>
          <w:p>
            <w:pPr>
              <w:pStyle w:val="39"/>
              <w:rPr>
                <w:rFonts w:ascii="Times New Roman" w:hAnsi="Times New Roman"/>
              </w:rPr>
            </w:pPr>
            <w:r>
              <w:rPr>
                <w:rFonts w:ascii="Times New Roman" w:hAnsi="Times New Roman"/>
              </w:rPr>
              <w:t>tCO</w:t>
            </w:r>
            <w:r>
              <w:rPr>
                <w:rFonts w:ascii="Times New Roman" w:hAnsi="Times New Roman"/>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 w:type="pct"/>
          </w:tcPr>
          <w:p>
            <w:pPr>
              <w:pStyle w:val="39"/>
              <w:rPr>
                <w:rFonts w:ascii="Times New Roman" w:hAnsi="Times New Roman"/>
              </w:rPr>
            </w:pPr>
            <w:r>
              <w:rPr>
                <w:rFonts w:ascii="Times New Roman" w:hAnsi="Times New Roman"/>
              </w:rPr>
              <w:t>合计</w:t>
            </w:r>
          </w:p>
        </w:tc>
        <w:tc>
          <w:tcPr>
            <w:tcW w:w="966" w:type="pct"/>
          </w:tcPr>
          <w:p>
            <w:pPr>
              <w:pStyle w:val="39"/>
              <w:rPr>
                <w:rFonts w:ascii="Times New Roman" w:hAnsi="Times New Roman"/>
              </w:rPr>
            </w:pPr>
            <w:r>
              <w:rPr>
                <w:rFonts w:ascii="Times New Roman" w:hAnsi="Times New Roman"/>
              </w:rPr>
              <w:t>148.80</w:t>
            </w:r>
          </w:p>
        </w:tc>
        <w:tc>
          <w:tcPr>
            <w:tcW w:w="1201" w:type="pct"/>
          </w:tcPr>
          <w:p>
            <w:pPr>
              <w:pStyle w:val="39"/>
              <w:rPr>
                <w:rFonts w:ascii="Times New Roman" w:hAnsi="Times New Roman"/>
              </w:rPr>
            </w:pPr>
            <w:r>
              <w:rPr>
                <w:rFonts w:ascii="Times New Roman" w:hAnsi="Times New Roman"/>
              </w:rPr>
              <w:t>5.96</w:t>
            </w:r>
          </w:p>
        </w:tc>
        <w:tc>
          <w:tcPr>
            <w:tcW w:w="1035" w:type="pct"/>
          </w:tcPr>
          <w:p>
            <w:pPr>
              <w:pStyle w:val="39"/>
              <w:rPr>
                <w:rFonts w:ascii="Times New Roman" w:hAnsi="Times New Roman"/>
              </w:rPr>
            </w:pPr>
            <w:r>
              <w:rPr>
                <w:rFonts w:ascii="Times New Roman" w:hAnsi="Times New Roman"/>
              </w:rPr>
              <w:t>99</w:t>
            </w:r>
          </w:p>
        </w:tc>
        <w:tc>
          <w:tcPr>
            <w:tcW w:w="1033" w:type="pct"/>
          </w:tcPr>
          <w:p>
            <w:pPr>
              <w:pStyle w:val="39"/>
              <w:rPr>
                <w:rFonts w:ascii="Times New Roman" w:hAnsi="Times New Roman"/>
              </w:rPr>
            </w:pPr>
            <w:r>
              <w:rPr>
                <w:rFonts w:ascii="Times New Roman" w:hAnsi="Times New Roman"/>
              </w:rPr>
              <w:t>3217.34</w:t>
            </w:r>
          </w:p>
        </w:tc>
      </w:tr>
    </w:tbl>
    <w:p>
      <w:pPr>
        <w:ind w:firstLine="482"/>
        <w:rPr>
          <w:rFonts w:ascii="Times New Roman" w:hAnsi="Times New Roman"/>
          <w:b/>
          <w:bCs/>
        </w:rPr>
      </w:pPr>
      <w:r>
        <w:rPr>
          <w:rFonts w:ascii="Times New Roman" w:hAnsi="Times New Roman"/>
          <w:b/>
          <w:bCs/>
        </w:rPr>
        <w:t>（3）火炬排放</w:t>
      </w:r>
    </w:p>
    <w:p>
      <w:pPr>
        <w:ind w:firstLine="480" w:firstLineChars="0"/>
        <w:rPr>
          <w:rFonts w:ascii="Times New Roman" w:hAnsi="Times New Roman"/>
          <w:b/>
          <w:bCs/>
        </w:rPr>
      </w:pPr>
      <w:r>
        <w:rPr>
          <w:rFonts w:ascii="Times New Roman" w:hAnsi="Times New Roman"/>
          <w:b/>
          <w:bCs/>
        </w:rPr>
        <w:t>1）计算公式</w:t>
      </w:r>
    </w:p>
    <w:p>
      <w:pPr>
        <w:ind w:firstLine="480"/>
        <w:jc w:val="center"/>
        <w:rPr>
          <w:rFonts w:ascii="Times New Roman" w:hAnsi="Times New Roman"/>
        </w:rPr>
      </w:pPr>
      <w:r>
        <w:rPr>
          <w:rFonts w:ascii="Cambria Math" w:hAnsi="Cambria Math" w:cs="Cambria Math"/>
        </w:rPr>
        <w:t>𝐸</w:t>
      </w:r>
      <w:r>
        <w:rPr>
          <w:rFonts w:ascii="Times New Roman" w:hAnsi="Times New Roman"/>
          <w:vertAlign w:val="subscript"/>
        </w:rPr>
        <w:t>正常火炬</w:t>
      </w:r>
      <w:r>
        <w:rPr>
          <w:rFonts w:ascii="Times New Roman" w:hAnsi="Times New Roman"/>
        </w:rPr>
        <w:t>=∑</w:t>
      </w:r>
      <w:r>
        <w:rPr>
          <w:rFonts w:ascii="Times New Roman" w:hAnsi="Times New Roman"/>
          <w:i/>
          <w:iCs/>
        </w:rPr>
        <w:t>Q</w:t>
      </w:r>
      <w:r>
        <w:rPr>
          <w:rFonts w:ascii="Times New Roman" w:hAnsi="Times New Roman"/>
          <w:vertAlign w:val="subscript"/>
        </w:rPr>
        <w:t>正常火炬</w:t>
      </w:r>
      <w:r>
        <w:rPr>
          <w:rFonts w:ascii="Times New Roman" w:hAnsi="Times New Roman"/>
        </w:rPr>
        <w:t>×(</w:t>
      </w:r>
      <w:r>
        <w:rPr>
          <w:rFonts w:ascii="Cambria Math" w:hAnsi="Cambria Math" w:cs="Cambria Math"/>
        </w:rPr>
        <w:t>𝐶𝐶</w:t>
      </w:r>
      <w:r>
        <w:rPr>
          <w:rFonts w:ascii="Times New Roman" w:hAnsi="Times New Roman"/>
          <w:vertAlign w:val="subscript"/>
        </w:rPr>
        <w:t>非</w:t>
      </w:r>
      <w:r>
        <w:rPr>
          <w:rFonts w:ascii="Cambria Math" w:hAnsi="Cambria Math" w:cs="Cambria Math"/>
          <w:vertAlign w:val="subscript"/>
        </w:rPr>
        <w:t>𝐶𝑂</w:t>
      </w:r>
      <w:r>
        <w:rPr>
          <w:rFonts w:ascii="Times New Roman" w:hAnsi="Times New Roman"/>
          <w:vertAlign w:val="subscript"/>
        </w:rPr>
        <w:t>2</w:t>
      </w:r>
      <w:r>
        <w:rPr>
          <w:rFonts w:ascii="Times New Roman" w:hAnsi="Times New Roman"/>
        </w:rPr>
        <w:t>×</w:t>
      </w:r>
      <w:r>
        <w:rPr>
          <w:rFonts w:ascii="Times New Roman" w:hAnsi="Times New Roman"/>
          <w:i/>
          <w:iCs/>
        </w:rPr>
        <w:t>OF</w:t>
      </w:r>
      <w:r>
        <w:rPr>
          <w:rFonts w:ascii="Times New Roman" w:hAnsi="Times New Roman"/>
          <w:vertAlign w:val="subscript"/>
        </w:rPr>
        <w:t>碳氧化率</w:t>
      </w:r>
      <w:r>
        <w:rPr>
          <w:rFonts w:ascii="Times New Roman" w:hAnsi="Times New Roman"/>
        </w:rPr>
        <w:t>×44/12+</w:t>
      </w:r>
      <w:r>
        <w:rPr>
          <w:rFonts w:ascii="Cambria Math" w:hAnsi="Cambria Math" w:cs="Cambria Math"/>
        </w:rPr>
        <w:t>𝑉</w:t>
      </w:r>
      <w:r>
        <w:rPr>
          <w:rFonts w:ascii="Cambria Math" w:hAnsi="Cambria Math" w:cs="Cambria Math"/>
          <w:vertAlign w:val="subscript"/>
        </w:rPr>
        <w:t>𝐶𝑂</w:t>
      </w:r>
      <w:r>
        <w:rPr>
          <w:rFonts w:ascii="Times New Roman" w:hAnsi="Times New Roman"/>
          <w:vertAlign w:val="subscript"/>
        </w:rPr>
        <w:t>2</w:t>
      </w:r>
      <w:r>
        <w:rPr>
          <w:rFonts w:ascii="Times New Roman" w:hAnsi="Times New Roman"/>
        </w:rPr>
        <w:t>×19.7)</w:t>
      </w:r>
    </w:p>
    <w:p>
      <w:pPr>
        <w:ind w:firstLine="480"/>
        <w:jc w:val="center"/>
        <w:rPr>
          <w:rFonts w:ascii="Times New Roman" w:hAnsi="Times New Roman"/>
        </w:rPr>
      </w:pPr>
      <w:r>
        <w:rPr>
          <w:rFonts w:ascii="Cambria Math" w:hAnsi="Cambria Math" w:cs="Cambria Math"/>
        </w:rPr>
        <w:t>𝐸</w:t>
      </w:r>
      <w:r>
        <w:rPr>
          <w:rFonts w:ascii="Cambria Math" w:hAnsi="Cambria Math" w:cs="Cambria Math"/>
          <w:vertAlign w:val="subscript"/>
        </w:rPr>
        <w:t>𝐶𝐻</w:t>
      </w:r>
      <w:r>
        <w:rPr>
          <w:rFonts w:ascii="Times New Roman" w:hAnsi="Times New Roman"/>
          <w:vertAlign w:val="subscript"/>
        </w:rPr>
        <w:t>4正常火炬</w:t>
      </w:r>
      <w:r>
        <w:rPr>
          <w:rFonts w:ascii="Times New Roman" w:hAnsi="Times New Roman"/>
        </w:rPr>
        <w:t xml:space="preserve"> =∑</w:t>
      </w:r>
      <w:r>
        <w:rPr>
          <w:rFonts w:ascii="Times New Roman" w:hAnsi="Times New Roman"/>
          <w:i/>
          <w:iCs/>
        </w:rPr>
        <w:t>Q</w:t>
      </w:r>
      <w:r>
        <w:rPr>
          <w:rFonts w:ascii="Times New Roman" w:hAnsi="Times New Roman"/>
          <w:vertAlign w:val="subscript"/>
        </w:rPr>
        <w:t>正常火炬</w:t>
      </w:r>
      <w:r>
        <w:rPr>
          <w:rFonts w:ascii="Times New Roman" w:hAnsi="Times New Roman"/>
        </w:rPr>
        <w:t>×</w:t>
      </w:r>
      <w:r>
        <w:rPr>
          <w:rFonts w:ascii="Cambria Math" w:hAnsi="Cambria Math" w:cs="Cambria Math"/>
        </w:rPr>
        <w:t>𝑉</w:t>
      </w:r>
      <w:r>
        <w:rPr>
          <w:rFonts w:ascii="Cambria Math" w:hAnsi="Cambria Math" w:cs="Cambria Math"/>
          <w:vertAlign w:val="subscript"/>
        </w:rPr>
        <w:t>𝐶𝐻</w:t>
      </w:r>
      <w:r>
        <w:rPr>
          <w:rFonts w:ascii="Times New Roman" w:hAnsi="Times New Roman"/>
          <w:vertAlign w:val="subscript"/>
        </w:rPr>
        <w:t>4</w:t>
      </w:r>
      <w:r>
        <w:rPr>
          <w:rFonts w:ascii="Times New Roman" w:hAnsi="Times New Roman"/>
        </w:rPr>
        <w:t>×(1−</w:t>
      </w:r>
      <w:r>
        <w:rPr>
          <w:rFonts w:ascii="Cambria Math" w:hAnsi="Cambria Math" w:cs="Cambria Math"/>
        </w:rPr>
        <w:t>𝑂𝐹</w:t>
      </w:r>
      <w:r>
        <w:rPr>
          <w:rFonts w:ascii="Times New Roman" w:hAnsi="Times New Roman"/>
        </w:rPr>
        <w:t>)×7.17</w:t>
      </w:r>
    </w:p>
    <w:p>
      <w:pPr>
        <w:ind w:firstLine="480"/>
        <w:rPr>
          <w:rFonts w:ascii="Times New Roman" w:hAnsi="Times New Roman"/>
        </w:rPr>
      </w:pPr>
      <w:r>
        <w:rPr>
          <w:rFonts w:ascii="Times New Roman" w:hAnsi="Times New Roman"/>
        </w:rPr>
        <w:t>式中：</w:t>
      </w:r>
    </w:p>
    <w:p>
      <w:pPr>
        <w:ind w:firstLine="480"/>
        <w:rPr>
          <w:rFonts w:ascii="Times New Roman" w:hAnsi="Times New Roman"/>
        </w:rPr>
      </w:pPr>
      <w:r>
        <w:rPr>
          <w:rFonts w:ascii="Times New Roman" w:hAnsi="Times New Roman"/>
          <w:i/>
          <w:iCs/>
        </w:rPr>
        <w:t>Q</w:t>
      </w:r>
      <w:r>
        <w:rPr>
          <w:rFonts w:ascii="Times New Roman" w:hAnsi="Times New Roman"/>
        </w:rPr>
        <w:t>—正常火炬为正常生产状态下火炬气流量，万Nm</w:t>
      </w:r>
      <w:r>
        <w:rPr>
          <w:rFonts w:ascii="Times New Roman" w:hAnsi="Times New Roman"/>
          <w:vertAlign w:val="superscript"/>
        </w:rPr>
        <w:t>3</w:t>
      </w:r>
      <w:r>
        <w:rPr>
          <w:rFonts w:ascii="Times New Roman" w:hAnsi="Times New Roman"/>
        </w:rPr>
        <w:t>；</w:t>
      </w:r>
    </w:p>
    <w:p>
      <w:pPr>
        <w:ind w:firstLine="480"/>
        <w:rPr>
          <w:rFonts w:ascii="Times New Roman" w:hAnsi="Times New Roman"/>
        </w:rPr>
      </w:pPr>
      <w:r>
        <w:rPr>
          <w:rFonts w:ascii="Cambria Math" w:hAnsi="Cambria Math" w:cs="Cambria Math"/>
        </w:rPr>
        <w:t>𝐶𝐶</w:t>
      </w:r>
      <w:r>
        <w:rPr>
          <w:rFonts w:ascii="Times New Roman" w:hAnsi="Times New Roman"/>
          <w:vertAlign w:val="subscript"/>
        </w:rPr>
        <w:t>非</w:t>
      </w:r>
      <w:r>
        <w:rPr>
          <w:rFonts w:ascii="Cambria Math" w:hAnsi="Cambria Math" w:cs="Cambria Math"/>
          <w:vertAlign w:val="subscript"/>
        </w:rPr>
        <w:t>𝐶𝑂</w:t>
      </w:r>
      <w:r>
        <w:rPr>
          <w:rFonts w:ascii="Times New Roman" w:hAnsi="Times New Roman"/>
          <w:vertAlign w:val="subscript"/>
        </w:rPr>
        <w:t>2</w:t>
      </w:r>
      <w:r>
        <w:rPr>
          <w:rFonts w:ascii="Times New Roman" w:hAnsi="Times New Roman"/>
        </w:rPr>
        <w:t>—火炬气中除CO</w:t>
      </w:r>
      <w:r>
        <w:rPr>
          <w:rFonts w:ascii="Times New Roman" w:hAnsi="Times New Roman"/>
          <w:vertAlign w:val="subscript"/>
        </w:rPr>
        <w:t>2</w:t>
      </w:r>
      <w:r>
        <w:rPr>
          <w:rFonts w:ascii="Times New Roman" w:hAnsi="Times New Roman"/>
        </w:rPr>
        <w:t>外其他含碳化合物的总含碳量，tCO2/万Nm</w:t>
      </w:r>
      <w:r>
        <w:rPr>
          <w:rFonts w:ascii="Times New Roman" w:hAnsi="Times New Roman"/>
          <w:vertAlign w:val="superscript"/>
        </w:rPr>
        <w:t>3</w:t>
      </w:r>
      <w:r>
        <w:rPr>
          <w:rFonts w:ascii="Times New Roman" w:hAnsi="Times New Roman"/>
        </w:rPr>
        <w:t>；</w:t>
      </w:r>
    </w:p>
    <w:p>
      <w:pPr>
        <w:ind w:firstLine="480"/>
        <w:rPr>
          <w:rFonts w:ascii="Times New Roman" w:hAnsi="Times New Roman"/>
        </w:rPr>
      </w:pPr>
      <w:r>
        <w:rPr>
          <w:rFonts w:ascii="Times New Roman" w:hAnsi="Times New Roman"/>
          <w:i/>
          <w:iCs/>
        </w:rPr>
        <w:t>OF</w:t>
      </w:r>
      <w:r>
        <w:rPr>
          <w:rFonts w:ascii="Times New Roman" w:hAnsi="Times New Roman"/>
          <w:vertAlign w:val="subscript"/>
        </w:rPr>
        <w:t>碳氧化率</w:t>
      </w:r>
      <w:r>
        <w:rPr>
          <w:rFonts w:ascii="Times New Roman" w:hAnsi="Times New Roman"/>
        </w:rPr>
        <w:t>—火炬系统的碳氧化率，可采用缺省值0.98;</w:t>
      </w:r>
    </w:p>
    <w:p>
      <w:pPr>
        <w:ind w:firstLine="480"/>
        <w:rPr>
          <w:rFonts w:ascii="Times New Roman" w:hAnsi="Times New Roman"/>
        </w:rPr>
      </w:pPr>
      <w:r>
        <w:rPr>
          <w:rFonts w:ascii="Cambria Math" w:hAnsi="Cambria Math" w:cs="Cambria Math"/>
        </w:rPr>
        <w:t>𝑉</w:t>
      </w:r>
      <w:r>
        <w:rPr>
          <w:rFonts w:ascii="Cambria Math" w:hAnsi="Cambria Math" w:cs="Cambria Math"/>
          <w:vertAlign w:val="subscript"/>
        </w:rPr>
        <w:t>𝐶𝑂</w:t>
      </w:r>
      <w:r>
        <w:rPr>
          <w:rFonts w:ascii="Times New Roman" w:hAnsi="Times New Roman"/>
          <w:vertAlign w:val="subscript"/>
        </w:rPr>
        <w:t>2</w:t>
      </w:r>
      <w:r>
        <w:rPr>
          <w:rFonts w:ascii="Times New Roman" w:hAnsi="Times New Roman"/>
        </w:rPr>
        <w:t>—火炬气中CO</w:t>
      </w:r>
      <w:r>
        <w:rPr>
          <w:rFonts w:ascii="Times New Roman" w:hAnsi="Times New Roman"/>
          <w:vertAlign w:val="subscript"/>
        </w:rPr>
        <w:t>2</w:t>
      </w:r>
      <w:r>
        <w:rPr>
          <w:rFonts w:ascii="Times New Roman" w:hAnsi="Times New Roman"/>
        </w:rPr>
        <w:t>的体积浓度，取值范围为0～1；</w:t>
      </w:r>
    </w:p>
    <w:p>
      <w:pPr>
        <w:ind w:firstLine="480"/>
        <w:rPr>
          <w:rFonts w:ascii="Times New Roman" w:hAnsi="Times New Roman"/>
        </w:rPr>
      </w:pPr>
      <w:r>
        <w:rPr>
          <w:rFonts w:ascii="Cambria Math" w:hAnsi="Cambria Math" w:cs="Cambria Math"/>
        </w:rPr>
        <w:t>𝑉</w:t>
      </w:r>
      <w:r>
        <w:rPr>
          <w:rFonts w:ascii="Cambria Math" w:hAnsi="Cambria Math" w:cs="Cambria Math"/>
          <w:vertAlign w:val="subscript"/>
        </w:rPr>
        <w:t>𝐶𝐻</w:t>
      </w:r>
      <w:r>
        <w:rPr>
          <w:rFonts w:ascii="Times New Roman" w:hAnsi="Times New Roman"/>
          <w:vertAlign w:val="subscript"/>
        </w:rPr>
        <w:t>4</w:t>
      </w:r>
      <w:r>
        <w:rPr>
          <w:rFonts w:ascii="Times New Roman" w:hAnsi="Times New Roman"/>
        </w:rPr>
        <w:t>—火炬气中CH</w:t>
      </w:r>
      <w:r>
        <w:rPr>
          <w:rFonts w:ascii="Times New Roman" w:hAnsi="Times New Roman"/>
          <w:vertAlign w:val="subscript"/>
        </w:rPr>
        <w:t>4</w:t>
      </w:r>
      <w:r>
        <w:rPr>
          <w:rFonts w:ascii="Times New Roman" w:hAnsi="Times New Roman"/>
        </w:rPr>
        <w:t>的体积浓度；</w:t>
      </w:r>
    </w:p>
    <w:p>
      <w:pPr>
        <w:ind w:firstLine="480"/>
        <w:rPr>
          <w:rFonts w:ascii="Times New Roman" w:hAnsi="Times New Roman"/>
        </w:rPr>
      </w:pPr>
      <w:r>
        <w:rPr>
          <w:rFonts w:ascii="Times New Roman" w:hAnsi="Times New Roman"/>
        </w:rPr>
        <w:t>CH</w:t>
      </w:r>
      <w:r>
        <w:rPr>
          <w:rFonts w:ascii="Times New Roman" w:hAnsi="Times New Roman"/>
          <w:vertAlign w:val="subscript"/>
        </w:rPr>
        <w:t>4</w:t>
      </w:r>
      <w:r>
        <w:rPr>
          <w:rFonts w:ascii="Times New Roman" w:hAnsi="Times New Roman"/>
        </w:rPr>
        <w:t>排放量转化为CO</w:t>
      </w:r>
      <w:r>
        <w:rPr>
          <w:rFonts w:ascii="Times New Roman" w:hAnsi="Times New Roman"/>
          <w:vertAlign w:val="subscript"/>
        </w:rPr>
        <w:t>2</w:t>
      </w:r>
      <w:r>
        <w:rPr>
          <w:rFonts w:ascii="Times New Roman" w:hAnsi="Times New Roman"/>
        </w:rPr>
        <w:t>当量的公式为：</w:t>
      </w:r>
    </w:p>
    <w:p>
      <w:pPr>
        <w:ind w:firstLine="480"/>
        <w:jc w:val="center"/>
        <w:rPr>
          <w:rFonts w:ascii="Times New Roman" w:hAnsi="Times New Roman"/>
        </w:rPr>
      </w:pPr>
      <w:r>
        <w:rPr>
          <w:rFonts w:ascii="Times New Roman" w:hAnsi="Times New Roman"/>
          <w:i/>
          <w:iCs/>
        </w:rPr>
        <w:t>CO</w:t>
      </w:r>
      <w:r>
        <w:rPr>
          <w:rFonts w:ascii="Times New Roman" w:hAnsi="Times New Roman"/>
          <w:i/>
          <w:iCs/>
          <w:vertAlign w:val="subscript"/>
        </w:rPr>
        <w:t>2当量</w:t>
      </w:r>
      <w:r>
        <w:rPr>
          <w:rFonts w:ascii="Times New Roman" w:hAnsi="Times New Roman"/>
        </w:rPr>
        <w:t>=</w:t>
      </w:r>
      <w:r>
        <w:rPr>
          <w:rFonts w:ascii="Times New Roman" w:hAnsi="Times New Roman"/>
          <w:i/>
          <w:iCs/>
        </w:rPr>
        <w:t>CH</w:t>
      </w:r>
      <w:r>
        <w:rPr>
          <w:rFonts w:ascii="Times New Roman" w:hAnsi="Times New Roman"/>
          <w:i/>
          <w:iCs/>
          <w:vertAlign w:val="subscript"/>
        </w:rPr>
        <w:t>4排放量</w:t>
      </w:r>
      <w:r>
        <w:rPr>
          <w:rFonts w:ascii="Times New Roman" w:hAnsi="Times New Roman"/>
        </w:rPr>
        <w:t>×21</w:t>
      </w:r>
    </w:p>
    <w:p>
      <w:pPr>
        <w:pStyle w:val="43"/>
        <w:numPr>
          <w:ilvl w:val="0"/>
          <w:numId w:val="19"/>
        </w:numPr>
        <w:ind w:firstLineChars="0"/>
        <w:rPr>
          <w:rFonts w:ascii="Times New Roman" w:hAnsi="Times New Roman"/>
        </w:rPr>
      </w:pPr>
      <w:r>
        <w:rPr>
          <w:rFonts w:ascii="Times New Roman" w:hAnsi="Times New Roman"/>
        </w:rPr>
        <w:t>活动水平数据</w:t>
      </w:r>
    </w:p>
    <w:p>
      <w:pPr>
        <w:ind w:firstLine="480"/>
        <w:rPr>
          <w:rFonts w:ascii="Times New Roman" w:hAnsi="Times New Roman"/>
        </w:rPr>
      </w:pPr>
      <w:r>
        <w:rPr>
          <w:rFonts w:ascii="Times New Roman" w:hAnsi="Times New Roman"/>
        </w:rPr>
        <w:t>本项目共计3套火炬，在火炬正常工况下，每套火炬正设计燃料气的消耗为6.4×10</w:t>
      </w:r>
      <w:r>
        <w:rPr>
          <w:rFonts w:ascii="Times New Roman" w:hAnsi="Times New Roman"/>
          <w:vertAlign w:val="superscript"/>
        </w:rPr>
        <w:t>4</w:t>
      </w:r>
      <w:r>
        <w:rPr>
          <w:rFonts w:ascii="Times New Roman" w:hAnsi="Times New Roman"/>
        </w:rPr>
        <w:t>m</w:t>
      </w:r>
      <w:r>
        <w:rPr>
          <w:rFonts w:ascii="Times New Roman" w:hAnsi="Times New Roman"/>
          <w:vertAlign w:val="superscript"/>
        </w:rPr>
        <w:t>3</w:t>
      </w:r>
      <w:r>
        <w:rPr>
          <w:rFonts w:ascii="Times New Roman" w:hAnsi="Times New Roman"/>
        </w:rPr>
        <w:t>/a。</w:t>
      </w:r>
    </w:p>
    <w:p>
      <w:pPr>
        <w:pStyle w:val="43"/>
        <w:numPr>
          <w:ilvl w:val="0"/>
          <w:numId w:val="19"/>
        </w:numPr>
        <w:ind w:firstLineChars="0"/>
        <w:rPr>
          <w:rFonts w:ascii="Times New Roman" w:hAnsi="Times New Roman"/>
        </w:rPr>
      </w:pPr>
      <w:r>
        <w:rPr>
          <w:rFonts w:ascii="Times New Roman" w:hAnsi="Times New Roman"/>
        </w:rPr>
        <w:t>排放因子数据</w:t>
      </w:r>
    </w:p>
    <w:p>
      <w:pPr>
        <w:ind w:firstLine="480"/>
        <w:jc w:val="center"/>
        <w:rPr>
          <w:rFonts w:ascii="Times New Roman" w:hAnsi="Times New Roman"/>
        </w:rPr>
      </w:pPr>
      <w:r>
        <w:rPr>
          <w:rFonts w:ascii="Cambria Math" w:hAnsi="Cambria Math" w:cs="Cambria Math"/>
        </w:rPr>
        <w:t>𝐶𝐶</w:t>
      </w:r>
      <w:r>
        <w:rPr>
          <w:rFonts w:ascii="Times New Roman" w:hAnsi="Times New Roman"/>
          <w:vertAlign w:val="subscript"/>
        </w:rPr>
        <w:t>非</w:t>
      </w:r>
      <w:r>
        <w:rPr>
          <w:rFonts w:ascii="Cambria Math" w:hAnsi="Cambria Math" w:cs="Cambria Math"/>
          <w:vertAlign w:val="subscript"/>
        </w:rPr>
        <w:t>𝐶𝑂</w:t>
      </w:r>
      <w:r>
        <w:rPr>
          <w:rFonts w:ascii="Times New Roman" w:hAnsi="Times New Roman"/>
          <w:vertAlign w:val="subscript"/>
        </w:rPr>
        <w:t>2</w:t>
      </w:r>
      <w:r>
        <w:rPr>
          <w:rFonts w:ascii="Times New Roman" w:hAnsi="Times New Roman"/>
        </w:rPr>
        <w:t>=∑12×</w:t>
      </w:r>
      <w:r>
        <w:rPr>
          <w:rFonts w:ascii="Cambria Math" w:hAnsi="Cambria Math" w:cs="Cambria Math"/>
        </w:rPr>
        <w:t>𝑉</w:t>
      </w:r>
      <w:r>
        <w:rPr>
          <w:rFonts w:ascii="Cambria Math" w:hAnsi="Cambria Math" w:cs="Cambria Math"/>
          <w:vertAlign w:val="subscript"/>
        </w:rPr>
        <w:t>𝑛</w:t>
      </w:r>
      <w:r>
        <w:rPr>
          <w:rFonts w:ascii="Times New Roman" w:hAnsi="Times New Roman"/>
        </w:rPr>
        <w:t>×</w:t>
      </w:r>
      <w:r>
        <w:rPr>
          <w:rFonts w:ascii="Cambria Math" w:hAnsi="Cambria Math" w:cs="Cambria Math"/>
        </w:rPr>
        <w:t>𝐶𝑁</w:t>
      </w:r>
      <w:r>
        <w:rPr>
          <w:rFonts w:ascii="Cambria Math" w:hAnsi="Cambria Math" w:cs="Cambria Math"/>
          <w:vertAlign w:val="subscript"/>
        </w:rPr>
        <w:t>𝑛</w:t>
      </w:r>
      <w:r>
        <w:rPr>
          <w:rFonts w:ascii="Times New Roman" w:hAnsi="Times New Roman"/>
        </w:rPr>
        <w:t>×10/22.4</w:t>
      </w:r>
    </w:p>
    <w:p>
      <w:pPr>
        <w:ind w:firstLine="480"/>
        <w:rPr>
          <w:rFonts w:ascii="Times New Roman" w:hAnsi="Times New Roman"/>
        </w:rPr>
      </w:pPr>
      <w:r>
        <w:rPr>
          <w:rFonts w:ascii="Times New Roman" w:hAnsi="Times New Roman"/>
        </w:rPr>
        <w:t>式中：</w:t>
      </w:r>
    </w:p>
    <w:p>
      <w:pPr>
        <w:ind w:firstLine="480"/>
        <w:rPr>
          <w:rFonts w:ascii="Times New Roman" w:hAnsi="Times New Roman"/>
        </w:rPr>
      </w:pPr>
      <w:r>
        <w:rPr>
          <w:rFonts w:ascii="Cambria Math" w:hAnsi="Cambria Math" w:cs="Cambria Math"/>
        </w:rPr>
        <w:t>𝑛</w:t>
      </w:r>
      <w:r>
        <w:rPr>
          <w:rFonts w:ascii="Times New Roman" w:hAnsi="Times New Roman"/>
        </w:rPr>
        <w:t>—火炬气的各种气体组分，CO</w:t>
      </w:r>
      <w:r>
        <w:rPr>
          <w:rFonts w:ascii="Times New Roman" w:hAnsi="Times New Roman"/>
          <w:vertAlign w:val="subscript"/>
        </w:rPr>
        <w:t>2</w:t>
      </w:r>
      <w:r>
        <w:rPr>
          <w:rFonts w:ascii="Times New Roman" w:hAnsi="Times New Roman"/>
        </w:rPr>
        <w:t>除外；</w:t>
      </w:r>
    </w:p>
    <w:p>
      <w:pPr>
        <w:ind w:firstLine="480"/>
        <w:rPr>
          <w:rFonts w:ascii="Times New Roman" w:hAnsi="Times New Roman"/>
        </w:rPr>
      </w:pPr>
      <w:r>
        <w:rPr>
          <w:rFonts w:ascii="Times New Roman" w:hAnsi="Times New Roman"/>
        </w:rPr>
        <w:t>V</w:t>
      </w:r>
      <w:r>
        <w:rPr>
          <w:rFonts w:ascii="Cambria Math" w:hAnsi="Cambria Math" w:cs="Cambria Math"/>
        </w:rPr>
        <w:t>𝑛</w:t>
      </w:r>
      <w:r>
        <w:rPr>
          <w:rFonts w:ascii="Times New Roman" w:hAnsi="Times New Roman"/>
        </w:rPr>
        <w:t>—火炬气中除CO</w:t>
      </w:r>
      <w:r>
        <w:rPr>
          <w:rFonts w:ascii="Times New Roman" w:hAnsi="Times New Roman"/>
          <w:vertAlign w:val="subscript"/>
        </w:rPr>
        <w:t>2</w:t>
      </w:r>
      <w:r>
        <w:rPr>
          <w:rFonts w:ascii="Times New Roman" w:hAnsi="Times New Roman"/>
        </w:rPr>
        <w:t>外的第n种含碳化合物（包括一氧化碳）的体积浓度，原料气组成见</w:t>
      </w:r>
      <w:r>
        <w:rPr>
          <w:rFonts w:ascii="Times New Roman" w:hAnsi="Times New Roman"/>
        </w:rPr>
        <w:fldChar w:fldCharType="begin"/>
      </w:r>
      <w:r>
        <w:rPr>
          <w:rFonts w:ascii="Times New Roman" w:hAnsi="Times New Roman"/>
        </w:rPr>
        <w:instrText xml:space="preserve"> REF _Ref155280132 \h  \* MERGEFORMAT </w:instrText>
      </w:r>
      <w:r>
        <w:rPr>
          <w:rFonts w:ascii="Times New Roman" w:hAnsi="Times New Roman"/>
        </w:rPr>
        <w:fldChar w:fldCharType="separate"/>
      </w:r>
      <w:r>
        <w:rPr>
          <w:rFonts w:ascii="Times New Roman" w:hAnsi="Times New Roman"/>
        </w:rPr>
        <w:t>表8</w:t>
      </w:r>
      <w:r>
        <w:rPr>
          <w:rFonts w:ascii="Times New Roman" w:hAnsi="Times New Roman"/>
        </w:rPr>
        <w:noBreakHyphen/>
      </w:r>
      <w:r>
        <w:rPr>
          <w:rFonts w:ascii="Times New Roman" w:hAnsi="Times New Roman"/>
        </w:rPr>
        <w:t>7</w:t>
      </w:r>
      <w:r>
        <w:rPr>
          <w:rFonts w:ascii="Times New Roman" w:hAnsi="Times New Roman"/>
        </w:rPr>
        <w:fldChar w:fldCharType="end"/>
      </w:r>
      <w:r>
        <w:rPr>
          <w:rFonts w:ascii="Times New Roman" w:hAnsi="Times New Roman"/>
        </w:rPr>
        <w:t>，宣探1井原料气CH</w:t>
      </w:r>
      <w:r>
        <w:rPr>
          <w:rFonts w:ascii="Times New Roman" w:hAnsi="Times New Roman"/>
          <w:vertAlign w:val="subscript"/>
        </w:rPr>
        <w:t>4</w:t>
      </w:r>
      <w:r>
        <w:rPr>
          <w:rFonts w:ascii="Times New Roman" w:hAnsi="Times New Roman"/>
        </w:rPr>
        <w:t>与C</w:t>
      </w:r>
      <w:r>
        <w:rPr>
          <w:rFonts w:ascii="Times New Roman" w:hAnsi="Times New Roman"/>
          <w:vertAlign w:val="subscript"/>
        </w:rPr>
        <w:t>2</w:t>
      </w:r>
      <w:r>
        <w:rPr>
          <w:rFonts w:ascii="Times New Roman" w:hAnsi="Times New Roman"/>
        </w:rPr>
        <w:t>H</w:t>
      </w:r>
      <w:r>
        <w:rPr>
          <w:rFonts w:ascii="Times New Roman" w:hAnsi="Times New Roman"/>
          <w:vertAlign w:val="subscript"/>
        </w:rPr>
        <w:t>6</w:t>
      </w:r>
      <w:r>
        <w:rPr>
          <w:rFonts w:ascii="Times New Roman" w:hAnsi="Times New Roman"/>
        </w:rPr>
        <w:t>体积浓度为0.8027，宣兴1井原料气CH</w:t>
      </w:r>
      <w:r>
        <w:rPr>
          <w:rFonts w:ascii="Times New Roman" w:hAnsi="Times New Roman"/>
          <w:vertAlign w:val="subscript"/>
        </w:rPr>
        <w:t>4</w:t>
      </w:r>
      <w:r>
        <w:rPr>
          <w:rFonts w:ascii="Times New Roman" w:hAnsi="Times New Roman"/>
        </w:rPr>
        <w:t>体积浓度为0.775；</w:t>
      </w:r>
    </w:p>
    <w:p>
      <w:pPr>
        <w:ind w:firstLine="480"/>
        <w:rPr>
          <w:rFonts w:ascii="Times New Roman" w:hAnsi="Times New Roman"/>
        </w:rPr>
      </w:pPr>
      <w:r>
        <w:rPr>
          <w:rFonts w:ascii="Cambria Math" w:hAnsi="Cambria Math" w:cs="Cambria Math"/>
        </w:rPr>
        <w:t>𝐶𝑁</w:t>
      </w:r>
      <w:r>
        <w:rPr>
          <w:rFonts w:ascii="Cambria Math" w:hAnsi="Cambria Math" w:cs="Cambria Math"/>
          <w:vertAlign w:val="subscript"/>
        </w:rPr>
        <w:t>𝑛</w:t>
      </w:r>
      <w:r>
        <w:rPr>
          <w:rFonts w:ascii="Times New Roman" w:hAnsi="Times New Roman"/>
        </w:rPr>
        <w:t>—火炬气中第n种含碳化合物（包括一氧化碳）化学分子式中的碳原子数目，原料气组成见</w:t>
      </w:r>
      <w:r>
        <w:rPr>
          <w:rFonts w:ascii="Times New Roman" w:hAnsi="Times New Roman"/>
        </w:rPr>
        <w:fldChar w:fldCharType="begin"/>
      </w:r>
      <w:r>
        <w:rPr>
          <w:rFonts w:ascii="Times New Roman" w:hAnsi="Times New Roman"/>
        </w:rPr>
        <w:instrText xml:space="preserve"> REF _Ref155280132 \h  \* MERGEFORMAT </w:instrText>
      </w:r>
      <w:r>
        <w:rPr>
          <w:rFonts w:ascii="Times New Roman" w:hAnsi="Times New Roman"/>
        </w:rPr>
        <w:fldChar w:fldCharType="separate"/>
      </w:r>
      <w:r>
        <w:rPr>
          <w:rFonts w:ascii="Times New Roman" w:hAnsi="Times New Roman"/>
        </w:rPr>
        <w:t>表8</w:t>
      </w:r>
      <w:r>
        <w:rPr>
          <w:rFonts w:ascii="Times New Roman" w:hAnsi="Times New Roman"/>
        </w:rPr>
        <w:noBreakHyphen/>
      </w:r>
      <w:r>
        <w:rPr>
          <w:rFonts w:ascii="Times New Roman" w:hAnsi="Times New Roman"/>
        </w:rPr>
        <w:t>7</w:t>
      </w:r>
      <w:r>
        <w:rPr>
          <w:rFonts w:ascii="Times New Roman" w:hAnsi="Times New Roman"/>
        </w:rPr>
        <w:fldChar w:fldCharType="end"/>
      </w:r>
      <w:r>
        <w:rPr>
          <w:rFonts w:ascii="Times New Roman" w:hAnsi="Times New Roman"/>
        </w:rPr>
        <w:t>，CH4为1，C</w:t>
      </w:r>
      <w:r>
        <w:rPr>
          <w:rFonts w:ascii="Times New Roman" w:hAnsi="Times New Roman"/>
          <w:vertAlign w:val="subscript"/>
        </w:rPr>
        <w:t>2</w:t>
      </w:r>
      <w:r>
        <w:rPr>
          <w:rFonts w:ascii="Times New Roman" w:hAnsi="Times New Roman"/>
        </w:rPr>
        <w:t>H</w:t>
      </w:r>
      <w:r>
        <w:rPr>
          <w:rFonts w:ascii="Times New Roman" w:hAnsi="Times New Roman"/>
          <w:vertAlign w:val="subscript"/>
        </w:rPr>
        <w:t>6</w:t>
      </w:r>
      <w:r>
        <w:rPr>
          <w:rFonts w:ascii="Times New Roman" w:hAnsi="Times New Roman"/>
        </w:rPr>
        <w:t>为2。</w:t>
      </w:r>
    </w:p>
    <w:p>
      <w:pPr>
        <w:pStyle w:val="37"/>
        <w:rPr>
          <w:rFonts w:ascii="Times New Roman" w:hAnsi="Times New Roman" w:cs="Times New Roman"/>
        </w:rPr>
      </w:pPr>
      <w:bookmarkStart w:id="374" w:name="_Ref155280132"/>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bookmarkEnd w:id="374"/>
      <w:r>
        <w:rPr>
          <w:rFonts w:ascii="Times New Roman" w:hAnsi="Times New Roman" w:cs="Times New Roman"/>
        </w:rPr>
        <w:t xml:space="preserve"> 原料气组成表（摩尔%）</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1"/>
        <w:gridCol w:w="1080"/>
        <w:gridCol w:w="1083"/>
        <w:gridCol w:w="1083"/>
        <w:gridCol w:w="1083"/>
        <w:gridCol w:w="1083"/>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2" w:type="pct"/>
            <w:vAlign w:val="center"/>
          </w:tcPr>
          <w:p>
            <w:pPr>
              <w:pStyle w:val="39"/>
              <w:rPr>
                <w:rFonts w:ascii="Times New Roman" w:hAnsi="Times New Roman"/>
              </w:rPr>
            </w:pPr>
            <w:r>
              <w:rPr>
                <w:rFonts w:ascii="Times New Roman" w:hAnsi="Times New Roman"/>
              </w:rPr>
              <w:t>井站</w:t>
            </w:r>
          </w:p>
        </w:tc>
        <w:tc>
          <w:tcPr>
            <w:tcW w:w="634" w:type="pct"/>
          </w:tcPr>
          <w:p>
            <w:pPr>
              <w:pStyle w:val="39"/>
              <w:rPr>
                <w:rFonts w:ascii="Times New Roman" w:hAnsi="Times New Roman"/>
              </w:rPr>
            </w:pPr>
            <w:r>
              <w:rPr>
                <w:rFonts w:ascii="Times New Roman" w:hAnsi="Times New Roman"/>
              </w:rPr>
              <w:t>He</w:t>
            </w:r>
          </w:p>
        </w:tc>
        <w:tc>
          <w:tcPr>
            <w:tcW w:w="635" w:type="pct"/>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p>
        </w:tc>
        <w:tc>
          <w:tcPr>
            <w:tcW w:w="635" w:type="pct"/>
            <w:vAlign w:val="center"/>
          </w:tcPr>
          <w:p>
            <w:pPr>
              <w:pStyle w:val="39"/>
              <w:rPr>
                <w:rFonts w:ascii="Times New Roman" w:hAnsi="Times New Roman"/>
              </w:rPr>
            </w:pPr>
            <w:r>
              <w:rPr>
                <w:rFonts w:ascii="Times New Roman" w:hAnsi="Times New Roman"/>
              </w:rPr>
              <w:t>N</w:t>
            </w:r>
            <w:r>
              <w:rPr>
                <w:rFonts w:ascii="Times New Roman" w:hAnsi="Times New Roman"/>
                <w:vertAlign w:val="subscript"/>
              </w:rPr>
              <w:t>2</w:t>
            </w:r>
          </w:p>
        </w:tc>
        <w:tc>
          <w:tcPr>
            <w:tcW w:w="635" w:type="pct"/>
            <w:vAlign w:val="center"/>
          </w:tcPr>
          <w:p>
            <w:pPr>
              <w:pStyle w:val="39"/>
              <w:rPr>
                <w:rFonts w:ascii="Times New Roman" w:hAnsi="Times New Roman"/>
              </w:rPr>
            </w:pPr>
            <w:r>
              <w:rPr>
                <w:rFonts w:ascii="Times New Roman" w:hAnsi="Times New Roman"/>
              </w:rPr>
              <w:t>CO</w:t>
            </w:r>
            <w:r>
              <w:rPr>
                <w:rFonts w:ascii="Times New Roman" w:hAnsi="Times New Roman"/>
                <w:vertAlign w:val="subscript"/>
              </w:rPr>
              <w:t>2</w:t>
            </w:r>
          </w:p>
        </w:tc>
        <w:tc>
          <w:tcPr>
            <w:tcW w:w="635" w:type="pct"/>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633" w:type="pct"/>
            <w:vAlign w:val="center"/>
          </w:tcPr>
          <w:p>
            <w:pPr>
              <w:pStyle w:val="39"/>
              <w:rPr>
                <w:rFonts w:ascii="Times New Roman" w:hAnsi="Times New Roman"/>
              </w:rPr>
            </w:pPr>
            <w:r>
              <w:rPr>
                <w:rFonts w:ascii="Times New Roman" w:hAnsi="Times New Roman"/>
              </w:rPr>
              <w:t>CH</w:t>
            </w:r>
            <w:r>
              <w:rPr>
                <w:rFonts w:ascii="Times New Roman" w:hAnsi="Times New Roman"/>
                <w:vertAlign w:val="subscript"/>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2" w:type="pct"/>
            <w:vAlign w:val="center"/>
          </w:tcPr>
          <w:p>
            <w:pPr>
              <w:pStyle w:val="39"/>
              <w:rPr>
                <w:rFonts w:ascii="Times New Roman" w:hAnsi="Times New Roman"/>
              </w:rPr>
            </w:pPr>
            <w:r>
              <w:rPr>
                <w:rFonts w:ascii="Times New Roman" w:hAnsi="Times New Roman"/>
              </w:rPr>
              <w:t>宣探1井原料气</w:t>
            </w:r>
          </w:p>
        </w:tc>
        <w:tc>
          <w:tcPr>
            <w:tcW w:w="634" w:type="pct"/>
          </w:tcPr>
          <w:p>
            <w:pPr>
              <w:pStyle w:val="39"/>
              <w:rPr>
                <w:rFonts w:ascii="Times New Roman" w:hAnsi="Times New Roman"/>
              </w:rPr>
            </w:pPr>
            <w:r>
              <w:rPr>
                <w:rFonts w:ascii="Times New Roman" w:hAnsi="Times New Roman"/>
              </w:rPr>
              <w:t>0.01</w:t>
            </w:r>
          </w:p>
        </w:tc>
        <w:tc>
          <w:tcPr>
            <w:tcW w:w="635" w:type="pct"/>
            <w:vAlign w:val="center"/>
          </w:tcPr>
          <w:p>
            <w:pPr>
              <w:pStyle w:val="39"/>
              <w:rPr>
                <w:rFonts w:ascii="Times New Roman" w:hAnsi="Times New Roman"/>
              </w:rPr>
            </w:pPr>
            <w:r>
              <w:rPr>
                <w:rFonts w:ascii="Times New Roman" w:hAnsi="Times New Roman"/>
              </w:rPr>
              <w:t>0</w:t>
            </w:r>
          </w:p>
        </w:tc>
        <w:tc>
          <w:tcPr>
            <w:tcW w:w="635" w:type="pct"/>
            <w:vAlign w:val="center"/>
          </w:tcPr>
          <w:p>
            <w:pPr>
              <w:pStyle w:val="39"/>
              <w:rPr>
                <w:rFonts w:ascii="Times New Roman" w:hAnsi="Times New Roman"/>
              </w:rPr>
            </w:pPr>
            <w:r>
              <w:rPr>
                <w:rFonts w:ascii="Times New Roman" w:hAnsi="Times New Roman"/>
              </w:rPr>
              <w:t>0.71</w:t>
            </w:r>
          </w:p>
        </w:tc>
        <w:tc>
          <w:tcPr>
            <w:tcW w:w="635" w:type="pct"/>
            <w:vAlign w:val="center"/>
          </w:tcPr>
          <w:p>
            <w:pPr>
              <w:pStyle w:val="39"/>
              <w:rPr>
                <w:rFonts w:ascii="Times New Roman" w:hAnsi="Times New Roman"/>
              </w:rPr>
            </w:pPr>
            <w:r>
              <w:rPr>
                <w:rFonts w:ascii="Times New Roman" w:hAnsi="Times New Roman"/>
              </w:rPr>
              <w:t>8.32</w:t>
            </w:r>
          </w:p>
        </w:tc>
        <w:tc>
          <w:tcPr>
            <w:tcW w:w="635" w:type="pct"/>
            <w:vAlign w:val="center"/>
          </w:tcPr>
          <w:p>
            <w:pPr>
              <w:pStyle w:val="39"/>
              <w:rPr>
                <w:rFonts w:ascii="Times New Roman" w:hAnsi="Times New Roman"/>
              </w:rPr>
            </w:pPr>
            <w:r>
              <w:rPr>
                <w:rFonts w:ascii="Times New Roman" w:hAnsi="Times New Roman"/>
              </w:rPr>
              <w:t>10.69</w:t>
            </w:r>
          </w:p>
        </w:tc>
        <w:tc>
          <w:tcPr>
            <w:tcW w:w="633" w:type="pct"/>
            <w:vAlign w:val="center"/>
          </w:tcPr>
          <w:p>
            <w:pPr>
              <w:pStyle w:val="39"/>
              <w:rPr>
                <w:rFonts w:ascii="Times New Roman" w:hAnsi="Times New Roman"/>
              </w:rPr>
            </w:pPr>
            <w:r>
              <w:rPr>
                <w:rFonts w:ascii="Times New Roman" w:hAnsi="Times New Roman"/>
              </w:rPr>
              <w:t>80.25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2" w:type="pct"/>
            <w:vAlign w:val="center"/>
          </w:tcPr>
          <w:p>
            <w:pPr>
              <w:pStyle w:val="39"/>
              <w:rPr>
                <w:rFonts w:ascii="Times New Roman" w:hAnsi="Times New Roman"/>
              </w:rPr>
            </w:pPr>
            <w:r>
              <w:rPr>
                <w:rFonts w:ascii="Times New Roman" w:hAnsi="Times New Roman"/>
              </w:rPr>
              <w:t>宣兴1井原料气</w:t>
            </w:r>
          </w:p>
        </w:tc>
        <w:tc>
          <w:tcPr>
            <w:tcW w:w="634" w:type="pct"/>
          </w:tcPr>
          <w:p>
            <w:pPr>
              <w:pStyle w:val="39"/>
              <w:rPr>
                <w:rFonts w:ascii="Times New Roman" w:hAnsi="Times New Roman"/>
              </w:rPr>
            </w:pPr>
            <w:r>
              <w:rPr>
                <w:rFonts w:ascii="Times New Roman" w:hAnsi="Times New Roman"/>
              </w:rPr>
              <w:t>0.01</w:t>
            </w:r>
          </w:p>
        </w:tc>
        <w:tc>
          <w:tcPr>
            <w:tcW w:w="635" w:type="pct"/>
            <w:vAlign w:val="center"/>
          </w:tcPr>
          <w:p>
            <w:pPr>
              <w:pStyle w:val="39"/>
              <w:rPr>
                <w:rFonts w:ascii="Times New Roman" w:hAnsi="Times New Roman"/>
              </w:rPr>
            </w:pPr>
            <w:r>
              <w:rPr>
                <w:rFonts w:ascii="Times New Roman" w:hAnsi="Times New Roman"/>
              </w:rPr>
              <w:t>0</w:t>
            </w:r>
          </w:p>
        </w:tc>
        <w:tc>
          <w:tcPr>
            <w:tcW w:w="635" w:type="pct"/>
            <w:vAlign w:val="center"/>
          </w:tcPr>
          <w:p>
            <w:pPr>
              <w:pStyle w:val="39"/>
              <w:rPr>
                <w:rFonts w:ascii="Times New Roman" w:hAnsi="Times New Roman"/>
              </w:rPr>
            </w:pPr>
            <w:r>
              <w:rPr>
                <w:rFonts w:ascii="Times New Roman" w:hAnsi="Times New Roman"/>
              </w:rPr>
              <w:t>0.79</w:t>
            </w:r>
          </w:p>
        </w:tc>
        <w:tc>
          <w:tcPr>
            <w:tcW w:w="635" w:type="pct"/>
            <w:vAlign w:val="center"/>
          </w:tcPr>
          <w:p>
            <w:pPr>
              <w:pStyle w:val="39"/>
              <w:rPr>
                <w:rFonts w:ascii="Times New Roman" w:hAnsi="Times New Roman"/>
              </w:rPr>
            </w:pPr>
            <w:r>
              <w:rPr>
                <w:rFonts w:ascii="Times New Roman" w:hAnsi="Times New Roman"/>
              </w:rPr>
              <w:t>7.39</w:t>
            </w:r>
          </w:p>
        </w:tc>
        <w:tc>
          <w:tcPr>
            <w:tcW w:w="635" w:type="pct"/>
            <w:vAlign w:val="center"/>
          </w:tcPr>
          <w:p>
            <w:pPr>
              <w:pStyle w:val="39"/>
              <w:rPr>
                <w:rFonts w:ascii="Times New Roman" w:hAnsi="Times New Roman"/>
              </w:rPr>
            </w:pPr>
            <w:r>
              <w:rPr>
                <w:rFonts w:ascii="Times New Roman" w:hAnsi="Times New Roman"/>
              </w:rPr>
              <w:t>14.31</w:t>
            </w:r>
          </w:p>
        </w:tc>
        <w:tc>
          <w:tcPr>
            <w:tcW w:w="633" w:type="pct"/>
            <w:vAlign w:val="center"/>
          </w:tcPr>
          <w:p>
            <w:pPr>
              <w:pStyle w:val="39"/>
              <w:rPr>
                <w:rFonts w:ascii="Times New Roman" w:hAnsi="Times New Roman"/>
              </w:rPr>
            </w:pPr>
            <w:r>
              <w:rPr>
                <w:rFonts w:ascii="Times New Roman" w:hAnsi="Times New Roman"/>
              </w:rPr>
              <w:t>77.48</w:t>
            </w:r>
          </w:p>
        </w:tc>
      </w:tr>
    </w:tbl>
    <w:p>
      <w:pPr>
        <w:ind w:firstLine="480" w:firstLineChars="0"/>
        <w:rPr>
          <w:rFonts w:ascii="Times New Roman" w:hAnsi="Times New Roman"/>
          <w:b/>
          <w:bCs/>
        </w:rPr>
      </w:pPr>
      <w:r>
        <w:rPr>
          <w:rFonts w:ascii="Times New Roman" w:hAnsi="Times New Roman"/>
          <w:b/>
          <w:bCs/>
        </w:rPr>
        <w:t>2）计算结果</w:t>
      </w:r>
    </w:p>
    <w:p>
      <w:pPr>
        <w:widowControl/>
        <w:ind w:firstLine="480" w:firstLineChars="0"/>
        <w:rPr>
          <w:rFonts w:ascii="Times New Roman" w:hAnsi="Times New Roman"/>
          <w:kern w:val="0"/>
        </w:rPr>
      </w:pPr>
      <w:r>
        <w:rPr>
          <w:rFonts w:ascii="Times New Roman" w:hAnsi="Times New Roman"/>
          <w:kern w:val="0"/>
        </w:rPr>
        <w:t>根据以上公式计算，火炬碳排放计算结果见</w:t>
      </w:r>
      <w:r>
        <w:rPr>
          <w:rFonts w:ascii="Times New Roman" w:hAnsi="Times New Roman"/>
          <w:kern w:val="0"/>
        </w:rPr>
        <w:fldChar w:fldCharType="begin"/>
      </w:r>
      <w:r>
        <w:rPr>
          <w:rFonts w:ascii="Times New Roman" w:hAnsi="Times New Roman"/>
          <w:kern w:val="0"/>
        </w:rPr>
        <w:instrText xml:space="preserve"> REF _Ref155280212 \h  \* MERGEFORMAT </w:instrText>
      </w:r>
      <w:r>
        <w:rPr>
          <w:rFonts w:ascii="Times New Roman" w:hAnsi="Times New Roman"/>
          <w:kern w:val="0"/>
        </w:rPr>
        <w:fldChar w:fldCharType="separate"/>
      </w:r>
      <w:r>
        <w:rPr>
          <w:rFonts w:ascii="Times New Roman" w:hAnsi="Times New Roman"/>
        </w:rPr>
        <w:t>表8</w:t>
      </w:r>
      <w:r>
        <w:rPr>
          <w:rFonts w:ascii="Times New Roman" w:hAnsi="Times New Roman"/>
        </w:rPr>
        <w:noBreakHyphen/>
      </w:r>
      <w:r>
        <w:rPr>
          <w:rFonts w:ascii="Times New Roman" w:hAnsi="Times New Roman"/>
        </w:rPr>
        <w:t>8</w:t>
      </w:r>
      <w:r>
        <w:rPr>
          <w:rFonts w:ascii="Times New Roman" w:hAnsi="Times New Roman"/>
          <w:kern w:val="0"/>
        </w:rPr>
        <w:fldChar w:fldCharType="end"/>
      </w:r>
      <w:r>
        <w:rPr>
          <w:rFonts w:ascii="Times New Roman" w:hAnsi="Times New Roman"/>
          <w:kern w:val="0"/>
        </w:rPr>
        <w:t>~</w:t>
      </w:r>
      <w:r>
        <w:rPr>
          <w:rFonts w:ascii="Times New Roman" w:hAnsi="Times New Roman"/>
          <w:kern w:val="0"/>
        </w:rPr>
        <w:fldChar w:fldCharType="begin"/>
      </w:r>
      <w:r>
        <w:rPr>
          <w:rFonts w:ascii="Times New Roman" w:hAnsi="Times New Roman"/>
          <w:kern w:val="0"/>
        </w:rPr>
        <w:instrText xml:space="preserve"> REF _Ref155280216 \h  \* MERGEFORMAT </w:instrText>
      </w:r>
      <w:r>
        <w:rPr>
          <w:rFonts w:ascii="Times New Roman" w:hAnsi="Times New Roman"/>
          <w:kern w:val="0"/>
        </w:rPr>
        <w:fldChar w:fldCharType="separate"/>
      </w:r>
      <w:r>
        <w:rPr>
          <w:rFonts w:ascii="Times New Roman" w:hAnsi="Times New Roman"/>
        </w:rPr>
        <w:t>表8</w:t>
      </w:r>
      <w:r>
        <w:rPr>
          <w:rFonts w:ascii="Times New Roman" w:hAnsi="Times New Roman"/>
        </w:rPr>
        <w:noBreakHyphen/>
      </w:r>
      <w:r>
        <w:rPr>
          <w:rFonts w:ascii="Times New Roman" w:hAnsi="Times New Roman"/>
        </w:rPr>
        <w:t>10</w:t>
      </w:r>
      <w:r>
        <w:rPr>
          <w:rFonts w:ascii="Times New Roman" w:hAnsi="Times New Roman"/>
          <w:kern w:val="0"/>
        </w:rPr>
        <w:fldChar w:fldCharType="end"/>
      </w:r>
      <w:r>
        <w:rPr>
          <w:rFonts w:ascii="Times New Roman" w:hAnsi="Times New Roman"/>
          <w:kern w:val="0"/>
        </w:rPr>
        <w:t>，火炬正常燃烧产生的</w:t>
      </w:r>
      <w:r>
        <w:rPr>
          <w:rFonts w:ascii="Times New Roman" w:hAnsi="Times New Roman"/>
        </w:rPr>
        <w:t>CO</w:t>
      </w:r>
      <w:r>
        <w:rPr>
          <w:rFonts w:ascii="Times New Roman" w:hAnsi="Times New Roman"/>
          <w:vertAlign w:val="subscript"/>
        </w:rPr>
        <w:t>2</w:t>
      </w:r>
      <w:r>
        <w:rPr>
          <w:rFonts w:ascii="Times New Roman" w:hAnsi="Times New Roman"/>
          <w:kern w:val="0"/>
        </w:rPr>
        <w:t>排放量为</w:t>
      </w:r>
      <w:r>
        <w:rPr>
          <w:rFonts w:ascii="Times New Roman" w:hAnsi="Times New Roman"/>
        </w:rPr>
        <w:t>910.74tCO</w:t>
      </w:r>
      <w:r>
        <w:rPr>
          <w:rFonts w:ascii="Times New Roman" w:hAnsi="Times New Roman"/>
          <w:vertAlign w:val="subscript"/>
        </w:rPr>
        <w:t>2</w:t>
      </w:r>
      <w:r>
        <w:rPr>
          <w:rFonts w:ascii="Times New Roman" w:hAnsi="Times New Roman"/>
        </w:rPr>
        <w:t>，</w:t>
      </w:r>
      <w:r>
        <w:rPr>
          <w:rFonts w:ascii="Times New Roman" w:hAnsi="Times New Roman"/>
          <w:kern w:val="0"/>
        </w:rPr>
        <w:t>火炬正常燃烧产生的</w:t>
      </w:r>
      <w:r>
        <w:rPr>
          <w:rFonts w:ascii="Times New Roman" w:hAnsi="Times New Roman"/>
        </w:rPr>
        <w:t>CH</w:t>
      </w:r>
      <w:r>
        <w:rPr>
          <w:rFonts w:ascii="Times New Roman" w:hAnsi="Times New Roman"/>
          <w:vertAlign w:val="subscript"/>
        </w:rPr>
        <w:t>4</w:t>
      </w:r>
      <w:r>
        <w:rPr>
          <w:rFonts w:ascii="Times New Roman" w:hAnsi="Times New Roman"/>
          <w:kern w:val="0"/>
        </w:rPr>
        <w:t>排放量为</w:t>
      </w:r>
      <w:r>
        <w:rPr>
          <w:rFonts w:ascii="Times New Roman" w:hAnsi="Times New Roman"/>
        </w:rPr>
        <w:t>2.19t，折CO</w:t>
      </w:r>
      <w:r>
        <w:rPr>
          <w:rFonts w:ascii="Times New Roman" w:hAnsi="Times New Roman"/>
          <w:vertAlign w:val="subscript"/>
        </w:rPr>
        <w:t>2</w:t>
      </w:r>
      <w:r>
        <w:rPr>
          <w:rFonts w:ascii="Times New Roman" w:hAnsi="Times New Roman"/>
        </w:rPr>
        <w:t>当量为45.99tCO</w:t>
      </w:r>
      <w:r>
        <w:rPr>
          <w:rFonts w:ascii="Times New Roman" w:hAnsi="Times New Roman"/>
          <w:vertAlign w:val="subscript"/>
        </w:rPr>
        <w:t>2</w:t>
      </w:r>
      <w:r>
        <w:rPr>
          <w:rFonts w:ascii="Times New Roman" w:hAnsi="Times New Roman"/>
        </w:rPr>
        <w:t>。综合，</w:t>
      </w:r>
      <w:r>
        <w:rPr>
          <w:rFonts w:ascii="Times New Roman" w:hAnsi="Times New Roman"/>
          <w:kern w:val="0"/>
        </w:rPr>
        <w:t>火炬正常燃烧产生的碳排放量为</w:t>
      </w:r>
      <w:r>
        <w:rPr>
          <w:rFonts w:ascii="Times New Roman" w:hAnsi="Times New Roman"/>
        </w:rPr>
        <w:t>956.73tCO</w:t>
      </w:r>
      <w:r>
        <w:rPr>
          <w:rFonts w:ascii="Times New Roman" w:hAnsi="Times New Roman"/>
          <w:vertAlign w:val="subscript"/>
        </w:rPr>
        <w:t>2</w:t>
      </w:r>
      <w:r>
        <w:rPr>
          <w:rFonts w:ascii="Times New Roman" w:hAnsi="Times New Roman"/>
        </w:rPr>
        <w:t>。</w:t>
      </w:r>
    </w:p>
    <w:p>
      <w:pPr>
        <w:pStyle w:val="37"/>
        <w:rPr>
          <w:rFonts w:ascii="Times New Roman" w:hAnsi="Times New Roman" w:cs="Times New Roman"/>
        </w:rPr>
      </w:pPr>
      <w:bookmarkStart w:id="375" w:name="_Ref155280212"/>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bookmarkEnd w:id="375"/>
      <w:r>
        <w:rPr>
          <w:rFonts w:ascii="Times New Roman" w:hAnsi="Times New Roman" w:cs="Times New Roman"/>
        </w:rPr>
        <w:t xml:space="preserve">  本项目火炬正常CO</w:t>
      </w:r>
      <w:r>
        <w:rPr>
          <w:rFonts w:ascii="Times New Roman" w:hAnsi="Times New Roman" w:cs="Times New Roman"/>
          <w:vertAlign w:val="subscript"/>
        </w:rPr>
        <w:t>2</w:t>
      </w:r>
      <w:r>
        <w:rPr>
          <w:rFonts w:ascii="Times New Roman" w:hAnsi="Times New Roman" w:cs="Times New Roman"/>
        </w:rPr>
        <w:t>排放情况</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6"/>
        <w:gridCol w:w="1021"/>
        <w:gridCol w:w="1747"/>
        <w:gridCol w:w="1214"/>
        <w:gridCol w:w="1328"/>
        <w:gridCol w:w="13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pct"/>
            <w:vMerge w:val="restart"/>
          </w:tcPr>
          <w:p>
            <w:pPr>
              <w:pStyle w:val="39"/>
              <w:rPr>
                <w:rFonts w:ascii="Times New Roman" w:hAnsi="Times New Roman"/>
              </w:rPr>
            </w:pPr>
            <w:r>
              <w:rPr>
                <w:rFonts w:ascii="Times New Roman" w:hAnsi="Times New Roman"/>
              </w:rPr>
              <w:t>名称</w:t>
            </w:r>
          </w:p>
        </w:tc>
        <w:tc>
          <w:tcPr>
            <w:tcW w:w="599" w:type="pct"/>
          </w:tcPr>
          <w:p>
            <w:pPr>
              <w:pStyle w:val="39"/>
              <w:rPr>
                <w:rFonts w:ascii="Times New Roman" w:hAnsi="Times New Roman"/>
                <w:i/>
                <w:iCs/>
              </w:rPr>
            </w:pPr>
            <w:r>
              <w:rPr>
                <w:rFonts w:ascii="Times New Roman" w:hAnsi="Times New Roman"/>
                <w:i/>
                <w:iCs/>
              </w:rPr>
              <w:t>Q</w:t>
            </w:r>
            <w:r>
              <w:rPr>
                <w:rFonts w:ascii="Times New Roman" w:hAnsi="Times New Roman"/>
                <w:i/>
                <w:iCs/>
                <w:vertAlign w:val="subscript"/>
              </w:rPr>
              <w:t>正常火炬</w:t>
            </w:r>
          </w:p>
        </w:tc>
        <w:tc>
          <w:tcPr>
            <w:tcW w:w="1025" w:type="pct"/>
          </w:tcPr>
          <w:p>
            <w:pPr>
              <w:pStyle w:val="39"/>
              <w:rPr>
                <w:rFonts w:ascii="Times New Roman" w:hAnsi="Times New Roman"/>
                <w:i/>
                <w:iCs/>
              </w:rPr>
            </w:pPr>
            <w:r>
              <w:rPr>
                <w:rFonts w:ascii="Times New Roman" w:hAnsi="Times New Roman"/>
                <w:i/>
                <w:iCs/>
              </w:rPr>
              <w:t>CC</w:t>
            </w:r>
            <w:r>
              <w:rPr>
                <w:rFonts w:ascii="Times New Roman" w:hAnsi="Times New Roman"/>
                <w:i/>
                <w:iCs/>
                <w:vertAlign w:val="subscript"/>
              </w:rPr>
              <w:t>非</w:t>
            </w:r>
            <w:r>
              <w:rPr>
                <w:rFonts w:ascii="Cambria Math" w:hAnsi="Cambria Math" w:cs="Cambria Math"/>
                <w:i/>
                <w:iCs/>
                <w:vertAlign w:val="subscript"/>
              </w:rPr>
              <w:t>𝐶𝑂</w:t>
            </w:r>
            <w:r>
              <w:rPr>
                <w:rFonts w:ascii="Times New Roman" w:hAnsi="Times New Roman"/>
                <w:i/>
                <w:iCs/>
                <w:vertAlign w:val="subscript"/>
              </w:rPr>
              <w:t>2</w:t>
            </w:r>
          </w:p>
        </w:tc>
        <w:tc>
          <w:tcPr>
            <w:tcW w:w="712" w:type="pct"/>
          </w:tcPr>
          <w:p>
            <w:pPr>
              <w:pStyle w:val="39"/>
              <w:rPr>
                <w:rFonts w:ascii="Times New Roman" w:hAnsi="Times New Roman"/>
                <w:i/>
                <w:iCs/>
              </w:rPr>
            </w:pPr>
            <w:r>
              <w:rPr>
                <w:rFonts w:ascii="Times New Roman" w:hAnsi="Times New Roman"/>
                <w:i/>
                <w:iCs/>
              </w:rPr>
              <w:t>OF</w:t>
            </w:r>
            <w:r>
              <w:rPr>
                <w:rFonts w:ascii="Times New Roman" w:hAnsi="Times New Roman"/>
                <w:i/>
                <w:iCs/>
                <w:vertAlign w:val="subscript"/>
              </w:rPr>
              <w:t>碳氧化率</w:t>
            </w:r>
          </w:p>
        </w:tc>
        <w:tc>
          <w:tcPr>
            <w:tcW w:w="779" w:type="pct"/>
          </w:tcPr>
          <w:p>
            <w:pPr>
              <w:pStyle w:val="39"/>
              <w:rPr>
                <w:rFonts w:ascii="Times New Roman" w:hAnsi="Times New Roman"/>
                <w:i/>
                <w:iCs/>
              </w:rPr>
            </w:pPr>
            <w:r>
              <w:rPr>
                <w:rFonts w:ascii="Times New Roman" w:hAnsi="Times New Roman"/>
                <w:i/>
                <w:iCs/>
              </w:rPr>
              <w:t>V</w:t>
            </w:r>
            <w:r>
              <w:rPr>
                <w:rFonts w:ascii="Times New Roman" w:hAnsi="Times New Roman"/>
                <w:i/>
                <w:iCs/>
                <w:vertAlign w:val="subscript"/>
              </w:rPr>
              <w:t>CO2</w:t>
            </w:r>
          </w:p>
        </w:tc>
        <w:tc>
          <w:tcPr>
            <w:tcW w:w="778" w:type="pct"/>
          </w:tcPr>
          <w:p>
            <w:pPr>
              <w:pStyle w:val="39"/>
              <w:rPr>
                <w:rFonts w:ascii="Times New Roman" w:hAnsi="Times New Roman"/>
                <w:i/>
                <w:iCs/>
              </w:rPr>
            </w:pPr>
            <w:r>
              <w:rPr>
                <w:rFonts w:ascii="Cambria Math" w:hAnsi="Cambria Math" w:cs="Cambria Math"/>
                <w:i/>
                <w:iCs/>
              </w:rPr>
              <w:t>𝐸</w:t>
            </w:r>
            <w:r>
              <w:rPr>
                <w:rFonts w:ascii="Times New Roman" w:hAnsi="Times New Roman"/>
                <w:i/>
                <w:iCs/>
                <w:vertAlign w:val="subscript"/>
              </w:rPr>
              <w:t>正常火炬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pct"/>
            <w:vMerge w:val="continue"/>
          </w:tcPr>
          <w:p>
            <w:pPr>
              <w:pStyle w:val="39"/>
              <w:rPr>
                <w:rFonts w:ascii="Times New Roman" w:hAnsi="Times New Roman"/>
              </w:rPr>
            </w:pPr>
          </w:p>
        </w:tc>
        <w:tc>
          <w:tcPr>
            <w:tcW w:w="599" w:type="pct"/>
          </w:tcPr>
          <w:p>
            <w:pPr>
              <w:pStyle w:val="39"/>
              <w:rPr>
                <w:rFonts w:ascii="Times New Roman" w:hAnsi="Times New Roman"/>
              </w:rPr>
            </w:pPr>
            <w:r>
              <w:rPr>
                <w:rFonts w:ascii="Times New Roman" w:hAnsi="Times New Roman"/>
              </w:rPr>
              <w:t>万Nm</w:t>
            </w:r>
            <w:r>
              <w:rPr>
                <w:rFonts w:ascii="Times New Roman" w:hAnsi="Times New Roman"/>
                <w:vertAlign w:val="superscript"/>
              </w:rPr>
              <w:t>3</w:t>
            </w:r>
          </w:p>
        </w:tc>
        <w:tc>
          <w:tcPr>
            <w:tcW w:w="1025" w:type="pct"/>
          </w:tcPr>
          <w:p>
            <w:pPr>
              <w:pStyle w:val="39"/>
              <w:rPr>
                <w:rFonts w:ascii="Times New Roman" w:hAnsi="Times New Roman"/>
              </w:rPr>
            </w:pPr>
            <w:r>
              <w:rPr>
                <w:rFonts w:ascii="Times New Roman" w:hAnsi="Times New Roman"/>
              </w:rPr>
              <w:t>tCO</w:t>
            </w:r>
            <w:r>
              <w:rPr>
                <w:rFonts w:ascii="Times New Roman" w:hAnsi="Times New Roman"/>
                <w:vertAlign w:val="subscript"/>
              </w:rPr>
              <w:t>2</w:t>
            </w:r>
            <w:r>
              <w:rPr>
                <w:rFonts w:ascii="Times New Roman" w:hAnsi="Times New Roman"/>
              </w:rPr>
              <w:t>/万Nm</w:t>
            </w:r>
            <w:r>
              <w:rPr>
                <w:rFonts w:ascii="Times New Roman" w:hAnsi="Times New Roman"/>
                <w:vertAlign w:val="superscript"/>
              </w:rPr>
              <w:t>3</w:t>
            </w:r>
          </w:p>
        </w:tc>
        <w:tc>
          <w:tcPr>
            <w:tcW w:w="712" w:type="pct"/>
          </w:tcPr>
          <w:p>
            <w:pPr>
              <w:pStyle w:val="39"/>
              <w:rPr>
                <w:rFonts w:ascii="Times New Roman" w:hAnsi="Times New Roman"/>
              </w:rPr>
            </w:pPr>
            <w:r>
              <w:rPr>
                <w:rFonts w:ascii="Times New Roman" w:hAnsi="Times New Roman"/>
              </w:rPr>
              <w:t>/</w:t>
            </w:r>
          </w:p>
        </w:tc>
        <w:tc>
          <w:tcPr>
            <w:tcW w:w="779" w:type="pct"/>
          </w:tcPr>
          <w:p>
            <w:pPr>
              <w:pStyle w:val="39"/>
              <w:rPr>
                <w:rFonts w:ascii="Times New Roman" w:hAnsi="Times New Roman"/>
              </w:rPr>
            </w:pPr>
            <w:r>
              <w:rPr>
                <w:rFonts w:ascii="Times New Roman" w:hAnsi="Times New Roman"/>
              </w:rPr>
              <w:t>/</w:t>
            </w:r>
          </w:p>
        </w:tc>
        <w:tc>
          <w:tcPr>
            <w:tcW w:w="778" w:type="pct"/>
          </w:tcPr>
          <w:p>
            <w:pPr>
              <w:pStyle w:val="39"/>
              <w:rPr>
                <w:rFonts w:ascii="Times New Roman" w:hAnsi="Times New Roman"/>
              </w:rPr>
            </w:pPr>
            <w:r>
              <w:rPr>
                <w:rFonts w:ascii="Times New Roman" w:hAnsi="Times New Roman"/>
              </w:rPr>
              <w:t>tCO</w:t>
            </w:r>
            <w:r>
              <w:rPr>
                <w:rFonts w:ascii="Times New Roman" w:hAnsi="Times New Roman"/>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pct"/>
          </w:tcPr>
          <w:p>
            <w:pPr>
              <w:pStyle w:val="39"/>
              <w:rPr>
                <w:rFonts w:ascii="Times New Roman" w:hAnsi="Times New Roman"/>
              </w:rPr>
            </w:pPr>
            <w:r>
              <w:rPr>
                <w:rFonts w:ascii="Times New Roman" w:hAnsi="Times New Roman"/>
              </w:rPr>
              <w:t>宣探1井站火炬</w:t>
            </w:r>
          </w:p>
        </w:tc>
        <w:tc>
          <w:tcPr>
            <w:tcW w:w="599" w:type="pct"/>
            <w:vAlign w:val="center"/>
          </w:tcPr>
          <w:p>
            <w:pPr>
              <w:pStyle w:val="39"/>
              <w:rPr>
                <w:rFonts w:ascii="Times New Roman" w:hAnsi="Times New Roman"/>
              </w:rPr>
            </w:pPr>
            <w:r>
              <w:rPr>
                <w:rFonts w:ascii="Times New Roman" w:hAnsi="Times New Roman"/>
              </w:rPr>
              <w:t>6.4</w:t>
            </w:r>
          </w:p>
        </w:tc>
        <w:tc>
          <w:tcPr>
            <w:tcW w:w="1025" w:type="pct"/>
            <w:vAlign w:val="center"/>
          </w:tcPr>
          <w:p>
            <w:pPr>
              <w:pStyle w:val="39"/>
              <w:rPr>
                <w:rFonts w:ascii="Times New Roman" w:hAnsi="Times New Roman"/>
              </w:rPr>
            </w:pPr>
            <w:r>
              <w:rPr>
                <w:rFonts w:ascii="Times New Roman" w:hAnsi="Times New Roman"/>
              </w:rPr>
              <w:t>12.90</w:t>
            </w:r>
          </w:p>
        </w:tc>
        <w:tc>
          <w:tcPr>
            <w:tcW w:w="712" w:type="pct"/>
            <w:vAlign w:val="center"/>
          </w:tcPr>
          <w:p>
            <w:pPr>
              <w:pStyle w:val="39"/>
              <w:rPr>
                <w:rFonts w:ascii="Times New Roman" w:hAnsi="Times New Roman"/>
              </w:rPr>
            </w:pPr>
            <w:r>
              <w:rPr>
                <w:rFonts w:ascii="Times New Roman" w:hAnsi="Times New Roman"/>
              </w:rPr>
              <w:t>0.98</w:t>
            </w:r>
          </w:p>
        </w:tc>
        <w:tc>
          <w:tcPr>
            <w:tcW w:w="779" w:type="pct"/>
            <w:vAlign w:val="center"/>
          </w:tcPr>
          <w:p>
            <w:pPr>
              <w:pStyle w:val="39"/>
              <w:rPr>
                <w:rFonts w:ascii="Times New Roman" w:hAnsi="Times New Roman"/>
              </w:rPr>
            </w:pPr>
            <w:r>
              <w:rPr>
                <w:rFonts w:ascii="Times New Roman" w:hAnsi="Times New Roman"/>
              </w:rPr>
              <w:t>0.0832</w:t>
            </w:r>
          </w:p>
        </w:tc>
        <w:tc>
          <w:tcPr>
            <w:tcW w:w="778" w:type="pct"/>
            <w:vAlign w:val="center"/>
          </w:tcPr>
          <w:p>
            <w:pPr>
              <w:pStyle w:val="39"/>
              <w:rPr>
                <w:rFonts w:ascii="Times New Roman" w:hAnsi="Times New Roman"/>
              </w:rPr>
            </w:pPr>
            <w:r>
              <w:rPr>
                <w:rFonts w:ascii="Times New Roman" w:hAnsi="Times New Roman"/>
              </w:rPr>
              <w:t>307.17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pct"/>
          </w:tcPr>
          <w:p>
            <w:pPr>
              <w:pStyle w:val="39"/>
              <w:rPr>
                <w:rFonts w:ascii="Times New Roman" w:hAnsi="Times New Roman"/>
              </w:rPr>
            </w:pPr>
            <w:r>
              <w:rPr>
                <w:rFonts w:ascii="Times New Roman" w:hAnsi="Times New Roman"/>
              </w:rPr>
              <w:t>宣兴1井站火炬</w:t>
            </w:r>
          </w:p>
        </w:tc>
        <w:tc>
          <w:tcPr>
            <w:tcW w:w="599" w:type="pct"/>
            <w:vAlign w:val="center"/>
          </w:tcPr>
          <w:p>
            <w:pPr>
              <w:pStyle w:val="39"/>
              <w:rPr>
                <w:rFonts w:ascii="Times New Roman" w:hAnsi="Times New Roman"/>
              </w:rPr>
            </w:pPr>
            <w:r>
              <w:rPr>
                <w:rFonts w:ascii="Times New Roman" w:hAnsi="Times New Roman"/>
              </w:rPr>
              <w:t>6.4</w:t>
            </w:r>
          </w:p>
        </w:tc>
        <w:tc>
          <w:tcPr>
            <w:tcW w:w="1025" w:type="pct"/>
            <w:vAlign w:val="center"/>
          </w:tcPr>
          <w:p>
            <w:pPr>
              <w:pStyle w:val="39"/>
              <w:rPr>
                <w:rFonts w:ascii="Times New Roman" w:hAnsi="Times New Roman"/>
              </w:rPr>
            </w:pPr>
            <w:r>
              <w:rPr>
                <w:rFonts w:ascii="Times New Roman" w:hAnsi="Times New Roman"/>
              </w:rPr>
              <w:t>12.46</w:t>
            </w:r>
          </w:p>
        </w:tc>
        <w:tc>
          <w:tcPr>
            <w:tcW w:w="712" w:type="pct"/>
            <w:vAlign w:val="center"/>
          </w:tcPr>
          <w:p>
            <w:pPr>
              <w:pStyle w:val="39"/>
              <w:rPr>
                <w:rFonts w:ascii="Times New Roman" w:hAnsi="Times New Roman"/>
              </w:rPr>
            </w:pPr>
            <w:r>
              <w:rPr>
                <w:rFonts w:ascii="Times New Roman" w:hAnsi="Times New Roman"/>
              </w:rPr>
              <w:t>0.98</w:t>
            </w:r>
          </w:p>
        </w:tc>
        <w:tc>
          <w:tcPr>
            <w:tcW w:w="779" w:type="pct"/>
            <w:vAlign w:val="center"/>
          </w:tcPr>
          <w:p>
            <w:pPr>
              <w:pStyle w:val="39"/>
              <w:rPr>
                <w:rFonts w:ascii="Times New Roman" w:hAnsi="Times New Roman"/>
              </w:rPr>
            </w:pPr>
            <w:r>
              <w:rPr>
                <w:rFonts w:ascii="Times New Roman" w:hAnsi="Times New Roman"/>
              </w:rPr>
              <w:t>0.0739</w:t>
            </w:r>
          </w:p>
        </w:tc>
        <w:tc>
          <w:tcPr>
            <w:tcW w:w="778" w:type="pct"/>
            <w:vAlign w:val="center"/>
          </w:tcPr>
          <w:p>
            <w:pPr>
              <w:pStyle w:val="39"/>
              <w:rPr>
                <w:rFonts w:ascii="Times New Roman" w:hAnsi="Times New Roman"/>
              </w:rPr>
            </w:pPr>
            <w:r>
              <w:rPr>
                <w:rFonts w:ascii="Times New Roman" w:hAnsi="Times New Roman"/>
              </w:rPr>
              <w:t>296.40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pct"/>
          </w:tcPr>
          <w:p>
            <w:pPr>
              <w:pStyle w:val="39"/>
              <w:rPr>
                <w:rFonts w:ascii="Times New Roman" w:hAnsi="Times New Roman"/>
              </w:rPr>
            </w:pPr>
            <w:r>
              <w:rPr>
                <w:rFonts w:ascii="Times New Roman" w:hAnsi="Times New Roman"/>
              </w:rPr>
              <w:t>宣探清管站火炬</w:t>
            </w:r>
          </w:p>
        </w:tc>
        <w:tc>
          <w:tcPr>
            <w:tcW w:w="599" w:type="pct"/>
            <w:vAlign w:val="center"/>
          </w:tcPr>
          <w:p>
            <w:pPr>
              <w:pStyle w:val="39"/>
              <w:rPr>
                <w:rFonts w:ascii="Times New Roman" w:hAnsi="Times New Roman"/>
              </w:rPr>
            </w:pPr>
            <w:r>
              <w:rPr>
                <w:rFonts w:ascii="Times New Roman" w:hAnsi="Times New Roman"/>
              </w:rPr>
              <w:t>6.4</w:t>
            </w:r>
          </w:p>
        </w:tc>
        <w:tc>
          <w:tcPr>
            <w:tcW w:w="1025" w:type="pct"/>
            <w:vAlign w:val="center"/>
          </w:tcPr>
          <w:p>
            <w:pPr>
              <w:pStyle w:val="39"/>
              <w:rPr>
                <w:rFonts w:ascii="Times New Roman" w:hAnsi="Times New Roman"/>
              </w:rPr>
            </w:pPr>
            <w:r>
              <w:rPr>
                <w:rFonts w:ascii="Times New Roman" w:hAnsi="Times New Roman"/>
              </w:rPr>
              <w:t>12.90</w:t>
            </w:r>
          </w:p>
        </w:tc>
        <w:tc>
          <w:tcPr>
            <w:tcW w:w="712" w:type="pct"/>
            <w:vAlign w:val="center"/>
          </w:tcPr>
          <w:p>
            <w:pPr>
              <w:pStyle w:val="39"/>
              <w:rPr>
                <w:rFonts w:ascii="Times New Roman" w:hAnsi="Times New Roman"/>
              </w:rPr>
            </w:pPr>
            <w:r>
              <w:rPr>
                <w:rFonts w:ascii="Times New Roman" w:hAnsi="Times New Roman"/>
              </w:rPr>
              <w:t>0.98</w:t>
            </w:r>
          </w:p>
        </w:tc>
        <w:tc>
          <w:tcPr>
            <w:tcW w:w="779" w:type="pct"/>
            <w:vAlign w:val="center"/>
          </w:tcPr>
          <w:p>
            <w:pPr>
              <w:pStyle w:val="39"/>
              <w:rPr>
                <w:rFonts w:ascii="Times New Roman" w:hAnsi="Times New Roman"/>
              </w:rPr>
            </w:pPr>
            <w:r>
              <w:rPr>
                <w:rFonts w:ascii="Times New Roman" w:hAnsi="Times New Roman"/>
              </w:rPr>
              <w:t>0.0832</w:t>
            </w:r>
          </w:p>
        </w:tc>
        <w:tc>
          <w:tcPr>
            <w:tcW w:w="778" w:type="pct"/>
            <w:vAlign w:val="center"/>
          </w:tcPr>
          <w:p>
            <w:pPr>
              <w:pStyle w:val="39"/>
              <w:rPr>
                <w:rFonts w:ascii="Times New Roman" w:hAnsi="Times New Roman"/>
              </w:rPr>
            </w:pPr>
            <w:r>
              <w:rPr>
                <w:rFonts w:ascii="Times New Roman" w:hAnsi="Times New Roman"/>
              </w:rPr>
              <w:t>307.17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pct"/>
          </w:tcPr>
          <w:p>
            <w:pPr>
              <w:pStyle w:val="39"/>
              <w:rPr>
                <w:rFonts w:ascii="Times New Roman" w:hAnsi="Times New Roman"/>
              </w:rPr>
            </w:pPr>
            <w:r>
              <w:rPr>
                <w:rFonts w:ascii="Times New Roman" w:hAnsi="Times New Roman"/>
              </w:rPr>
              <w:t>合计</w:t>
            </w:r>
          </w:p>
        </w:tc>
        <w:tc>
          <w:tcPr>
            <w:tcW w:w="599" w:type="pct"/>
          </w:tcPr>
          <w:p>
            <w:pPr>
              <w:pStyle w:val="39"/>
              <w:rPr>
                <w:rFonts w:ascii="Times New Roman" w:hAnsi="Times New Roman"/>
              </w:rPr>
            </w:pPr>
            <w:r>
              <w:rPr>
                <w:rFonts w:ascii="Times New Roman" w:hAnsi="Times New Roman"/>
              </w:rPr>
              <w:t>/</w:t>
            </w:r>
          </w:p>
        </w:tc>
        <w:tc>
          <w:tcPr>
            <w:tcW w:w="1025" w:type="pct"/>
          </w:tcPr>
          <w:p>
            <w:pPr>
              <w:pStyle w:val="39"/>
              <w:rPr>
                <w:rFonts w:ascii="Times New Roman" w:hAnsi="Times New Roman"/>
              </w:rPr>
            </w:pPr>
            <w:r>
              <w:rPr>
                <w:rFonts w:ascii="Times New Roman" w:hAnsi="Times New Roman"/>
              </w:rPr>
              <w:t>/</w:t>
            </w:r>
          </w:p>
        </w:tc>
        <w:tc>
          <w:tcPr>
            <w:tcW w:w="712" w:type="pct"/>
          </w:tcPr>
          <w:p>
            <w:pPr>
              <w:pStyle w:val="39"/>
              <w:rPr>
                <w:rFonts w:ascii="Times New Roman" w:hAnsi="Times New Roman"/>
              </w:rPr>
            </w:pPr>
            <w:r>
              <w:rPr>
                <w:rFonts w:ascii="Times New Roman" w:hAnsi="Times New Roman"/>
              </w:rPr>
              <w:t>/</w:t>
            </w:r>
          </w:p>
        </w:tc>
        <w:tc>
          <w:tcPr>
            <w:tcW w:w="779" w:type="pct"/>
          </w:tcPr>
          <w:p>
            <w:pPr>
              <w:pStyle w:val="39"/>
              <w:rPr>
                <w:rFonts w:ascii="Times New Roman" w:hAnsi="Times New Roman"/>
              </w:rPr>
            </w:pPr>
            <w:r>
              <w:rPr>
                <w:rFonts w:ascii="Times New Roman" w:hAnsi="Times New Roman"/>
              </w:rPr>
              <w:t>/</w:t>
            </w:r>
          </w:p>
        </w:tc>
        <w:tc>
          <w:tcPr>
            <w:tcW w:w="778" w:type="pct"/>
          </w:tcPr>
          <w:p>
            <w:pPr>
              <w:pStyle w:val="39"/>
              <w:rPr>
                <w:rFonts w:ascii="Times New Roman" w:hAnsi="Times New Roman"/>
              </w:rPr>
            </w:pPr>
            <w:r>
              <w:rPr>
                <w:rFonts w:ascii="Times New Roman" w:hAnsi="Times New Roman"/>
              </w:rPr>
              <w:t>910.74</w:t>
            </w:r>
          </w:p>
        </w:tc>
      </w:tr>
    </w:tbl>
    <w:p>
      <w:pPr>
        <w:pStyle w:val="37"/>
        <w:rPr>
          <w:rFonts w:ascii="Times New Roman" w:hAnsi="Times New Roman" w:cs="Times New Roman"/>
        </w:rPr>
      </w:pPr>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t xml:space="preserve"> 本项目火炬正常CH</w:t>
      </w:r>
      <w:r>
        <w:rPr>
          <w:rFonts w:ascii="Times New Roman" w:hAnsi="Times New Roman" w:cs="Times New Roman"/>
          <w:vertAlign w:val="subscript"/>
        </w:rPr>
        <w:t>4</w:t>
      </w:r>
      <w:r>
        <w:rPr>
          <w:rFonts w:ascii="Times New Roman" w:hAnsi="Times New Roman" w:cs="Times New Roman"/>
        </w:rPr>
        <w:t>排放情况</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2"/>
        <w:gridCol w:w="1602"/>
        <w:gridCol w:w="1718"/>
        <w:gridCol w:w="1710"/>
        <w:gridCol w:w="17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pct"/>
            <w:vMerge w:val="restart"/>
          </w:tcPr>
          <w:p>
            <w:pPr>
              <w:pStyle w:val="39"/>
              <w:rPr>
                <w:rFonts w:ascii="Times New Roman" w:hAnsi="Times New Roman"/>
              </w:rPr>
            </w:pPr>
            <w:r>
              <w:rPr>
                <w:rFonts w:ascii="Times New Roman" w:hAnsi="Times New Roman"/>
              </w:rPr>
              <w:t>名称</w:t>
            </w:r>
          </w:p>
        </w:tc>
        <w:tc>
          <w:tcPr>
            <w:tcW w:w="940" w:type="pct"/>
          </w:tcPr>
          <w:p>
            <w:pPr>
              <w:pStyle w:val="39"/>
              <w:rPr>
                <w:rFonts w:ascii="Times New Roman" w:hAnsi="Times New Roman"/>
                <w:i/>
                <w:iCs/>
              </w:rPr>
            </w:pPr>
            <w:r>
              <w:rPr>
                <w:rFonts w:ascii="Times New Roman" w:hAnsi="Times New Roman"/>
                <w:i/>
                <w:iCs/>
              </w:rPr>
              <w:t>Q</w:t>
            </w:r>
            <w:r>
              <w:rPr>
                <w:rFonts w:ascii="Times New Roman" w:hAnsi="Times New Roman"/>
                <w:i/>
                <w:iCs/>
                <w:vertAlign w:val="subscript"/>
              </w:rPr>
              <w:t>正常火炬</w:t>
            </w:r>
          </w:p>
        </w:tc>
        <w:tc>
          <w:tcPr>
            <w:tcW w:w="1008" w:type="pct"/>
          </w:tcPr>
          <w:p>
            <w:pPr>
              <w:pStyle w:val="39"/>
              <w:rPr>
                <w:rFonts w:ascii="Times New Roman" w:hAnsi="Times New Roman"/>
                <w:i/>
                <w:iCs/>
              </w:rPr>
            </w:pPr>
            <w:r>
              <w:rPr>
                <w:rFonts w:ascii="Times New Roman" w:hAnsi="Times New Roman"/>
                <w:i/>
                <w:iCs/>
              </w:rPr>
              <w:t>OF</w:t>
            </w:r>
            <w:r>
              <w:rPr>
                <w:rFonts w:ascii="Times New Roman" w:hAnsi="Times New Roman"/>
                <w:i/>
                <w:iCs/>
                <w:vertAlign w:val="subscript"/>
              </w:rPr>
              <w:t>碳氧化率</w:t>
            </w:r>
          </w:p>
        </w:tc>
        <w:tc>
          <w:tcPr>
            <w:tcW w:w="1003" w:type="pct"/>
          </w:tcPr>
          <w:p>
            <w:pPr>
              <w:pStyle w:val="39"/>
              <w:rPr>
                <w:rFonts w:ascii="Times New Roman" w:hAnsi="Times New Roman"/>
                <w:i/>
                <w:iCs/>
              </w:rPr>
            </w:pPr>
            <w:r>
              <w:rPr>
                <w:rFonts w:ascii="Times New Roman" w:hAnsi="Times New Roman"/>
                <w:i/>
                <w:iCs/>
              </w:rPr>
              <w:t>V</w:t>
            </w:r>
            <w:r>
              <w:rPr>
                <w:rFonts w:ascii="Times New Roman" w:hAnsi="Times New Roman"/>
                <w:i/>
                <w:iCs/>
                <w:vertAlign w:val="subscript"/>
              </w:rPr>
              <w:t>CH4</w:t>
            </w:r>
          </w:p>
        </w:tc>
        <w:tc>
          <w:tcPr>
            <w:tcW w:w="1003" w:type="pct"/>
          </w:tcPr>
          <w:p>
            <w:pPr>
              <w:pStyle w:val="39"/>
              <w:rPr>
                <w:rFonts w:ascii="Times New Roman" w:hAnsi="Times New Roman"/>
                <w:i/>
                <w:iCs/>
              </w:rPr>
            </w:pPr>
            <w:r>
              <w:rPr>
                <w:rFonts w:ascii="Cambria Math" w:hAnsi="Cambria Math" w:cs="Cambria Math"/>
                <w:i/>
                <w:iCs/>
              </w:rPr>
              <w:t>𝐸</w:t>
            </w:r>
            <w:r>
              <w:rPr>
                <w:rFonts w:ascii="Times New Roman" w:hAnsi="Times New Roman"/>
                <w:i/>
                <w:iCs/>
                <w:vertAlign w:val="subscript"/>
              </w:rPr>
              <w:t>CH4正常火炬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pct"/>
            <w:vMerge w:val="continue"/>
          </w:tcPr>
          <w:p>
            <w:pPr>
              <w:pStyle w:val="39"/>
              <w:rPr>
                <w:rFonts w:ascii="Times New Roman" w:hAnsi="Times New Roman"/>
              </w:rPr>
            </w:pPr>
          </w:p>
        </w:tc>
        <w:tc>
          <w:tcPr>
            <w:tcW w:w="940" w:type="pct"/>
          </w:tcPr>
          <w:p>
            <w:pPr>
              <w:pStyle w:val="39"/>
              <w:rPr>
                <w:rFonts w:ascii="Times New Roman" w:hAnsi="Times New Roman"/>
              </w:rPr>
            </w:pPr>
            <w:r>
              <w:rPr>
                <w:rFonts w:ascii="Times New Roman" w:hAnsi="Times New Roman"/>
              </w:rPr>
              <w:t>万Nm</w:t>
            </w:r>
            <w:r>
              <w:rPr>
                <w:rFonts w:ascii="Times New Roman" w:hAnsi="Times New Roman"/>
                <w:vertAlign w:val="superscript"/>
              </w:rPr>
              <w:t>3</w:t>
            </w:r>
          </w:p>
        </w:tc>
        <w:tc>
          <w:tcPr>
            <w:tcW w:w="1008" w:type="pct"/>
          </w:tcPr>
          <w:p>
            <w:pPr>
              <w:pStyle w:val="39"/>
              <w:rPr>
                <w:rFonts w:ascii="Times New Roman" w:hAnsi="Times New Roman"/>
              </w:rPr>
            </w:pPr>
            <w:r>
              <w:rPr>
                <w:rFonts w:ascii="Times New Roman" w:hAnsi="Times New Roman"/>
              </w:rPr>
              <w:t>/</w:t>
            </w:r>
          </w:p>
        </w:tc>
        <w:tc>
          <w:tcPr>
            <w:tcW w:w="1003" w:type="pct"/>
          </w:tcPr>
          <w:p>
            <w:pPr>
              <w:pStyle w:val="39"/>
              <w:rPr>
                <w:rFonts w:ascii="Times New Roman" w:hAnsi="Times New Roman"/>
              </w:rPr>
            </w:pPr>
            <w:r>
              <w:rPr>
                <w:rFonts w:ascii="Times New Roman" w:hAnsi="Times New Roman"/>
              </w:rPr>
              <w:t>/</w:t>
            </w:r>
          </w:p>
        </w:tc>
        <w:tc>
          <w:tcPr>
            <w:tcW w:w="1003" w:type="pct"/>
          </w:tcPr>
          <w:p>
            <w:pPr>
              <w:pStyle w:val="39"/>
              <w:rPr>
                <w:rFonts w:ascii="Times New Roman" w:hAnsi="Times New Roman"/>
              </w:rPr>
            </w:pPr>
            <w:r>
              <w:rPr>
                <w:rFonts w:ascii="Times New Roman" w:hAnsi="Times New Roman"/>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pct"/>
          </w:tcPr>
          <w:p>
            <w:pPr>
              <w:pStyle w:val="39"/>
              <w:rPr>
                <w:rFonts w:ascii="Times New Roman" w:hAnsi="Times New Roman"/>
              </w:rPr>
            </w:pPr>
            <w:r>
              <w:rPr>
                <w:rFonts w:ascii="Times New Roman" w:hAnsi="Times New Roman"/>
              </w:rPr>
              <w:t>宣探1井站火炬</w:t>
            </w:r>
          </w:p>
        </w:tc>
        <w:tc>
          <w:tcPr>
            <w:tcW w:w="940" w:type="pct"/>
          </w:tcPr>
          <w:p>
            <w:pPr>
              <w:pStyle w:val="39"/>
              <w:rPr>
                <w:rFonts w:ascii="Times New Roman" w:hAnsi="Times New Roman"/>
              </w:rPr>
            </w:pPr>
            <w:r>
              <w:rPr>
                <w:rFonts w:ascii="Times New Roman" w:hAnsi="Times New Roman"/>
              </w:rPr>
              <w:t>6.4</w:t>
            </w:r>
          </w:p>
        </w:tc>
        <w:tc>
          <w:tcPr>
            <w:tcW w:w="1008" w:type="pct"/>
            <w:vAlign w:val="center"/>
          </w:tcPr>
          <w:p>
            <w:pPr>
              <w:pStyle w:val="39"/>
              <w:rPr>
                <w:rFonts w:ascii="Times New Roman" w:hAnsi="Times New Roman"/>
              </w:rPr>
            </w:pPr>
            <w:r>
              <w:rPr>
                <w:rFonts w:ascii="Times New Roman" w:hAnsi="Times New Roman"/>
              </w:rPr>
              <w:t>0.98</w:t>
            </w:r>
          </w:p>
        </w:tc>
        <w:tc>
          <w:tcPr>
            <w:tcW w:w="1003" w:type="pct"/>
            <w:vAlign w:val="center"/>
          </w:tcPr>
          <w:p>
            <w:pPr>
              <w:pStyle w:val="39"/>
              <w:rPr>
                <w:rFonts w:ascii="Times New Roman" w:hAnsi="Times New Roman"/>
              </w:rPr>
            </w:pPr>
            <w:r>
              <w:rPr>
                <w:rFonts w:ascii="Times New Roman" w:hAnsi="Times New Roman"/>
              </w:rPr>
              <w:t>0.8025</w:t>
            </w:r>
          </w:p>
        </w:tc>
        <w:tc>
          <w:tcPr>
            <w:tcW w:w="1003" w:type="pct"/>
            <w:vAlign w:val="center"/>
          </w:tcPr>
          <w:p>
            <w:pPr>
              <w:pStyle w:val="39"/>
              <w:rPr>
                <w:rFonts w:ascii="Times New Roman" w:hAnsi="Times New Roman"/>
              </w:rPr>
            </w:pPr>
            <w:r>
              <w:rPr>
                <w:rFonts w:ascii="Times New Roman" w:hAnsi="Times New Roman"/>
              </w:rPr>
              <w:t>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pct"/>
          </w:tcPr>
          <w:p>
            <w:pPr>
              <w:pStyle w:val="39"/>
              <w:rPr>
                <w:rFonts w:ascii="Times New Roman" w:hAnsi="Times New Roman"/>
              </w:rPr>
            </w:pPr>
            <w:r>
              <w:rPr>
                <w:rFonts w:ascii="Times New Roman" w:hAnsi="Times New Roman"/>
              </w:rPr>
              <w:t>宣兴1井站火炬</w:t>
            </w:r>
          </w:p>
        </w:tc>
        <w:tc>
          <w:tcPr>
            <w:tcW w:w="940" w:type="pct"/>
          </w:tcPr>
          <w:p>
            <w:pPr>
              <w:pStyle w:val="39"/>
              <w:rPr>
                <w:rFonts w:ascii="Times New Roman" w:hAnsi="Times New Roman"/>
              </w:rPr>
            </w:pPr>
            <w:r>
              <w:rPr>
                <w:rFonts w:ascii="Times New Roman" w:hAnsi="Times New Roman"/>
              </w:rPr>
              <w:t>6.4</w:t>
            </w:r>
          </w:p>
        </w:tc>
        <w:tc>
          <w:tcPr>
            <w:tcW w:w="1008" w:type="pct"/>
            <w:vAlign w:val="center"/>
          </w:tcPr>
          <w:p>
            <w:pPr>
              <w:pStyle w:val="39"/>
              <w:rPr>
                <w:rFonts w:ascii="Times New Roman" w:hAnsi="Times New Roman"/>
              </w:rPr>
            </w:pPr>
            <w:r>
              <w:rPr>
                <w:rFonts w:ascii="Times New Roman" w:hAnsi="Times New Roman"/>
              </w:rPr>
              <w:t>0.98</w:t>
            </w:r>
          </w:p>
        </w:tc>
        <w:tc>
          <w:tcPr>
            <w:tcW w:w="1003" w:type="pct"/>
            <w:vAlign w:val="center"/>
          </w:tcPr>
          <w:p>
            <w:pPr>
              <w:pStyle w:val="39"/>
              <w:rPr>
                <w:rFonts w:ascii="Times New Roman" w:hAnsi="Times New Roman"/>
              </w:rPr>
            </w:pPr>
            <w:r>
              <w:rPr>
                <w:rFonts w:ascii="Times New Roman" w:hAnsi="Times New Roman"/>
              </w:rPr>
              <w:t>0.7748</w:t>
            </w:r>
          </w:p>
        </w:tc>
        <w:tc>
          <w:tcPr>
            <w:tcW w:w="1003" w:type="pct"/>
            <w:vAlign w:val="center"/>
          </w:tcPr>
          <w:p>
            <w:pPr>
              <w:pStyle w:val="39"/>
              <w:rPr>
                <w:rFonts w:ascii="Times New Roman" w:hAnsi="Times New Roman"/>
              </w:rPr>
            </w:pPr>
            <w:r>
              <w:rPr>
                <w:rFonts w:ascii="Times New Roman" w:hAnsi="Times New Roman"/>
              </w:rPr>
              <w:t>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pct"/>
          </w:tcPr>
          <w:p>
            <w:pPr>
              <w:pStyle w:val="39"/>
              <w:rPr>
                <w:rFonts w:ascii="Times New Roman" w:hAnsi="Times New Roman"/>
              </w:rPr>
            </w:pPr>
            <w:r>
              <w:rPr>
                <w:rFonts w:ascii="Times New Roman" w:hAnsi="Times New Roman"/>
              </w:rPr>
              <w:t>宣探清管站火炬</w:t>
            </w:r>
          </w:p>
        </w:tc>
        <w:tc>
          <w:tcPr>
            <w:tcW w:w="940" w:type="pct"/>
          </w:tcPr>
          <w:p>
            <w:pPr>
              <w:pStyle w:val="39"/>
              <w:rPr>
                <w:rFonts w:ascii="Times New Roman" w:hAnsi="Times New Roman"/>
              </w:rPr>
            </w:pPr>
            <w:r>
              <w:rPr>
                <w:rFonts w:ascii="Times New Roman" w:hAnsi="Times New Roman"/>
              </w:rPr>
              <w:t>6.4</w:t>
            </w:r>
          </w:p>
        </w:tc>
        <w:tc>
          <w:tcPr>
            <w:tcW w:w="1008" w:type="pct"/>
            <w:vAlign w:val="center"/>
          </w:tcPr>
          <w:p>
            <w:pPr>
              <w:pStyle w:val="39"/>
              <w:rPr>
                <w:rFonts w:ascii="Times New Roman" w:hAnsi="Times New Roman"/>
              </w:rPr>
            </w:pPr>
            <w:r>
              <w:rPr>
                <w:rFonts w:ascii="Times New Roman" w:hAnsi="Times New Roman"/>
              </w:rPr>
              <w:t>0.98</w:t>
            </w:r>
          </w:p>
        </w:tc>
        <w:tc>
          <w:tcPr>
            <w:tcW w:w="1003" w:type="pct"/>
            <w:vAlign w:val="center"/>
          </w:tcPr>
          <w:p>
            <w:pPr>
              <w:pStyle w:val="39"/>
              <w:rPr>
                <w:rFonts w:ascii="Times New Roman" w:hAnsi="Times New Roman"/>
              </w:rPr>
            </w:pPr>
            <w:r>
              <w:rPr>
                <w:rFonts w:ascii="Times New Roman" w:hAnsi="Times New Roman"/>
              </w:rPr>
              <w:t>0.8025</w:t>
            </w:r>
          </w:p>
        </w:tc>
        <w:tc>
          <w:tcPr>
            <w:tcW w:w="1003" w:type="pct"/>
            <w:vAlign w:val="center"/>
          </w:tcPr>
          <w:p>
            <w:pPr>
              <w:pStyle w:val="39"/>
              <w:rPr>
                <w:rFonts w:ascii="Times New Roman" w:hAnsi="Times New Roman"/>
              </w:rPr>
            </w:pPr>
            <w:r>
              <w:rPr>
                <w:rFonts w:ascii="Times New Roman" w:hAnsi="Times New Roman"/>
              </w:rPr>
              <w:t>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pct"/>
          </w:tcPr>
          <w:p>
            <w:pPr>
              <w:pStyle w:val="39"/>
              <w:rPr>
                <w:rFonts w:ascii="Times New Roman" w:hAnsi="Times New Roman"/>
              </w:rPr>
            </w:pPr>
            <w:r>
              <w:rPr>
                <w:rFonts w:ascii="Times New Roman" w:hAnsi="Times New Roman"/>
              </w:rPr>
              <w:t>合计</w:t>
            </w:r>
          </w:p>
        </w:tc>
        <w:tc>
          <w:tcPr>
            <w:tcW w:w="940" w:type="pct"/>
          </w:tcPr>
          <w:p>
            <w:pPr>
              <w:pStyle w:val="39"/>
              <w:rPr>
                <w:rFonts w:ascii="Times New Roman" w:hAnsi="Times New Roman"/>
              </w:rPr>
            </w:pPr>
            <w:r>
              <w:rPr>
                <w:rFonts w:ascii="Times New Roman" w:hAnsi="Times New Roman"/>
              </w:rPr>
              <w:t>/</w:t>
            </w:r>
          </w:p>
        </w:tc>
        <w:tc>
          <w:tcPr>
            <w:tcW w:w="1008" w:type="pct"/>
          </w:tcPr>
          <w:p>
            <w:pPr>
              <w:pStyle w:val="39"/>
              <w:rPr>
                <w:rFonts w:ascii="Times New Roman" w:hAnsi="Times New Roman"/>
              </w:rPr>
            </w:pPr>
            <w:r>
              <w:rPr>
                <w:rFonts w:ascii="Times New Roman" w:hAnsi="Times New Roman"/>
              </w:rPr>
              <w:t>/</w:t>
            </w:r>
          </w:p>
        </w:tc>
        <w:tc>
          <w:tcPr>
            <w:tcW w:w="1003" w:type="pct"/>
          </w:tcPr>
          <w:p>
            <w:pPr>
              <w:pStyle w:val="39"/>
              <w:rPr>
                <w:rFonts w:ascii="Times New Roman" w:hAnsi="Times New Roman"/>
              </w:rPr>
            </w:pPr>
            <w:r>
              <w:rPr>
                <w:rFonts w:ascii="Times New Roman" w:hAnsi="Times New Roman"/>
              </w:rPr>
              <w:t>/</w:t>
            </w:r>
          </w:p>
        </w:tc>
        <w:tc>
          <w:tcPr>
            <w:tcW w:w="1003" w:type="pct"/>
          </w:tcPr>
          <w:p>
            <w:pPr>
              <w:pStyle w:val="39"/>
              <w:rPr>
                <w:rFonts w:ascii="Times New Roman" w:hAnsi="Times New Roman"/>
              </w:rPr>
            </w:pPr>
            <w:r>
              <w:rPr>
                <w:rFonts w:ascii="Times New Roman" w:hAnsi="Times New Roman"/>
              </w:rPr>
              <w:t>2.19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pct"/>
          </w:tcPr>
          <w:p>
            <w:pPr>
              <w:pStyle w:val="39"/>
              <w:rPr>
                <w:rFonts w:ascii="Times New Roman" w:hAnsi="Times New Roman"/>
              </w:rPr>
            </w:pPr>
            <w:r>
              <w:rPr>
                <w:rFonts w:ascii="Times New Roman" w:hAnsi="Times New Roman"/>
              </w:rPr>
              <w:t>CO</w:t>
            </w:r>
            <w:r>
              <w:rPr>
                <w:rFonts w:ascii="Times New Roman" w:hAnsi="Times New Roman"/>
                <w:vertAlign w:val="subscript"/>
              </w:rPr>
              <w:t>2</w:t>
            </w:r>
            <w:r>
              <w:rPr>
                <w:rFonts w:ascii="Times New Roman" w:hAnsi="Times New Roman"/>
              </w:rPr>
              <w:t>当量</w:t>
            </w:r>
          </w:p>
        </w:tc>
        <w:tc>
          <w:tcPr>
            <w:tcW w:w="940" w:type="pct"/>
          </w:tcPr>
          <w:p>
            <w:pPr>
              <w:pStyle w:val="39"/>
              <w:rPr>
                <w:rFonts w:ascii="Times New Roman" w:hAnsi="Times New Roman"/>
              </w:rPr>
            </w:pPr>
            <w:r>
              <w:rPr>
                <w:rFonts w:ascii="Times New Roman" w:hAnsi="Times New Roman"/>
              </w:rPr>
              <w:t>/</w:t>
            </w:r>
          </w:p>
        </w:tc>
        <w:tc>
          <w:tcPr>
            <w:tcW w:w="1008" w:type="pct"/>
          </w:tcPr>
          <w:p>
            <w:pPr>
              <w:pStyle w:val="39"/>
              <w:rPr>
                <w:rFonts w:ascii="Times New Roman" w:hAnsi="Times New Roman"/>
              </w:rPr>
            </w:pPr>
            <w:r>
              <w:rPr>
                <w:rFonts w:ascii="Times New Roman" w:hAnsi="Times New Roman"/>
              </w:rPr>
              <w:t>/</w:t>
            </w:r>
          </w:p>
        </w:tc>
        <w:tc>
          <w:tcPr>
            <w:tcW w:w="1003" w:type="pct"/>
          </w:tcPr>
          <w:p>
            <w:pPr>
              <w:pStyle w:val="39"/>
              <w:rPr>
                <w:rFonts w:ascii="Times New Roman" w:hAnsi="Times New Roman"/>
              </w:rPr>
            </w:pPr>
            <w:r>
              <w:rPr>
                <w:rFonts w:ascii="Times New Roman" w:hAnsi="Times New Roman"/>
              </w:rPr>
              <w:t>/</w:t>
            </w:r>
          </w:p>
        </w:tc>
        <w:tc>
          <w:tcPr>
            <w:tcW w:w="1003" w:type="pct"/>
          </w:tcPr>
          <w:p>
            <w:pPr>
              <w:pStyle w:val="39"/>
              <w:rPr>
                <w:rFonts w:ascii="Times New Roman" w:hAnsi="Times New Roman"/>
              </w:rPr>
            </w:pPr>
            <w:r>
              <w:rPr>
                <w:rFonts w:ascii="Times New Roman" w:hAnsi="Times New Roman"/>
              </w:rPr>
              <w:t>45.99</w:t>
            </w:r>
          </w:p>
        </w:tc>
      </w:tr>
    </w:tbl>
    <w:p>
      <w:pPr>
        <w:pStyle w:val="37"/>
        <w:rPr>
          <w:rFonts w:ascii="Times New Roman" w:hAnsi="Times New Roman" w:cs="Times New Roman"/>
        </w:rPr>
      </w:pPr>
      <w:bookmarkStart w:id="376" w:name="_Ref155280216"/>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bookmarkEnd w:id="376"/>
      <w:r>
        <w:rPr>
          <w:rFonts w:ascii="Times New Roman" w:hAnsi="Times New Roman" w:cs="Times New Roman"/>
        </w:rPr>
        <w:t xml:space="preserve"> 本项目火炬正常碳排放情况</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51"/>
        <w:gridCol w:w="41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3" w:type="pct"/>
          </w:tcPr>
          <w:p>
            <w:pPr>
              <w:pStyle w:val="39"/>
              <w:rPr>
                <w:rFonts w:ascii="Times New Roman" w:hAnsi="Times New Roman"/>
              </w:rPr>
            </w:pPr>
            <w:r>
              <w:rPr>
                <w:rFonts w:ascii="Times New Roman" w:hAnsi="Times New Roman"/>
              </w:rPr>
              <w:t>类型</w:t>
            </w:r>
          </w:p>
        </w:tc>
        <w:tc>
          <w:tcPr>
            <w:tcW w:w="2447" w:type="pct"/>
          </w:tcPr>
          <w:p>
            <w:pPr>
              <w:pStyle w:val="39"/>
              <w:rPr>
                <w:rFonts w:ascii="Times New Roman" w:hAnsi="Times New Roman"/>
              </w:rPr>
            </w:pPr>
            <w:r>
              <w:rPr>
                <w:rFonts w:ascii="Times New Roman" w:hAnsi="Times New Roman"/>
              </w:rPr>
              <w:t>tCO</w:t>
            </w:r>
            <w:r>
              <w:rPr>
                <w:rFonts w:ascii="Times New Roman" w:hAnsi="Times New Roman"/>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3" w:type="pct"/>
          </w:tcPr>
          <w:p>
            <w:pPr>
              <w:pStyle w:val="39"/>
              <w:rPr>
                <w:rFonts w:ascii="Times New Roman" w:hAnsi="Times New Roman"/>
              </w:rPr>
            </w:pPr>
            <w:r>
              <w:rPr>
                <w:rFonts w:ascii="Times New Roman" w:hAnsi="Times New Roman"/>
              </w:rPr>
              <w:t>火炬正常CO</w:t>
            </w:r>
            <w:r>
              <w:rPr>
                <w:rFonts w:ascii="Times New Roman" w:hAnsi="Times New Roman"/>
                <w:vertAlign w:val="subscript"/>
              </w:rPr>
              <w:t>2</w:t>
            </w:r>
          </w:p>
        </w:tc>
        <w:tc>
          <w:tcPr>
            <w:tcW w:w="2447" w:type="pct"/>
            <w:vAlign w:val="center"/>
          </w:tcPr>
          <w:p>
            <w:pPr>
              <w:pStyle w:val="39"/>
              <w:rPr>
                <w:rFonts w:ascii="Times New Roman" w:hAnsi="Times New Roman"/>
              </w:rPr>
            </w:pPr>
            <w:r>
              <w:rPr>
                <w:rFonts w:ascii="Times New Roman" w:hAnsi="Times New Roman"/>
              </w:rPr>
              <w:t>910.74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3" w:type="pct"/>
          </w:tcPr>
          <w:p>
            <w:pPr>
              <w:pStyle w:val="39"/>
              <w:rPr>
                <w:rFonts w:ascii="Times New Roman" w:hAnsi="Times New Roman"/>
              </w:rPr>
            </w:pPr>
            <w:r>
              <w:rPr>
                <w:rFonts w:ascii="Times New Roman" w:hAnsi="Times New Roman"/>
              </w:rPr>
              <w:t>火炬正常CH</w:t>
            </w:r>
            <w:r>
              <w:rPr>
                <w:rFonts w:ascii="Times New Roman" w:hAnsi="Times New Roman"/>
                <w:vertAlign w:val="subscript"/>
              </w:rPr>
              <w:t>4</w:t>
            </w:r>
            <w:r>
              <w:rPr>
                <w:rFonts w:ascii="Times New Roman" w:hAnsi="Times New Roman"/>
              </w:rPr>
              <w:t>(CO</w:t>
            </w:r>
            <w:r>
              <w:rPr>
                <w:rFonts w:ascii="Times New Roman" w:hAnsi="Times New Roman"/>
                <w:vertAlign w:val="subscript"/>
              </w:rPr>
              <w:t>2</w:t>
            </w:r>
            <w:r>
              <w:rPr>
                <w:rFonts w:ascii="Times New Roman" w:hAnsi="Times New Roman"/>
              </w:rPr>
              <w:t>当量)</w:t>
            </w:r>
          </w:p>
        </w:tc>
        <w:tc>
          <w:tcPr>
            <w:tcW w:w="2447" w:type="pct"/>
            <w:vAlign w:val="center"/>
          </w:tcPr>
          <w:p>
            <w:pPr>
              <w:pStyle w:val="39"/>
              <w:rPr>
                <w:rFonts w:ascii="Times New Roman" w:hAnsi="Times New Roman"/>
              </w:rPr>
            </w:pPr>
            <w:r>
              <w:rPr>
                <w:rFonts w:ascii="Times New Roman" w:hAnsi="Times New Roman"/>
              </w:rPr>
              <w:t>45.99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3" w:type="pct"/>
          </w:tcPr>
          <w:p>
            <w:pPr>
              <w:pStyle w:val="39"/>
              <w:rPr>
                <w:rFonts w:ascii="Times New Roman" w:hAnsi="Times New Roman"/>
              </w:rPr>
            </w:pPr>
            <w:r>
              <w:rPr>
                <w:rFonts w:ascii="Times New Roman" w:hAnsi="Times New Roman"/>
              </w:rPr>
              <w:t>合计</w:t>
            </w:r>
          </w:p>
        </w:tc>
        <w:tc>
          <w:tcPr>
            <w:tcW w:w="2447" w:type="pct"/>
            <w:vAlign w:val="center"/>
          </w:tcPr>
          <w:p>
            <w:pPr>
              <w:pStyle w:val="39"/>
              <w:rPr>
                <w:rFonts w:ascii="Times New Roman" w:hAnsi="Times New Roman"/>
              </w:rPr>
            </w:pPr>
            <w:r>
              <w:rPr>
                <w:rFonts w:ascii="Times New Roman" w:hAnsi="Times New Roman"/>
              </w:rPr>
              <w:t>956.73</w:t>
            </w:r>
          </w:p>
        </w:tc>
      </w:tr>
    </w:tbl>
    <w:p>
      <w:pPr>
        <w:ind w:firstLine="482"/>
        <w:rPr>
          <w:rFonts w:ascii="Times New Roman" w:hAnsi="Times New Roman"/>
          <w:b/>
          <w:bCs/>
        </w:rPr>
      </w:pPr>
      <w:r>
        <w:rPr>
          <w:rFonts w:ascii="Times New Roman" w:hAnsi="Times New Roman"/>
          <w:b/>
          <w:bCs/>
        </w:rPr>
        <w:t>（4）CH</w:t>
      </w:r>
      <w:r>
        <w:rPr>
          <w:rFonts w:ascii="Times New Roman" w:hAnsi="Times New Roman"/>
          <w:b/>
          <w:bCs/>
          <w:vertAlign w:val="subscript"/>
        </w:rPr>
        <w:t>4</w:t>
      </w:r>
      <w:r>
        <w:rPr>
          <w:rFonts w:ascii="Times New Roman" w:hAnsi="Times New Roman"/>
          <w:b/>
          <w:bCs/>
        </w:rPr>
        <w:t>过程逃逸放空排放</w:t>
      </w:r>
    </w:p>
    <w:p>
      <w:pPr>
        <w:ind w:firstLine="480" w:firstLineChars="0"/>
        <w:rPr>
          <w:rFonts w:ascii="Times New Roman" w:hAnsi="Times New Roman"/>
          <w:b/>
          <w:bCs/>
        </w:rPr>
      </w:pPr>
      <w:r>
        <w:rPr>
          <w:rFonts w:ascii="Times New Roman" w:hAnsi="Times New Roman"/>
          <w:b/>
          <w:bCs/>
        </w:rPr>
        <w:t>1）计算公式</w:t>
      </w:r>
    </w:p>
    <w:p>
      <w:pPr>
        <w:ind w:firstLine="480"/>
        <w:jc w:val="center"/>
        <w:rPr>
          <w:rFonts w:ascii="Times New Roman" w:hAnsi="Times New Roman"/>
        </w:rPr>
      </w:pPr>
      <w:r>
        <w:rPr>
          <w:rFonts w:ascii="Cambria Math" w:hAnsi="Cambria Math" w:cs="Cambria Math"/>
        </w:rPr>
        <w:t>𝐸</w:t>
      </w:r>
      <w:r>
        <w:rPr>
          <w:rFonts w:ascii="Cambria Math" w:hAnsi="Cambria Math" w:cs="Cambria Math"/>
          <w:vertAlign w:val="subscript"/>
        </w:rPr>
        <w:t>𝐶𝐻</w:t>
      </w:r>
      <w:r>
        <w:rPr>
          <w:rFonts w:ascii="Times New Roman" w:hAnsi="Times New Roman"/>
          <w:vertAlign w:val="subscript"/>
        </w:rPr>
        <w:t>4逃逸</w:t>
      </w:r>
      <w:r>
        <w:rPr>
          <w:rFonts w:ascii="Times New Roman" w:hAnsi="Times New Roman"/>
        </w:rPr>
        <w:t>=∑</w:t>
      </w:r>
      <w:r>
        <w:rPr>
          <w:rFonts w:ascii="Cambria Math" w:hAnsi="Cambria Math" w:cs="Cambria Math"/>
        </w:rPr>
        <w:t>𝑁𝑢𝑚</w:t>
      </w:r>
      <w:r>
        <w:rPr>
          <w:rFonts w:ascii="Times New Roman" w:hAnsi="Times New Roman"/>
        </w:rPr>
        <w:t>×</w:t>
      </w:r>
      <w:r>
        <w:rPr>
          <w:rFonts w:ascii="Cambria Math" w:hAnsi="Cambria Math" w:cs="Cambria Math"/>
        </w:rPr>
        <w:t>𝐸𝐹</w:t>
      </w:r>
    </w:p>
    <w:p>
      <w:pPr>
        <w:ind w:firstLine="480"/>
        <w:rPr>
          <w:rFonts w:ascii="Times New Roman" w:hAnsi="Times New Roman"/>
        </w:rPr>
      </w:pPr>
      <w:r>
        <w:rPr>
          <w:rFonts w:ascii="Times New Roman" w:hAnsi="Times New Roman"/>
        </w:rPr>
        <w:t>式中：</w:t>
      </w:r>
    </w:p>
    <w:p>
      <w:pPr>
        <w:ind w:firstLine="480"/>
        <w:rPr>
          <w:rFonts w:ascii="Times New Roman" w:hAnsi="Times New Roman"/>
        </w:rPr>
      </w:pPr>
      <w:r>
        <w:rPr>
          <w:rFonts w:ascii="Cambria Math" w:hAnsi="Cambria Math" w:cs="Cambria Math"/>
        </w:rPr>
        <w:t>𝑁𝑢𝑚</w:t>
      </w:r>
      <w:r>
        <w:rPr>
          <w:rFonts w:ascii="Times New Roman" w:hAnsi="Times New Roman"/>
        </w:rPr>
        <w:t>—逃逸、过程放空排放的设施的数量；</w:t>
      </w:r>
    </w:p>
    <w:p>
      <w:pPr>
        <w:ind w:firstLine="480"/>
        <w:rPr>
          <w:rFonts w:ascii="Times New Roman" w:hAnsi="Times New Roman"/>
        </w:rPr>
      </w:pPr>
      <w:r>
        <w:rPr>
          <w:rFonts w:ascii="Cambria Math" w:hAnsi="Cambria Math" w:cs="Cambria Math"/>
        </w:rPr>
        <w:t>𝐸𝐹</w:t>
      </w:r>
      <w:r>
        <w:rPr>
          <w:rFonts w:ascii="Times New Roman" w:hAnsi="Times New Roman"/>
        </w:rPr>
        <w:t>—每个设施的CH</w:t>
      </w:r>
      <w:r>
        <w:rPr>
          <w:rFonts w:ascii="Times New Roman" w:hAnsi="Times New Roman"/>
          <w:vertAlign w:val="subscript"/>
        </w:rPr>
        <w:t>4</w:t>
      </w:r>
      <w:r>
        <w:rPr>
          <w:rFonts w:ascii="Times New Roman" w:hAnsi="Times New Roman"/>
        </w:rPr>
        <w:t>排放因子。</w:t>
      </w:r>
    </w:p>
    <w:p>
      <w:pPr>
        <w:pStyle w:val="43"/>
        <w:numPr>
          <w:ilvl w:val="0"/>
          <w:numId w:val="20"/>
        </w:numPr>
        <w:ind w:firstLineChars="0"/>
        <w:rPr>
          <w:rFonts w:ascii="Times New Roman" w:hAnsi="Times New Roman"/>
        </w:rPr>
      </w:pPr>
      <w:r>
        <w:rPr>
          <w:rFonts w:ascii="Times New Roman" w:hAnsi="Times New Roman"/>
        </w:rPr>
        <w:t>活动水平数据</w:t>
      </w:r>
    </w:p>
    <w:p>
      <w:pPr>
        <w:ind w:left="480" w:firstLine="480"/>
        <w:rPr>
          <w:rFonts w:ascii="Times New Roman" w:hAnsi="Times New Roman"/>
        </w:rPr>
      </w:pPr>
      <w:r>
        <w:rPr>
          <w:rFonts w:ascii="Times New Roman" w:hAnsi="Times New Roman"/>
        </w:rPr>
        <w:t>本项目涉及CH</w:t>
      </w:r>
      <w:r>
        <w:rPr>
          <w:rFonts w:ascii="Times New Roman" w:hAnsi="Times New Roman"/>
          <w:vertAlign w:val="subscript"/>
        </w:rPr>
        <w:t>4</w:t>
      </w:r>
      <w:r>
        <w:rPr>
          <w:rFonts w:ascii="Times New Roman" w:hAnsi="Times New Roman"/>
        </w:rPr>
        <w:t>逃逸设备设置包括天然气井口装置2个，天然气输送管线（逆止阀）按7个、清管站1座。</w:t>
      </w:r>
    </w:p>
    <w:p>
      <w:pPr>
        <w:pStyle w:val="43"/>
        <w:numPr>
          <w:ilvl w:val="0"/>
          <w:numId w:val="20"/>
        </w:numPr>
        <w:ind w:firstLineChars="0"/>
        <w:rPr>
          <w:rFonts w:ascii="Times New Roman" w:hAnsi="Times New Roman"/>
        </w:rPr>
      </w:pPr>
      <w:r>
        <w:rPr>
          <w:rFonts w:ascii="Times New Roman" w:hAnsi="Times New Roman"/>
        </w:rPr>
        <w:t>排放因子数据</w:t>
      </w:r>
    </w:p>
    <w:p>
      <w:pPr>
        <w:pStyle w:val="43"/>
        <w:ind w:left="920" w:firstLine="0" w:firstLineChars="0"/>
        <w:rPr>
          <w:rFonts w:ascii="Times New Roman" w:hAnsi="Times New Roman"/>
        </w:rPr>
      </w:pPr>
      <w:r>
        <w:rPr>
          <w:rFonts w:ascii="Times New Roman" w:hAnsi="Times New Roman"/>
        </w:rPr>
        <w:t>CH</w:t>
      </w:r>
      <w:r>
        <w:rPr>
          <w:rFonts w:ascii="Times New Roman" w:hAnsi="Times New Roman"/>
          <w:vertAlign w:val="subscript"/>
        </w:rPr>
        <w:t>4</w:t>
      </w:r>
      <w:r>
        <w:rPr>
          <w:rFonts w:ascii="Times New Roman" w:hAnsi="Times New Roman"/>
        </w:rPr>
        <w:t>排放因子见</w:t>
      </w:r>
      <w:r>
        <w:rPr>
          <w:rFonts w:ascii="Times New Roman" w:hAnsi="Times New Roman"/>
        </w:rPr>
        <w:fldChar w:fldCharType="begin"/>
      </w:r>
      <w:r>
        <w:rPr>
          <w:rFonts w:ascii="Times New Roman" w:hAnsi="Times New Roman"/>
        </w:rPr>
        <w:instrText xml:space="preserve"> REF _Ref155280531 \h  \* MERGEFORMAT </w:instrText>
      </w:r>
      <w:r>
        <w:rPr>
          <w:rFonts w:ascii="Times New Roman" w:hAnsi="Times New Roman"/>
        </w:rPr>
        <w:fldChar w:fldCharType="separate"/>
      </w:r>
      <w:r>
        <w:rPr>
          <w:rFonts w:ascii="Times New Roman" w:hAnsi="Times New Roman"/>
        </w:rPr>
        <w:t>表8</w:t>
      </w:r>
      <w:r>
        <w:rPr>
          <w:rFonts w:ascii="Times New Roman" w:hAnsi="Times New Roman"/>
        </w:rPr>
        <w:noBreakHyphen/>
      </w:r>
      <w:r>
        <w:rPr>
          <w:rFonts w:ascii="Times New Roman" w:hAnsi="Times New Roman"/>
        </w:rPr>
        <w:t>11</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377" w:name="_Ref155280531"/>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bookmarkEnd w:id="377"/>
      <w:r>
        <w:rPr>
          <w:rFonts w:ascii="Times New Roman" w:hAnsi="Times New Roman" w:cs="Times New Roman"/>
        </w:rPr>
        <w:t xml:space="preserve">  CH</w:t>
      </w:r>
      <w:r>
        <w:rPr>
          <w:rFonts w:ascii="Times New Roman" w:hAnsi="Times New Roman" w:cs="Times New Roman"/>
          <w:vertAlign w:val="subscript"/>
        </w:rPr>
        <w:t>4</w:t>
      </w:r>
      <w:r>
        <w:rPr>
          <w:rFonts w:ascii="Times New Roman" w:hAnsi="Times New Roman" w:cs="Times New Roman"/>
        </w:rPr>
        <w:t>排放因子</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8"/>
        <w:gridCol w:w="2805"/>
        <w:gridCol w:w="3489"/>
      </w:tblGrid>
      <w:tr>
        <w:tblPrEx>
          <w:tblCellMar>
            <w:top w:w="0" w:type="dxa"/>
            <w:left w:w="108" w:type="dxa"/>
            <w:bottom w:w="0" w:type="dxa"/>
            <w:right w:w="108" w:type="dxa"/>
          </w:tblCellMar>
        </w:tblPrEx>
        <w:tc>
          <w:tcPr>
            <w:tcW w:w="1307" w:type="pct"/>
            <w:vMerge w:val="restart"/>
          </w:tcPr>
          <w:p>
            <w:pPr>
              <w:pStyle w:val="39"/>
              <w:rPr>
                <w:rFonts w:ascii="Times New Roman" w:hAnsi="Times New Roman"/>
              </w:rPr>
            </w:pPr>
            <w:r>
              <w:rPr>
                <w:rFonts w:ascii="Times New Roman" w:hAnsi="Times New Roman"/>
              </w:rPr>
              <w:t>名称</w:t>
            </w:r>
          </w:p>
        </w:tc>
        <w:tc>
          <w:tcPr>
            <w:tcW w:w="1646" w:type="pct"/>
          </w:tcPr>
          <w:p>
            <w:pPr>
              <w:pStyle w:val="39"/>
              <w:rPr>
                <w:rFonts w:ascii="Times New Roman" w:hAnsi="Times New Roman"/>
              </w:rPr>
            </w:pPr>
            <w:r>
              <w:rPr>
                <w:rFonts w:ascii="Times New Roman" w:hAnsi="Times New Roman"/>
              </w:rPr>
              <w:t>设备逃逸</w:t>
            </w:r>
          </w:p>
        </w:tc>
        <w:tc>
          <w:tcPr>
            <w:tcW w:w="2047" w:type="pct"/>
          </w:tcPr>
          <w:p>
            <w:pPr>
              <w:pStyle w:val="39"/>
              <w:rPr>
                <w:rFonts w:ascii="Times New Roman" w:hAnsi="Times New Roman"/>
              </w:rPr>
            </w:pPr>
            <w:r>
              <w:rPr>
                <w:rFonts w:ascii="Times New Roman" w:hAnsi="Times New Roman"/>
              </w:rPr>
              <w:t>工艺放空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pct"/>
            <w:vMerge w:val="continue"/>
          </w:tcPr>
          <w:p>
            <w:pPr>
              <w:pStyle w:val="39"/>
              <w:rPr>
                <w:rFonts w:ascii="Times New Roman" w:hAnsi="Times New Roman"/>
              </w:rPr>
            </w:pPr>
          </w:p>
        </w:tc>
        <w:tc>
          <w:tcPr>
            <w:tcW w:w="1646" w:type="pct"/>
          </w:tcPr>
          <w:p>
            <w:pPr>
              <w:pStyle w:val="39"/>
              <w:rPr>
                <w:rFonts w:ascii="Times New Roman" w:hAnsi="Times New Roman"/>
              </w:rPr>
            </w:pPr>
            <w:r>
              <w:rPr>
                <w:rFonts w:ascii="Times New Roman" w:hAnsi="Times New Roman"/>
              </w:rPr>
              <w:t>(t/a/个)</w:t>
            </w:r>
          </w:p>
        </w:tc>
        <w:tc>
          <w:tcPr>
            <w:tcW w:w="2047" w:type="pct"/>
          </w:tcPr>
          <w:p>
            <w:pPr>
              <w:pStyle w:val="39"/>
              <w:rPr>
                <w:rFonts w:ascii="Times New Roman" w:hAnsi="Times New Roman"/>
              </w:rPr>
            </w:pPr>
            <w:r>
              <w:rPr>
                <w:rFonts w:ascii="Times New Roman" w:hAnsi="Times New Roman"/>
              </w:rPr>
              <w:t>(t/a/个)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pct"/>
          </w:tcPr>
          <w:p>
            <w:pPr>
              <w:pStyle w:val="39"/>
              <w:rPr>
                <w:rFonts w:ascii="Times New Roman" w:hAnsi="Times New Roman"/>
              </w:rPr>
            </w:pPr>
            <w:r>
              <w:rPr>
                <w:rFonts w:ascii="Times New Roman" w:hAnsi="Times New Roman"/>
              </w:rPr>
              <w:t>井口装置</w:t>
            </w:r>
          </w:p>
        </w:tc>
        <w:tc>
          <w:tcPr>
            <w:tcW w:w="1646" w:type="pct"/>
          </w:tcPr>
          <w:p>
            <w:pPr>
              <w:pStyle w:val="39"/>
              <w:rPr>
                <w:rFonts w:ascii="Times New Roman" w:hAnsi="Times New Roman"/>
              </w:rPr>
            </w:pPr>
            <w:r>
              <w:rPr>
                <w:rFonts w:ascii="Times New Roman" w:hAnsi="Times New Roman"/>
              </w:rPr>
              <w:t>2.50</w:t>
            </w:r>
          </w:p>
        </w:tc>
        <w:tc>
          <w:tcPr>
            <w:tcW w:w="2047" w:type="pct"/>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pct"/>
          </w:tcPr>
          <w:p>
            <w:pPr>
              <w:pStyle w:val="39"/>
              <w:rPr>
                <w:rFonts w:ascii="Times New Roman" w:hAnsi="Times New Roman"/>
              </w:rPr>
            </w:pPr>
            <w:r>
              <w:rPr>
                <w:rFonts w:ascii="Times New Roman" w:hAnsi="Times New Roman"/>
              </w:rPr>
              <w:t>管线(逆止阀)</w:t>
            </w:r>
          </w:p>
        </w:tc>
        <w:tc>
          <w:tcPr>
            <w:tcW w:w="1646" w:type="pct"/>
          </w:tcPr>
          <w:p>
            <w:pPr>
              <w:pStyle w:val="39"/>
              <w:rPr>
                <w:rFonts w:ascii="Times New Roman" w:hAnsi="Times New Roman"/>
              </w:rPr>
            </w:pPr>
            <w:r>
              <w:rPr>
                <w:rFonts w:ascii="Times New Roman" w:hAnsi="Times New Roman"/>
              </w:rPr>
              <w:t>0.85</w:t>
            </w:r>
          </w:p>
        </w:tc>
        <w:tc>
          <w:tcPr>
            <w:tcW w:w="2047" w:type="pct"/>
          </w:tcPr>
          <w:p>
            <w:pPr>
              <w:pStyle w:val="39"/>
              <w:rPr>
                <w:rFonts w:ascii="Times New Roman" w:hAnsi="Times New Roman"/>
              </w:rPr>
            </w:pPr>
            <w:r>
              <w:rPr>
                <w:rFonts w:ascii="Times New Roman" w:hAnsi="Times New Roman"/>
              </w:rPr>
              <w:t>5.49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pct"/>
          </w:tcPr>
          <w:p>
            <w:pPr>
              <w:pStyle w:val="39"/>
              <w:rPr>
                <w:rFonts w:ascii="Times New Roman" w:hAnsi="Times New Roman"/>
              </w:rPr>
            </w:pPr>
            <w:r>
              <w:rPr>
                <w:rFonts w:ascii="Times New Roman" w:hAnsi="Times New Roman"/>
              </w:rPr>
              <w:t>清管站</w:t>
            </w:r>
          </w:p>
        </w:tc>
        <w:tc>
          <w:tcPr>
            <w:tcW w:w="1646" w:type="pct"/>
          </w:tcPr>
          <w:p>
            <w:pPr>
              <w:pStyle w:val="39"/>
              <w:rPr>
                <w:rFonts w:ascii="Times New Roman" w:hAnsi="Times New Roman"/>
              </w:rPr>
            </w:pPr>
            <w:r>
              <w:rPr>
                <w:rFonts w:ascii="Times New Roman" w:hAnsi="Times New Roman"/>
              </w:rPr>
              <w:t>0</w:t>
            </w:r>
          </w:p>
        </w:tc>
        <w:tc>
          <w:tcPr>
            <w:tcW w:w="2047" w:type="pct"/>
          </w:tcPr>
          <w:p>
            <w:pPr>
              <w:pStyle w:val="39"/>
              <w:rPr>
                <w:rFonts w:ascii="Times New Roman" w:hAnsi="Times New Roman"/>
              </w:rPr>
            </w:pPr>
            <w:r>
              <w:rPr>
                <w:rFonts w:ascii="Times New Roman" w:hAnsi="Times New Roman"/>
              </w:rPr>
              <w:t>0.001</w:t>
            </w:r>
          </w:p>
        </w:tc>
      </w:tr>
    </w:tbl>
    <w:p>
      <w:pPr>
        <w:ind w:firstLine="480" w:firstLineChars="0"/>
        <w:rPr>
          <w:rFonts w:ascii="Times New Roman" w:hAnsi="Times New Roman"/>
          <w:b/>
          <w:bCs/>
        </w:rPr>
      </w:pPr>
      <w:r>
        <w:rPr>
          <w:rFonts w:ascii="Times New Roman" w:hAnsi="Times New Roman"/>
          <w:b/>
          <w:bCs/>
        </w:rPr>
        <w:t>2）计算结果</w:t>
      </w:r>
    </w:p>
    <w:p>
      <w:pPr>
        <w:widowControl/>
        <w:ind w:firstLine="480" w:firstLineChars="0"/>
        <w:rPr>
          <w:rFonts w:ascii="Times New Roman" w:hAnsi="Times New Roman"/>
          <w:kern w:val="0"/>
        </w:rPr>
      </w:pPr>
      <w:r>
        <w:rPr>
          <w:rFonts w:ascii="Times New Roman" w:hAnsi="Times New Roman"/>
          <w:kern w:val="0"/>
        </w:rPr>
        <w:t>根据以上公式计算</w:t>
      </w:r>
      <w:r>
        <w:rPr>
          <w:rFonts w:ascii="Times New Roman" w:hAnsi="Times New Roman"/>
        </w:rPr>
        <w:t>，CH</w:t>
      </w:r>
      <w:r>
        <w:rPr>
          <w:rFonts w:ascii="Times New Roman" w:hAnsi="Times New Roman"/>
          <w:vertAlign w:val="subscript"/>
        </w:rPr>
        <w:t>4</w:t>
      </w:r>
      <w:r>
        <w:rPr>
          <w:rFonts w:ascii="Times New Roman" w:hAnsi="Times New Roman"/>
        </w:rPr>
        <w:t>过程逃逸放空排放碳排放计算结果见</w:t>
      </w:r>
      <w:r>
        <w:rPr>
          <w:rFonts w:ascii="Times New Roman" w:hAnsi="Times New Roman"/>
        </w:rPr>
        <w:fldChar w:fldCharType="begin"/>
      </w:r>
      <w:r>
        <w:rPr>
          <w:rFonts w:ascii="Times New Roman" w:hAnsi="Times New Roman"/>
        </w:rPr>
        <w:instrText xml:space="preserve"> REF _Ref155280557 \h  \* MERGEFORMAT </w:instrText>
      </w:r>
      <w:r>
        <w:rPr>
          <w:rFonts w:ascii="Times New Roman" w:hAnsi="Times New Roman"/>
        </w:rPr>
        <w:fldChar w:fldCharType="separate"/>
      </w:r>
      <w:r>
        <w:rPr>
          <w:rFonts w:ascii="Times New Roman" w:hAnsi="Times New Roman"/>
        </w:rPr>
        <w:t>表8</w:t>
      </w:r>
      <w:r>
        <w:rPr>
          <w:rFonts w:ascii="Times New Roman" w:hAnsi="Times New Roman"/>
        </w:rPr>
        <w:noBreakHyphen/>
      </w:r>
      <w:r>
        <w:rPr>
          <w:rFonts w:ascii="Times New Roman" w:hAnsi="Times New Roman"/>
        </w:rPr>
        <w:t>12</w:t>
      </w:r>
      <w:r>
        <w:rPr>
          <w:rFonts w:ascii="Times New Roman" w:hAnsi="Times New Roman"/>
        </w:rPr>
        <w:fldChar w:fldCharType="end"/>
      </w:r>
      <w:r>
        <w:rPr>
          <w:rFonts w:ascii="Times New Roman" w:hAnsi="Times New Roman"/>
        </w:rPr>
        <w:t>，本项目过程逃逸放空产生的CH</w:t>
      </w:r>
      <w:r>
        <w:rPr>
          <w:rFonts w:ascii="Times New Roman" w:hAnsi="Times New Roman"/>
          <w:vertAlign w:val="subscript"/>
        </w:rPr>
        <w:t>4</w:t>
      </w:r>
      <w:r>
        <w:rPr>
          <w:rFonts w:ascii="Times New Roman" w:hAnsi="Times New Roman"/>
        </w:rPr>
        <w:t>排放量为10.95t，折CO</w:t>
      </w:r>
      <w:r>
        <w:rPr>
          <w:rFonts w:ascii="Times New Roman" w:hAnsi="Times New Roman"/>
          <w:vertAlign w:val="subscript"/>
        </w:rPr>
        <w:t>2</w:t>
      </w:r>
      <w:r>
        <w:rPr>
          <w:rFonts w:ascii="Times New Roman" w:hAnsi="Times New Roman"/>
        </w:rPr>
        <w:t>当量为229.97tCO</w:t>
      </w:r>
      <w:r>
        <w:rPr>
          <w:rFonts w:ascii="Times New Roman" w:hAnsi="Times New Roman"/>
          <w:vertAlign w:val="subscript"/>
        </w:rPr>
        <w:t>2</w:t>
      </w:r>
      <w:r>
        <w:rPr>
          <w:rFonts w:ascii="Times New Roman" w:hAnsi="Times New Roman"/>
        </w:rPr>
        <w:t>。</w:t>
      </w:r>
    </w:p>
    <w:p>
      <w:pPr>
        <w:pStyle w:val="37"/>
        <w:rPr>
          <w:rFonts w:ascii="Times New Roman" w:hAnsi="Times New Roman" w:cs="Times New Roman"/>
        </w:rPr>
      </w:pPr>
      <w:bookmarkStart w:id="378" w:name="_Ref155280557"/>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bookmarkEnd w:id="378"/>
      <w:r>
        <w:rPr>
          <w:rFonts w:ascii="Times New Roman" w:hAnsi="Times New Roman" w:cs="Times New Roman"/>
        </w:rPr>
        <w:t xml:space="preserve"> 本项目过程逃逸放空碳排放情况</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5"/>
        <w:gridCol w:w="1926"/>
        <w:gridCol w:w="2395"/>
        <w:gridCol w:w="2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9" w:type="pct"/>
            <w:vMerge w:val="restart"/>
          </w:tcPr>
          <w:p>
            <w:pPr>
              <w:pStyle w:val="39"/>
              <w:rPr>
                <w:rFonts w:ascii="Times New Roman" w:hAnsi="Times New Roman"/>
              </w:rPr>
            </w:pPr>
            <w:r>
              <w:rPr>
                <w:rFonts w:ascii="Times New Roman" w:hAnsi="Times New Roman"/>
              </w:rPr>
              <w:t>名称</w:t>
            </w:r>
          </w:p>
        </w:tc>
        <w:tc>
          <w:tcPr>
            <w:tcW w:w="1130" w:type="pct"/>
          </w:tcPr>
          <w:p>
            <w:pPr>
              <w:pStyle w:val="39"/>
              <w:rPr>
                <w:rFonts w:ascii="Times New Roman" w:hAnsi="Times New Roman"/>
              </w:rPr>
            </w:pPr>
            <w:r>
              <w:rPr>
                <w:rFonts w:ascii="Times New Roman" w:hAnsi="Times New Roman"/>
              </w:rPr>
              <w:t>数量</w:t>
            </w:r>
          </w:p>
        </w:tc>
        <w:tc>
          <w:tcPr>
            <w:tcW w:w="1405" w:type="pct"/>
          </w:tcPr>
          <w:p>
            <w:pPr>
              <w:pStyle w:val="39"/>
              <w:rPr>
                <w:rFonts w:ascii="Times New Roman" w:hAnsi="Times New Roman"/>
              </w:rPr>
            </w:pPr>
            <w:r>
              <w:rPr>
                <w:rFonts w:ascii="Times New Roman" w:hAnsi="Times New Roman"/>
                <w:i/>
                <w:iCs/>
              </w:rPr>
              <w:t>EF</w:t>
            </w:r>
            <w:r>
              <w:rPr>
                <w:rFonts w:ascii="Times New Roman" w:hAnsi="Times New Roman"/>
                <w:vertAlign w:val="subscript"/>
              </w:rPr>
              <w:t>CH4排放因子</w:t>
            </w:r>
          </w:p>
        </w:tc>
        <w:tc>
          <w:tcPr>
            <w:tcW w:w="1206" w:type="pct"/>
          </w:tcPr>
          <w:p>
            <w:pPr>
              <w:pStyle w:val="39"/>
              <w:rPr>
                <w:rFonts w:ascii="Times New Roman" w:hAnsi="Times New Roman"/>
              </w:rPr>
            </w:pPr>
            <w:r>
              <w:rPr>
                <w:rFonts w:ascii="Cambria Math" w:hAnsi="Cambria Math" w:cs="Cambria Math"/>
              </w:rPr>
              <w:t>𝐸</w:t>
            </w:r>
            <w:r>
              <w:rPr>
                <w:rFonts w:ascii="Times New Roman" w:hAnsi="Times New Roman"/>
                <w:vertAlign w:val="subscript"/>
              </w:rPr>
              <w:t>CH4正常火炬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9" w:type="pct"/>
            <w:vMerge w:val="continue"/>
          </w:tcPr>
          <w:p>
            <w:pPr>
              <w:pStyle w:val="39"/>
              <w:rPr>
                <w:rFonts w:ascii="Times New Roman" w:hAnsi="Times New Roman"/>
              </w:rPr>
            </w:pPr>
          </w:p>
        </w:tc>
        <w:tc>
          <w:tcPr>
            <w:tcW w:w="1130" w:type="pct"/>
          </w:tcPr>
          <w:p>
            <w:pPr>
              <w:pStyle w:val="39"/>
              <w:rPr>
                <w:rFonts w:ascii="Times New Roman" w:hAnsi="Times New Roman"/>
              </w:rPr>
            </w:pPr>
            <w:r>
              <w:rPr>
                <w:rFonts w:ascii="Times New Roman" w:hAnsi="Times New Roman"/>
              </w:rPr>
              <w:t>个</w:t>
            </w:r>
          </w:p>
        </w:tc>
        <w:tc>
          <w:tcPr>
            <w:tcW w:w="1405" w:type="pct"/>
          </w:tcPr>
          <w:p>
            <w:pPr>
              <w:pStyle w:val="39"/>
              <w:rPr>
                <w:rFonts w:ascii="Times New Roman" w:hAnsi="Times New Roman"/>
              </w:rPr>
            </w:pPr>
            <w:r>
              <w:rPr>
                <w:rFonts w:ascii="Times New Roman" w:hAnsi="Times New Roman"/>
              </w:rPr>
              <w:t>(t/a/个)</w:t>
            </w:r>
          </w:p>
        </w:tc>
        <w:tc>
          <w:tcPr>
            <w:tcW w:w="1206" w:type="pct"/>
          </w:tcPr>
          <w:p>
            <w:pPr>
              <w:pStyle w:val="39"/>
              <w:rPr>
                <w:rFonts w:ascii="Times New Roman" w:hAnsi="Times New Roman"/>
              </w:rPr>
            </w:pPr>
            <w:r>
              <w:rPr>
                <w:rFonts w:ascii="Times New Roman" w:hAnsi="Times New Roman"/>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9" w:type="pct"/>
          </w:tcPr>
          <w:p>
            <w:pPr>
              <w:pStyle w:val="39"/>
              <w:rPr>
                <w:rFonts w:ascii="Times New Roman" w:hAnsi="Times New Roman"/>
              </w:rPr>
            </w:pPr>
            <w:r>
              <w:rPr>
                <w:rFonts w:ascii="Times New Roman" w:hAnsi="Times New Roman"/>
              </w:rPr>
              <w:t>井口装置</w:t>
            </w:r>
          </w:p>
        </w:tc>
        <w:tc>
          <w:tcPr>
            <w:tcW w:w="1130" w:type="pct"/>
            <w:vAlign w:val="center"/>
          </w:tcPr>
          <w:p>
            <w:pPr>
              <w:pStyle w:val="39"/>
              <w:rPr>
                <w:rFonts w:ascii="Times New Roman" w:hAnsi="Times New Roman"/>
              </w:rPr>
            </w:pPr>
            <w:r>
              <w:rPr>
                <w:rFonts w:ascii="Times New Roman" w:hAnsi="Times New Roman"/>
              </w:rPr>
              <w:t>2</w:t>
            </w:r>
          </w:p>
        </w:tc>
        <w:tc>
          <w:tcPr>
            <w:tcW w:w="1405" w:type="pct"/>
            <w:vAlign w:val="center"/>
          </w:tcPr>
          <w:p>
            <w:pPr>
              <w:pStyle w:val="39"/>
              <w:rPr>
                <w:rFonts w:ascii="Times New Roman" w:hAnsi="Times New Roman"/>
              </w:rPr>
            </w:pPr>
            <w:r>
              <w:rPr>
                <w:rFonts w:ascii="Times New Roman" w:hAnsi="Times New Roman"/>
              </w:rPr>
              <w:t>2.50</w:t>
            </w:r>
          </w:p>
        </w:tc>
        <w:tc>
          <w:tcPr>
            <w:tcW w:w="1206" w:type="pct"/>
          </w:tcPr>
          <w:p>
            <w:pPr>
              <w:pStyle w:val="39"/>
              <w:rPr>
                <w:rFonts w:ascii="Times New Roman" w:hAnsi="Times New Roman"/>
              </w:rPr>
            </w:pPr>
            <w:r>
              <w:rPr>
                <w:rFonts w:ascii="Times New Roman" w:hAnsi="Times New Roma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9" w:type="pct"/>
          </w:tcPr>
          <w:p>
            <w:pPr>
              <w:pStyle w:val="39"/>
              <w:rPr>
                <w:rFonts w:ascii="Times New Roman" w:hAnsi="Times New Roman"/>
              </w:rPr>
            </w:pPr>
            <w:r>
              <w:rPr>
                <w:rFonts w:ascii="Times New Roman" w:hAnsi="Times New Roman"/>
              </w:rPr>
              <w:t>管线(逆止阀)</w:t>
            </w:r>
          </w:p>
        </w:tc>
        <w:tc>
          <w:tcPr>
            <w:tcW w:w="1130" w:type="pct"/>
            <w:vAlign w:val="center"/>
          </w:tcPr>
          <w:p>
            <w:pPr>
              <w:pStyle w:val="39"/>
              <w:rPr>
                <w:rFonts w:ascii="Times New Roman" w:hAnsi="Times New Roman"/>
              </w:rPr>
            </w:pPr>
            <w:r>
              <w:rPr>
                <w:rFonts w:ascii="Times New Roman" w:hAnsi="Times New Roman"/>
              </w:rPr>
              <w:t>7</w:t>
            </w:r>
          </w:p>
        </w:tc>
        <w:tc>
          <w:tcPr>
            <w:tcW w:w="1405" w:type="pct"/>
            <w:vAlign w:val="center"/>
          </w:tcPr>
          <w:p>
            <w:pPr>
              <w:pStyle w:val="39"/>
              <w:rPr>
                <w:rFonts w:ascii="Times New Roman" w:hAnsi="Times New Roman"/>
              </w:rPr>
            </w:pPr>
            <w:r>
              <w:rPr>
                <w:rFonts w:ascii="Times New Roman" w:hAnsi="Times New Roman"/>
              </w:rPr>
              <w:t>0.85</w:t>
            </w:r>
          </w:p>
        </w:tc>
        <w:tc>
          <w:tcPr>
            <w:tcW w:w="1206" w:type="pct"/>
          </w:tcPr>
          <w:p>
            <w:pPr>
              <w:pStyle w:val="39"/>
              <w:rPr>
                <w:rFonts w:ascii="Times New Roman" w:hAnsi="Times New Roman"/>
              </w:rPr>
            </w:pPr>
            <w:r>
              <w:rPr>
                <w:rFonts w:ascii="Times New Roman" w:hAnsi="Times New Roman"/>
              </w:rPr>
              <w:t>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9" w:type="pct"/>
          </w:tcPr>
          <w:p>
            <w:pPr>
              <w:pStyle w:val="39"/>
              <w:rPr>
                <w:rFonts w:ascii="Times New Roman" w:hAnsi="Times New Roman"/>
              </w:rPr>
            </w:pPr>
            <w:r>
              <w:rPr>
                <w:rFonts w:ascii="Times New Roman" w:hAnsi="Times New Roman"/>
              </w:rPr>
              <w:t>清管站</w:t>
            </w:r>
          </w:p>
        </w:tc>
        <w:tc>
          <w:tcPr>
            <w:tcW w:w="1130" w:type="pct"/>
            <w:vAlign w:val="center"/>
          </w:tcPr>
          <w:p>
            <w:pPr>
              <w:pStyle w:val="39"/>
              <w:rPr>
                <w:rFonts w:ascii="Times New Roman" w:hAnsi="Times New Roman"/>
              </w:rPr>
            </w:pPr>
            <w:r>
              <w:rPr>
                <w:rFonts w:ascii="Times New Roman" w:hAnsi="Times New Roman"/>
              </w:rPr>
              <w:t>1</w:t>
            </w:r>
          </w:p>
        </w:tc>
        <w:tc>
          <w:tcPr>
            <w:tcW w:w="1405" w:type="pct"/>
            <w:vAlign w:val="center"/>
          </w:tcPr>
          <w:p>
            <w:pPr>
              <w:pStyle w:val="39"/>
              <w:rPr>
                <w:rFonts w:ascii="Times New Roman" w:hAnsi="Times New Roman"/>
              </w:rPr>
            </w:pPr>
            <w:r>
              <w:rPr>
                <w:rFonts w:ascii="Times New Roman" w:hAnsi="Times New Roman"/>
              </w:rPr>
              <w:t>0.001</w:t>
            </w:r>
          </w:p>
        </w:tc>
        <w:tc>
          <w:tcPr>
            <w:tcW w:w="1206" w:type="pct"/>
          </w:tcPr>
          <w:p>
            <w:pPr>
              <w:pStyle w:val="39"/>
              <w:rPr>
                <w:rFonts w:ascii="Times New Roman" w:hAnsi="Times New Roman"/>
              </w:rPr>
            </w:pPr>
            <w:r>
              <w:rPr>
                <w:rFonts w:ascii="Times New Roman" w:hAnsi="Times New Roman"/>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9" w:type="pct"/>
          </w:tcPr>
          <w:p>
            <w:pPr>
              <w:pStyle w:val="39"/>
              <w:rPr>
                <w:rFonts w:ascii="Times New Roman" w:hAnsi="Times New Roman"/>
              </w:rPr>
            </w:pPr>
            <w:r>
              <w:rPr>
                <w:rFonts w:ascii="Times New Roman" w:hAnsi="Times New Roman"/>
              </w:rPr>
              <w:t>合计</w:t>
            </w:r>
          </w:p>
        </w:tc>
        <w:tc>
          <w:tcPr>
            <w:tcW w:w="1130" w:type="pct"/>
            <w:vAlign w:val="center"/>
          </w:tcPr>
          <w:p>
            <w:pPr>
              <w:pStyle w:val="39"/>
              <w:rPr>
                <w:rFonts w:ascii="Times New Roman" w:hAnsi="Times New Roman"/>
              </w:rPr>
            </w:pPr>
            <w:r>
              <w:rPr>
                <w:rFonts w:ascii="Times New Roman" w:hAnsi="Times New Roman"/>
              </w:rPr>
              <w:t>/</w:t>
            </w:r>
          </w:p>
        </w:tc>
        <w:tc>
          <w:tcPr>
            <w:tcW w:w="1405" w:type="pct"/>
            <w:vAlign w:val="center"/>
          </w:tcPr>
          <w:p>
            <w:pPr>
              <w:pStyle w:val="39"/>
              <w:rPr>
                <w:rFonts w:ascii="Times New Roman" w:hAnsi="Times New Roman"/>
              </w:rPr>
            </w:pPr>
            <w:r>
              <w:rPr>
                <w:rFonts w:ascii="Times New Roman" w:hAnsi="Times New Roman"/>
              </w:rPr>
              <w:t>/</w:t>
            </w:r>
          </w:p>
        </w:tc>
        <w:tc>
          <w:tcPr>
            <w:tcW w:w="1206" w:type="pct"/>
            <w:vAlign w:val="center"/>
          </w:tcPr>
          <w:p>
            <w:pPr>
              <w:pStyle w:val="39"/>
              <w:rPr>
                <w:rFonts w:ascii="Times New Roman" w:hAnsi="Times New Roman"/>
              </w:rPr>
            </w:pPr>
            <w:r>
              <w:rPr>
                <w:rFonts w:ascii="Times New Roman" w:hAnsi="Times New Roman"/>
              </w:rPr>
              <w:t>10.95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9" w:type="pct"/>
          </w:tcPr>
          <w:p>
            <w:pPr>
              <w:pStyle w:val="39"/>
              <w:rPr>
                <w:rFonts w:ascii="Times New Roman" w:hAnsi="Times New Roman"/>
              </w:rPr>
            </w:pPr>
            <w:r>
              <w:rPr>
                <w:rFonts w:ascii="Times New Roman" w:hAnsi="Times New Roman"/>
              </w:rPr>
              <w:t>CO</w:t>
            </w:r>
            <w:r>
              <w:rPr>
                <w:rFonts w:ascii="Times New Roman" w:hAnsi="Times New Roman"/>
                <w:vertAlign w:val="subscript"/>
              </w:rPr>
              <w:t>2</w:t>
            </w:r>
            <w:r>
              <w:rPr>
                <w:rFonts w:ascii="Times New Roman" w:hAnsi="Times New Roman"/>
              </w:rPr>
              <w:t>当量</w:t>
            </w:r>
          </w:p>
        </w:tc>
        <w:tc>
          <w:tcPr>
            <w:tcW w:w="1130" w:type="pct"/>
            <w:vAlign w:val="center"/>
          </w:tcPr>
          <w:p>
            <w:pPr>
              <w:pStyle w:val="39"/>
              <w:rPr>
                <w:rFonts w:ascii="Times New Roman" w:hAnsi="Times New Roman"/>
              </w:rPr>
            </w:pPr>
            <w:r>
              <w:rPr>
                <w:rFonts w:ascii="Times New Roman" w:hAnsi="Times New Roman"/>
              </w:rPr>
              <w:t>/</w:t>
            </w:r>
          </w:p>
        </w:tc>
        <w:tc>
          <w:tcPr>
            <w:tcW w:w="1405" w:type="pct"/>
            <w:vAlign w:val="center"/>
          </w:tcPr>
          <w:p>
            <w:pPr>
              <w:pStyle w:val="39"/>
              <w:rPr>
                <w:rFonts w:ascii="Times New Roman" w:hAnsi="Times New Roman"/>
              </w:rPr>
            </w:pPr>
            <w:r>
              <w:rPr>
                <w:rFonts w:ascii="Times New Roman" w:hAnsi="Times New Roman"/>
              </w:rPr>
              <w:t>/</w:t>
            </w:r>
          </w:p>
        </w:tc>
        <w:tc>
          <w:tcPr>
            <w:tcW w:w="1206" w:type="pct"/>
            <w:vAlign w:val="center"/>
          </w:tcPr>
          <w:p>
            <w:pPr>
              <w:pStyle w:val="39"/>
              <w:rPr>
                <w:rFonts w:ascii="Times New Roman" w:hAnsi="Times New Roman"/>
              </w:rPr>
            </w:pPr>
            <w:r>
              <w:rPr>
                <w:rFonts w:ascii="Times New Roman" w:hAnsi="Times New Roman"/>
              </w:rPr>
              <w:t>229.97</w:t>
            </w:r>
          </w:p>
        </w:tc>
      </w:tr>
    </w:tbl>
    <w:p>
      <w:pPr>
        <w:ind w:firstLine="482"/>
        <w:rPr>
          <w:rFonts w:ascii="Times New Roman" w:hAnsi="Times New Roman"/>
          <w:b/>
          <w:bCs/>
        </w:rPr>
      </w:pPr>
      <w:r>
        <w:rPr>
          <w:rFonts w:ascii="Times New Roman" w:hAnsi="Times New Roman"/>
          <w:b/>
          <w:bCs/>
        </w:rPr>
        <w:t>（5）碳排放量汇总</w:t>
      </w:r>
    </w:p>
    <w:p>
      <w:pPr>
        <w:ind w:firstLine="480"/>
        <w:rPr>
          <w:rFonts w:ascii="Times New Roman" w:hAnsi="Times New Roman"/>
        </w:rPr>
      </w:pPr>
      <w:r>
        <w:rPr>
          <w:rFonts w:ascii="Times New Roman" w:hAnsi="Times New Roman"/>
        </w:rPr>
        <w:t>综上，本项目碳排放汇总表见</w:t>
      </w:r>
      <w:r>
        <w:rPr>
          <w:rFonts w:ascii="Times New Roman" w:hAnsi="Times New Roman"/>
        </w:rPr>
        <w:fldChar w:fldCharType="begin"/>
      </w:r>
      <w:r>
        <w:rPr>
          <w:rFonts w:ascii="Times New Roman" w:hAnsi="Times New Roman"/>
        </w:rPr>
        <w:instrText xml:space="preserve"> REF _Ref155280777 \h  \* MERGEFORMAT </w:instrText>
      </w:r>
      <w:r>
        <w:rPr>
          <w:rFonts w:ascii="Times New Roman" w:hAnsi="Times New Roman"/>
        </w:rPr>
        <w:fldChar w:fldCharType="separate"/>
      </w:r>
      <w:r>
        <w:rPr>
          <w:rFonts w:ascii="Times New Roman" w:hAnsi="Times New Roman"/>
        </w:rPr>
        <w:t>表8</w:t>
      </w:r>
      <w:r>
        <w:rPr>
          <w:rFonts w:ascii="Times New Roman" w:hAnsi="Times New Roman"/>
        </w:rPr>
        <w:noBreakHyphen/>
      </w:r>
      <w:r>
        <w:rPr>
          <w:rFonts w:ascii="Times New Roman" w:hAnsi="Times New Roman"/>
        </w:rPr>
        <w:t>13</w:t>
      </w:r>
      <w:r>
        <w:rPr>
          <w:rFonts w:ascii="Times New Roman" w:hAnsi="Times New Roman"/>
        </w:rPr>
        <w:fldChar w:fldCharType="end"/>
      </w:r>
      <w:r>
        <w:rPr>
          <w:rFonts w:ascii="Times New Roman" w:hAnsi="Times New Roman"/>
        </w:rPr>
        <w:t>，碳排放年排放总量为4859.66tCO</w:t>
      </w:r>
      <w:r>
        <w:rPr>
          <w:rFonts w:ascii="Times New Roman" w:hAnsi="Times New Roman"/>
          <w:vertAlign w:val="subscript"/>
        </w:rPr>
        <w:t>2</w:t>
      </w:r>
      <w:r>
        <w:rPr>
          <w:rFonts w:ascii="Times New Roman" w:hAnsi="Times New Roman"/>
        </w:rPr>
        <w:t>。</w:t>
      </w:r>
    </w:p>
    <w:p>
      <w:pPr>
        <w:pStyle w:val="37"/>
        <w:rPr>
          <w:rFonts w:ascii="Times New Roman" w:hAnsi="Times New Roman" w:cs="Times New Roman"/>
        </w:rPr>
      </w:pPr>
      <w:bookmarkStart w:id="379" w:name="_Ref155280777"/>
      <w:r>
        <w:rPr>
          <w:rFonts w:ascii="Times New Roman" w:hAnsi="Times New Roman" w:cs="Times New Roman"/>
        </w:rPr>
        <w:t>表</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13</w:t>
      </w:r>
      <w:r>
        <w:rPr>
          <w:rFonts w:ascii="Times New Roman" w:hAnsi="Times New Roman" w:cs="Times New Roman"/>
        </w:rPr>
        <w:fldChar w:fldCharType="end"/>
      </w:r>
      <w:bookmarkEnd w:id="379"/>
      <w:r>
        <w:rPr>
          <w:rFonts w:ascii="Times New Roman" w:hAnsi="Times New Roman" w:cs="Times New Roman"/>
        </w:rPr>
        <w:t xml:space="preserve"> 本项目碳排放总量</w:t>
      </w:r>
    </w:p>
    <w:tbl>
      <w:tblPr>
        <w:tblStyle w:val="28"/>
        <w:tblW w:w="82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0"/>
        <w:gridCol w:w="2720"/>
        <w:gridCol w:w="46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0" w:type="dxa"/>
          </w:tcPr>
          <w:p>
            <w:pPr>
              <w:pStyle w:val="39"/>
              <w:rPr>
                <w:rFonts w:ascii="Times New Roman" w:hAnsi="Times New Roman"/>
              </w:rPr>
            </w:pPr>
            <w:r>
              <w:rPr>
                <w:rFonts w:ascii="Times New Roman" w:hAnsi="Times New Roman"/>
              </w:rPr>
              <w:t>序号</w:t>
            </w:r>
          </w:p>
        </w:tc>
        <w:tc>
          <w:tcPr>
            <w:tcW w:w="2720" w:type="dxa"/>
          </w:tcPr>
          <w:p>
            <w:pPr>
              <w:pStyle w:val="39"/>
              <w:rPr>
                <w:rFonts w:ascii="Times New Roman" w:hAnsi="Times New Roman"/>
              </w:rPr>
            </w:pPr>
            <w:r>
              <w:rPr>
                <w:rFonts w:ascii="Times New Roman" w:hAnsi="Times New Roman"/>
              </w:rPr>
              <w:t>排放类型</w:t>
            </w:r>
          </w:p>
        </w:tc>
        <w:tc>
          <w:tcPr>
            <w:tcW w:w="4600" w:type="dxa"/>
          </w:tcPr>
          <w:p>
            <w:pPr>
              <w:pStyle w:val="39"/>
              <w:rPr>
                <w:rFonts w:ascii="Times New Roman" w:hAnsi="Times New Roman"/>
              </w:rPr>
            </w:pPr>
            <w:r>
              <w:rPr>
                <w:rFonts w:ascii="Times New Roman" w:hAnsi="Times New Roman"/>
              </w:rPr>
              <w:t>tCO</w:t>
            </w:r>
            <w:r>
              <w:rPr>
                <w:rFonts w:ascii="Times New Roman" w:hAnsi="Times New Roman"/>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0" w:type="dxa"/>
          </w:tcPr>
          <w:p>
            <w:pPr>
              <w:pStyle w:val="39"/>
              <w:rPr>
                <w:rFonts w:ascii="Times New Roman" w:hAnsi="Times New Roman"/>
              </w:rPr>
            </w:pPr>
            <w:r>
              <w:rPr>
                <w:rFonts w:ascii="Times New Roman" w:hAnsi="Times New Roman"/>
              </w:rPr>
              <w:t>1</w:t>
            </w:r>
          </w:p>
        </w:tc>
        <w:tc>
          <w:tcPr>
            <w:tcW w:w="2720" w:type="dxa"/>
            <w:vAlign w:val="center"/>
          </w:tcPr>
          <w:p>
            <w:pPr>
              <w:pStyle w:val="39"/>
              <w:rPr>
                <w:rFonts w:ascii="Times New Roman" w:hAnsi="Times New Roman"/>
              </w:rPr>
            </w:pPr>
            <w:r>
              <w:rPr>
                <w:rFonts w:ascii="Times New Roman" w:hAnsi="Times New Roman"/>
              </w:rPr>
              <w:t>净购入电力</w:t>
            </w:r>
          </w:p>
        </w:tc>
        <w:tc>
          <w:tcPr>
            <w:tcW w:w="4600" w:type="dxa"/>
          </w:tcPr>
          <w:p>
            <w:pPr>
              <w:pStyle w:val="39"/>
              <w:rPr>
                <w:rFonts w:ascii="Times New Roman" w:hAnsi="Times New Roman"/>
              </w:rPr>
            </w:pPr>
            <w:r>
              <w:rPr>
                <w:rFonts w:ascii="Times New Roman" w:hAnsi="Times New Roman"/>
              </w:rPr>
              <w:t>455.62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0" w:type="dxa"/>
          </w:tcPr>
          <w:p>
            <w:pPr>
              <w:pStyle w:val="39"/>
              <w:rPr>
                <w:rFonts w:ascii="Times New Roman" w:hAnsi="Times New Roman"/>
              </w:rPr>
            </w:pPr>
            <w:r>
              <w:rPr>
                <w:rFonts w:ascii="Times New Roman" w:hAnsi="Times New Roman"/>
              </w:rPr>
              <w:t>2</w:t>
            </w:r>
          </w:p>
        </w:tc>
        <w:tc>
          <w:tcPr>
            <w:tcW w:w="2720" w:type="dxa"/>
            <w:vAlign w:val="center"/>
          </w:tcPr>
          <w:p>
            <w:pPr>
              <w:pStyle w:val="39"/>
              <w:rPr>
                <w:rFonts w:ascii="Times New Roman" w:hAnsi="Times New Roman"/>
              </w:rPr>
            </w:pPr>
            <w:r>
              <w:rPr>
                <w:rFonts w:ascii="Times New Roman" w:hAnsi="Times New Roman"/>
              </w:rPr>
              <w:t>燃料燃烧</w:t>
            </w:r>
          </w:p>
        </w:tc>
        <w:tc>
          <w:tcPr>
            <w:tcW w:w="4600" w:type="dxa"/>
          </w:tcPr>
          <w:p>
            <w:pPr>
              <w:pStyle w:val="39"/>
              <w:rPr>
                <w:rFonts w:ascii="Times New Roman" w:hAnsi="Times New Roman"/>
              </w:rPr>
            </w:pPr>
            <w:r>
              <w:rPr>
                <w:rFonts w:ascii="Times New Roman" w:hAnsi="Times New Roman"/>
              </w:rPr>
              <w:t>3217.34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0" w:type="dxa"/>
          </w:tcPr>
          <w:p>
            <w:pPr>
              <w:pStyle w:val="39"/>
              <w:rPr>
                <w:rFonts w:ascii="Times New Roman" w:hAnsi="Times New Roman"/>
              </w:rPr>
            </w:pPr>
            <w:r>
              <w:rPr>
                <w:rFonts w:ascii="Times New Roman" w:hAnsi="Times New Roman"/>
              </w:rPr>
              <w:t>3</w:t>
            </w:r>
          </w:p>
        </w:tc>
        <w:tc>
          <w:tcPr>
            <w:tcW w:w="2720" w:type="dxa"/>
            <w:vAlign w:val="center"/>
          </w:tcPr>
          <w:p>
            <w:pPr>
              <w:pStyle w:val="39"/>
              <w:rPr>
                <w:rFonts w:ascii="Times New Roman" w:hAnsi="Times New Roman"/>
              </w:rPr>
            </w:pPr>
            <w:r>
              <w:rPr>
                <w:rFonts w:ascii="Times New Roman" w:hAnsi="Times New Roman"/>
              </w:rPr>
              <w:t>火炬排放</w:t>
            </w:r>
          </w:p>
        </w:tc>
        <w:tc>
          <w:tcPr>
            <w:tcW w:w="4600" w:type="dxa"/>
          </w:tcPr>
          <w:p>
            <w:pPr>
              <w:pStyle w:val="39"/>
              <w:rPr>
                <w:rFonts w:ascii="Times New Roman" w:hAnsi="Times New Roman"/>
              </w:rPr>
            </w:pPr>
            <w:r>
              <w:rPr>
                <w:rFonts w:ascii="Times New Roman" w:hAnsi="Times New Roman"/>
              </w:rPr>
              <w:t>956.73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0" w:type="dxa"/>
          </w:tcPr>
          <w:p>
            <w:pPr>
              <w:pStyle w:val="39"/>
              <w:rPr>
                <w:rFonts w:ascii="Times New Roman" w:hAnsi="Times New Roman"/>
              </w:rPr>
            </w:pPr>
            <w:r>
              <w:rPr>
                <w:rFonts w:ascii="Times New Roman" w:hAnsi="Times New Roman"/>
              </w:rPr>
              <w:t>4</w:t>
            </w:r>
          </w:p>
        </w:tc>
        <w:tc>
          <w:tcPr>
            <w:tcW w:w="2720" w:type="dxa"/>
            <w:vAlign w:val="center"/>
          </w:tcPr>
          <w:p>
            <w:pPr>
              <w:pStyle w:val="39"/>
              <w:rPr>
                <w:rFonts w:ascii="Times New Roman" w:hAnsi="Times New Roman"/>
              </w:rPr>
            </w:pPr>
            <w:bookmarkStart w:id="380" w:name="_Hlk155268402"/>
            <w:r>
              <w:rPr>
                <w:rFonts w:ascii="Times New Roman" w:hAnsi="Times New Roman"/>
              </w:rPr>
              <w:t>过程逃逸放空排放</w:t>
            </w:r>
            <w:bookmarkEnd w:id="380"/>
          </w:p>
        </w:tc>
        <w:tc>
          <w:tcPr>
            <w:tcW w:w="4600" w:type="dxa"/>
          </w:tcPr>
          <w:p>
            <w:pPr>
              <w:pStyle w:val="39"/>
              <w:rPr>
                <w:rFonts w:ascii="Times New Roman" w:hAnsi="Times New Roman"/>
              </w:rPr>
            </w:pPr>
            <w:r>
              <w:rPr>
                <w:rFonts w:ascii="Times New Roman" w:hAnsi="Times New Roman"/>
              </w:rPr>
              <w:t>229.97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 w:hRule="atLeast"/>
        </w:trPr>
        <w:tc>
          <w:tcPr>
            <w:tcW w:w="3680" w:type="dxa"/>
            <w:gridSpan w:val="2"/>
          </w:tcPr>
          <w:p>
            <w:pPr>
              <w:pStyle w:val="39"/>
              <w:rPr>
                <w:rFonts w:ascii="Times New Roman" w:hAnsi="Times New Roman"/>
              </w:rPr>
            </w:pPr>
            <w:r>
              <w:rPr>
                <w:rFonts w:ascii="Times New Roman" w:hAnsi="Times New Roman"/>
              </w:rPr>
              <w:t>总计</w:t>
            </w:r>
          </w:p>
        </w:tc>
        <w:tc>
          <w:tcPr>
            <w:tcW w:w="4600" w:type="dxa"/>
          </w:tcPr>
          <w:p>
            <w:pPr>
              <w:pStyle w:val="39"/>
              <w:rPr>
                <w:rFonts w:ascii="Times New Roman" w:hAnsi="Times New Roman" w:eastAsia="等线"/>
                <w:b/>
                <w:bCs/>
              </w:rPr>
            </w:pPr>
            <w:r>
              <w:rPr>
                <w:rFonts w:ascii="Times New Roman" w:hAnsi="Times New Roman"/>
              </w:rPr>
              <w:t>5477.80</w:t>
            </w:r>
          </w:p>
        </w:tc>
      </w:tr>
    </w:tbl>
    <w:p>
      <w:pPr>
        <w:pStyle w:val="3"/>
        <w:rPr>
          <w:rFonts w:ascii="Times New Roman" w:hAnsi="Times New Roman" w:cs="Times New Roman"/>
        </w:rPr>
      </w:pPr>
      <w:bookmarkStart w:id="381" w:name="_Toc162339443"/>
      <w:r>
        <w:rPr>
          <w:rFonts w:ascii="Times New Roman" w:hAnsi="Times New Roman" w:cs="Times New Roman"/>
        </w:rPr>
        <w:t>碳排放评价</w:t>
      </w:r>
      <w:bookmarkEnd w:id="381"/>
    </w:p>
    <w:p>
      <w:pPr>
        <w:autoSpaceDE w:val="0"/>
        <w:autoSpaceDN w:val="0"/>
        <w:ind w:firstLine="480"/>
        <w:rPr>
          <w:rFonts w:ascii="Times New Roman" w:hAnsi="Times New Roman"/>
        </w:rPr>
      </w:pPr>
      <w:r>
        <w:rPr>
          <w:rFonts w:ascii="Times New Roman" w:hAnsi="Times New Roman"/>
        </w:rPr>
        <w:t>（1）单位工业增加值碳排放计算</w:t>
      </w:r>
    </w:p>
    <w:p>
      <w:pPr>
        <w:autoSpaceDE w:val="0"/>
        <w:autoSpaceDN w:val="0"/>
        <w:ind w:firstLine="480"/>
        <w:rPr>
          <w:rFonts w:ascii="Times New Roman" w:hAnsi="Times New Roman"/>
        </w:rPr>
      </w:pPr>
      <w:r>
        <w:rPr>
          <w:rFonts w:ascii="Times New Roman" w:hAnsi="Times New Roman"/>
        </w:rPr>
        <w:t>评价选取单位工业增加值碳排放指标进行横向对比指标，核算指标如下：</w:t>
      </w:r>
    </w:p>
    <w:p>
      <w:pPr>
        <w:autoSpaceDE w:val="0"/>
        <w:autoSpaceDN w:val="0"/>
        <w:ind w:firstLine="480"/>
        <w:jc w:val="center"/>
        <w:rPr>
          <w:rFonts w:ascii="Times New Roman" w:hAnsi="Times New Roman"/>
          <w:i/>
          <w:iCs/>
        </w:rPr>
      </w:pPr>
      <w:r>
        <w:rPr>
          <w:rFonts w:ascii="Times New Roman" w:hAnsi="Times New Roman"/>
          <w:i/>
          <w:iCs/>
        </w:rPr>
        <w:t>Q</w:t>
      </w:r>
      <w:r>
        <w:rPr>
          <w:rFonts w:ascii="Times New Roman" w:hAnsi="Times New Roman"/>
          <w:i/>
          <w:iCs/>
          <w:vertAlign w:val="subscript"/>
        </w:rPr>
        <w:t>工增</w:t>
      </w:r>
      <w:r>
        <w:rPr>
          <w:rFonts w:ascii="Times New Roman" w:hAnsi="Times New Roman"/>
          <w:i/>
          <w:iCs/>
        </w:rPr>
        <w:t>=E</w:t>
      </w:r>
      <w:r>
        <w:rPr>
          <w:rFonts w:ascii="Times New Roman" w:hAnsi="Times New Roman"/>
          <w:i/>
          <w:iCs/>
          <w:vertAlign w:val="subscript"/>
        </w:rPr>
        <w:t>碳总</w:t>
      </w:r>
      <w:r>
        <w:rPr>
          <w:rFonts w:ascii="Times New Roman" w:hAnsi="Times New Roman"/>
          <w:i/>
          <w:iCs/>
        </w:rPr>
        <w:t>/G</w:t>
      </w:r>
      <w:r>
        <w:rPr>
          <w:rFonts w:ascii="Times New Roman" w:hAnsi="Times New Roman"/>
          <w:i/>
          <w:iCs/>
          <w:vertAlign w:val="subscript"/>
        </w:rPr>
        <w:t>工增</w:t>
      </w:r>
    </w:p>
    <w:p>
      <w:pPr>
        <w:autoSpaceDE w:val="0"/>
        <w:autoSpaceDN w:val="0"/>
        <w:ind w:firstLine="480"/>
        <w:rPr>
          <w:rFonts w:ascii="Times New Roman" w:hAnsi="Times New Roman"/>
        </w:rPr>
      </w:pPr>
      <w:r>
        <w:rPr>
          <w:rFonts w:ascii="Times New Roman" w:hAnsi="Times New Roman"/>
        </w:rPr>
        <w:t>式中：</w:t>
      </w:r>
    </w:p>
    <w:p>
      <w:pPr>
        <w:autoSpaceDE w:val="0"/>
        <w:autoSpaceDN w:val="0"/>
        <w:ind w:firstLine="480"/>
        <w:rPr>
          <w:rFonts w:ascii="Times New Roman" w:hAnsi="Times New Roman"/>
        </w:rPr>
      </w:pPr>
      <w:r>
        <w:rPr>
          <w:rFonts w:ascii="Times New Roman" w:hAnsi="Times New Roman"/>
          <w:i/>
          <w:iCs/>
        </w:rPr>
        <w:t>Q</w:t>
      </w:r>
      <w:r>
        <w:rPr>
          <w:rFonts w:ascii="Times New Roman" w:hAnsi="Times New Roman"/>
          <w:i/>
          <w:iCs/>
          <w:vertAlign w:val="subscript"/>
        </w:rPr>
        <w:t>工增</w:t>
      </w:r>
      <w:r>
        <w:rPr>
          <w:rFonts w:ascii="Times New Roman" w:hAnsi="Times New Roman"/>
        </w:rPr>
        <w:t>—单位工业增加值碳排放，tCO</w:t>
      </w:r>
      <w:r>
        <w:rPr>
          <w:rFonts w:ascii="Times New Roman" w:hAnsi="Times New Roman"/>
          <w:vertAlign w:val="subscript"/>
        </w:rPr>
        <w:t>2</w:t>
      </w:r>
      <w:r>
        <w:rPr>
          <w:rFonts w:ascii="Times New Roman" w:hAnsi="Times New Roman"/>
        </w:rPr>
        <w:t>/万元；</w:t>
      </w:r>
    </w:p>
    <w:p>
      <w:pPr>
        <w:autoSpaceDE w:val="0"/>
        <w:autoSpaceDN w:val="0"/>
        <w:ind w:firstLine="480"/>
        <w:rPr>
          <w:rFonts w:ascii="Times New Roman" w:hAnsi="Times New Roman"/>
        </w:rPr>
      </w:pPr>
      <w:r>
        <w:rPr>
          <w:rFonts w:ascii="Times New Roman" w:hAnsi="Times New Roman"/>
          <w:i/>
          <w:iCs/>
        </w:rPr>
        <w:t>E</w:t>
      </w:r>
      <w:r>
        <w:rPr>
          <w:rFonts w:ascii="Times New Roman" w:hAnsi="Times New Roman"/>
          <w:i/>
          <w:iCs/>
          <w:vertAlign w:val="subscript"/>
        </w:rPr>
        <w:t>碳总</w:t>
      </w:r>
      <w:r>
        <w:rPr>
          <w:rFonts w:ascii="Times New Roman" w:hAnsi="Times New Roman"/>
        </w:rPr>
        <w:t>—本项目正常运行时碳排放总量，tCO</w:t>
      </w:r>
      <w:r>
        <w:rPr>
          <w:rFonts w:ascii="Times New Roman" w:hAnsi="Times New Roman"/>
          <w:vertAlign w:val="subscript"/>
        </w:rPr>
        <w:t>2</w:t>
      </w:r>
      <w:r>
        <w:rPr>
          <w:rFonts w:ascii="Times New Roman" w:hAnsi="Times New Roman"/>
        </w:rPr>
        <w:t>，4859.66tCO</w:t>
      </w:r>
      <w:r>
        <w:rPr>
          <w:rFonts w:ascii="Times New Roman" w:hAnsi="Times New Roman"/>
          <w:vertAlign w:val="subscript"/>
        </w:rPr>
        <w:t>2</w:t>
      </w:r>
      <w:r>
        <w:rPr>
          <w:rFonts w:ascii="Times New Roman" w:hAnsi="Times New Roman"/>
        </w:rPr>
        <w:t>；</w:t>
      </w:r>
    </w:p>
    <w:p>
      <w:pPr>
        <w:autoSpaceDE w:val="0"/>
        <w:autoSpaceDN w:val="0"/>
        <w:ind w:firstLine="480"/>
        <w:rPr>
          <w:rFonts w:ascii="Times New Roman" w:hAnsi="Times New Roman"/>
        </w:rPr>
      </w:pPr>
      <w:r>
        <w:rPr>
          <w:rFonts w:ascii="Times New Roman" w:hAnsi="Times New Roman"/>
          <w:i/>
          <w:iCs/>
        </w:rPr>
        <w:t>G</w:t>
      </w:r>
      <w:r>
        <w:rPr>
          <w:rFonts w:ascii="Times New Roman" w:hAnsi="Times New Roman"/>
          <w:i/>
          <w:iCs/>
          <w:vertAlign w:val="subscript"/>
        </w:rPr>
        <w:t>工增</w:t>
      </w:r>
      <w:r>
        <w:rPr>
          <w:rFonts w:ascii="Times New Roman" w:hAnsi="Times New Roman"/>
        </w:rPr>
        <w:t>—本项目正常时工业增加值，万元，2903.18万元。</w:t>
      </w:r>
    </w:p>
    <w:p>
      <w:pPr>
        <w:autoSpaceDE w:val="0"/>
        <w:autoSpaceDN w:val="0"/>
        <w:ind w:firstLine="480"/>
        <w:rPr>
          <w:rFonts w:ascii="Times New Roman" w:hAnsi="Times New Roman"/>
        </w:rPr>
      </w:pPr>
      <w:r>
        <w:rPr>
          <w:rFonts w:ascii="Times New Roman" w:hAnsi="Times New Roman"/>
        </w:rPr>
        <w:t>根据核算，项目单位工业增加值碳排放量为1.44tCO</w:t>
      </w:r>
      <w:r>
        <w:rPr>
          <w:rFonts w:ascii="Times New Roman" w:hAnsi="Times New Roman"/>
          <w:vertAlign w:val="subscript"/>
        </w:rPr>
        <w:t>2</w:t>
      </w:r>
      <w:r>
        <w:rPr>
          <w:rFonts w:ascii="Times New Roman" w:hAnsi="Times New Roman"/>
        </w:rPr>
        <w:t>/万元。</w:t>
      </w:r>
    </w:p>
    <w:p>
      <w:pPr>
        <w:autoSpaceDE w:val="0"/>
        <w:autoSpaceDN w:val="0"/>
        <w:ind w:firstLine="480"/>
        <w:rPr>
          <w:rFonts w:ascii="Times New Roman" w:hAnsi="Times New Roman"/>
        </w:rPr>
      </w:pPr>
      <w:r>
        <w:rPr>
          <w:rFonts w:ascii="Times New Roman" w:hAnsi="Times New Roman"/>
        </w:rPr>
        <w:t>（2）单位工业增加值碳排放水平</w:t>
      </w:r>
    </w:p>
    <w:p>
      <w:pPr>
        <w:autoSpaceDE w:val="0"/>
        <w:autoSpaceDN w:val="0"/>
        <w:ind w:firstLine="480"/>
        <w:rPr>
          <w:rFonts w:ascii="Times New Roman" w:hAnsi="Times New Roman"/>
        </w:rPr>
      </w:pPr>
      <w:r>
        <w:rPr>
          <w:rFonts w:ascii="Times New Roman" w:hAnsi="Times New Roman"/>
        </w:rPr>
        <w:t>目前四川省及达州市均未发布“十四五”碳排放强度下降目标值，故无法对项目单位工业增加值碳排放水平进行分类。经计算，本项目单位工业增加值碳排放量为1.44tCO</w:t>
      </w:r>
      <w:r>
        <w:rPr>
          <w:rFonts w:ascii="Times New Roman" w:hAnsi="Times New Roman"/>
          <w:vertAlign w:val="subscript"/>
        </w:rPr>
        <w:t>2</w:t>
      </w:r>
      <w:r>
        <w:rPr>
          <w:rFonts w:ascii="Times New Roman" w:hAnsi="Times New Roman"/>
        </w:rPr>
        <w:t>/万元。</w:t>
      </w:r>
    </w:p>
    <w:p>
      <w:pPr>
        <w:pStyle w:val="3"/>
        <w:rPr>
          <w:rFonts w:ascii="Times New Roman" w:hAnsi="Times New Roman" w:cs="Times New Roman"/>
        </w:rPr>
      </w:pPr>
      <w:bookmarkStart w:id="382" w:name="_Toc162339444"/>
      <w:r>
        <w:rPr>
          <w:rFonts w:ascii="Times New Roman" w:hAnsi="Times New Roman" w:cs="Times New Roman"/>
        </w:rPr>
        <w:t>碳排措施及建议</w:t>
      </w:r>
      <w:bookmarkEnd w:id="382"/>
    </w:p>
    <w:p>
      <w:pPr>
        <w:ind w:firstLine="480"/>
        <w:rPr>
          <w:rFonts w:ascii="Times New Roman" w:hAnsi="Times New Roman"/>
        </w:rPr>
      </w:pPr>
      <w:r>
        <w:rPr>
          <w:rFonts w:ascii="Times New Roman" w:hAnsi="Times New Roman"/>
        </w:rPr>
        <w:t>本项目采取的节能降碳措施有：</w:t>
      </w:r>
    </w:p>
    <w:p>
      <w:pPr>
        <w:ind w:firstLine="480"/>
        <w:rPr>
          <w:rFonts w:ascii="Times New Roman" w:hAnsi="Times New Roman"/>
        </w:rPr>
      </w:pPr>
      <w:r>
        <w:rPr>
          <w:rFonts w:ascii="Times New Roman" w:hAnsi="Times New Roman"/>
        </w:rPr>
        <w:t>（1）利用天然气自身能量</w:t>
      </w:r>
    </w:p>
    <w:p>
      <w:pPr>
        <w:ind w:firstLine="480"/>
        <w:rPr>
          <w:rFonts w:ascii="Times New Roman" w:hAnsi="Times New Roman"/>
        </w:rPr>
      </w:pPr>
      <w:r>
        <w:rPr>
          <w:rFonts w:ascii="Times New Roman" w:hAnsi="Times New Roman"/>
        </w:rPr>
        <w:t>充分利用井口压力，制定合理的气田集输方案，选择集气支线混输方案，提高天然气采收率。</w:t>
      </w:r>
    </w:p>
    <w:p>
      <w:pPr>
        <w:ind w:firstLine="480"/>
        <w:rPr>
          <w:rFonts w:ascii="Times New Roman" w:hAnsi="Times New Roman"/>
        </w:rPr>
      </w:pPr>
      <w:r>
        <w:rPr>
          <w:rFonts w:ascii="Times New Roman" w:hAnsi="Times New Roman"/>
        </w:rPr>
        <w:t>（2）减少事故或维修时天然气的放空量井下、井口设置安全截断阀，可在事故工况下迅速关闭井口，有效减少天然气的损失。</w:t>
      </w:r>
    </w:p>
    <w:p>
      <w:pPr>
        <w:ind w:firstLine="480"/>
        <w:rPr>
          <w:rFonts w:ascii="Times New Roman" w:hAnsi="Times New Roman"/>
        </w:rPr>
      </w:pPr>
      <w:r>
        <w:rPr>
          <w:rFonts w:ascii="Times New Roman" w:hAnsi="Times New Roman"/>
        </w:rPr>
        <w:t>（3）减少清管作业时天然气放空损耗</w:t>
      </w:r>
    </w:p>
    <w:p>
      <w:pPr>
        <w:ind w:firstLine="480"/>
        <w:rPr>
          <w:rFonts w:ascii="Times New Roman" w:hAnsi="Times New Roman"/>
        </w:rPr>
      </w:pPr>
      <w:r>
        <w:rPr>
          <w:rFonts w:ascii="Times New Roman" w:hAnsi="Times New Roman"/>
        </w:rPr>
        <w:t>线路采用复合管，减少清管作业、减少天然气放空，达到节能的目的。</w:t>
      </w:r>
    </w:p>
    <w:p>
      <w:pPr>
        <w:ind w:firstLine="480"/>
        <w:rPr>
          <w:rFonts w:ascii="Times New Roman" w:hAnsi="Times New Roman"/>
        </w:rPr>
      </w:pPr>
      <w:r>
        <w:rPr>
          <w:rFonts w:ascii="Times New Roman" w:hAnsi="Times New Roman"/>
        </w:rPr>
        <w:t>（4）降低线路输送的能耗</w:t>
      </w:r>
    </w:p>
    <w:p>
      <w:pPr>
        <w:ind w:firstLine="480"/>
        <w:rPr>
          <w:rFonts w:ascii="Times New Roman" w:hAnsi="Times New Roman"/>
        </w:rPr>
      </w:pPr>
      <w:r>
        <w:rPr>
          <w:rFonts w:ascii="Times New Roman" w:hAnsi="Times New Roman"/>
        </w:rPr>
        <w:t>本工程井站及宣探清管站设有清管器接收、发送装置，对集气干线定期清管，清除管道内的杂质，降低管道的沿程摩阻，提高管道输送效率。</w:t>
      </w:r>
    </w:p>
    <w:p>
      <w:pPr>
        <w:ind w:firstLine="480"/>
        <w:rPr>
          <w:rFonts w:ascii="Times New Roman" w:hAnsi="Times New Roman"/>
        </w:rPr>
      </w:pPr>
      <w:r>
        <w:rPr>
          <w:rFonts w:ascii="Times New Roman" w:hAnsi="Times New Roman"/>
        </w:rPr>
        <w:t>（5）节能设备和材料</w:t>
      </w:r>
    </w:p>
    <w:p>
      <w:pPr>
        <w:ind w:firstLine="480"/>
        <w:rPr>
          <w:rFonts w:ascii="Times New Roman" w:hAnsi="Times New Roman"/>
        </w:rPr>
      </w:pPr>
      <w:r>
        <w:rPr>
          <w:rFonts w:ascii="Times New Roman" w:hAnsi="Times New Roman"/>
        </w:rPr>
        <w:t>站内设备选型，选用密闭性能好，使用寿命长，密闭性好的阀门及分离、计量、调压设备，既降低了能耗，又避免了天然气的损耗。</w:t>
      </w:r>
    </w:p>
    <w:p>
      <w:pPr>
        <w:ind w:firstLine="480"/>
        <w:rPr>
          <w:rFonts w:ascii="Times New Roman" w:hAnsi="Times New Roman"/>
        </w:rPr>
      </w:pPr>
      <w:r>
        <w:rPr>
          <w:rFonts w:ascii="Times New Roman" w:hAnsi="Times New Roman"/>
        </w:rPr>
        <w:t>本项目节能降碳措施实施后，应加强日常设备的保养，挖掘改进高耗能设备、降低能损，减少净调入电力和天然气燃烧碳排放的潜力。定期开展泄漏检测与修复，减少碳过程逃逸。</w:t>
      </w:r>
    </w:p>
    <w:p>
      <w:pPr>
        <w:pStyle w:val="3"/>
        <w:rPr>
          <w:rFonts w:ascii="Times New Roman" w:hAnsi="Times New Roman" w:cs="Times New Roman"/>
        </w:rPr>
      </w:pPr>
      <w:bookmarkStart w:id="383" w:name="_Toc162339445"/>
      <w:r>
        <w:rPr>
          <w:rFonts w:ascii="Times New Roman" w:hAnsi="Times New Roman" w:cs="Times New Roman"/>
        </w:rPr>
        <w:t>碳排放管理</w:t>
      </w:r>
      <w:bookmarkEnd w:id="383"/>
    </w:p>
    <w:p>
      <w:pPr>
        <w:ind w:firstLine="480"/>
        <w:rPr>
          <w:rFonts w:ascii="Times New Roman" w:hAnsi="Times New Roman"/>
        </w:rPr>
      </w:pPr>
      <w:r>
        <w:rPr>
          <w:rFonts w:ascii="Times New Roman" w:hAnsi="Times New Roman"/>
        </w:rPr>
        <w:t>（1）建立制度：为规范企业碳管理工作，结合自身生产管理实际情况，建立碳管理制度，包括但不限于建立企业碳管理工作组织体系；明确各岗位职责及权限范围；明确战略管理、碳排放管理、碳资产管理、信息公开等具体内容；明确各事项审批流程及时限；明确管理制度的时效性。</w:t>
      </w:r>
    </w:p>
    <w:p>
      <w:pPr>
        <w:ind w:firstLine="480"/>
        <w:rPr>
          <w:rFonts w:ascii="Times New Roman" w:hAnsi="Times New Roman"/>
        </w:rPr>
      </w:pPr>
      <w:r>
        <w:rPr>
          <w:rFonts w:ascii="Times New Roman" w:hAnsi="Times New Roman"/>
        </w:rPr>
        <w:t xml:space="preserve">（2）能力培养：为确保企业碳管理工作人员具备相应能力，企业应开展以下工作：通过教育、培训、技能和经验交流，确保从事碳管理有关工作人员具备相应的能力，并保存相关记录；对与碳管理工作有重大影响的人员进行岗位专业技能培训，并保存培训记录；企业可选择外派培训、内部培训和横向交流等方式开展培训工作。 </w:t>
      </w:r>
    </w:p>
    <w:p>
      <w:pPr>
        <w:ind w:firstLine="480"/>
        <w:rPr>
          <w:rFonts w:ascii="Times New Roman" w:hAnsi="Times New Roman"/>
        </w:rPr>
      </w:pPr>
      <w:r>
        <w:rPr>
          <w:rFonts w:ascii="Times New Roman" w:hAnsi="Times New Roman"/>
        </w:rPr>
        <w:t xml:space="preserve">（3）意识培养：企业应采取措施，使全体人员都意识到：实施企业碳管理工作的重要性；降低碳排放、提高碳排放绩效给企业带来的效益，以及个人工作改进能带来的碳排放绩效；偏离碳管理制度规定运行程序的潜在后果。 </w:t>
      </w:r>
    </w:p>
    <w:p>
      <w:pPr>
        <w:ind w:firstLine="480"/>
        <w:rPr>
          <w:rFonts w:ascii="Times New Roman" w:hAnsi="Times New Roman"/>
        </w:rPr>
      </w:pPr>
      <w:r>
        <w:rPr>
          <w:rFonts w:ascii="Times New Roman" w:hAnsi="Times New Roman"/>
        </w:rPr>
        <w:t>（4）监测管理：应根据自身的生产特点以及《中国石油和天然气生产企业温室气体排放核算方法与报告指南（试行）》中核算标准和国家相关部门发布的技术指南的有关要求，确保对其运行中的决定碳排放绩效的关键特性进行定期监视、测量和分析，关键特性至少应包括但不限于：排放源设施、各碳源流数据、具备实测条件的与排放因子相关的数据、碳排放相关数据和生产相关数据获取方式、数据的准确性。</w:t>
      </w:r>
    </w:p>
    <w:p>
      <w:pPr>
        <w:ind w:firstLine="480"/>
        <w:rPr>
          <w:rFonts w:ascii="Times New Roman" w:hAnsi="Times New Roman"/>
        </w:rPr>
      </w:pPr>
      <w:r>
        <w:rPr>
          <w:rFonts w:ascii="Times New Roman" w:hAnsi="Times New Roman"/>
        </w:rPr>
        <w:t>（5）报告管理：企业应基于碳排放核算的结果编写碳排放报告，并对其进行校核。核算报告编写应符合主管部门所规定的格式要求，对经过内部质量控制的核算结果进行确认形成最终企业盖章的碳排放报告。</w:t>
      </w:r>
    </w:p>
    <w:p>
      <w:pPr>
        <w:pStyle w:val="3"/>
        <w:rPr>
          <w:rFonts w:ascii="Times New Roman" w:hAnsi="Times New Roman" w:cs="Times New Roman"/>
        </w:rPr>
      </w:pPr>
      <w:bookmarkStart w:id="384" w:name="_Toc162339446"/>
      <w:r>
        <w:rPr>
          <w:rFonts w:ascii="Times New Roman" w:hAnsi="Times New Roman" w:cs="Times New Roman"/>
        </w:rPr>
        <w:t>碳排放分析结论</w:t>
      </w:r>
      <w:bookmarkEnd w:id="384"/>
    </w:p>
    <w:p>
      <w:pPr>
        <w:ind w:firstLine="480"/>
        <w:rPr>
          <w:rFonts w:ascii="Times New Roman" w:hAnsi="Times New Roman"/>
        </w:rPr>
      </w:pPr>
      <w:r>
        <w:rPr>
          <w:rFonts w:ascii="Times New Roman" w:hAnsi="Times New Roman"/>
        </w:rPr>
        <w:t>本项目符合</w:t>
      </w:r>
      <w:r>
        <w:rPr>
          <w:rFonts w:ascii="Times New Roman" w:hAnsi="Times New Roman"/>
          <w:kern w:val="0"/>
        </w:rPr>
        <w:t>国家、地方相关的碳达峰、碳中和、碳排放的政策要求</w:t>
      </w:r>
      <w:r>
        <w:rPr>
          <w:rFonts w:ascii="Times New Roman" w:hAnsi="Times New Roman"/>
        </w:rPr>
        <w:t>。</w:t>
      </w:r>
    </w:p>
    <w:p>
      <w:pPr>
        <w:ind w:firstLine="480"/>
        <w:rPr>
          <w:rFonts w:ascii="Times New Roman" w:hAnsi="Times New Roman"/>
        </w:rPr>
      </w:pPr>
      <w:r>
        <w:rPr>
          <w:rFonts w:ascii="Times New Roman" w:hAnsi="Times New Roman"/>
        </w:rPr>
        <w:t>本项目碳排放主要来自净购入电力消耗、燃料燃烧排放、火炬燃烧排放、过程逃逸放空排放。经核算，本项目碳排放年排放总量为4859.66tCO</w:t>
      </w:r>
      <w:r>
        <w:rPr>
          <w:rFonts w:ascii="Times New Roman" w:hAnsi="Times New Roman"/>
          <w:vertAlign w:val="subscript"/>
        </w:rPr>
        <w:t>2</w:t>
      </w:r>
      <w:r>
        <w:rPr>
          <w:rFonts w:ascii="Times New Roman" w:hAnsi="Times New Roman"/>
        </w:rPr>
        <w:t>。单位工业增加值碳排放强度为1.67tCO</w:t>
      </w:r>
      <w:r>
        <w:rPr>
          <w:rFonts w:ascii="Times New Roman" w:hAnsi="Times New Roman"/>
          <w:vertAlign w:val="subscript"/>
        </w:rPr>
        <w:t>2</w:t>
      </w:r>
      <w:r>
        <w:rPr>
          <w:rFonts w:ascii="Times New Roman" w:hAnsi="Times New Roman"/>
        </w:rPr>
        <w:t>/万元。本项目节能降碳措施实施后，应加强日常运行过程中碳排放管理，持续从优化能源利用、过程排放等方面，进一步挖掘降低碳排放总量的潜力。</w:t>
      </w: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widowControl/>
        <w:spacing w:line="240" w:lineRule="auto"/>
        <w:ind w:firstLine="0" w:firstLineChars="0"/>
        <w:rPr>
          <w:rFonts w:ascii="Times New Roman" w:hAnsi="Times New Roman"/>
        </w:rPr>
      </w:pPr>
      <w:r>
        <w:rPr>
          <w:rFonts w:ascii="Times New Roman" w:hAnsi="Times New Roman"/>
        </w:rPr>
        <w:br w:type="page"/>
      </w:r>
    </w:p>
    <w:p>
      <w:pPr>
        <w:pStyle w:val="2"/>
        <w:rPr>
          <w:rFonts w:ascii="Times New Roman" w:hAnsi="Times New Roman" w:cs="Times New Roman"/>
        </w:rPr>
      </w:pPr>
      <w:bookmarkStart w:id="385" w:name="_Toc162339447"/>
      <w:r>
        <w:rPr>
          <w:rFonts w:ascii="Times New Roman" w:hAnsi="Times New Roman" w:cs="Times New Roman"/>
        </w:rPr>
        <w:t>环境保护措施及可行性论证</w:t>
      </w:r>
      <w:bookmarkEnd w:id="385"/>
    </w:p>
    <w:p>
      <w:pPr>
        <w:pStyle w:val="3"/>
        <w:rPr>
          <w:rFonts w:ascii="Times New Roman" w:hAnsi="Times New Roman" w:cs="Times New Roman"/>
        </w:rPr>
      </w:pPr>
      <w:bookmarkStart w:id="386" w:name="_Toc162339448"/>
      <w:r>
        <w:rPr>
          <w:rFonts w:ascii="Times New Roman" w:hAnsi="Times New Roman" w:cs="Times New Roman"/>
        </w:rPr>
        <w:t>大气污染防治措施</w:t>
      </w:r>
      <w:bookmarkEnd w:id="386"/>
    </w:p>
    <w:p>
      <w:pPr>
        <w:pStyle w:val="4"/>
        <w:rPr>
          <w:rFonts w:ascii="Times New Roman" w:hAnsi="Times New Roman" w:cs="Times New Roman"/>
        </w:rPr>
      </w:pPr>
      <w:r>
        <w:rPr>
          <w:rFonts w:ascii="Times New Roman" w:hAnsi="Times New Roman" w:cs="Times New Roman"/>
        </w:rPr>
        <w:t>施工期大气污染防治措施</w:t>
      </w:r>
    </w:p>
    <w:p>
      <w:pPr>
        <w:ind w:firstLine="480"/>
        <w:rPr>
          <w:rFonts w:ascii="Times New Roman" w:hAnsi="Times New Roman"/>
        </w:rPr>
      </w:pPr>
      <w:r>
        <w:rPr>
          <w:rFonts w:ascii="Times New Roman" w:hAnsi="Times New Roman"/>
        </w:rPr>
        <w:t>（1）施工扬尘污染防治措施</w:t>
      </w:r>
    </w:p>
    <w:p>
      <w:pPr>
        <w:ind w:firstLine="480"/>
        <w:rPr>
          <w:rFonts w:ascii="Times New Roman" w:hAnsi="Times New Roman"/>
        </w:rPr>
      </w:pPr>
      <w:r>
        <w:rPr>
          <w:rFonts w:ascii="Times New Roman" w:hAnsi="Times New Roman"/>
        </w:rPr>
        <w:t>针对施工扬尘需采取如下措施：</w:t>
      </w:r>
    </w:p>
    <w:p>
      <w:pPr>
        <w:ind w:firstLine="480"/>
        <w:rPr>
          <w:rFonts w:ascii="Times New Roman" w:hAnsi="Times New Roman"/>
        </w:rPr>
      </w:pPr>
      <w:r>
        <w:rPr>
          <w:rFonts w:hint="eastAsia" w:ascii="宋体" w:hAnsi="宋体" w:cs="宋体"/>
        </w:rPr>
        <w:t>①</w:t>
      </w:r>
      <w:r>
        <w:rPr>
          <w:rFonts w:ascii="Times New Roman" w:hAnsi="Times New Roman"/>
        </w:rPr>
        <w:t>严禁运输建筑材料和设备的车辆超载行驶；</w:t>
      </w:r>
    </w:p>
    <w:p>
      <w:pPr>
        <w:ind w:firstLine="480"/>
        <w:rPr>
          <w:rFonts w:ascii="Times New Roman" w:hAnsi="Times New Roman"/>
        </w:rPr>
      </w:pPr>
      <w:r>
        <w:rPr>
          <w:rFonts w:hint="eastAsia" w:ascii="宋体" w:hAnsi="宋体" w:cs="宋体"/>
        </w:rPr>
        <w:t>②</w:t>
      </w:r>
      <w:r>
        <w:rPr>
          <w:rFonts w:ascii="Times New Roman" w:hAnsi="Times New Roman"/>
        </w:rPr>
        <w:t>运输车辆行驶过程中应尽量采取遮盖、密闭措施；</w:t>
      </w:r>
    </w:p>
    <w:p>
      <w:pPr>
        <w:ind w:firstLine="480"/>
        <w:rPr>
          <w:rFonts w:ascii="Times New Roman" w:hAnsi="Times New Roman"/>
        </w:rPr>
      </w:pPr>
      <w:r>
        <w:rPr>
          <w:rFonts w:hint="eastAsia" w:ascii="宋体" w:hAnsi="宋体" w:cs="宋体"/>
        </w:rPr>
        <w:t>③</w:t>
      </w:r>
      <w:r>
        <w:rPr>
          <w:rFonts w:ascii="Times New Roman" w:hAnsi="Times New Roman"/>
        </w:rPr>
        <w:t>行驶在路况较差的路段或行经村庄、农田附近时，放慢行车速度，避免扬尘污染；</w:t>
      </w:r>
    </w:p>
    <w:p>
      <w:pPr>
        <w:ind w:firstLine="480"/>
        <w:rPr>
          <w:rFonts w:ascii="Times New Roman" w:hAnsi="Times New Roman"/>
        </w:rPr>
      </w:pPr>
      <w:r>
        <w:rPr>
          <w:rFonts w:hint="eastAsia" w:ascii="宋体" w:hAnsi="宋体" w:cs="宋体"/>
        </w:rPr>
        <w:t>④</w:t>
      </w:r>
      <w:r>
        <w:rPr>
          <w:rFonts w:ascii="Times New Roman" w:hAnsi="Times New Roman"/>
        </w:rPr>
        <w:t>地表开挖过程中，应洒水使作业面保持一定的湿度；对施工场地内松散、干涸的表土，也应经常洒水防尘；回填土方时，对干燥表土适当洒水，防止粉尘飞扬；</w:t>
      </w:r>
    </w:p>
    <w:p>
      <w:pPr>
        <w:ind w:firstLine="480"/>
        <w:rPr>
          <w:rFonts w:ascii="Times New Roman" w:hAnsi="Times New Roman"/>
        </w:rPr>
      </w:pPr>
      <w:r>
        <w:rPr>
          <w:rFonts w:hint="eastAsia" w:ascii="宋体" w:hAnsi="宋体" w:cs="宋体"/>
        </w:rPr>
        <w:t>⑤</w:t>
      </w:r>
      <w:r>
        <w:rPr>
          <w:rFonts w:ascii="Times New Roman" w:hAnsi="Times New Roman"/>
        </w:rPr>
        <w:t>在居民居住区对施工现场应及时洒水，阻隔施工扬尘污染；遇4级以上大风天气应停止动土施工，并采取有效的防尘措施，以达到防风降尘的目的，减轻施工扬尘对周围环境空气的影响；</w:t>
      </w:r>
    </w:p>
    <w:p>
      <w:pPr>
        <w:ind w:firstLine="480"/>
        <w:rPr>
          <w:rFonts w:ascii="Times New Roman" w:hAnsi="Times New Roman"/>
        </w:rPr>
      </w:pPr>
      <w:r>
        <w:rPr>
          <w:rFonts w:hint="eastAsia" w:ascii="宋体" w:hAnsi="宋体" w:cs="宋体"/>
        </w:rPr>
        <w:t>⑥</w:t>
      </w:r>
      <w:r>
        <w:rPr>
          <w:rFonts w:ascii="Times New Roman" w:hAnsi="Times New Roman"/>
        </w:rPr>
        <w:t>运输建筑材料和设备的车辆严禁超载，运输沙土、水泥的车辆必须采取加盖篷布等防尘措施，防止物料沿途抛洒导致二次扬尘；</w:t>
      </w:r>
    </w:p>
    <w:p>
      <w:pPr>
        <w:ind w:firstLine="480"/>
        <w:rPr>
          <w:rFonts w:ascii="Times New Roman" w:hAnsi="Times New Roman"/>
        </w:rPr>
      </w:pPr>
      <w:r>
        <w:rPr>
          <w:rFonts w:hint="eastAsia" w:ascii="宋体" w:hAnsi="宋体" w:cs="宋体"/>
        </w:rPr>
        <w:t>⑦</w:t>
      </w:r>
      <w:r>
        <w:rPr>
          <w:rFonts w:ascii="Times New Roman" w:hAnsi="Times New Roman"/>
        </w:rPr>
        <w:t>施工过程应及时清理堆放在场地上的弃土、弃渣和道路上的抛撒料、渣，不能及时清运的，必须适时采取洒水灭尘等措施，防止二次扬尘。</w:t>
      </w:r>
    </w:p>
    <w:p>
      <w:pPr>
        <w:ind w:firstLine="480"/>
        <w:rPr>
          <w:rFonts w:ascii="Times New Roman" w:hAnsi="Times New Roman"/>
        </w:rPr>
      </w:pPr>
      <w:r>
        <w:rPr>
          <w:rFonts w:ascii="Times New Roman" w:hAnsi="Times New Roman"/>
        </w:rPr>
        <w:t>通过采取以上措施，施工扬尘对区域环境空气质量影响较小。随着施工期的结束，影响将会消失，污染防治措施可行。</w:t>
      </w:r>
    </w:p>
    <w:p>
      <w:pPr>
        <w:ind w:firstLine="480"/>
        <w:rPr>
          <w:rFonts w:ascii="Times New Roman" w:hAnsi="Times New Roman"/>
        </w:rPr>
      </w:pPr>
      <w:r>
        <w:rPr>
          <w:rFonts w:ascii="Times New Roman" w:hAnsi="Times New Roman"/>
        </w:rPr>
        <w:t>（2）施工机械设备尾气防治措施</w:t>
      </w:r>
    </w:p>
    <w:p>
      <w:pPr>
        <w:ind w:firstLine="480"/>
        <w:rPr>
          <w:rFonts w:ascii="Times New Roman" w:hAnsi="Times New Roman"/>
        </w:rPr>
      </w:pPr>
      <w:r>
        <w:rPr>
          <w:rFonts w:ascii="Times New Roman" w:hAnsi="Times New Roman"/>
        </w:rPr>
        <w:t>针对施工机械废气需采取如下措施：</w:t>
      </w:r>
    </w:p>
    <w:p>
      <w:pPr>
        <w:ind w:firstLine="480"/>
        <w:rPr>
          <w:rFonts w:ascii="Times New Roman" w:hAnsi="Times New Roman"/>
        </w:rPr>
      </w:pPr>
      <w:r>
        <w:rPr>
          <w:rFonts w:hint="eastAsia" w:ascii="宋体" w:hAnsi="宋体" w:cs="宋体"/>
        </w:rPr>
        <w:t>①</w:t>
      </w:r>
      <w:r>
        <w:rPr>
          <w:rFonts w:ascii="Times New Roman" w:hAnsi="Times New Roman"/>
        </w:rPr>
        <w:t>定期对运输车辆进行维护和保养，保证发动机正常运行，使汽车燃料充分燃烧。</w:t>
      </w:r>
    </w:p>
    <w:p>
      <w:pPr>
        <w:ind w:firstLine="480"/>
        <w:rPr>
          <w:rFonts w:ascii="Times New Roman" w:hAnsi="Times New Roman"/>
        </w:rPr>
      </w:pPr>
      <w:r>
        <w:rPr>
          <w:rFonts w:hint="eastAsia" w:ascii="宋体" w:hAnsi="宋体" w:cs="宋体"/>
        </w:rPr>
        <w:t>②</w:t>
      </w:r>
      <w:r>
        <w:rPr>
          <w:rFonts w:ascii="Times New Roman" w:hAnsi="Times New Roman"/>
        </w:rPr>
        <w:t>发电机、柴油机使用合格轻质柴油，燃烧废气经自带的消烟除尘装置处理后通过6m高排气筒达标排放。</w:t>
      </w:r>
    </w:p>
    <w:p>
      <w:pPr>
        <w:ind w:firstLine="480"/>
        <w:rPr>
          <w:rFonts w:ascii="Times New Roman" w:hAnsi="Times New Roman"/>
        </w:rPr>
      </w:pPr>
      <w:r>
        <w:rPr>
          <w:rFonts w:hint="eastAsia" w:ascii="宋体" w:hAnsi="宋体" w:cs="宋体"/>
        </w:rPr>
        <w:t>③</w:t>
      </w:r>
      <w:r>
        <w:rPr>
          <w:rFonts w:ascii="Times New Roman" w:hAnsi="Times New Roman"/>
        </w:rPr>
        <w:t>建议选用排放尾气满足《非道路移动机械用柴油机排气污染物排放限值及测量方法（中国第三、四阶段）》（GB20891-2014）中第四阶段的机械设备。</w:t>
      </w:r>
    </w:p>
    <w:p>
      <w:pPr>
        <w:ind w:firstLine="480"/>
        <w:rPr>
          <w:rFonts w:ascii="Times New Roman" w:hAnsi="Times New Roman"/>
        </w:rPr>
      </w:pPr>
      <w:r>
        <w:rPr>
          <w:rFonts w:ascii="Times New Roman" w:hAnsi="Times New Roman"/>
        </w:rPr>
        <w:t>采取上述措施后，施工机械设备对环境空气的影响很小，污染防治措施可行。</w:t>
      </w:r>
    </w:p>
    <w:p>
      <w:pPr>
        <w:pStyle w:val="4"/>
        <w:rPr>
          <w:rFonts w:ascii="Times New Roman" w:hAnsi="Times New Roman" w:cs="Times New Roman"/>
        </w:rPr>
      </w:pPr>
      <w:r>
        <w:rPr>
          <w:rFonts w:ascii="Times New Roman" w:hAnsi="Times New Roman" w:cs="Times New Roman"/>
        </w:rPr>
        <w:t>运营期大气污染防治措施</w:t>
      </w:r>
    </w:p>
    <w:p>
      <w:pPr>
        <w:ind w:firstLine="480"/>
        <w:rPr>
          <w:rFonts w:ascii="Times New Roman" w:hAnsi="Times New Roman"/>
        </w:rPr>
      </w:pPr>
      <w:r>
        <w:rPr>
          <w:rFonts w:hint="eastAsia" w:ascii="宋体" w:hAnsi="宋体" w:cs="宋体"/>
        </w:rPr>
        <w:t>①</w:t>
      </w:r>
      <w:r>
        <w:rPr>
          <w:rFonts w:ascii="Times New Roman" w:hAnsi="Times New Roman"/>
        </w:rPr>
        <w:t>项目运行期整个集输过程均采用全密闭生产工艺，正常情况下不会泄漏，生产调压及特殊工况放空排放的天然气通过放空火炬燃烧。</w:t>
      </w:r>
    </w:p>
    <w:p>
      <w:pPr>
        <w:ind w:firstLine="480"/>
        <w:rPr>
          <w:rFonts w:ascii="Times New Roman" w:hAnsi="Times New Roman"/>
        </w:rPr>
      </w:pPr>
      <w:r>
        <w:rPr>
          <w:rFonts w:hint="eastAsia" w:ascii="宋体" w:hAnsi="宋体" w:cs="宋体"/>
        </w:rPr>
        <w:t>②</w:t>
      </w:r>
      <w:r>
        <w:rPr>
          <w:rFonts w:ascii="Times New Roman" w:hAnsi="Times New Roman"/>
        </w:rPr>
        <w:t>井站内水套加热炉用气采用净化后的天然气，水套加热炉排气筒高度不低于8m，天然气为清洁能源，燃烧后可满足国家相应标准的要求。</w:t>
      </w:r>
    </w:p>
    <w:p>
      <w:pPr>
        <w:ind w:firstLine="480"/>
        <w:rPr>
          <w:rFonts w:ascii="Times New Roman" w:hAnsi="Times New Roman"/>
        </w:rPr>
      </w:pPr>
      <w:r>
        <w:rPr>
          <w:rFonts w:hint="eastAsia" w:ascii="宋体" w:hAnsi="宋体" w:cs="宋体"/>
        </w:rPr>
        <w:t>③</w:t>
      </w:r>
      <w:r>
        <w:rPr>
          <w:rFonts w:ascii="Times New Roman" w:hAnsi="Times New Roman"/>
        </w:rPr>
        <w:t>宣探1井站和宣兴1井站站内分别各设置气田水罐1台，用于气液分输之后的气田水收集，罐内液体达到一定液位后通过装车拉运，闪蒸气密闭输送至放空火炬燃烧。</w:t>
      </w:r>
    </w:p>
    <w:p>
      <w:pPr>
        <w:ind w:firstLine="480"/>
        <w:rPr>
          <w:rFonts w:ascii="Times New Roman" w:hAnsi="Times New Roman"/>
        </w:rPr>
      </w:pPr>
      <w:r>
        <w:rPr>
          <w:rFonts w:ascii="Times New Roman" w:hAnsi="Times New Roman"/>
        </w:rPr>
        <w:t>本项目各井站废气采用的处理措施均为天然气开发项目处理过程中常用的处置措施，已在建设单位同类型天然气井站工程项目中广泛应用，各节点废气均能做到达标排放，不会改变区域环境功能，废气处理措施合理、可行。</w:t>
      </w:r>
    </w:p>
    <w:p>
      <w:pPr>
        <w:pStyle w:val="4"/>
        <w:rPr>
          <w:rFonts w:ascii="Times New Roman" w:hAnsi="Times New Roman" w:cs="Times New Roman"/>
        </w:rPr>
      </w:pPr>
      <w:r>
        <w:rPr>
          <w:rFonts w:ascii="Times New Roman" w:hAnsi="Times New Roman" w:cs="Times New Roman"/>
        </w:rPr>
        <w:t>退役期大气污染防治措施</w:t>
      </w:r>
    </w:p>
    <w:p>
      <w:pPr>
        <w:ind w:firstLine="480"/>
        <w:rPr>
          <w:rFonts w:ascii="Times New Roman" w:hAnsi="Times New Roman"/>
        </w:rPr>
      </w:pPr>
      <w:r>
        <w:rPr>
          <w:rFonts w:ascii="Times New Roman" w:hAnsi="Times New Roman"/>
        </w:rPr>
        <w:t>退役期主要的大气污染源为拆除地面设施及封井时产生扬尘，通过在施工现场进行合理化管理，采用洒水车定期对作业区洒水，使其保持一定湿度，降低服务期满施工作业的粉尘散发量。</w:t>
      </w:r>
    </w:p>
    <w:p>
      <w:pPr>
        <w:pStyle w:val="3"/>
        <w:rPr>
          <w:rFonts w:ascii="Times New Roman" w:hAnsi="Times New Roman" w:cs="Times New Roman"/>
        </w:rPr>
      </w:pPr>
      <w:bookmarkStart w:id="387" w:name="_Toc162339449"/>
      <w:r>
        <w:rPr>
          <w:rFonts w:ascii="Times New Roman" w:hAnsi="Times New Roman" w:cs="Times New Roman"/>
        </w:rPr>
        <w:t>水污染防治措施</w:t>
      </w:r>
      <w:bookmarkEnd w:id="387"/>
    </w:p>
    <w:p>
      <w:pPr>
        <w:pStyle w:val="4"/>
        <w:rPr>
          <w:rFonts w:ascii="Times New Roman" w:hAnsi="Times New Roman" w:cs="Times New Roman"/>
        </w:rPr>
      </w:pPr>
      <w:r>
        <w:rPr>
          <w:rFonts w:ascii="Times New Roman" w:hAnsi="Times New Roman" w:cs="Times New Roman"/>
        </w:rPr>
        <w:t>施工期水污染防治措施</w:t>
      </w:r>
    </w:p>
    <w:p>
      <w:pPr>
        <w:ind w:firstLine="480"/>
        <w:rPr>
          <w:rFonts w:ascii="Times New Roman" w:hAnsi="Times New Roman"/>
        </w:rPr>
      </w:pPr>
      <w:r>
        <w:rPr>
          <w:rFonts w:ascii="Times New Roman" w:hAnsi="Times New Roman"/>
        </w:rPr>
        <w:t>（1）施工废水</w:t>
      </w:r>
    </w:p>
    <w:p>
      <w:pPr>
        <w:ind w:firstLine="480"/>
        <w:rPr>
          <w:rFonts w:ascii="Times New Roman" w:hAnsi="Times New Roman"/>
        </w:rPr>
      </w:pPr>
      <w:r>
        <w:rPr>
          <w:rFonts w:ascii="Times New Roman" w:hAnsi="Times New Roman"/>
        </w:rPr>
        <w:t>各井场、清管站、阀室等施工场地设置沉淀池，施工废水经隔油池沉淀处理后回用于洒水降尘和混凝土养护用水，不外排，污染防治措施具有可操作性和可行性，废水处置措施可行。</w:t>
      </w:r>
    </w:p>
    <w:p>
      <w:pPr>
        <w:ind w:firstLine="480"/>
        <w:rPr>
          <w:rFonts w:ascii="Times New Roman" w:hAnsi="Times New Roman"/>
        </w:rPr>
      </w:pPr>
      <w:r>
        <w:rPr>
          <w:rFonts w:ascii="Times New Roman" w:hAnsi="Times New Roman"/>
        </w:rPr>
        <w:t>（2）管道试压废水</w:t>
      </w:r>
    </w:p>
    <w:p>
      <w:pPr>
        <w:ind w:firstLine="480"/>
        <w:rPr>
          <w:rFonts w:ascii="Times New Roman" w:hAnsi="Times New Roman"/>
        </w:rPr>
      </w:pPr>
      <w:r>
        <w:rPr>
          <w:rFonts w:ascii="Times New Roman" w:hAnsi="Times New Roman"/>
        </w:rPr>
        <w:t>经沉淀处理后，就近排入附近沟渠。</w:t>
      </w:r>
    </w:p>
    <w:p>
      <w:pPr>
        <w:ind w:firstLine="480"/>
        <w:rPr>
          <w:rFonts w:ascii="Times New Roman" w:hAnsi="Times New Roman"/>
        </w:rPr>
      </w:pPr>
      <w:r>
        <w:rPr>
          <w:rFonts w:ascii="Times New Roman" w:hAnsi="Times New Roman"/>
        </w:rPr>
        <w:t>管道组焊前将对单根管道进行人工清扫，施工完成后将采用氮气对全线进行吹扫，直至无污物排出，最后采用清水分段试压。由于管道试压前进行了清管，试压介质为洁净水，因此施压废水中仅含有少量的泥沙、杂质等，主要污染物为SS，经简易的沉淀处理后，就近排入附近沟渠，为行业普遍做法，同时排放点径流方向无集中式饮用水源地，对周边地表水环境影响很小，该处置方式可行。</w:t>
      </w:r>
    </w:p>
    <w:p>
      <w:pPr>
        <w:ind w:firstLine="480"/>
        <w:rPr>
          <w:rFonts w:ascii="Times New Roman" w:hAnsi="Times New Roman"/>
        </w:rPr>
      </w:pPr>
      <w:r>
        <w:rPr>
          <w:rFonts w:ascii="Times New Roman" w:hAnsi="Times New Roman"/>
        </w:rPr>
        <w:t>（3）生活污水</w:t>
      </w:r>
    </w:p>
    <w:p>
      <w:pPr>
        <w:ind w:firstLine="480"/>
        <w:rPr>
          <w:rFonts w:ascii="Times New Roman" w:hAnsi="Times New Roman"/>
        </w:rPr>
      </w:pPr>
      <w:r>
        <w:rPr>
          <w:rFonts w:ascii="Times New Roman" w:hAnsi="Times New Roman"/>
        </w:rPr>
        <w:t>施工人员生活依托周边农户，不设野外施工营地，施工人员生活污水利用既有设施处理后还田。</w:t>
      </w:r>
    </w:p>
    <w:p>
      <w:pPr>
        <w:ind w:firstLine="480"/>
        <w:rPr>
          <w:rFonts w:ascii="Times New Roman" w:hAnsi="Times New Roman"/>
        </w:rPr>
      </w:pPr>
      <w:r>
        <w:rPr>
          <w:rFonts w:ascii="Times New Roman" w:hAnsi="Times New Roman"/>
        </w:rPr>
        <w:t>（4）清溪镇乱石滩河吴家湾集中式饮用水水源保护区污染防治措施</w:t>
      </w:r>
    </w:p>
    <w:p>
      <w:pPr>
        <w:ind w:firstLine="480"/>
        <w:rPr>
          <w:rFonts w:ascii="Times New Roman" w:hAnsi="Times New Roman"/>
        </w:rPr>
      </w:pPr>
      <w:r>
        <w:rPr>
          <w:rFonts w:ascii="Times New Roman" w:hAnsi="Times New Roman"/>
        </w:rPr>
        <w:t>本项目集气支线在宣探1井站北约120m处穿越清溪河，穿越方式为开挖方式管道埋设在穿越河流河床设计冲刷线以下稳定层内。</w:t>
      </w:r>
    </w:p>
    <w:p>
      <w:pPr>
        <w:ind w:firstLine="480"/>
        <w:rPr>
          <w:rFonts w:ascii="Times New Roman" w:hAnsi="Times New Roman"/>
        </w:rPr>
      </w:pPr>
      <w:r>
        <w:rPr>
          <w:rFonts w:ascii="Times New Roman" w:hAnsi="Times New Roman"/>
        </w:rPr>
        <w:t>管线穿越清溪河下游约1.5km处为清溪镇乱石滩河吴家湾集中式饮用水水源保护区二级保护区的边界。开挖穿越河流的影响主要表现为施工期扰动水体，短期内增加下游局部河段泥沙含量，取水口距离本项目开挖河段约为4.2km，距离较长，因此对取水水质影响较小。另外本项目在施工阶段需加强管理，严禁施工器械清溪废水、管道试压废水等污水排入清溪河；该段施工过程中加强对施工器械的维护，避免油品的跑冒滴漏等现象发生，从尽量降低对清溪镇乱石滩河吴家湾集中式饮用水水源保护区的影响。</w:t>
      </w:r>
    </w:p>
    <w:p>
      <w:pPr>
        <w:pStyle w:val="4"/>
        <w:rPr>
          <w:rFonts w:ascii="Times New Roman" w:hAnsi="Times New Roman" w:cs="Times New Roman"/>
        </w:rPr>
      </w:pPr>
      <w:r>
        <w:rPr>
          <w:rFonts w:ascii="Times New Roman" w:hAnsi="Times New Roman" w:cs="Times New Roman"/>
        </w:rPr>
        <w:t>运营期水污染防治措施</w:t>
      </w:r>
    </w:p>
    <w:p>
      <w:pPr>
        <w:ind w:firstLine="480"/>
        <w:rPr>
          <w:rFonts w:ascii="Times New Roman" w:hAnsi="Times New Roman"/>
        </w:rPr>
      </w:pPr>
      <w:r>
        <w:rPr>
          <w:rFonts w:ascii="Times New Roman" w:hAnsi="Times New Roman"/>
        </w:rPr>
        <w:t>（1）气田水污染防治措施</w:t>
      </w:r>
    </w:p>
    <w:p>
      <w:pPr>
        <w:ind w:firstLine="480"/>
        <w:rPr>
          <w:rFonts w:ascii="Times New Roman" w:hAnsi="Times New Roman"/>
        </w:rPr>
      </w:pPr>
      <w:r>
        <w:rPr>
          <w:rFonts w:ascii="Times New Roman" w:hAnsi="Times New Roman"/>
        </w:rPr>
        <w:t>本项目产出的气田水由罐车统一拉运至渡口河净化厂气田水处置系统处理达标后输至黄龙5井回注。若本项目先于渡口河净化厂投产，则暂将气田水拉运至黄龙004-X4井后输往黄龙2井回注，或拉运至蒲西4井进行回注）。</w:t>
      </w:r>
    </w:p>
    <w:p>
      <w:pPr>
        <w:ind w:firstLine="480"/>
        <w:rPr>
          <w:rFonts w:ascii="Times New Roman" w:hAnsi="Times New Roman"/>
        </w:rPr>
      </w:pPr>
      <w:r>
        <w:rPr>
          <w:rFonts w:ascii="Times New Roman" w:hAnsi="Times New Roman"/>
        </w:rPr>
        <w:t>气田水处置系统、回注井、回注管线均依托现有工程，其中渡口河净化厂气田水处置系统和回注管线为在建工程，回注井为已建工程。</w:t>
      </w:r>
    </w:p>
    <w:p>
      <w:pPr>
        <w:ind w:firstLine="480"/>
        <w:rPr>
          <w:rFonts w:ascii="Times New Roman" w:hAnsi="Times New Roman"/>
        </w:rPr>
      </w:pPr>
      <w:r>
        <w:rPr>
          <w:rFonts w:ascii="Times New Roman" w:hAnsi="Times New Roman"/>
        </w:rPr>
        <w:t>1）气田水拉运</w:t>
      </w:r>
    </w:p>
    <w:p>
      <w:pPr>
        <w:ind w:firstLine="480"/>
        <w:rPr>
          <w:rFonts w:ascii="Times New Roman" w:hAnsi="Times New Roman"/>
        </w:rPr>
      </w:pPr>
      <w:r>
        <w:rPr>
          <w:rFonts w:ascii="Times New Roman" w:hAnsi="Times New Roman"/>
        </w:rPr>
        <w:t>站内气田水为井口采出水，排水中含硫化物、氯化物等污染物。气田水自各排水口排出后，直接带压密闭输送至气田水罐内进行闪蒸处理，闪蒸处理后气田水不定期采用污水罐车外运至渡口河天然气净化厂水处理系统处置，罐车由气矿统一配置。设置的各工艺装置设施生产过程为密闭运行，并在气田水罐入口加注脱硫剂，降低气田水拉运风险。</w:t>
      </w:r>
    </w:p>
    <w:p>
      <w:pPr>
        <w:ind w:firstLine="480"/>
        <w:rPr>
          <w:rFonts w:ascii="Times New Roman" w:hAnsi="Times New Roman"/>
        </w:rPr>
      </w:pPr>
      <w:r>
        <w:rPr>
          <w:rFonts w:ascii="Times New Roman" w:hAnsi="Times New Roman"/>
        </w:rPr>
        <w:t>气田水罐留有脱硫剂加注口，气田水运输前通过加注泵往气田水罐中注入脱硫剂，本项目采用的脱硫剂为硫化氢络合控制剂HS-LH。有效组分为：1,3,5-tris(2-hydroxyethyl)hexahydrotriazine。通过该物质与气田水中硫化氢进行化学反应，降低气田水中硫化氢的含量。采用的工艺方案先进、可靠，能有效减小H</w:t>
      </w:r>
      <w:r>
        <w:rPr>
          <w:rFonts w:ascii="Times New Roman" w:hAnsi="Times New Roman"/>
          <w:vertAlign w:val="subscript"/>
        </w:rPr>
        <w:t>2</w:t>
      </w:r>
      <w:r>
        <w:rPr>
          <w:rFonts w:ascii="Times New Roman" w:hAnsi="Times New Roman"/>
        </w:rPr>
        <w:t>S及VOCs的散失。</w:t>
      </w:r>
    </w:p>
    <w:p>
      <w:pPr>
        <w:ind w:firstLine="480"/>
        <w:rPr>
          <w:rFonts w:ascii="Times New Roman" w:hAnsi="Times New Roman"/>
        </w:rPr>
      </w:pPr>
      <w:r>
        <w:rPr>
          <w:rFonts w:ascii="Times New Roman" w:hAnsi="Times New Roman"/>
        </w:rPr>
        <w:t>2）气田水处理工程</w:t>
      </w:r>
    </w:p>
    <w:p>
      <w:pPr>
        <w:ind w:firstLine="480"/>
        <w:rPr>
          <w:rFonts w:ascii="Times New Roman" w:hAnsi="Times New Roman"/>
        </w:rPr>
      </w:pPr>
      <w:r>
        <w:rPr>
          <w:rFonts w:ascii="Times New Roman" w:hAnsi="Times New Roman"/>
        </w:rPr>
        <w:t>本项目气田水采用罐车拉运至渡口河净化厂的气田水处理系统进行处置。渡口河净化厂气田水处理装置以2030年为界分两期建设，前期处理规模设计为120m</w:t>
      </w:r>
      <w:r>
        <w:rPr>
          <w:rFonts w:ascii="Times New Roman" w:hAnsi="Times New Roman"/>
          <w:vertAlign w:val="superscript"/>
        </w:rPr>
        <w:t>3</w:t>
      </w:r>
      <w:r>
        <w:rPr>
          <w:rFonts w:ascii="Times New Roman" w:hAnsi="Times New Roman"/>
        </w:rPr>
        <w:t>/d（即5m</w:t>
      </w:r>
      <w:r>
        <w:rPr>
          <w:rFonts w:ascii="Times New Roman" w:hAnsi="Times New Roman"/>
          <w:vertAlign w:val="superscript"/>
        </w:rPr>
        <w:t>3</w:t>
      </w:r>
      <w:r>
        <w:rPr>
          <w:rFonts w:ascii="Times New Roman" w:hAnsi="Times New Roman"/>
        </w:rPr>
        <w:t>/h），并为远期预留场地。在净化厂内设置气田水转输泵2台，气田水回注及转输规模按最大水量600m</w:t>
      </w:r>
      <w:r>
        <w:rPr>
          <w:rFonts w:ascii="Times New Roman" w:hAnsi="Times New Roman"/>
          <w:vertAlign w:val="superscript"/>
        </w:rPr>
        <w:t>3</w:t>
      </w:r>
      <w:r>
        <w:rPr>
          <w:rFonts w:ascii="Times New Roman" w:hAnsi="Times New Roman"/>
        </w:rPr>
        <w:t>/d（即25m</w:t>
      </w:r>
      <w:r>
        <w:rPr>
          <w:rFonts w:ascii="Times New Roman" w:hAnsi="Times New Roman"/>
          <w:vertAlign w:val="superscript"/>
        </w:rPr>
        <w:t>3</w:t>
      </w:r>
      <w:r>
        <w:rPr>
          <w:rFonts w:ascii="Times New Roman" w:hAnsi="Times New Roman"/>
        </w:rPr>
        <w:t>/h）进行设计。可以满足宣探1井组试采和渡口河-七里北气田的回注处理需求。</w:t>
      </w:r>
    </w:p>
    <w:p>
      <w:pPr>
        <w:ind w:firstLine="480"/>
        <w:rPr>
          <w:rFonts w:ascii="Times New Roman" w:hAnsi="Times New Roman"/>
        </w:rPr>
      </w:pPr>
      <w:r>
        <w:rPr>
          <w:rFonts w:ascii="Times New Roman" w:hAnsi="Times New Roman"/>
        </w:rPr>
        <w:t>气田水中一般有悬浮物、硫化氢等污染物。气田水送至气田水处理装置的气田调节罐（1 座，V有效=100m³）调节稳定后，由气田水提升泵将气田水提升至絮凝沉淀一体化装置处理，再经过组合过滤器橇过滤后，达到回注水指标，处理后的气田水进入气田水罐（1 座，V 有效=200m³）储存，再经回注泵转输至黄龙5 回注井或黄龙2 回注井回注。气田水处置工艺详见</w:t>
      </w:r>
      <w:r>
        <w:rPr>
          <w:rFonts w:ascii="Times New Roman" w:hAnsi="Times New Roman"/>
        </w:rPr>
        <w:fldChar w:fldCharType="begin"/>
      </w:r>
      <w:r>
        <w:rPr>
          <w:rFonts w:ascii="Times New Roman" w:hAnsi="Times New Roman"/>
        </w:rPr>
        <w:instrText xml:space="preserve"> REF _Ref153465888 \h  \* MERGEFORMAT </w:instrText>
      </w:r>
      <w:r>
        <w:rPr>
          <w:rFonts w:ascii="Times New Roman" w:hAnsi="Times New Roman"/>
        </w:rPr>
        <w:fldChar w:fldCharType="separate"/>
      </w:r>
      <w:r>
        <w:rPr>
          <w:rFonts w:ascii="Times New Roman" w:hAnsi="Times New Roman"/>
        </w:rPr>
        <w:t>图 9</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w:t>
      </w:r>
    </w:p>
    <w:p>
      <w:pPr>
        <w:ind w:firstLine="0" w:firstLineChars="0"/>
        <w:jc w:val="center"/>
        <w:rPr>
          <w:rFonts w:ascii="Times New Roman" w:hAnsi="Times New Roman"/>
        </w:rPr>
      </w:pPr>
      <w:r>
        <w:rPr>
          <w:rFonts w:ascii="Times New Roman" w:hAnsi="Times New Roman"/>
        </w:rPr>
        <w:drawing>
          <wp:inline distT="0" distB="0" distL="0" distR="0">
            <wp:extent cx="5097780" cy="2923540"/>
            <wp:effectExtent l="0" t="0" r="7620" b="0"/>
            <wp:docPr id="15049279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927911" name="图片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5103967" cy="2927438"/>
                    </a:xfrm>
                    <a:prstGeom prst="rect">
                      <a:avLst/>
                    </a:prstGeom>
                    <a:noFill/>
                    <a:ln>
                      <a:noFill/>
                    </a:ln>
                  </pic:spPr>
                </pic:pic>
              </a:graphicData>
            </a:graphic>
          </wp:inline>
        </w:drawing>
      </w:r>
    </w:p>
    <w:p>
      <w:pPr>
        <w:pStyle w:val="37"/>
        <w:rPr>
          <w:rFonts w:ascii="Times New Roman" w:hAnsi="Times New Roman" w:cs="Times New Roman"/>
        </w:rPr>
      </w:pPr>
      <w:bookmarkStart w:id="388" w:name="_Ref153465888"/>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bookmarkEnd w:id="388"/>
      <w:r>
        <w:rPr>
          <w:rFonts w:ascii="Times New Roman" w:hAnsi="Times New Roman" w:cs="Times New Roman"/>
        </w:rPr>
        <w:t xml:space="preserve">  气田水处理工艺流程图</w:t>
      </w:r>
    </w:p>
    <w:p>
      <w:pPr>
        <w:ind w:firstLine="480"/>
        <w:rPr>
          <w:rFonts w:ascii="Times New Roman" w:hAnsi="Times New Roman"/>
        </w:rPr>
      </w:pPr>
      <w:r>
        <w:rPr>
          <w:rFonts w:ascii="Times New Roman" w:hAnsi="Times New Roman"/>
        </w:rPr>
        <w:t>3）气田水回注工程</w:t>
      </w:r>
    </w:p>
    <w:p>
      <w:pPr>
        <w:ind w:firstLine="480"/>
        <w:rPr>
          <w:rFonts w:ascii="Times New Roman" w:hAnsi="Times New Roman"/>
        </w:rPr>
      </w:pPr>
      <w:r>
        <w:rPr>
          <w:rFonts w:ascii="Times New Roman" w:hAnsi="Times New Roman"/>
        </w:rPr>
        <w:t>本项目回注站设置于黄龙5 井站，为已有回注井，站内设置气田水罐为卧式钢制罐（50m³）2 座，总容积为100m³。为方便回注泵吸水，气田水罐采用高架型式安装。设置回注泵橇（回注泵额定流量Q=30m³）2 台（1 用1 备）。前期气田水回注于黄龙5 井，后期气田水增加时气田水在黄龙5 井增压，通过气田水管线输送至黄龙2 井口回注。气田水回注工艺流程见</w:t>
      </w:r>
      <w:r>
        <w:rPr>
          <w:rFonts w:ascii="Times New Roman" w:hAnsi="Times New Roman"/>
        </w:rPr>
        <w:fldChar w:fldCharType="begin"/>
      </w:r>
      <w:r>
        <w:rPr>
          <w:rFonts w:ascii="Times New Roman" w:hAnsi="Times New Roman"/>
        </w:rPr>
        <w:instrText xml:space="preserve"> REF _Ref153466063 \h  \* MERGEFORMAT </w:instrText>
      </w:r>
      <w:r>
        <w:rPr>
          <w:rFonts w:ascii="Times New Roman" w:hAnsi="Times New Roman"/>
        </w:rPr>
        <w:fldChar w:fldCharType="separate"/>
      </w:r>
      <w:r>
        <w:rPr>
          <w:rFonts w:ascii="Times New Roman" w:hAnsi="Times New Roman"/>
        </w:rPr>
        <w:t>图 9</w:t>
      </w:r>
      <w:r>
        <w:rPr>
          <w:rFonts w:ascii="Times New Roman" w:hAnsi="Times New Roman"/>
        </w:rPr>
        <w:noBreakHyphen/>
      </w:r>
      <w:r>
        <w:rPr>
          <w:rFonts w:ascii="Times New Roman" w:hAnsi="Times New Roman"/>
        </w:rPr>
        <w:t>2</w:t>
      </w:r>
      <w:r>
        <w:rPr>
          <w:rFonts w:ascii="Times New Roman" w:hAnsi="Times New Roman"/>
        </w:rPr>
        <w:fldChar w:fldCharType="end"/>
      </w:r>
      <w:r>
        <w:rPr>
          <w:rFonts w:ascii="Times New Roman" w:hAnsi="Times New Roman"/>
        </w:rPr>
        <w:t>。</w:t>
      </w:r>
    </w:p>
    <w:p>
      <w:pPr>
        <w:ind w:firstLine="480"/>
        <w:rPr>
          <w:rFonts w:ascii="Times New Roman" w:hAnsi="Times New Roman"/>
        </w:rPr>
      </w:pPr>
    </w:p>
    <w:p>
      <w:pPr>
        <w:ind w:firstLine="0" w:firstLineChars="0"/>
        <w:jc w:val="center"/>
        <w:rPr>
          <w:rFonts w:ascii="Times New Roman" w:hAnsi="Times New Roman"/>
        </w:rPr>
      </w:pPr>
      <w:r>
        <w:rPr>
          <w:rFonts w:ascii="Times New Roman" w:hAnsi="Times New Roman"/>
        </w:rPr>
        <w:drawing>
          <wp:inline distT="0" distB="0" distL="0" distR="0">
            <wp:extent cx="4968240" cy="2125345"/>
            <wp:effectExtent l="0" t="0" r="3810" b="8255"/>
            <wp:docPr id="10514446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444671" name="图片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4975145" cy="2128184"/>
                    </a:xfrm>
                    <a:prstGeom prst="rect">
                      <a:avLst/>
                    </a:prstGeom>
                    <a:noFill/>
                    <a:ln>
                      <a:noFill/>
                    </a:ln>
                  </pic:spPr>
                </pic:pic>
              </a:graphicData>
            </a:graphic>
          </wp:inline>
        </w:drawing>
      </w:r>
    </w:p>
    <w:p>
      <w:pPr>
        <w:pStyle w:val="37"/>
        <w:rPr>
          <w:rFonts w:ascii="Times New Roman" w:hAnsi="Times New Roman" w:cs="Times New Roman"/>
        </w:rPr>
      </w:pPr>
      <w:bookmarkStart w:id="389" w:name="_Ref153466063"/>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bookmarkEnd w:id="389"/>
      <w:r>
        <w:rPr>
          <w:rFonts w:ascii="Times New Roman" w:hAnsi="Times New Roman" w:cs="Times New Roman"/>
        </w:rPr>
        <w:t xml:space="preserve">  气田水回注工艺流程</w:t>
      </w:r>
    </w:p>
    <w:p>
      <w:pPr>
        <w:ind w:firstLine="480"/>
        <w:rPr>
          <w:rFonts w:ascii="Times New Roman" w:hAnsi="Times New Roman"/>
        </w:rPr>
      </w:pPr>
      <w:r>
        <w:rPr>
          <w:rFonts w:ascii="Times New Roman" w:hAnsi="Times New Roman"/>
        </w:rPr>
        <w:t>4）气田水回注管线</w:t>
      </w:r>
    </w:p>
    <w:p>
      <w:pPr>
        <w:ind w:firstLine="480"/>
        <w:rPr>
          <w:rFonts w:ascii="Times New Roman" w:hAnsi="Times New Roman"/>
        </w:rPr>
      </w:pPr>
      <w:r>
        <w:rPr>
          <w:rFonts w:ascii="Times New Roman" w:hAnsi="Times New Roman"/>
        </w:rPr>
        <w:t>净化厂至黄龙5井的气田水转输管线，线路总长约7km，管径为DN100（OD125×12.0），压力等级为6.4MPa，材质为纤维增强聚乙烯连续管（粘结型）。</w:t>
      </w:r>
    </w:p>
    <w:p>
      <w:pPr>
        <w:ind w:firstLine="480"/>
        <w:rPr>
          <w:rFonts w:ascii="Times New Roman" w:hAnsi="Times New Roman"/>
        </w:rPr>
      </w:pPr>
      <w:r>
        <w:rPr>
          <w:rFonts w:ascii="Times New Roman" w:hAnsi="Times New Roman"/>
        </w:rPr>
        <w:t>黄龙5井至黄龙2井的气田水回注管线，线路总长约10.2km，管道选用DN100（Φ114.3×6.5）的L25N无缝钢管，采用内涂层防腐。</w:t>
      </w:r>
    </w:p>
    <w:p>
      <w:pPr>
        <w:pStyle w:val="4"/>
        <w:rPr>
          <w:rFonts w:ascii="Times New Roman" w:hAnsi="Times New Roman" w:cs="Times New Roman"/>
        </w:rPr>
      </w:pPr>
      <w:r>
        <w:rPr>
          <w:rFonts w:ascii="Times New Roman" w:hAnsi="Times New Roman" w:cs="Times New Roman"/>
        </w:rPr>
        <w:t>退役期水污染防治措施</w:t>
      </w:r>
    </w:p>
    <w:p>
      <w:pPr>
        <w:ind w:firstLine="480"/>
        <w:rPr>
          <w:rFonts w:ascii="Times New Roman" w:hAnsi="Times New Roman"/>
        </w:rPr>
      </w:pPr>
      <w:r>
        <w:rPr>
          <w:rFonts w:ascii="Times New Roman" w:hAnsi="Times New Roman"/>
        </w:rPr>
        <w:t>服务期满主要是对现有设施的拆除，施工过程所产生的生活污水依托周边农户已有设施进行收集后还田。</w:t>
      </w:r>
    </w:p>
    <w:p>
      <w:pPr>
        <w:ind w:firstLine="480"/>
        <w:rPr>
          <w:rFonts w:ascii="Times New Roman" w:hAnsi="Times New Roman"/>
        </w:rPr>
      </w:pPr>
    </w:p>
    <w:p>
      <w:pPr>
        <w:pStyle w:val="3"/>
        <w:rPr>
          <w:rFonts w:ascii="Times New Roman" w:hAnsi="Times New Roman" w:cs="Times New Roman"/>
        </w:rPr>
      </w:pPr>
      <w:bookmarkStart w:id="390" w:name="_Toc162339450"/>
      <w:r>
        <w:rPr>
          <w:rFonts w:ascii="Times New Roman" w:hAnsi="Times New Roman" w:cs="Times New Roman"/>
        </w:rPr>
        <w:t>噪声污染防治措施</w:t>
      </w:r>
      <w:bookmarkEnd w:id="390"/>
    </w:p>
    <w:p>
      <w:pPr>
        <w:pStyle w:val="4"/>
        <w:rPr>
          <w:rFonts w:ascii="Times New Roman" w:hAnsi="Times New Roman" w:cs="Times New Roman"/>
        </w:rPr>
      </w:pPr>
      <w:r>
        <w:rPr>
          <w:rFonts w:ascii="Times New Roman" w:hAnsi="Times New Roman" w:cs="Times New Roman"/>
        </w:rPr>
        <w:t>施工期噪声污染防治措施</w:t>
      </w:r>
    </w:p>
    <w:p>
      <w:pPr>
        <w:ind w:firstLine="480"/>
        <w:rPr>
          <w:rFonts w:ascii="Times New Roman" w:hAnsi="Times New Roman"/>
        </w:rPr>
      </w:pPr>
      <w:r>
        <w:rPr>
          <w:rFonts w:ascii="Times New Roman" w:hAnsi="Times New Roman"/>
        </w:rPr>
        <w:t>施工期主要是选用低噪声设备，再通过合理的井场布局来减轻噪声的影响。为进一步降低施工噪声对站场周边和管道沿线居民的影响，施工期间建设单位应采取如下措施：</w:t>
      </w:r>
    </w:p>
    <w:p>
      <w:pPr>
        <w:ind w:firstLine="480"/>
        <w:rPr>
          <w:rFonts w:ascii="Times New Roman" w:hAnsi="Times New Roman"/>
        </w:rPr>
      </w:pPr>
      <w:r>
        <w:rPr>
          <w:rFonts w:ascii="Times New Roman" w:hAnsi="Times New Roman"/>
        </w:rPr>
        <w:t>（1）本项目施工前应作好沟通工作，合理安排作业时间，尽量避免午间12：00~14：00和夜间22：00~7：00施工，并尽量缩短施工周期。</w:t>
      </w:r>
    </w:p>
    <w:p>
      <w:pPr>
        <w:ind w:firstLine="480"/>
        <w:rPr>
          <w:rFonts w:ascii="Times New Roman" w:hAnsi="Times New Roman"/>
        </w:rPr>
      </w:pPr>
      <w:r>
        <w:rPr>
          <w:rFonts w:ascii="Times New Roman" w:hAnsi="Times New Roman"/>
        </w:rPr>
        <w:t>（2）合理布置主要噪声源，使其尽量远离农户居住地；为办公及生活提供电力的发电机设置发电机房，采用特殊的减震，并安装吸声材料；柴油机安装消声装置和设置减震基础。</w:t>
      </w:r>
    </w:p>
    <w:p>
      <w:pPr>
        <w:ind w:firstLine="480"/>
        <w:rPr>
          <w:rFonts w:ascii="Times New Roman" w:hAnsi="Times New Roman"/>
        </w:rPr>
      </w:pPr>
      <w:r>
        <w:rPr>
          <w:rFonts w:ascii="Times New Roman" w:hAnsi="Times New Roman"/>
        </w:rPr>
        <w:t>（3）建设单位应做好与地方供电部门的沟通工作，确保供电正常，尽量减少备用柴油机的启用。为办公及生活提供电力的备用发电机设置发电机房，采用特殊的减震，并安装吸声材料。</w:t>
      </w:r>
    </w:p>
    <w:p>
      <w:pPr>
        <w:ind w:firstLine="480"/>
        <w:rPr>
          <w:rFonts w:ascii="Times New Roman" w:hAnsi="Times New Roman"/>
        </w:rPr>
      </w:pPr>
      <w:r>
        <w:rPr>
          <w:rFonts w:ascii="Times New Roman" w:hAnsi="Times New Roman"/>
        </w:rPr>
        <w:t>（4）施工方在施工期间应加强施工管理，柴油机、挖掘机等设备应做好日常维护，同时在操作时做到平稳操作，避免特种作业时产生非正常的噪声；在夜间作业时，应平稳操作，尽量避免敲击噪声；加强施工人员的管理和教育，减少不必要的金属敲击声和人为噪声。</w:t>
      </w:r>
    </w:p>
    <w:p>
      <w:pPr>
        <w:ind w:firstLine="480"/>
        <w:rPr>
          <w:rFonts w:ascii="Times New Roman" w:hAnsi="Times New Roman"/>
        </w:rPr>
      </w:pPr>
      <w:r>
        <w:rPr>
          <w:rFonts w:ascii="Times New Roman" w:hAnsi="Times New Roman"/>
        </w:rPr>
        <w:t>（5）管道施工时，特别是在居民区附近，严禁在夜间施工。运输车辆尽可能减少鸣号。</w:t>
      </w:r>
    </w:p>
    <w:p>
      <w:pPr>
        <w:ind w:firstLine="480"/>
        <w:rPr>
          <w:rFonts w:ascii="Times New Roman" w:hAnsi="Times New Roman"/>
        </w:rPr>
      </w:pPr>
      <w:r>
        <w:rPr>
          <w:rFonts w:ascii="Times New Roman" w:hAnsi="Times New Roman"/>
        </w:rPr>
        <w:t>（6）运输车辆沿规定路线行驶，减少鸣笛，经过村庄等居民区时缓慢平稳行驶。</w:t>
      </w:r>
    </w:p>
    <w:p>
      <w:pPr>
        <w:ind w:firstLine="480"/>
        <w:rPr>
          <w:rFonts w:ascii="Times New Roman" w:hAnsi="Times New Roman"/>
        </w:rPr>
      </w:pPr>
      <w:r>
        <w:rPr>
          <w:rFonts w:ascii="Times New Roman" w:hAnsi="Times New Roman"/>
        </w:rPr>
        <w:t>综上所述，本项目施工期声环境保护措施，在川东北地区此类工程中已实施多年，具有较好的借鉴经验。根据本井场周边其他类似工程采用相同噪声污染防治措施的采用情况，本项目施工期噪声污染防治措施从经济和环保角度分析是合理、可行的。</w:t>
      </w:r>
    </w:p>
    <w:p>
      <w:pPr>
        <w:pStyle w:val="4"/>
        <w:rPr>
          <w:rFonts w:ascii="Times New Roman" w:hAnsi="Times New Roman" w:cs="Times New Roman"/>
        </w:rPr>
      </w:pPr>
      <w:r>
        <w:rPr>
          <w:rFonts w:ascii="Times New Roman" w:hAnsi="Times New Roman" w:cs="Times New Roman"/>
        </w:rPr>
        <w:t>运营期噪声污染防治措施</w:t>
      </w:r>
    </w:p>
    <w:p>
      <w:pPr>
        <w:ind w:firstLine="480"/>
        <w:rPr>
          <w:rFonts w:ascii="Times New Roman" w:hAnsi="Times New Roman"/>
        </w:rPr>
      </w:pPr>
      <w:r>
        <w:rPr>
          <w:rFonts w:ascii="Times New Roman" w:hAnsi="Times New Roman"/>
        </w:rPr>
        <w:t>本项目管线工程本身采用密闭输送工艺，在正常工况下无噪声生产，对声环境产生影响较小，拟对井站噪声拟采取措施如下：</w:t>
      </w:r>
    </w:p>
    <w:p>
      <w:pPr>
        <w:ind w:firstLine="480"/>
        <w:rPr>
          <w:rFonts w:ascii="Times New Roman" w:hAnsi="Times New Roman"/>
        </w:rPr>
      </w:pPr>
      <w:r>
        <w:rPr>
          <w:rFonts w:hint="eastAsia" w:ascii="宋体" w:hAnsi="宋体" w:cs="宋体"/>
        </w:rPr>
        <w:t>①</w:t>
      </w:r>
      <w:r>
        <w:rPr>
          <w:rFonts w:ascii="Times New Roman" w:hAnsi="Times New Roman"/>
        </w:rPr>
        <w:t>设备选型时选用低噪声设备；</w:t>
      </w:r>
    </w:p>
    <w:p>
      <w:pPr>
        <w:ind w:firstLine="480"/>
        <w:rPr>
          <w:rFonts w:ascii="Times New Roman" w:hAnsi="Times New Roman"/>
        </w:rPr>
      </w:pPr>
      <w:r>
        <w:rPr>
          <w:rFonts w:hint="eastAsia" w:ascii="宋体" w:hAnsi="宋体" w:cs="宋体"/>
        </w:rPr>
        <w:t>②</w:t>
      </w:r>
      <w:r>
        <w:rPr>
          <w:rFonts w:ascii="Times New Roman" w:hAnsi="Times New Roman"/>
        </w:rPr>
        <w:t>所有产噪设备均采用减震基座，减少振动；</w:t>
      </w:r>
    </w:p>
    <w:p>
      <w:pPr>
        <w:ind w:firstLine="480"/>
        <w:rPr>
          <w:rFonts w:ascii="Times New Roman" w:hAnsi="Times New Roman"/>
        </w:rPr>
      </w:pPr>
      <w:r>
        <w:rPr>
          <w:rFonts w:hint="eastAsia" w:ascii="宋体" w:hAnsi="宋体" w:cs="宋体"/>
        </w:rPr>
        <w:t>③</w:t>
      </w:r>
      <w:r>
        <w:rPr>
          <w:rFonts w:ascii="Times New Roman" w:hAnsi="Times New Roman"/>
        </w:rPr>
        <w:t>调试设备到正常状态，减少非正常状态产生的噪声；</w:t>
      </w:r>
    </w:p>
    <w:p>
      <w:pPr>
        <w:ind w:firstLine="480"/>
        <w:rPr>
          <w:rFonts w:ascii="Times New Roman" w:hAnsi="Times New Roman"/>
        </w:rPr>
      </w:pPr>
      <w:r>
        <w:rPr>
          <w:rFonts w:hint="eastAsia" w:ascii="宋体" w:hAnsi="宋体" w:cs="宋体"/>
        </w:rPr>
        <w:t>④</w:t>
      </w:r>
      <w:r>
        <w:rPr>
          <w:rFonts w:ascii="Times New Roman" w:hAnsi="Times New Roman"/>
        </w:rPr>
        <w:t>合理布局井站工艺，噪声源尽量远离居民，控制气体流速，并在工艺设计中尽量减少井站工艺管线的弯头、三通等管件，降低井场的噪声；</w:t>
      </w:r>
    </w:p>
    <w:p>
      <w:pPr>
        <w:ind w:firstLine="480"/>
        <w:rPr>
          <w:rFonts w:ascii="Times New Roman" w:hAnsi="Times New Roman"/>
        </w:rPr>
      </w:pPr>
      <w:r>
        <w:rPr>
          <w:rFonts w:hint="eastAsia" w:ascii="宋体" w:hAnsi="宋体" w:cs="宋体"/>
        </w:rPr>
        <w:t>⑤</w:t>
      </w:r>
      <w:r>
        <w:rPr>
          <w:rFonts w:ascii="Times New Roman" w:hAnsi="Times New Roman"/>
        </w:rPr>
        <w:t>火炬燃烧产生的噪声较强，拟通过在喷嘴处安装消声装置降噪；</w:t>
      </w:r>
    </w:p>
    <w:p>
      <w:pPr>
        <w:ind w:firstLine="480"/>
        <w:rPr>
          <w:rFonts w:ascii="Times New Roman" w:hAnsi="Times New Roman"/>
        </w:rPr>
      </w:pPr>
      <w:r>
        <w:rPr>
          <w:rFonts w:hint="eastAsia" w:ascii="宋体" w:hAnsi="宋体" w:cs="宋体"/>
        </w:rPr>
        <w:t>⑥</w:t>
      </w:r>
      <w:r>
        <w:rPr>
          <w:rFonts w:ascii="Times New Roman" w:hAnsi="Times New Roman"/>
        </w:rPr>
        <w:t>加强设备维护，确保设备处于良好的运转状态，杜绝因设备不正常运转时产生的高噪声现象。</w:t>
      </w:r>
    </w:p>
    <w:p>
      <w:pPr>
        <w:ind w:firstLine="480"/>
        <w:rPr>
          <w:rFonts w:ascii="Times New Roman" w:hAnsi="Times New Roman"/>
        </w:rPr>
      </w:pPr>
      <w:r>
        <w:rPr>
          <w:rFonts w:ascii="Times New Roman" w:hAnsi="Times New Roman"/>
        </w:rPr>
        <w:t>根据噪声预测结果，井站各预测点位昼间、夜间厂界噪声贡献值均达标，项目采取的降噪措施可行。</w:t>
      </w:r>
    </w:p>
    <w:p>
      <w:pPr>
        <w:pStyle w:val="4"/>
        <w:rPr>
          <w:rFonts w:ascii="Times New Roman" w:hAnsi="Times New Roman" w:cs="Times New Roman"/>
        </w:rPr>
      </w:pPr>
      <w:r>
        <w:rPr>
          <w:rFonts w:ascii="Times New Roman" w:hAnsi="Times New Roman" w:cs="Times New Roman"/>
        </w:rPr>
        <w:t>退役期噪声污染防治措施</w:t>
      </w:r>
    </w:p>
    <w:p>
      <w:pPr>
        <w:ind w:firstLine="480"/>
        <w:rPr>
          <w:rFonts w:ascii="Times New Roman" w:hAnsi="Times New Roman"/>
        </w:rPr>
      </w:pPr>
      <w:r>
        <w:rPr>
          <w:rFonts w:ascii="Times New Roman" w:hAnsi="Times New Roman"/>
        </w:rPr>
        <w:t>服务期满会产生施工噪声，主要是由机械施工的施工机械和运输车辆造成，由于本工程施工期较短，施工机械使用较少，施工时段为白天，夜间一般不施工，且项目施工噪声影响是暂时的，将随着施工期的结束而消失。</w:t>
      </w:r>
    </w:p>
    <w:p>
      <w:pPr>
        <w:pStyle w:val="3"/>
        <w:rPr>
          <w:rFonts w:ascii="Times New Roman" w:hAnsi="Times New Roman" w:cs="Times New Roman"/>
        </w:rPr>
      </w:pPr>
      <w:bookmarkStart w:id="391" w:name="_Toc162339451"/>
      <w:r>
        <w:rPr>
          <w:rFonts w:ascii="Times New Roman" w:hAnsi="Times New Roman" w:cs="Times New Roman"/>
        </w:rPr>
        <w:t>固体废物污染防治措施</w:t>
      </w:r>
      <w:bookmarkEnd w:id="391"/>
    </w:p>
    <w:p>
      <w:pPr>
        <w:pStyle w:val="4"/>
        <w:rPr>
          <w:rFonts w:ascii="Times New Roman" w:hAnsi="Times New Roman" w:cs="Times New Roman"/>
        </w:rPr>
      </w:pPr>
      <w:r>
        <w:rPr>
          <w:rFonts w:ascii="Times New Roman" w:hAnsi="Times New Roman" w:cs="Times New Roman"/>
        </w:rPr>
        <w:t>施工期固体废物污染防治措施</w:t>
      </w:r>
    </w:p>
    <w:p>
      <w:pPr>
        <w:ind w:firstLine="480"/>
        <w:rPr>
          <w:rFonts w:ascii="Times New Roman" w:hAnsi="Times New Roman"/>
        </w:rPr>
      </w:pPr>
      <w:r>
        <w:rPr>
          <w:rFonts w:ascii="Times New Roman" w:hAnsi="Times New Roman"/>
        </w:rPr>
        <w:t>施工期产生的固体废物主要包括施工废料、工程弃土和弃渣、建筑垃圾、施工人员产生的生活垃圾。施工期采取的固体废物污染防治措施如下：</w:t>
      </w:r>
    </w:p>
    <w:p>
      <w:pPr>
        <w:ind w:firstLine="480"/>
        <w:rPr>
          <w:rFonts w:ascii="Times New Roman" w:hAnsi="Times New Roman"/>
        </w:rPr>
      </w:pPr>
      <w:r>
        <w:rPr>
          <w:rFonts w:ascii="Times New Roman" w:hAnsi="Times New Roman"/>
        </w:rPr>
        <w:t>（1）生活垃圾</w:t>
      </w:r>
    </w:p>
    <w:p>
      <w:pPr>
        <w:ind w:firstLine="480"/>
        <w:rPr>
          <w:rFonts w:ascii="Times New Roman" w:hAnsi="Times New Roman"/>
        </w:rPr>
      </w:pPr>
      <w:r>
        <w:rPr>
          <w:rFonts w:ascii="Times New Roman" w:hAnsi="Times New Roman"/>
        </w:rPr>
        <w:t>施工作业场地设垃圾收集桶，收集后交环卫部门统一处置。</w:t>
      </w:r>
    </w:p>
    <w:p>
      <w:pPr>
        <w:ind w:firstLine="480"/>
        <w:rPr>
          <w:rFonts w:ascii="Times New Roman" w:hAnsi="Times New Roman"/>
        </w:rPr>
      </w:pPr>
      <w:r>
        <w:rPr>
          <w:rFonts w:ascii="Times New Roman" w:hAnsi="Times New Roman"/>
        </w:rPr>
        <w:t>（2）建筑垃圾</w:t>
      </w:r>
    </w:p>
    <w:p>
      <w:pPr>
        <w:ind w:firstLine="480"/>
        <w:rPr>
          <w:rFonts w:ascii="Times New Roman" w:hAnsi="Times New Roman"/>
        </w:rPr>
      </w:pPr>
      <w:r>
        <w:rPr>
          <w:rFonts w:ascii="Times New Roman" w:hAnsi="Times New Roman"/>
        </w:rPr>
        <w:t>因宣探1井站和宣兴1井站目前均为水泥地面，井站施工需对部分硬化地坪进行基础开挖，对其他现有设施进行拆除。开挖、拆除等产生的建筑垃圾统一运至建渣消纳中心处理。</w:t>
      </w:r>
    </w:p>
    <w:p>
      <w:pPr>
        <w:ind w:firstLine="480"/>
        <w:rPr>
          <w:rFonts w:ascii="Times New Roman" w:hAnsi="Times New Roman"/>
        </w:rPr>
      </w:pPr>
      <w:r>
        <w:rPr>
          <w:rFonts w:ascii="Times New Roman" w:hAnsi="Times New Roman"/>
        </w:rPr>
        <w:t>（3）施工废料</w:t>
      </w:r>
    </w:p>
    <w:p>
      <w:pPr>
        <w:ind w:firstLine="480"/>
        <w:rPr>
          <w:rFonts w:ascii="Times New Roman" w:hAnsi="Times New Roman"/>
        </w:rPr>
      </w:pPr>
      <w:r>
        <w:rPr>
          <w:rFonts w:ascii="Times New Roman" w:hAnsi="Times New Roman"/>
        </w:rPr>
        <w:t>施工废料主要包括废包装材料、废焊条、截断管材等，由施工单位回收或外售废品回收站处置。</w:t>
      </w:r>
    </w:p>
    <w:p>
      <w:pPr>
        <w:ind w:firstLine="480"/>
        <w:rPr>
          <w:rFonts w:ascii="Times New Roman" w:hAnsi="Times New Roman"/>
        </w:rPr>
      </w:pPr>
      <w:r>
        <w:rPr>
          <w:rFonts w:ascii="Times New Roman" w:hAnsi="Times New Roman"/>
        </w:rPr>
        <w:t>（4）工程弃土、弃渣</w:t>
      </w:r>
    </w:p>
    <w:p>
      <w:pPr>
        <w:ind w:firstLine="480"/>
        <w:rPr>
          <w:rFonts w:ascii="Times New Roman" w:hAnsi="Times New Roman"/>
        </w:rPr>
      </w:pPr>
      <w:r>
        <w:rPr>
          <w:rFonts w:ascii="Times New Roman" w:hAnsi="Times New Roman"/>
        </w:rPr>
        <w:t>施工过程中土石方主要来自井站、清管站等建设、管沟开挖等。项目在建设过程中土石方量依据施工工艺进行调配，按照不同施工工艺分别进行平衡，尽量做到施工区土石方平衡。不能平衡的部分外弃当地政府</w:t>
      </w:r>
      <w:r>
        <w:rPr>
          <w:rFonts w:hint="eastAsia" w:ascii="Times New Roman" w:hAnsi="Times New Roman"/>
          <w:lang w:eastAsia="zh-CN"/>
        </w:rPr>
        <w:t>指定地点</w:t>
      </w:r>
      <w:r>
        <w:rPr>
          <w:rFonts w:ascii="Times New Roman" w:hAnsi="Times New Roman"/>
        </w:rPr>
        <w:t>。</w:t>
      </w:r>
    </w:p>
    <w:p>
      <w:pPr>
        <w:ind w:firstLine="480"/>
        <w:rPr>
          <w:rFonts w:ascii="Times New Roman" w:hAnsi="Times New Roman"/>
        </w:rPr>
      </w:pPr>
      <w:r>
        <w:rPr>
          <w:rFonts w:ascii="Times New Roman" w:hAnsi="Times New Roman"/>
        </w:rPr>
        <w:t>在落实以上各类固体废物的处置措施后，施工期固体废物对外环境产生的影响较小，所以施工期固体废物污染防治措施可行。</w:t>
      </w:r>
    </w:p>
    <w:p>
      <w:pPr>
        <w:pStyle w:val="4"/>
        <w:rPr>
          <w:rFonts w:ascii="Times New Roman" w:hAnsi="Times New Roman" w:cs="Times New Roman"/>
        </w:rPr>
      </w:pPr>
      <w:r>
        <w:rPr>
          <w:rFonts w:ascii="Times New Roman" w:hAnsi="Times New Roman" w:cs="Times New Roman"/>
        </w:rPr>
        <w:t>运营期固体废物污染防治措施</w:t>
      </w:r>
    </w:p>
    <w:p>
      <w:pPr>
        <w:ind w:firstLine="480"/>
        <w:rPr>
          <w:rFonts w:ascii="Times New Roman" w:hAnsi="Times New Roman"/>
        </w:rPr>
      </w:pPr>
      <w:r>
        <w:rPr>
          <w:rFonts w:ascii="Times New Roman" w:hAnsi="Times New Roman"/>
        </w:rPr>
        <w:t>（1）生活垃圾</w:t>
      </w:r>
    </w:p>
    <w:p>
      <w:pPr>
        <w:ind w:firstLine="480"/>
        <w:rPr>
          <w:rFonts w:ascii="Times New Roman" w:hAnsi="Times New Roman"/>
        </w:rPr>
      </w:pPr>
      <w:r>
        <w:rPr>
          <w:rFonts w:ascii="Times New Roman" w:hAnsi="Times New Roman"/>
        </w:rPr>
        <w:t>生活垃圾通过在井站内设置垃圾收集桶，收集后交环卫部门统一处置，对环境影响较小。</w:t>
      </w:r>
    </w:p>
    <w:p>
      <w:pPr>
        <w:ind w:firstLine="480"/>
        <w:rPr>
          <w:rFonts w:ascii="Times New Roman" w:hAnsi="Times New Roman"/>
        </w:rPr>
      </w:pPr>
      <w:r>
        <w:rPr>
          <w:rFonts w:ascii="Times New Roman" w:hAnsi="Times New Roman"/>
        </w:rPr>
        <w:t>（2）清管残渣</w:t>
      </w:r>
    </w:p>
    <w:p>
      <w:pPr>
        <w:ind w:firstLine="480"/>
        <w:rPr>
          <w:rFonts w:ascii="Times New Roman" w:hAnsi="Times New Roman"/>
        </w:rPr>
      </w:pPr>
      <w:r>
        <w:rPr>
          <w:rFonts w:ascii="Times New Roman" w:hAnsi="Times New Roman"/>
        </w:rPr>
        <w:t>天然气管道每年一般进行4次清管，清管废渣是指井站在清管收球作业时产生的轻微腐蚀产物和由于输气压力变化而产生的液滴组成，主要成分有硫化亚铁粉末、井内杂屑、机械杂质等。属于一般固体废物，收集后委托第三方处置。</w:t>
      </w:r>
    </w:p>
    <w:p>
      <w:pPr>
        <w:ind w:firstLine="480"/>
        <w:rPr>
          <w:rFonts w:ascii="Times New Roman" w:hAnsi="Times New Roman"/>
        </w:rPr>
      </w:pPr>
      <w:r>
        <w:rPr>
          <w:rFonts w:ascii="Times New Roman" w:hAnsi="Times New Roman"/>
        </w:rPr>
        <w:t>（3）危险废物</w:t>
      </w:r>
    </w:p>
    <w:p>
      <w:pPr>
        <w:ind w:firstLine="480"/>
        <w:rPr>
          <w:rFonts w:ascii="Times New Roman" w:hAnsi="Times New Roman"/>
        </w:rPr>
      </w:pPr>
      <w:r>
        <w:rPr>
          <w:rFonts w:ascii="Times New Roman" w:hAnsi="Times New Roman"/>
        </w:rPr>
        <w:t>生产过程中产生的固废主要为化学品空桶和含油废抹布等，均为危险废物。</w:t>
      </w:r>
    </w:p>
    <w:p>
      <w:pPr>
        <w:ind w:firstLine="480"/>
        <w:rPr>
          <w:rFonts w:ascii="Times New Roman" w:hAnsi="Times New Roman"/>
        </w:rPr>
      </w:pPr>
      <w:r>
        <w:rPr>
          <w:rFonts w:ascii="Times New Roman" w:hAnsi="Times New Roman"/>
        </w:rPr>
        <w:t>本项目井站需要投加缓蚀剂和抑制剂，缓蚀剂为连续加注工艺，抑制剂为开井工况或极端低温天气条件下应急加注，会产生药剂空桶。不在站内暂存，由厂家回收利用。</w:t>
      </w:r>
    </w:p>
    <w:p>
      <w:pPr>
        <w:ind w:firstLine="480"/>
        <w:rPr>
          <w:rFonts w:ascii="Times New Roman" w:hAnsi="Times New Roman"/>
        </w:rPr>
      </w:pPr>
      <w:r>
        <w:rPr>
          <w:rFonts w:ascii="Times New Roman" w:hAnsi="Times New Roman"/>
        </w:rPr>
        <w:t>本项目产生的油类主要为保养空气压缩机等设备更换产生的含油废抹布等，含油废抹布属于危险废物（类别为HW49，代码900-041-49），不在站内储存，产生后由管理单位进行统一收集，最后交由具有危险废物处理资质的单位拉运处理。</w:t>
      </w:r>
    </w:p>
    <w:p>
      <w:pPr>
        <w:ind w:firstLine="480"/>
        <w:rPr>
          <w:rFonts w:ascii="Times New Roman" w:hAnsi="Times New Roman"/>
        </w:rPr>
      </w:pPr>
      <w:r>
        <w:rPr>
          <w:rFonts w:ascii="Times New Roman" w:hAnsi="Times New Roman"/>
        </w:rPr>
        <w:t>（3）危险废物环境管理</w:t>
      </w:r>
    </w:p>
    <w:p>
      <w:pPr>
        <w:ind w:firstLine="480"/>
        <w:rPr>
          <w:rFonts w:ascii="Times New Roman" w:hAnsi="Times New Roman"/>
        </w:rPr>
      </w:pPr>
      <w:r>
        <w:rPr>
          <w:rFonts w:ascii="Times New Roman" w:hAnsi="Times New Roman"/>
        </w:rPr>
        <w:t>为加强危废的环境管理，提出如下环境管理措施。</w:t>
      </w:r>
    </w:p>
    <w:p>
      <w:pPr>
        <w:ind w:firstLine="480"/>
        <w:rPr>
          <w:rFonts w:ascii="Times New Roman" w:hAnsi="Times New Roman"/>
        </w:rPr>
      </w:pPr>
      <w:r>
        <w:rPr>
          <w:rFonts w:hint="eastAsia" w:ascii="宋体" w:hAnsi="宋体" w:cs="宋体"/>
        </w:rPr>
        <w:t>①</w:t>
      </w:r>
      <w:r>
        <w:rPr>
          <w:rFonts w:ascii="Times New Roman" w:hAnsi="Times New Roman"/>
        </w:rPr>
        <w:t>本项目产生的危险废物不落地，产生后由有资质的单位及时收集拉运，因此在 产生危废前需提前和委托单位计划好拉运时间。</w:t>
      </w:r>
    </w:p>
    <w:p>
      <w:pPr>
        <w:ind w:firstLine="480"/>
        <w:rPr>
          <w:rFonts w:ascii="Times New Roman" w:hAnsi="Times New Roman"/>
        </w:rPr>
      </w:pPr>
      <w:r>
        <w:rPr>
          <w:rFonts w:hint="eastAsia" w:ascii="宋体" w:hAnsi="宋体" w:cs="宋体"/>
        </w:rPr>
        <w:t>②</w:t>
      </w:r>
      <w:r>
        <w:rPr>
          <w:rFonts w:ascii="Times New Roman" w:hAnsi="Times New Roman"/>
        </w:rPr>
        <w:t>落实污染环境防治责任制度，建立健全工业危险废物产生、收集、贮存、运输、利用、处置全过程的污染环境防治责任制度。</w:t>
      </w:r>
    </w:p>
    <w:p>
      <w:pPr>
        <w:ind w:firstLine="480"/>
        <w:rPr>
          <w:rFonts w:ascii="Times New Roman" w:hAnsi="Times New Roman"/>
        </w:rPr>
      </w:pPr>
      <w:r>
        <w:rPr>
          <w:rFonts w:hint="eastAsia" w:ascii="宋体" w:hAnsi="宋体" w:cs="宋体"/>
        </w:rPr>
        <w:t>③</w:t>
      </w:r>
      <w:r>
        <w:rPr>
          <w:rFonts w:ascii="Times New Roman" w:hAnsi="Times New Roman"/>
        </w:rPr>
        <w:t>落实危险废物识别标志制度，按照《危险废物识别标志设置技术规范》（HJ1276-2022）《环境保护图形标志固体废物贮存（处置）场》（GB15562.2）及其修改单等有关规定，对收集危险废物的岩屑收集罐、废油桶以及其他收集、贮存、运输危险废物的设施、场所设置危险废物识别标志。</w:t>
      </w:r>
    </w:p>
    <w:p>
      <w:pPr>
        <w:ind w:firstLine="480"/>
        <w:rPr>
          <w:rFonts w:ascii="Times New Roman" w:hAnsi="Times New Roman"/>
        </w:rPr>
      </w:pPr>
      <w:r>
        <w:rPr>
          <w:rFonts w:hint="eastAsia" w:ascii="宋体" w:hAnsi="宋体" w:cs="宋体"/>
        </w:rPr>
        <w:t>④</w:t>
      </w:r>
      <w:r>
        <w:rPr>
          <w:rFonts w:ascii="Times New Roman" w:hAnsi="Times New Roman"/>
        </w:rPr>
        <w:t>落实危险废物管理计划制度，按照《危险废物管理计划和管理台账制定技术导则》（HJ1259）等有关要求制定危险废物管理计划，并报所在地生态环境主管部门备案。</w:t>
      </w:r>
    </w:p>
    <w:p>
      <w:pPr>
        <w:ind w:firstLine="480"/>
        <w:rPr>
          <w:rFonts w:ascii="Times New Roman" w:hAnsi="Times New Roman"/>
        </w:rPr>
      </w:pPr>
      <w:r>
        <w:rPr>
          <w:rFonts w:hint="eastAsia" w:ascii="宋体" w:hAnsi="宋体" w:cs="宋体"/>
        </w:rPr>
        <w:t>⑤</w:t>
      </w:r>
      <w:r>
        <w:rPr>
          <w:rFonts w:ascii="Times New Roman" w:hAnsi="Times New Roman"/>
        </w:rPr>
        <w:t>落实危险废物管理台账及申报制度，建立危险废物管理台账，如实记录有关信息，并通过国家危险废物信息管理系统向所在地生态环境主管部门申报危险废物的种类、产生量、流向、贮存、处置等有关资料。</w:t>
      </w:r>
    </w:p>
    <w:p>
      <w:pPr>
        <w:ind w:firstLine="480"/>
        <w:rPr>
          <w:rFonts w:ascii="Times New Roman" w:hAnsi="Times New Roman"/>
        </w:rPr>
      </w:pPr>
      <w:r>
        <w:rPr>
          <w:rFonts w:hint="eastAsia" w:ascii="宋体" w:hAnsi="宋体" w:cs="宋体"/>
        </w:rPr>
        <w:t>⑥</w:t>
      </w:r>
      <w:r>
        <w:rPr>
          <w:rFonts w:ascii="Times New Roman" w:hAnsi="Times New Roman"/>
        </w:rPr>
        <w:t>落实危险废物经营许可证制度，禁止将危险废物提供或委托给无危险废物经营许可证的单位或者其他生产经营者从事收集、贮存、利用、处置活动。</w:t>
      </w:r>
    </w:p>
    <w:p>
      <w:pPr>
        <w:ind w:firstLine="480"/>
        <w:rPr>
          <w:rFonts w:ascii="Times New Roman" w:hAnsi="Times New Roman"/>
        </w:rPr>
      </w:pPr>
      <w:r>
        <w:rPr>
          <w:rFonts w:hint="eastAsia" w:ascii="宋体" w:hAnsi="宋体" w:cs="宋体"/>
        </w:rPr>
        <w:t>⑦</w:t>
      </w:r>
      <w:r>
        <w:rPr>
          <w:rFonts w:ascii="Times New Roman" w:hAnsi="Times New Roman"/>
        </w:rPr>
        <w:t>落实危险废物转移联单制度，转移危险废物的，应当按照《危险废物转移管理办法》的有关规定填写、运行危险废物转移联单。运输危险废物，应当采取防止污染环境的措施，并遵守国家有关危险货物运输管理的规定。</w:t>
      </w:r>
    </w:p>
    <w:p>
      <w:pPr>
        <w:ind w:firstLine="480"/>
        <w:rPr>
          <w:rFonts w:ascii="Times New Roman" w:hAnsi="Times New Roman"/>
        </w:rPr>
      </w:pPr>
      <w:r>
        <w:rPr>
          <w:rFonts w:hint="eastAsia" w:ascii="宋体" w:hAnsi="宋体" w:cs="宋体"/>
        </w:rPr>
        <w:t>⑧</w:t>
      </w:r>
      <w:r>
        <w:rPr>
          <w:rFonts w:ascii="Times New Roman" w:hAnsi="Times New Roman"/>
        </w:rPr>
        <w:t>落实环境保护标准制度，按照国家有关规定和环境保护标准要求贮存、利用、处置危险废物，不得将其擅自倾倒处置；禁止混合收集、贮存、运输、处置性质不相容或未经安全性处置的危险废物。危险废物收集、贮存应当按照其特性分类进行；禁止将危险废物混入非危险废物中贮存。危险废物收集、贮存和运输过程的污染控制执行《危险废物贮存污染控制标准》（GB18597）《危险废物收集贮存运输技术规范》（HJ2025）等有关规定。</w:t>
      </w:r>
    </w:p>
    <w:p>
      <w:pPr>
        <w:ind w:firstLine="480"/>
        <w:rPr>
          <w:rFonts w:ascii="Times New Roman" w:hAnsi="Times New Roman"/>
        </w:rPr>
      </w:pPr>
      <w:r>
        <w:rPr>
          <w:rFonts w:ascii="Times New Roman" w:hAnsi="Times New Roman"/>
        </w:rPr>
        <w:t>通过在采取上述措施处理后，生产固废对环境影响较小，措施可行。</w:t>
      </w:r>
    </w:p>
    <w:p>
      <w:pPr>
        <w:pStyle w:val="4"/>
        <w:rPr>
          <w:rFonts w:ascii="Times New Roman" w:hAnsi="Times New Roman" w:cs="Times New Roman"/>
        </w:rPr>
      </w:pPr>
      <w:r>
        <w:rPr>
          <w:rFonts w:ascii="Times New Roman" w:hAnsi="Times New Roman" w:cs="Times New Roman"/>
        </w:rPr>
        <w:t>退役期固体废物污染防治措施</w:t>
      </w:r>
    </w:p>
    <w:p>
      <w:pPr>
        <w:ind w:firstLine="480"/>
        <w:rPr>
          <w:rFonts w:ascii="Times New Roman" w:hAnsi="Times New Roman"/>
        </w:rPr>
      </w:pPr>
      <w:r>
        <w:rPr>
          <w:rFonts w:ascii="Times New Roman" w:hAnsi="Times New Roman"/>
        </w:rPr>
        <w:t>服务期满施工过程产生废弃管线、废弃建筑垃圾。由施工单位严格按照HSE管理模式进行集中收集后，依托当地环卫部门有偿清运，按相关规定进行妥善处置，不会对周边环境造成明显不利影响。</w:t>
      </w:r>
    </w:p>
    <w:p>
      <w:pPr>
        <w:pStyle w:val="3"/>
        <w:rPr>
          <w:rFonts w:ascii="Times New Roman" w:hAnsi="Times New Roman" w:cs="Times New Roman"/>
        </w:rPr>
      </w:pPr>
      <w:bookmarkStart w:id="392" w:name="_Toc162339452"/>
      <w:r>
        <w:rPr>
          <w:rFonts w:ascii="Times New Roman" w:hAnsi="Times New Roman" w:cs="Times New Roman"/>
        </w:rPr>
        <w:t>土壤污染防治措施</w:t>
      </w:r>
      <w:bookmarkEnd w:id="392"/>
    </w:p>
    <w:p>
      <w:pPr>
        <w:pStyle w:val="4"/>
        <w:rPr>
          <w:rFonts w:ascii="Times New Roman" w:hAnsi="Times New Roman" w:cs="Times New Roman"/>
        </w:rPr>
      </w:pPr>
      <w:r>
        <w:rPr>
          <w:rFonts w:ascii="Times New Roman" w:hAnsi="Times New Roman" w:cs="Times New Roman"/>
        </w:rPr>
        <w:t>施工期土壤污染防治措施</w:t>
      </w:r>
    </w:p>
    <w:p>
      <w:pPr>
        <w:ind w:firstLine="480"/>
        <w:rPr>
          <w:rFonts w:ascii="Times New Roman" w:hAnsi="Times New Roman"/>
        </w:rPr>
      </w:pPr>
      <w:r>
        <w:rPr>
          <w:rFonts w:ascii="Times New Roman" w:hAnsi="Times New Roman"/>
        </w:rPr>
        <w:t>1）井站施工期间的废水收集后统一处理，不直接外排污染土壤。</w:t>
      </w:r>
    </w:p>
    <w:p>
      <w:pPr>
        <w:ind w:firstLine="480"/>
        <w:rPr>
          <w:rFonts w:ascii="Times New Roman" w:hAnsi="Times New Roman"/>
        </w:rPr>
      </w:pPr>
      <w:r>
        <w:rPr>
          <w:rFonts w:ascii="Times New Roman" w:hAnsi="Times New Roman"/>
        </w:rPr>
        <w:t>2）注意施工机械的维护，防止漏油事故发生。</w:t>
      </w:r>
    </w:p>
    <w:p>
      <w:pPr>
        <w:ind w:firstLine="480"/>
        <w:rPr>
          <w:rFonts w:ascii="Times New Roman" w:hAnsi="Times New Roman"/>
        </w:rPr>
      </w:pPr>
      <w:r>
        <w:rPr>
          <w:rFonts w:ascii="Times New Roman" w:hAnsi="Times New Roman"/>
        </w:rPr>
        <w:t>3）集输管道施工时尽量缩窄施工作业带，施工活动严格控制在施工作业带范围内。</w:t>
      </w:r>
    </w:p>
    <w:p>
      <w:pPr>
        <w:ind w:firstLine="480"/>
        <w:rPr>
          <w:rFonts w:ascii="Times New Roman" w:hAnsi="Times New Roman"/>
        </w:rPr>
      </w:pPr>
      <w:r>
        <w:rPr>
          <w:rFonts w:ascii="Times New Roman" w:hAnsi="Times New Roman"/>
        </w:rPr>
        <w:t>4）集输管道施工过程中，对管沟开挖的土壤进行分层堆放、分层回填。</w:t>
      </w:r>
    </w:p>
    <w:p>
      <w:pPr>
        <w:pStyle w:val="4"/>
        <w:rPr>
          <w:rFonts w:ascii="Times New Roman" w:hAnsi="Times New Roman" w:cs="Times New Roman"/>
        </w:rPr>
      </w:pPr>
      <w:r>
        <w:rPr>
          <w:rFonts w:ascii="Times New Roman" w:hAnsi="Times New Roman" w:cs="Times New Roman"/>
        </w:rPr>
        <w:t>运营期土壤污染防治措施</w:t>
      </w:r>
    </w:p>
    <w:p>
      <w:pPr>
        <w:ind w:firstLine="480"/>
        <w:rPr>
          <w:rFonts w:ascii="Times New Roman" w:hAnsi="Times New Roman"/>
        </w:rPr>
      </w:pPr>
      <w:r>
        <w:rPr>
          <w:rFonts w:ascii="Times New Roman" w:hAnsi="Times New Roman"/>
        </w:rPr>
        <w:t>为有效防治土壤环境污染，结合HJ 610的要求，坚持“源头控制、分区防治、污染监控、应急响应”相结合的原则，采取从污染物的产生、入渗、扩散、应急响应全阶段进行控制的措施。</w:t>
      </w:r>
    </w:p>
    <w:p>
      <w:pPr>
        <w:pStyle w:val="5"/>
        <w:rPr>
          <w:rFonts w:ascii="Times New Roman" w:hAnsi="Times New Roman"/>
        </w:rPr>
      </w:pPr>
      <w:r>
        <w:rPr>
          <w:rFonts w:ascii="Times New Roman" w:hAnsi="Times New Roman"/>
        </w:rPr>
        <w:t>源头控制措施</w:t>
      </w:r>
    </w:p>
    <w:p>
      <w:pPr>
        <w:ind w:firstLine="480"/>
        <w:rPr>
          <w:rFonts w:ascii="Times New Roman" w:hAnsi="Times New Roman"/>
        </w:rPr>
      </w:pPr>
      <w:r>
        <w:rPr>
          <w:rFonts w:ascii="Times New Roman" w:hAnsi="Times New Roman"/>
        </w:rPr>
        <w:t>本项目工艺区、气田水罐区等防腐、防渗设计满足《工业建筑防腐蚀设计规范》（GB50046）和《石油化工工程防渗设计规范》GB/T50934的相关规定。工艺、管道、设备、污水储存及处理构筑物均采取相应措施，防止和降低污染物跑、冒、滴、漏，将污染物泄漏的环境风险事故降到最低程度：管线敷设尽量采用“可视化”原则，即管道尽可能地上敷设，做到污染物“早发现、早处理”，减少由于埋地管道泄漏而造成的土壤环境污染。</w:t>
      </w:r>
    </w:p>
    <w:p>
      <w:pPr>
        <w:pStyle w:val="5"/>
        <w:rPr>
          <w:rFonts w:ascii="Times New Roman" w:hAnsi="Times New Roman"/>
        </w:rPr>
      </w:pPr>
      <w:r>
        <w:rPr>
          <w:rFonts w:ascii="Times New Roman" w:hAnsi="Times New Roman"/>
        </w:rPr>
        <w:t>过程控制措施</w:t>
      </w:r>
    </w:p>
    <w:p>
      <w:pPr>
        <w:ind w:firstLine="480"/>
        <w:rPr>
          <w:rFonts w:ascii="Times New Roman" w:hAnsi="Times New Roman"/>
        </w:rPr>
      </w:pPr>
      <w:r>
        <w:rPr>
          <w:rFonts w:ascii="Times New Roman" w:hAnsi="Times New Roman"/>
        </w:rPr>
        <w:t>对本项目各个建设工程单元可能泄漏污染物的地面需进行防渗处理，有效防止污染物渗入土壤，并及时地将泄漏、渗漏的污染物收集并进行集中处理。根据各生产单元可能产生的污染物情况及构筑物的特征，将项目建设场地划分为重点污染防渗区、一般污染防渗区。</w:t>
      </w:r>
    </w:p>
    <w:p>
      <w:pPr>
        <w:ind w:firstLine="480"/>
        <w:rPr>
          <w:rFonts w:ascii="Times New Roman" w:hAnsi="Times New Roman"/>
        </w:rPr>
      </w:pPr>
      <w:r>
        <w:rPr>
          <w:rFonts w:ascii="Times New Roman" w:hAnsi="Times New Roman"/>
        </w:rPr>
        <w:t>具体分区防渗情况详见本报告书地下水分区防渗章节。</w:t>
      </w:r>
    </w:p>
    <w:p>
      <w:pPr>
        <w:pStyle w:val="5"/>
        <w:rPr>
          <w:rFonts w:ascii="Times New Roman" w:hAnsi="Times New Roman"/>
        </w:rPr>
      </w:pPr>
      <w:r>
        <w:rPr>
          <w:rFonts w:ascii="Times New Roman" w:hAnsi="Times New Roman"/>
        </w:rPr>
        <w:t>跟踪监测</w:t>
      </w:r>
    </w:p>
    <w:p>
      <w:pPr>
        <w:ind w:firstLine="480"/>
        <w:rPr>
          <w:rFonts w:ascii="Times New Roman" w:hAnsi="Times New Roman"/>
        </w:rPr>
      </w:pPr>
      <w:r>
        <w:rPr>
          <w:rFonts w:ascii="Times New Roman" w:hAnsi="Times New Roman"/>
        </w:rPr>
        <w:t>本建项目土壤环境评价工作等级为二级，按照《环境影响评价技术导则 土壤环境（试行）》（HJ964-2018）要求，每5年内开展1次特征因子的跟踪监测。必要时可开展跟踪监测。</w:t>
      </w:r>
    </w:p>
    <w:p>
      <w:pPr>
        <w:pStyle w:val="5"/>
        <w:rPr>
          <w:rFonts w:ascii="Times New Roman" w:hAnsi="Times New Roman"/>
        </w:rPr>
      </w:pPr>
      <w:r>
        <w:rPr>
          <w:rFonts w:ascii="Times New Roman" w:hAnsi="Times New Roman"/>
        </w:rPr>
        <w:t>事故风险应急措施及应急监测</w:t>
      </w:r>
    </w:p>
    <w:p>
      <w:pPr>
        <w:ind w:firstLine="480"/>
        <w:rPr>
          <w:rFonts w:ascii="Times New Roman" w:hAnsi="Times New Roman"/>
        </w:rPr>
      </w:pPr>
      <w:r>
        <w:rPr>
          <w:rFonts w:ascii="Times New Roman" w:hAnsi="Times New Roman"/>
        </w:rPr>
        <w:t>1）处理处置措施</w:t>
      </w:r>
    </w:p>
    <w:p>
      <w:pPr>
        <w:ind w:firstLine="480"/>
        <w:rPr>
          <w:rFonts w:ascii="Times New Roman" w:hAnsi="Times New Roman"/>
        </w:rPr>
      </w:pPr>
      <w:r>
        <w:rPr>
          <w:rFonts w:ascii="Times New Roman" w:hAnsi="Times New Roman"/>
        </w:rPr>
        <w:t>发现泄漏污染后首先切断泄漏位置污染源，阻止污染源进一步对土壤的污染；其次以污染源泄漏点为中心调查确定土壤污染的空间范围；再次对污染土壤进行收集，并进行环保、无害化处理；最后，开展土壤污染监测，确保被污染的土壤全部被清理干净。</w:t>
      </w:r>
    </w:p>
    <w:p>
      <w:pPr>
        <w:ind w:firstLine="480"/>
        <w:rPr>
          <w:rFonts w:ascii="Times New Roman" w:hAnsi="Times New Roman"/>
        </w:rPr>
      </w:pPr>
      <w:r>
        <w:rPr>
          <w:rFonts w:ascii="Times New Roman" w:hAnsi="Times New Roman"/>
        </w:rPr>
        <w:t>2）土壤应急监测</w:t>
      </w:r>
    </w:p>
    <w:p>
      <w:pPr>
        <w:ind w:firstLine="480"/>
        <w:rPr>
          <w:rFonts w:ascii="Times New Roman" w:hAnsi="Times New Roman"/>
        </w:rPr>
      </w:pPr>
      <w:r>
        <w:rPr>
          <w:rFonts w:ascii="Times New Roman" w:hAnsi="Times New Roman"/>
        </w:rPr>
        <w:t>事故发生后，根据事故位置设置土壤的监测点，监测周期需要从事故发生至其后的半年至一年的时间内，定期监测土壤中石油烃含量，了解事故对土壤的污染情况。</w:t>
      </w:r>
    </w:p>
    <w:p>
      <w:pPr>
        <w:pStyle w:val="4"/>
        <w:rPr>
          <w:rFonts w:ascii="Times New Roman" w:hAnsi="Times New Roman" w:cs="Times New Roman"/>
        </w:rPr>
      </w:pPr>
      <w:r>
        <w:rPr>
          <w:rFonts w:ascii="Times New Roman" w:hAnsi="Times New Roman" w:cs="Times New Roman"/>
        </w:rPr>
        <w:t>退役期土壤污染防治措施</w:t>
      </w:r>
    </w:p>
    <w:p>
      <w:pPr>
        <w:ind w:firstLine="480"/>
        <w:rPr>
          <w:rFonts w:ascii="Times New Roman" w:hAnsi="Times New Roman"/>
        </w:rPr>
      </w:pPr>
      <w:r>
        <w:rPr>
          <w:rFonts w:ascii="Times New Roman" w:hAnsi="Times New Roman"/>
        </w:rPr>
        <w:t>服务期满施工过程加强废弃管线、废弃建筑垃圾等地表污染物的堆放管理，防止含油施工废水等污染物进入土壤。</w:t>
      </w:r>
    </w:p>
    <w:p>
      <w:pPr>
        <w:pStyle w:val="3"/>
        <w:rPr>
          <w:rFonts w:ascii="Times New Roman" w:hAnsi="Times New Roman" w:cs="Times New Roman"/>
        </w:rPr>
      </w:pPr>
      <w:bookmarkStart w:id="393" w:name="_Toc162339453"/>
      <w:r>
        <w:rPr>
          <w:rFonts w:ascii="Times New Roman" w:hAnsi="Times New Roman" w:cs="Times New Roman"/>
        </w:rPr>
        <w:t>地下水污染防治措施</w:t>
      </w:r>
      <w:bookmarkEnd w:id="393"/>
    </w:p>
    <w:p>
      <w:pPr>
        <w:pStyle w:val="4"/>
        <w:rPr>
          <w:rFonts w:ascii="Times New Roman" w:hAnsi="Times New Roman" w:cs="Times New Roman"/>
        </w:rPr>
      </w:pPr>
      <w:r>
        <w:rPr>
          <w:rFonts w:ascii="Times New Roman" w:hAnsi="Times New Roman" w:cs="Times New Roman"/>
        </w:rPr>
        <w:t>施工期地下水污染防治措施</w:t>
      </w:r>
    </w:p>
    <w:p>
      <w:pPr>
        <w:ind w:firstLine="480"/>
        <w:rPr>
          <w:rFonts w:ascii="Times New Roman" w:hAnsi="Times New Roman"/>
        </w:rPr>
      </w:pPr>
      <w:r>
        <w:rPr>
          <w:rFonts w:ascii="Times New Roman" w:hAnsi="Times New Roman"/>
        </w:rPr>
        <w:t>同9.5.1 施工期土壤污染防治措施。</w:t>
      </w:r>
    </w:p>
    <w:p>
      <w:pPr>
        <w:pStyle w:val="4"/>
        <w:rPr>
          <w:rFonts w:ascii="Times New Roman" w:hAnsi="Times New Roman" w:cs="Times New Roman"/>
        </w:rPr>
      </w:pPr>
      <w:r>
        <w:rPr>
          <w:rFonts w:ascii="Times New Roman" w:hAnsi="Times New Roman" w:cs="Times New Roman"/>
        </w:rPr>
        <w:t>运营期地下水污染防治措施</w:t>
      </w:r>
    </w:p>
    <w:p>
      <w:pPr>
        <w:ind w:firstLine="480"/>
        <w:rPr>
          <w:rFonts w:ascii="Times New Roman" w:hAnsi="Times New Roman"/>
        </w:rPr>
      </w:pPr>
      <w:r>
        <w:rPr>
          <w:rFonts w:ascii="Times New Roman" w:hAnsi="Times New Roman"/>
        </w:rPr>
        <w:t>按照源头控制、分区防治、污染监控、应急响应相结合的原则，对污染物的产生、渗漏、扩散、应急响应全阶段进行控制。具体措施如下。</w:t>
      </w:r>
    </w:p>
    <w:p>
      <w:pPr>
        <w:ind w:firstLine="482"/>
        <w:rPr>
          <w:rFonts w:ascii="Times New Roman" w:hAnsi="Times New Roman"/>
          <w:b/>
          <w:bCs/>
        </w:rPr>
      </w:pPr>
      <w:r>
        <w:rPr>
          <w:rFonts w:ascii="Times New Roman" w:hAnsi="Times New Roman"/>
          <w:b/>
          <w:bCs/>
        </w:rPr>
        <w:t>（1）源头控制</w:t>
      </w:r>
    </w:p>
    <w:p>
      <w:pPr>
        <w:ind w:firstLine="480"/>
        <w:rPr>
          <w:rFonts w:ascii="Times New Roman" w:hAnsi="Times New Roman"/>
        </w:rPr>
      </w:pPr>
      <w:r>
        <w:rPr>
          <w:rFonts w:ascii="Times New Roman" w:hAnsi="Times New Roman"/>
        </w:rPr>
        <w:t>源头控制主要包括各类废物循环利用的具体方案，实施清洁生产，减少污染物的排放量；在工艺、管道、设备、污水储存及处理构筑物采取相应措施，防止和降低污染物跑、冒、滴、漏，将污染物泄漏的环境风险事故降到最低限度。</w:t>
      </w:r>
    </w:p>
    <w:p>
      <w:pPr>
        <w:ind w:firstLine="480"/>
        <w:rPr>
          <w:rFonts w:ascii="Times New Roman" w:hAnsi="Times New Roman"/>
        </w:rPr>
      </w:pPr>
      <w:r>
        <w:rPr>
          <w:rFonts w:ascii="Times New Roman" w:hAnsi="Times New Roman"/>
        </w:rPr>
        <w:t>1）井站场地工艺管线、生产装置、应尽量悬空于地表修建，满足产污构筑物可视化设置要求。以便在项目运行过程中及时发现产污构筑物破损、泄漏，采取相应处置措施，最大限度降低项目运行过程中的环境风险。同时加强本项目工艺管线检修，避免生产工艺过程中溶液的漏滴。</w:t>
      </w:r>
    </w:p>
    <w:p>
      <w:pPr>
        <w:ind w:firstLine="480"/>
        <w:rPr>
          <w:rFonts w:ascii="Times New Roman" w:hAnsi="Times New Roman"/>
        </w:rPr>
      </w:pPr>
      <w:r>
        <w:rPr>
          <w:rFonts w:ascii="Times New Roman" w:hAnsi="Times New Roman"/>
        </w:rPr>
        <w:t>2）加强各类废水收集、暂存、运输及处理过程中的环境管理，并实施全过程监控，防止出现废水渗漏、外溢等事故，禁止违法违规排放。井站场地设置清污分流、雨污分流系统。</w:t>
      </w:r>
    </w:p>
    <w:p>
      <w:pPr>
        <w:ind w:firstLine="480"/>
        <w:rPr>
          <w:rFonts w:ascii="Times New Roman" w:hAnsi="Times New Roman"/>
        </w:rPr>
      </w:pPr>
      <w:r>
        <w:rPr>
          <w:rFonts w:ascii="Times New Roman" w:hAnsi="Times New Roman"/>
        </w:rPr>
        <w:t>3）站内外埋地管道埋设要精心施工，并严格按照相关规定选择优质材料，避免管道破裂等意外情况发生，避免事故维修过程中的废物、废料对地下水造成污染。</w:t>
      </w:r>
    </w:p>
    <w:p>
      <w:pPr>
        <w:ind w:firstLine="480"/>
        <w:rPr>
          <w:rFonts w:ascii="Times New Roman" w:hAnsi="Times New Roman"/>
        </w:rPr>
      </w:pPr>
      <w:r>
        <w:rPr>
          <w:rFonts w:ascii="Times New Roman" w:hAnsi="Times New Roman"/>
        </w:rPr>
        <w:t>4）在配管设计上防止控制水击现象，管线的压力大于最不稳定水击压力，避免发生振动破坏。加强运营期管理，控制流体流速、温度、压力避免水击现象，减小管内介质流速，减小水击压力，避免管线破坏。</w:t>
      </w:r>
    </w:p>
    <w:p>
      <w:pPr>
        <w:ind w:firstLine="480"/>
        <w:rPr>
          <w:rFonts w:ascii="Times New Roman" w:hAnsi="Times New Roman"/>
        </w:rPr>
      </w:pPr>
      <w:r>
        <w:rPr>
          <w:rFonts w:ascii="Times New Roman" w:hAnsi="Times New Roman"/>
        </w:rPr>
        <w:t>5）加强废水等运输过程的管理。对承包转运的车辆实施车辆登记制度，为每台车安装GPS，纳入建设方的GPS监控系统平台，加强运输过程中的监控措施，防止运输过程发生事故导致废水泄漏，污染环境。建立废水交接联单制度，确保不乱排乱倒。加强对罐车司机的安全教育，定期对罐车进行安全检查，严格遵守交通规则，避免交通事故发生。</w:t>
      </w:r>
    </w:p>
    <w:p>
      <w:pPr>
        <w:ind w:firstLine="480"/>
        <w:rPr>
          <w:rFonts w:ascii="Times New Roman" w:hAnsi="Times New Roman"/>
        </w:rPr>
      </w:pPr>
      <w:r>
        <w:rPr>
          <w:rFonts w:ascii="Times New Roman" w:hAnsi="Times New Roman"/>
        </w:rPr>
        <w:t>6）加强固体废物收集、运输及处置等过程的环境管理，严格按有关技术规范和规定落实各项防范措施，确保不对地下水造成污染。</w:t>
      </w:r>
    </w:p>
    <w:p>
      <w:pPr>
        <w:ind w:firstLine="480"/>
        <w:rPr>
          <w:rFonts w:ascii="Times New Roman" w:hAnsi="Times New Roman"/>
        </w:rPr>
      </w:pPr>
      <w:r>
        <w:rPr>
          <w:rFonts w:ascii="Times New Roman" w:hAnsi="Times New Roman"/>
        </w:rPr>
        <w:t>7）气田水罐区等应进行严格的重点防渗措施，防止气田水渗透进入含水层；定期对罐体和管线进行巡视和检查，若有破损泄漏及时进行修补。</w:t>
      </w:r>
    </w:p>
    <w:p>
      <w:pPr>
        <w:ind w:firstLine="480"/>
        <w:rPr>
          <w:rFonts w:ascii="Times New Roman" w:hAnsi="Times New Roman"/>
        </w:rPr>
      </w:pPr>
      <w:r>
        <w:rPr>
          <w:rFonts w:ascii="Times New Roman" w:hAnsi="Times New Roman"/>
        </w:rPr>
        <w:t>8）针对井场各储存池，必须按下列要求进行管理：</w:t>
      </w:r>
    </w:p>
    <w:p>
      <w:pPr>
        <w:ind w:firstLine="480"/>
        <w:rPr>
          <w:rFonts w:ascii="Times New Roman" w:hAnsi="Times New Roman"/>
        </w:rPr>
      </w:pPr>
      <w:r>
        <w:rPr>
          <w:rFonts w:hint="eastAsia" w:ascii="宋体" w:hAnsi="宋体" w:cs="宋体"/>
        </w:rPr>
        <w:t>①</w:t>
      </w:r>
      <w:r>
        <w:rPr>
          <w:rFonts w:ascii="Times New Roman" w:hAnsi="Times New Roman"/>
        </w:rPr>
        <w:t xml:space="preserve"> 应严格按工程设计进行设计，确保各罐有足够的容积满足工程建设的需要。</w:t>
      </w:r>
    </w:p>
    <w:p>
      <w:pPr>
        <w:ind w:firstLine="480"/>
        <w:rPr>
          <w:rFonts w:ascii="Times New Roman" w:hAnsi="Times New Roman"/>
        </w:rPr>
      </w:pPr>
      <w:r>
        <w:rPr>
          <w:rFonts w:hint="eastAsia" w:ascii="宋体" w:hAnsi="宋体" w:cs="宋体"/>
        </w:rPr>
        <w:t>②</w:t>
      </w:r>
      <w:r>
        <w:rPr>
          <w:rFonts w:ascii="Times New Roman" w:hAnsi="Times New Roman"/>
        </w:rPr>
        <w:t xml:space="preserve"> 对井站临时储存的废水进行及时转运，减少储存周期，降低外溢风险，特别在汛期来临前，要腾空废水池。</w:t>
      </w:r>
    </w:p>
    <w:p>
      <w:pPr>
        <w:ind w:firstLine="480"/>
        <w:rPr>
          <w:rFonts w:ascii="Times New Roman" w:hAnsi="Times New Roman"/>
        </w:rPr>
      </w:pPr>
      <w:r>
        <w:rPr>
          <w:rFonts w:hint="eastAsia" w:ascii="宋体" w:hAnsi="宋体" w:cs="宋体"/>
        </w:rPr>
        <w:t>③</w:t>
      </w:r>
      <w:r>
        <w:rPr>
          <w:rFonts w:ascii="Times New Roman" w:hAnsi="Times New Roman"/>
        </w:rPr>
        <w:t xml:space="preserve"> 井站周围设施污水截留沟截留泄漏的废水或泥浆。</w:t>
      </w:r>
    </w:p>
    <w:p>
      <w:pPr>
        <w:ind w:firstLine="480"/>
        <w:rPr>
          <w:rFonts w:ascii="Times New Roman" w:hAnsi="Times New Roman"/>
        </w:rPr>
      </w:pPr>
      <w:r>
        <w:rPr>
          <w:rFonts w:ascii="Times New Roman" w:hAnsi="Times New Roman"/>
        </w:rPr>
        <w:t>9）运营期间要做好站场的日常巡查工作，避免管道的泄漏，从源头将污染物泄漏对地下水影响降到最低限度。</w:t>
      </w:r>
    </w:p>
    <w:p>
      <w:pPr>
        <w:ind w:firstLine="482"/>
        <w:rPr>
          <w:rFonts w:ascii="Times New Roman" w:hAnsi="Times New Roman"/>
          <w:b/>
          <w:bCs/>
        </w:rPr>
      </w:pPr>
      <w:r>
        <w:rPr>
          <w:rFonts w:ascii="Times New Roman" w:hAnsi="Times New Roman"/>
          <w:b/>
          <w:bCs/>
        </w:rPr>
        <w:t>（2）分区防渗</w:t>
      </w:r>
    </w:p>
    <w:p>
      <w:pPr>
        <w:ind w:firstLine="480"/>
        <w:rPr>
          <w:rFonts w:ascii="Times New Roman" w:hAnsi="Times New Roman"/>
        </w:rPr>
      </w:pPr>
      <w:r>
        <w:rPr>
          <w:rFonts w:ascii="Times New Roman" w:hAnsi="Times New Roman"/>
        </w:rPr>
        <w:t>根据《环境影响评价技术导则-地下水环境》(HJ 610-2016)，已颁布污染控制国家标准或防渗技术规范的行业，水平防渗技术要求按照相应标准或规范执行。本项目防渗技术要求主要参照《石油化工工程防渗技术规范》(GBT 50934-2013)，对该项目各个建设工程单元可能泄漏污染物的地面需进行防渗处理，有效防止污染物渗入地下，并及时地将泄漏、渗漏的污染物收集并进行集中处理。根据各生产单元可能产生的污染物情况及构筑物的特征，将项目建设场地划分为重点污染防渗区、一般污染防渗区。</w:t>
      </w:r>
    </w:p>
    <w:p>
      <w:pPr>
        <w:ind w:firstLine="480"/>
        <w:rPr>
          <w:rFonts w:ascii="Times New Roman" w:hAnsi="Times New Roman"/>
        </w:rPr>
      </w:pPr>
      <w:r>
        <w:rPr>
          <w:rFonts w:ascii="Times New Roman" w:hAnsi="Times New Roman"/>
        </w:rPr>
        <w:t>重点污染防渗区：对地下水环境有污染的物料或污染物泄漏后，不能及时发现和处理的区域或部位。</w:t>
      </w:r>
    </w:p>
    <w:p>
      <w:pPr>
        <w:ind w:firstLine="480"/>
        <w:rPr>
          <w:rFonts w:ascii="Times New Roman" w:hAnsi="Times New Roman"/>
        </w:rPr>
      </w:pPr>
      <w:r>
        <w:rPr>
          <w:rFonts w:ascii="Times New Roman" w:hAnsi="Times New Roman"/>
        </w:rPr>
        <w:t>一般污染防渗区：对地下水环境有污染的物料或污染物泄漏后，可及时发现和处理的区域或部位。</w:t>
      </w:r>
    </w:p>
    <w:p>
      <w:pPr>
        <w:ind w:firstLine="480"/>
        <w:rPr>
          <w:rFonts w:ascii="Times New Roman" w:hAnsi="Times New Roman"/>
        </w:rPr>
      </w:pPr>
      <w:r>
        <w:rPr>
          <w:rFonts w:ascii="Times New Roman" w:hAnsi="Times New Roman"/>
        </w:rPr>
        <w:t>一般污染防渗区防渗层的防渗性能不低于1.5m厚渗透系数为1.0×10</w:t>
      </w:r>
      <w:r>
        <w:rPr>
          <w:rFonts w:ascii="Times New Roman" w:hAnsi="Times New Roman"/>
          <w:vertAlign w:val="superscript"/>
        </w:rPr>
        <w:t>-7</w:t>
      </w:r>
      <w:r>
        <w:rPr>
          <w:rFonts w:ascii="Times New Roman" w:hAnsi="Times New Roman"/>
        </w:rPr>
        <w:t>cm/s的黏土层的防渗性能，重点污染防渗区防渗层的防渗性能不低于6.0m厚渗透系数为1.0×10</w:t>
      </w:r>
      <w:r>
        <w:rPr>
          <w:rFonts w:ascii="Times New Roman" w:hAnsi="Times New Roman"/>
          <w:vertAlign w:val="superscript"/>
        </w:rPr>
        <w:t>-7</w:t>
      </w:r>
      <w:r>
        <w:rPr>
          <w:rFonts w:ascii="Times New Roman" w:hAnsi="Times New Roman"/>
        </w:rPr>
        <w:t>cm/s的黏土层的防渗性能。同时严格执行《中国石油天然气集团公司石油化工企业水污染应急防控技术指南》的相关规定，做好清污分流和三级防控措施，定期对厂区周围地下水环境进行监测和废水转运管道进行常规巡查，防止废水外溢、池体垮塌、废水渗漏和泄漏等环境污染事故。</w:t>
      </w:r>
    </w:p>
    <w:p>
      <w:pPr>
        <w:ind w:firstLine="480"/>
        <w:rPr>
          <w:rFonts w:ascii="Times New Roman" w:hAnsi="Times New Roman"/>
        </w:rPr>
      </w:pPr>
      <w:r>
        <w:rPr>
          <w:rFonts w:ascii="Times New Roman" w:hAnsi="Times New Roman"/>
        </w:rPr>
        <w:t>本项目重点防渗区为宣兴1井站、宣探1井站气田水罐区、抗硫放空分液罐装置区、柴油发电机装置区和宣探清管站抗硫放空分液罐装置区，防渗等效黏土防渗层Mb</w:t>
      </w:r>
      <w:r>
        <w:rPr>
          <w:rFonts w:hint="eastAsia" w:ascii="宋体" w:hAnsi="宋体" w:cs="宋体"/>
        </w:rPr>
        <w:t>≧</w:t>
      </w:r>
      <w:r>
        <w:rPr>
          <w:rFonts w:ascii="Times New Roman" w:hAnsi="Times New Roman"/>
        </w:rPr>
        <w:t>6.0m，K≤1×10</w:t>
      </w:r>
      <w:r>
        <w:rPr>
          <w:rFonts w:ascii="Times New Roman" w:hAnsi="Times New Roman"/>
          <w:vertAlign w:val="superscript"/>
        </w:rPr>
        <w:t>-7</w:t>
      </w:r>
      <w:r>
        <w:rPr>
          <w:rFonts w:ascii="Times New Roman" w:hAnsi="Times New Roman"/>
        </w:rPr>
        <w:t>cm/s。一般防渗区为宣兴1井站、宣探1井站放空区，宣探阀室和宣探清管站工艺装置区，防渗应满足等效黏土防渗层Mb</w:t>
      </w:r>
      <w:r>
        <w:rPr>
          <w:rFonts w:hint="eastAsia" w:ascii="宋体" w:hAnsi="宋体" w:cs="宋体"/>
        </w:rPr>
        <w:t>≧</w:t>
      </w:r>
      <w:r>
        <w:rPr>
          <w:rFonts w:ascii="Times New Roman" w:hAnsi="Times New Roman"/>
        </w:rPr>
        <w:t>1.5m，K≤1×10</w:t>
      </w:r>
      <w:r>
        <w:rPr>
          <w:rFonts w:ascii="Times New Roman" w:hAnsi="Times New Roman"/>
          <w:vertAlign w:val="superscript"/>
        </w:rPr>
        <w:t>-7</w:t>
      </w:r>
      <w:r>
        <w:rPr>
          <w:rFonts w:ascii="Times New Roman" w:hAnsi="Times New Roman"/>
        </w:rPr>
        <w:t>cm/s；其他区域为非防渗区。根据以上原则，本项目分区防渗方案见</w:t>
      </w:r>
      <w:r>
        <w:rPr>
          <w:rFonts w:ascii="Times New Roman" w:hAnsi="Times New Roman"/>
        </w:rPr>
        <w:fldChar w:fldCharType="begin"/>
      </w:r>
      <w:r>
        <w:rPr>
          <w:rFonts w:ascii="Times New Roman" w:hAnsi="Times New Roman"/>
        </w:rPr>
        <w:instrText xml:space="preserve"> REF _Ref157167704 \h  \* MERGEFORMAT </w:instrText>
      </w:r>
      <w:r>
        <w:rPr>
          <w:rFonts w:ascii="Times New Roman" w:hAnsi="Times New Roman"/>
        </w:rPr>
        <w:fldChar w:fldCharType="separate"/>
      </w:r>
      <w:r>
        <w:rPr>
          <w:rFonts w:ascii="Times New Roman" w:hAnsi="Times New Roman"/>
        </w:rPr>
        <w:t>表 9</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，地面防渗结构示意图见</w:t>
      </w:r>
      <w:r>
        <w:rPr>
          <w:rFonts w:ascii="Times New Roman" w:hAnsi="Times New Roman"/>
        </w:rPr>
        <w:fldChar w:fldCharType="begin"/>
      </w:r>
      <w:r>
        <w:rPr>
          <w:rFonts w:ascii="Times New Roman" w:hAnsi="Times New Roman"/>
        </w:rPr>
        <w:instrText xml:space="preserve"> REF _Ref157167286 \h  \* MERGEFORMAT </w:instrText>
      </w:r>
      <w:r>
        <w:rPr>
          <w:rFonts w:ascii="Times New Roman" w:hAnsi="Times New Roman"/>
        </w:rPr>
        <w:fldChar w:fldCharType="separate"/>
      </w:r>
      <w:r>
        <w:rPr>
          <w:rFonts w:ascii="Times New Roman" w:hAnsi="Times New Roman"/>
        </w:rPr>
        <w:t>图 9</w:t>
      </w:r>
      <w:r>
        <w:rPr>
          <w:rFonts w:ascii="Times New Roman" w:hAnsi="Times New Roman"/>
        </w:rPr>
        <w:noBreakHyphen/>
      </w:r>
      <w:r>
        <w:rPr>
          <w:rFonts w:ascii="Times New Roman" w:hAnsi="Times New Roman"/>
        </w:rPr>
        <w:t>3</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_Ref157167292 \h  \* MERGEFORMAT </w:instrText>
      </w:r>
      <w:r>
        <w:rPr>
          <w:rFonts w:ascii="Times New Roman" w:hAnsi="Times New Roman"/>
        </w:rPr>
        <w:fldChar w:fldCharType="separate"/>
      </w:r>
      <w:r>
        <w:rPr>
          <w:rFonts w:ascii="Times New Roman" w:hAnsi="Times New Roman"/>
        </w:rPr>
        <w:t>图 9</w:t>
      </w:r>
      <w:r>
        <w:rPr>
          <w:rFonts w:ascii="Times New Roman" w:hAnsi="Times New Roman"/>
        </w:rPr>
        <w:noBreakHyphen/>
      </w:r>
      <w:r>
        <w:rPr>
          <w:rFonts w:ascii="Times New Roman" w:hAnsi="Times New Roman"/>
        </w:rPr>
        <w:t>4</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394" w:name="_Ref157167704"/>
      <w:bookmarkStart w:id="395" w:name="_Hlk160551846"/>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bookmarkEnd w:id="394"/>
      <w:r>
        <w:rPr>
          <w:rFonts w:ascii="Times New Roman" w:hAnsi="Times New Roman" w:cs="Times New Roman"/>
        </w:rPr>
        <w:t xml:space="preserve">  本项目分区防渗方案</w:t>
      </w:r>
    </w:p>
    <w:tbl>
      <w:tblPr>
        <w:tblStyle w:val="28"/>
        <w:tblW w:w="4853"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132"/>
        <w:gridCol w:w="1401"/>
        <w:gridCol w:w="1574"/>
        <w:gridCol w:w="1917"/>
        <w:gridCol w:w="224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133" w:type="dxa"/>
            <w:vAlign w:val="center"/>
          </w:tcPr>
          <w:p>
            <w:pPr>
              <w:pStyle w:val="39"/>
              <w:rPr>
                <w:rFonts w:ascii="Times New Roman" w:hAnsi="Times New Roman"/>
              </w:rPr>
            </w:pPr>
            <w:r>
              <w:rPr>
                <w:rFonts w:ascii="Times New Roman" w:hAnsi="Times New Roman"/>
              </w:rPr>
              <w:t>污染防渗区类别</w:t>
            </w:r>
          </w:p>
        </w:tc>
        <w:tc>
          <w:tcPr>
            <w:tcW w:w="1402" w:type="dxa"/>
            <w:vAlign w:val="center"/>
          </w:tcPr>
          <w:p>
            <w:pPr>
              <w:pStyle w:val="39"/>
              <w:rPr>
                <w:rFonts w:ascii="Times New Roman" w:hAnsi="Times New Roman"/>
              </w:rPr>
            </w:pPr>
            <w:r>
              <w:rPr>
                <w:rFonts w:ascii="Times New Roman" w:hAnsi="Times New Roman"/>
              </w:rPr>
              <w:t>防渗性能</w:t>
            </w:r>
          </w:p>
          <w:p>
            <w:pPr>
              <w:pStyle w:val="39"/>
              <w:rPr>
                <w:rFonts w:ascii="Times New Roman" w:hAnsi="Times New Roman"/>
              </w:rPr>
            </w:pPr>
            <w:r>
              <w:rPr>
                <w:rFonts w:ascii="Times New Roman" w:hAnsi="Times New Roman"/>
              </w:rPr>
              <w:t>要求</w:t>
            </w:r>
          </w:p>
        </w:tc>
        <w:tc>
          <w:tcPr>
            <w:tcW w:w="1575" w:type="dxa"/>
            <w:vAlign w:val="center"/>
          </w:tcPr>
          <w:p>
            <w:pPr>
              <w:pStyle w:val="39"/>
              <w:rPr>
                <w:rFonts w:ascii="Times New Roman" w:hAnsi="Times New Roman"/>
              </w:rPr>
            </w:pPr>
            <w:r>
              <w:rPr>
                <w:rFonts w:ascii="Times New Roman" w:hAnsi="Times New Roman"/>
              </w:rPr>
              <w:t>建设项目场地</w:t>
            </w:r>
          </w:p>
        </w:tc>
        <w:tc>
          <w:tcPr>
            <w:tcW w:w="1919" w:type="dxa"/>
            <w:vAlign w:val="center"/>
          </w:tcPr>
          <w:p>
            <w:pPr>
              <w:pStyle w:val="39"/>
              <w:rPr>
                <w:rFonts w:ascii="Times New Roman" w:hAnsi="Times New Roman"/>
              </w:rPr>
            </w:pPr>
            <w:r>
              <w:rPr>
                <w:rFonts w:ascii="Times New Roman" w:hAnsi="Times New Roman"/>
              </w:rPr>
              <w:t>装置、单元名称</w:t>
            </w:r>
          </w:p>
        </w:tc>
        <w:tc>
          <w:tcPr>
            <w:tcW w:w="2249" w:type="dxa"/>
            <w:vAlign w:val="center"/>
          </w:tcPr>
          <w:p>
            <w:pPr>
              <w:pStyle w:val="39"/>
              <w:rPr>
                <w:rFonts w:ascii="Times New Roman" w:hAnsi="Times New Roman"/>
              </w:rPr>
            </w:pPr>
            <w:r>
              <w:rPr>
                <w:rFonts w:ascii="Times New Roman" w:hAnsi="Times New Roman"/>
              </w:rPr>
              <w:t>污染防渗区域或部位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3" w:type="dxa"/>
            <w:vMerge w:val="restart"/>
            <w:vAlign w:val="center"/>
          </w:tcPr>
          <w:p>
            <w:pPr>
              <w:pStyle w:val="39"/>
              <w:rPr>
                <w:rFonts w:ascii="Times New Roman" w:hAnsi="Times New Roman"/>
              </w:rPr>
            </w:pPr>
            <w:r>
              <w:rPr>
                <w:rFonts w:ascii="Times New Roman" w:hAnsi="Times New Roman"/>
              </w:rPr>
              <w:t>重点污染防渗区</w:t>
            </w:r>
          </w:p>
        </w:tc>
        <w:tc>
          <w:tcPr>
            <w:tcW w:w="1402" w:type="dxa"/>
            <w:vMerge w:val="restart"/>
            <w:vAlign w:val="center"/>
          </w:tcPr>
          <w:p>
            <w:pPr>
              <w:pStyle w:val="39"/>
              <w:rPr>
                <w:rFonts w:ascii="Times New Roman" w:hAnsi="Times New Roman"/>
              </w:rPr>
            </w:pPr>
            <w:r>
              <w:rPr>
                <w:rFonts w:ascii="Times New Roman" w:hAnsi="Times New Roman"/>
              </w:rPr>
              <w:t>防渗性能不应低于6.0m厚渗透系数为1.0×10</w:t>
            </w:r>
            <w:r>
              <w:rPr>
                <w:rFonts w:ascii="Times New Roman" w:hAnsi="Times New Roman"/>
                <w:vertAlign w:val="superscript"/>
              </w:rPr>
              <w:t>-7</w:t>
            </w:r>
            <w:r>
              <w:rPr>
                <w:rFonts w:ascii="Times New Roman" w:hAnsi="Times New Roman"/>
              </w:rPr>
              <w:t>cm/s的黏土层的防渗性能</w:t>
            </w:r>
          </w:p>
        </w:tc>
        <w:tc>
          <w:tcPr>
            <w:tcW w:w="1575" w:type="dxa"/>
            <w:vMerge w:val="restart"/>
            <w:vAlign w:val="center"/>
          </w:tcPr>
          <w:p>
            <w:pPr>
              <w:pStyle w:val="39"/>
              <w:rPr>
                <w:rFonts w:ascii="Times New Roman" w:hAnsi="Times New Roman"/>
              </w:rPr>
            </w:pPr>
            <w:r>
              <w:rPr>
                <w:rFonts w:ascii="Times New Roman" w:hAnsi="Times New Roman"/>
              </w:rPr>
              <w:t>宣兴1井站</w:t>
            </w:r>
          </w:p>
          <w:p>
            <w:pPr>
              <w:pStyle w:val="39"/>
              <w:rPr>
                <w:rFonts w:ascii="Times New Roman" w:hAnsi="Times New Roman"/>
              </w:rPr>
            </w:pPr>
            <w:r>
              <w:rPr>
                <w:rFonts w:ascii="Times New Roman" w:hAnsi="Times New Roman"/>
              </w:rPr>
              <w:t>宣探1井站</w:t>
            </w:r>
          </w:p>
        </w:tc>
        <w:tc>
          <w:tcPr>
            <w:tcW w:w="1919" w:type="dxa"/>
            <w:vAlign w:val="center"/>
          </w:tcPr>
          <w:p>
            <w:pPr>
              <w:pStyle w:val="39"/>
              <w:rPr>
                <w:rFonts w:ascii="Times New Roman" w:hAnsi="Times New Roman"/>
              </w:rPr>
            </w:pPr>
            <w:r>
              <w:rPr>
                <w:rFonts w:ascii="Times New Roman" w:hAnsi="Times New Roman"/>
              </w:rPr>
              <w:t>气田水罐区</w:t>
            </w:r>
          </w:p>
        </w:tc>
        <w:tc>
          <w:tcPr>
            <w:tcW w:w="2249" w:type="dxa"/>
            <w:vAlign w:val="center"/>
          </w:tcPr>
          <w:p>
            <w:pPr>
              <w:pStyle w:val="39"/>
              <w:rPr>
                <w:rFonts w:ascii="Times New Roman" w:hAnsi="Times New Roman"/>
              </w:rPr>
            </w:pPr>
            <w:r>
              <w:rPr>
                <w:rFonts w:ascii="Times New Roman" w:hAnsi="Times New Roman"/>
              </w:rPr>
              <w:t>地面与围堰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3" w:type="dxa"/>
            <w:vMerge w:val="continue"/>
            <w:vAlign w:val="center"/>
          </w:tcPr>
          <w:p>
            <w:pPr>
              <w:pStyle w:val="39"/>
              <w:rPr>
                <w:rFonts w:ascii="Times New Roman" w:hAnsi="Times New Roman"/>
              </w:rPr>
            </w:pPr>
          </w:p>
        </w:tc>
        <w:tc>
          <w:tcPr>
            <w:tcW w:w="1402" w:type="dxa"/>
            <w:vMerge w:val="continue"/>
            <w:vAlign w:val="center"/>
          </w:tcPr>
          <w:p>
            <w:pPr>
              <w:pStyle w:val="39"/>
              <w:rPr>
                <w:rFonts w:ascii="Times New Roman" w:hAnsi="Times New Roman"/>
              </w:rPr>
            </w:pPr>
          </w:p>
        </w:tc>
        <w:tc>
          <w:tcPr>
            <w:tcW w:w="1575" w:type="dxa"/>
            <w:vMerge w:val="continue"/>
            <w:vAlign w:val="center"/>
          </w:tcPr>
          <w:p>
            <w:pPr>
              <w:pStyle w:val="39"/>
              <w:rPr>
                <w:rFonts w:ascii="Times New Roman" w:hAnsi="Times New Roman"/>
              </w:rPr>
            </w:pPr>
          </w:p>
        </w:tc>
        <w:tc>
          <w:tcPr>
            <w:tcW w:w="1919" w:type="dxa"/>
            <w:vAlign w:val="center"/>
          </w:tcPr>
          <w:p>
            <w:pPr>
              <w:pStyle w:val="39"/>
              <w:rPr>
                <w:rFonts w:ascii="Times New Roman" w:hAnsi="Times New Roman"/>
              </w:rPr>
            </w:pPr>
            <w:bookmarkStart w:id="396" w:name="_Hlk157111268"/>
            <w:r>
              <w:rPr>
                <w:rFonts w:ascii="Times New Roman" w:hAnsi="Times New Roman"/>
              </w:rPr>
              <w:t>抗硫放空分液罐</w:t>
            </w:r>
          </w:p>
          <w:p>
            <w:pPr>
              <w:pStyle w:val="39"/>
              <w:rPr>
                <w:rFonts w:ascii="Times New Roman" w:hAnsi="Times New Roman"/>
              </w:rPr>
            </w:pPr>
            <w:r>
              <w:rPr>
                <w:rFonts w:ascii="Times New Roman" w:hAnsi="Times New Roman"/>
              </w:rPr>
              <w:t>装置区</w:t>
            </w:r>
            <w:bookmarkEnd w:id="396"/>
          </w:p>
        </w:tc>
        <w:tc>
          <w:tcPr>
            <w:tcW w:w="2249" w:type="dxa"/>
            <w:vAlign w:val="center"/>
          </w:tcPr>
          <w:p>
            <w:pPr>
              <w:pStyle w:val="39"/>
              <w:rPr>
                <w:rFonts w:ascii="Times New Roman" w:hAnsi="Times New Roman"/>
              </w:rPr>
            </w:pPr>
            <w:r>
              <w:rPr>
                <w:rFonts w:ascii="Times New Roman" w:hAnsi="Times New Roman"/>
              </w:rPr>
              <w:t>地面</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3" w:type="dxa"/>
            <w:vMerge w:val="continue"/>
            <w:vAlign w:val="center"/>
          </w:tcPr>
          <w:p>
            <w:pPr>
              <w:pStyle w:val="39"/>
              <w:rPr>
                <w:rFonts w:ascii="Times New Roman" w:hAnsi="Times New Roman"/>
              </w:rPr>
            </w:pPr>
          </w:p>
        </w:tc>
        <w:tc>
          <w:tcPr>
            <w:tcW w:w="1402" w:type="dxa"/>
            <w:vMerge w:val="continue"/>
            <w:vAlign w:val="center"/>
          </w:tcPr>
          <w:p>
            <w:pPr>
              <w:pStyle w:val="39"/>
              <w:rPr>
                <w:rFonts w:ascii="Times New Roman" w:hAnsi="Times New Roman"/>
              </w:rPr>
            </w:pPr>
          </w:p>
        </w:tc>
        <w:tc>
          <w:tcPr>
            <w:tcW w:w="1575" w:type="dxa"/>
            <w:vMerge w:val="continue"/>
            <w:vAlign w:val="center"/>
          </w:tcPr>
          <w:p>
            <w:pPr>
              <w:pStyle w:val="39"/>
              <w:rPr>
                <w:rFonts w:ascii="Times New Roman" w:hAnsi="Times New Roman"/>
              </w:rPr>
            </w:pPr>
          </w:p>
        </w:tc>
        <w:tc>
          <w:tcPr>
            <w:tcW w:w="1919" w:type="dxa"/>
            <w:vAlign w:val="center"/>
          </w:tcPr>
          <w:p>
            <w:pPr>
              <w:pStyle w:val="39"/>
              <w:rPr>
                <w:rFonts w:ascii="Times New Roman" w:hAnsi="Times New Roman"/>
              </w:rPr>
            </w:pPr>
            <w:r>
              <w:rPr>
                <w:rFonts w:ascii="Times New Roman" w:hAnsi="Times New Roman"/>
              </w:rPr>
              <w:t>柴油发电机</w:t>
            </w:r>
          </w:p>
        </w:tc>
        <w:tc>
          <w:tcPr>
            <w:tcW w:w="2249" w:type="dxa"/>
            <w:vAlign w:val="center"/>
          </w:tcPr>
          <w:p>
            <w:pPr>
              <w:pStyle w:val="39"/>
              <w:rPr>
                <w:rFonts w:ascii="Times New Roman" w:hAnsi="Times New Roman"/>
              </w:rPr>
            </w:pPr>
            <w:r>
              <w:rPr>
                <w:rFonts w:ascii="Times New Roman" w:hAnsi="Times New Roman"/>
              </w:rPr>
              <w:t>地面</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3" w:type="dxa"/>
            <w:vMerge w:val="continue"/>
            <w:vAlign w:val="center"/>
          </w:tcPr>
          <w:p>
            <w:pPr>
              <w:pStyle w:val="39"/>
              <w:rPr>
                <w:rFonts w:ascii="Times New Roman" w:hAnsi="Times New Roman"/>
              </w:rPr>
            </w:pPr>
          </w:p>
        </w:tc>
        <w:tc>
          <w:tcPr>
            <w:tcW w:w="1402" w:type="dxa"/>
            <w:vMerge w:val="continue"/>
            <w:vAlign w:val="center"/>
          </w:tcPr>
          <w:p>
            <w:pPr>
              <w:pStyle w:val="39"/>
              <w:rPr>
                <w:rFonts w:ascii="Times New Roman" w:hAnsi="Times New Roman"/>
              </w:rPr>
            </w:pPr>
          </w:p>
        </w:tc>
        <w:tc>
          <w:tcPr>
            <w:tcW w:w="1575" w:type="dxa"/>
            <w:vAlign w:val="center"/>
          </w:tcPr>
          <w:p>
            <w:pPr>
              <w:pStyle w:val="39"/>
              <w:rPr>
                <w:rFonts w:ascii="Times New Roman" w:hAnsi="Times New Roman"/>
              </w:rPr>
            </w:pPr>
            <w:r>
              <w:rPr>
                <w:rFonts w:ascii="Times New Roman" w:hAnsi="Times New Roman"/>
              </w:rPr>
              <w:t>宣探清管站</w:t>
            </w:r>
          </w:p>
        </w:tc>
        <w:tc>
          <w:tcPr>
            <w:tcW w:w="1919" w:type="dxa"/>
            <w:vAlign w:val="center"/>
          </w:tcPr>
          <w:p>
            <w:pPr>
              <w:pStyle w:val="39"/>
              <w:rPr>
                <w:rFonts w:ascii="Times New Roman" w:hAnsi="Times New Roman"/>
              </w:rPr>
            </w:pPr>
            <w:r>
              <w:rPr>
                <w:rFonts w:ascii="Times New Roman" w:hAnsi="Times New Roman"/>
              </w:rPr>
              <w:t>抗硫放空分液罐</w:t>
            </w:r>
          </w:p>
          <w:p>
            <w:pPr>
              <w:pStyle w:val="39"/>
              <w:rPr>
                <w:rFonts w:ascii="Times New Roman" w:hAnsi="Times New Roman"/>
              </w:rPr>
            </w:pPr>
            <w:r>
              <w:rPr>
                <w:rFonts w:ascii="Times New Roman" w:hAnsi="Times New Roman"/>
              </w:rPr>
              <w:t>装置区</w:t>
            </w:r>
          </w:p>
        </w:tc>
        <w:tc>
          <w:tcPr>
            <w:tcW w:w="2249" w:type="dxa"/>
            <w:vAlign w:val="center"/>
          </w:tcPr>
          <w:p>
            <w:pPr>
              <w:pStyle w:val="39"/>
              <w:rPr>
                <w:rFonts w:ascii="Times New Roman" w:hAnsi="Times New Roman"/>
              </w:rPr>
            </w:pPr>
            <w:r>
              <w:rPr>
                <w:rFonts w:ascii="Times New Roman" w:hAnsi="Times New Roman"/>
              </w:rPr>
              <w:t>地面</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3" w:type="dxa"/>
            <w:vMerge w:val="restart"/>
            <w:vAlign w:val="center"/>
          </w:tcPr>
          <w:p>
            <w:pPr>
              <w:pStyle w:val="39"/>
              <w:rPr>
                <w:rFonts w:ascii="Times New Roman" w:hAnsi="Times New Roman"/>
              </w:rPr>
            </w:pPr>
            <w:r>
              <w:rPr>
                <w:rFonts w:ascii="Times New Roman" w:hAnsi="Times New Roman"/>
              </w:rPr>
              <w:t>一般污染防渗区</w:t>
            </w:r>
          </w:p>
        </w:tc>
        <w:tc>
          <w:tcPr>
            <w:tcW w:w="1402" w:type="dxa"/>
            <w:vMerge w:val="restart"/>
            <w:vAlign w:val="center"/>
          </w:tcPr>
          <w:p>
            <w:pPr>
              <w:pStyle w:val="39"/>
              <w:rPr>
                <w:rFonts w:ascii="Times New Roman" w:hAnsi="Times New Roman"/>
              </w:rPr>
            </w:pPr>
            <w:r>
              <w:rPr>
                <w:rFonts w:ascii="Times New Roman" w:hAnsi="Times New Roman"/>
              </w:rPr>
              <w:t>防渗性能不应低于1.5m厚渗透系数为1.0×10</w:t>
            </w:r>
            <w:r>
              <w:rPr>
                <w:rFonts w:ascii="Times New Roman" w:hAnsi="Times New Roman"/>
                <w:vertAlign w:val="superscript"/>
              </w:rPr>
              <w:t>-7</w:t>
            </w:r>
            <w:r>
              <w:rPr>
                <w:rFonts w:ascii="Times New Roman" w:hAnsi="Times New Roman"/>
              </w:rPr>
              <w:t>cm/s的黏土层的防渗性能</w:t>
            </w:r>
          </w:p>
        </w:tc>
        <w:tc>
          <w:tcPr>
            <w:tcW w:w="1575" w:type="dxa"/>
            <w:vAlign w:val="center"/>
          </w:tcPr>
          <w:p>
            <w:pPr>
              <w:pStyle w:val="39"/>
              <w:rPr>
                <w:rFonts w:ascii="Times New Roman" w:hAnsi="Times New Roman"/>
              </w:rPr>
            </w:pPr>
            <w:r>
              <w:rPr>
                <w:rFonts w:ascii="Times New Roman" w:hAnsi="Times New Roman"/>
              </w:rPr>
              <w:t>宣兴1井站</w:t>
            </w:r>
          </w:p>
          <w:p>
            <w:pPr>
              <w:pStyle w:val="39"/>
              <w:rPr>
                <w:rFonts w:ascii="Times New Roman" w:hAnsi="Times New Roman"/>
              </w:rPr>
            </w:pPr>
            <w:r>
              <w:rPr>
                <w:rFonts w:ascii="Times New Roman" w:hAnsi="Times New Roman"/>
              </w:rPr>
              <w:t>宣探1井站</w:t>
            </w:r>
          </w:p>
        </w:tc>
        <w:tc>
          <w:tcPr>
            <w:tcW w:w="1919" w:type="dxa"/>
            <w:vAlign w:val="center"/>
          </w:tcPr>
          <w:p>
            <w:pPr>
              <w:pStyle w:val="39"/>
              <w:rPr>
                <w:rFonts w:ascii="Times New Roman" w:hAnsi="Times New Roman"/>
              </w:rPr>
            </w:pPr>
            <w:r>
              <w:rPr>
                <w:rFonts w:ascii="Times New Roman" w:hAnsi="Times New Roman"/>
              </w:rPr>
              <w:t>放空区</w:t>
            </w:r>
          </w:p>
        </w:tc>
        <w:tc>
          <w:tcPr>
            <w:tcW w:w="2249" w:type="dxa"/>
            <w:vAlign w:val="center"/>
          </w:tcPr>
          <w:p>
            <w:pPr>
              <w:pStyle w:val="39"/>
              <w:rPr>
                <w:rFonts w:ascii="Times New Roman" w:hAnsi="Times New Roman"/>
              </w:rPr>
            </w:pPr>
            <w:r>
              <w:rPr>
                <w:rFonts w:ascii="Times New Roman" w:hAnsi="Times New Roman"/>
              </w:rPr>
              <w:t>装置区的地面</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3" w:type="dxa"/>
            <w:vMerge w:val="continue"/>
            <w:vAlign w:val="center"/>
          </w:tcPr>
          <w:p>
            <w:pPr>
              <w:pStyle w:val="39"/>
              <w:rPr>
                <w:rFonts w:ascii="Times New Roman" w:hAnsi="Times New Roman"/>
              </w:rPr>
            </w:pPr>
          </w:p>
        </w:tc>
        <w:tc>
          <w:tcPr>
            <w:tcW w:w="1402" w:type="dxa"/>
            <w:vMerge w:val="continue"/>
            <w:vAlign w:val="center"/>
          </w:tcPr>
          <w:p>
            <w:pPr>
              <w:pStyle w:val="39"/>
              <w:rPr>
                <w:rFonts w:ascii="Times New Roman" w:hAnsi="Times New Roman"/>
              </w:rPr>
            </w:pPr>
          </w:p>
        </w:tc>
        <w:tc>
          <w:tcPr>
            <w:tcW w:w="1575" w:type="dxa"/>
            <w:vAlign w:val="center"/>
          </w:tcPr>
          <w:p>
            <w:pPr>
              <w:pStyle w:val="39"/>
              <w:rPr>
                <w:rFonts w:ascii="Times New Roman" w:hAnsi="Times New Roman"/>
              </w:rPr>
            </w:pPr>
            <w:r>
              <w:rPr>
                <w:rFonts w:ascii="Times New Roman" w:hAnsi="Times New Roman"/>
              </w:rPr>
              <w:t>宣探阀室</w:t>
            </w:r>
          </w:p>
        </w:tc>
        <w:tc>
          <w:tcPr>
            <w:tcW w:w="1919" w:type="dxa"/>
            <w:vAlign w:val="center"/>
          </w:tcPr>
          <w:p>
            <w:pPr>
              <w:pStyle w:val="39"/>
              <w:rPr>
                <w:rFonts w:ascii="Times New Roman" w:hAnsi="Times New Roman"/>
              </w:rPr>
            </w:pPr>
            <w:r>
              <w:rPr>
                <w:rFonts w:ascii="Times New Roman" w:hAnsi="Times New Roman"/>
              </w:rPr>
              <w:t>工艺装置区</w:t>
            </w:r>
          </w:p>
        </w:tc>
        <w:tc>
          <w:tcPr>
            <w:tcW w:w="2249" w:type="dxa"/>
            <w:vAlign w:val="center"/>
          </w:tcPr>
          <w:p>
            <w:pPr>
              <w:pStyle w:val="39"/>
              <w:rPr>
                <w:rFonts w:ascii="Times New Roman" w:hAnsi="Times New Roman"/>
              </w:rPr>
            </w:pPr>
            <w:r>
              <w:rPr>
                <w:rFonts w:ascii="Times New Roman" w:hAnsi="Times New Roman"/>
              </w:rPr>
              <w:t>地面</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3" w:type="dxa"/>
            <w:vMerge w:val="continue"/>
            <w:vAlign w:val="center"/>
          </w:tcPr>
          <w:p>
            <w:pPr>
              <w:pStyle w:val="39"/>
              <w:rPr>
                <w:rFonts w:ascii="Times New Roman" w:hAnsi="Times New Roman"/>
              </w:rPr>
            </w:pPr>
          </w:p>
        </w:tc>
        <w:tc>
          <w:tcPr>
            <w:tcW w:w="1402" w:type="dxa"/>
            <w:vMerge w:val="continue"/>
            <w:vAlign w:val="center"/>
          </w:tcPr>
          <w:p>
            <w:pPr>
              <w:pStyle w:val="39"/>
              <w:rPr>
                <w:rFonts w:ascii="Times New Roman" w:hAnsi="Times New Roman"/>
              </w:rPr>
            </w:pPr>
          </w:p>
        </w:tc>
        <w:tc>
          <w:tcPr>
            <w:tcW w:w="1575" w:type="dxa"/>
            <w:vAlign w:val="center"/>
          </w:tcPr>
          <w:p>
            <w:pPr>
              <w:pStyle w:val="39"/>
              <w:rPr>
                <w:rFonts w:ascii="Times New Roman" w:hAnsi="Times New Roman"/>
              </w:rPr>
            </w:pPr>
            <w:r>
              <w:rPr>
                <w:rFonts w:ascii="Times New Roman" w:hAnsi="Times New Roman"/>
              </w:rPr>
              <w:t>宣探清管站</w:t>
            </w:r>
          </w:p>
        </w:tc>
        <w:tc>
          <w:tcPr>
            <w:tcW w:w="1919" w:type="dxa"/>
            <w:vAlign w:val="center"/>
          </w:tcPr>
          <w:p>
            <w:pPr>
              <w:pStyle w:val="39"/>
              <w:rPr>
                <w:rFonts w:ascii="Times New Roman" w:hAnsi="Times New Roman"/>
              </w:rPr>
            </w:pPr>
            <w:r>
              <w:rPr>
                <w:rFonts w:ascii="Times New Roman" w:hAnsi="Times New Roman"/>
              </w:rPr>
              <w:t>工艺装置区</w:t>
            </w:r>
          </w:p>
        </w:tc>
        <w:tc>
          <w:tcPr>
            <w:tcW w:w="2249" w:type="dxa"/>
            <w:vAlign w:val="center"/>
          </w:tcPr>
          <w:p>
            <w:pPr>
              <w:pStyle w:val="39"/>
              <w:rPr>
                <w:rFonts w:ascii="Times New Roman" w:hAnsi="Times New Roman"/>
              </w:rPr>
            </w:pPr>
            <w:r>
              <w:rPr>
                <w:rFonts w:ascii="Times New Roman" w:hAnsi="Times New Roman"/>
              </w:rPr>
              <w:t>地面</w:t>
            </w:r>
          </w:p>
        </w:tc>
      </w:tr>
      <w:bookmarkEnd w:id="395"/>
    </w:tbl>
    <w:p>
      <w:pPr>
        <w:ind w:firstLine="480"/>
        <w:rPr>
          <w:rFonts w:ascii="Times New Roman" w:hAnsi="Times New Roman"/>
        </w:rPr>
      </w:pPr>
    </w:p>
    <w:p>
      <w:pPr>
        <w:ind w:firstLine="0" w:firstLineChars="0"/>
        <w:jc w:val="center"/>
        <w:rPr>
          <w:rFonts w:ascii="Times New Roman" w:hAnsi="Times New Roman"/>
        </w:rPr>
      </w:pPr>
      <w:r>
        <w:rPr>
          <w:rFonts w:ascii="Times New Roman" w:hAnsi="Times New Roman"/>
        </w:rPr>
        <w:drawing>
          <wp:inline distT="0" distB="0" distL="0" distR="0">
            <wp:extent cx="4166235" cy="2931160"/>
            <wp:effectExtent l="0" t="0" r="5715" b="2540"/>
            <wp:docPr id="50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47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a:xfrm>
                      <a:off x="0" y="0"/>
                      <a:ext cx="4171580" cy="2934943"/>
                    </a:xfrm>
                    <a:prstGeom prst="rect">
                      <a:avLst/>
                    </a:prstGeom>
                    <a:noFill/>
                    <a:ln>
                      <a:noFill/>
                    </a:ln>
                  </pic:spPr>
                </pic:pic>
              </a:graphicData>
            </a:graphic>
          </wp:inline>
        </w:drawing>
      </w:r>
    </w:p>
    <w:p>
      <w:pPr>
        <w:pStyle w:val="37"/>
        <w:rPr>
          <w:rFonts w:ascii="Times New Roman" w:hAnsi="Times New Roman" w:cs="Times New Roman"/>
        </w:rPr>
      </w:pPr>
      <w:bookmarkStart w:id="397" w:name="_Ref157167286"/>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bookmarkEnd w:id="397"/>
      <w:r>
        <w:rPr>
          <w:rFonts w:ascii="Times New Roman" w:hAnsi="Times New Roman" w:cs="Times New Roman"/>
        </w:rPr>
        <w:t xml:space="preserve">  重点防渗区地面防渗结构示意图</w:t>
      </w:r>
    </w:p>
    <w:p>
      <w:pPr>
        <w:ind w:firstLine="480"/>
        <w:rPr>
          <w:rFonts w:ascii="Times New Roman" w:hAnsi="Times New Roman"/>
        </w:rPr>
      </w:pPr>
      <w:r>
        <w:rPr>
          <w:rFonts w:ascii="Times New Roman" w:hAnsi="Times New Roman"/>
          <w:szCs w:val="22"/>
        </w:rPr>
        <w:drawing>
          <wp:inline distT="0" distB="0" distL="0" distR="0">
            <wp:extent cx="5140960" cy="3021330"/>
            <wp:effectExtent l="0" t="0" r="2540" b="7620"/>
            <wp:docPr id="50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47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a:xfrm>
                      <a:off x="0" y="0"/>
                      <a:ext cx="5145265" cy="3023744"/>
                    </a:xfrm>
                    <a:prstGeom prst="rect">
                      <a:avLst/>
                    </a:prstGeom>
                    <a:noFill/>
                    <a:ln>
                      <a:noFill/>
                    </a:ln>
                  </pic:spPr>
                </pic:pic>
              </a:graphicData>
            </a:graphic>
          </wp:inline>
        </w:drawing>
      </w:r>
      <w:r>
        <w:rPr>
          <w:rFonts w:ascii="Times New Roman" w:hAnsi="Times New Roman"/>
        </w:rPr>
        <w:t xml:space="preserve">  </w:t>
      </w:r>
    </w:p>
    <w:p>
      <w:pPr>
        <w:pStyle w:val="37"/>
        <w:rPr>
          <w:rFonts w:ascii="Times New Roman" w:hAnsi="Times New Roman" w:cs="Times New Roman"/>
        </w:rPr>
      </w:pPr>
      <w:bookmarkStart w:id="398" w:name="_Ref157167292"/>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bookmarkEnd w:id="398"/>
      <w:r>
        <w:rPr>
          <w:rFonts w:ascii="Times New Roman" w:hAnsi="Times New Roman" w:cs="Times New Roman"/>
        </w:rPr>
        <w:t xml:space="preserve">  一般污染区防渗结构示意图</w:t>
      </w:r>
    </w:p>
    <w:p>
      <w:pPr>
        <w:ind w:firstLine="482"/>
        <w:rPr>
          <w:rFonts w:ascii="Times New Roman" w:hAnsi="Times New Roman"/>
          <w:b/>
          <w:bCs/>
        </w:rPr>
      </w:pPr>
      <w:r>
        <w:rPr>
          <w:rFonts w:ascii="Times New Roman" w:hAnsi="Times New Roman"/>
          <w:b/>
          <w:bCs/>
        </w:rPr>
        <w:t>（3）地下水环境跟踪监测</w:t>
      </w:r>
    </w:p>
    <w:p>
      <w:pPr>
        <w:ind w:firstLine="480"/>
        <w:rPr>
          <w:rFonts w:ascii="Times New Roman" w:hAnsi="Times New Roman"/>
        </w:rPr>
      </w:pPr>
      <w:r>
        <w:rPr>
          <w:rFonts w:ascii="Times New Roman" w:hAnsi="Times New Roman"/>
        </w:rPr>
        <w:t>为了及时准确地掌握厂区周围地下水环境质量状况和地下水体中污染物的动态变化，应对项目区域地下水环境质量进行长期监测。利用现有监测井对生产场地下游地下水环境进行监测。</w:t>
      </w:r>
    </w:p>
    <w:p>
      <w:pPr>
        <w:ind w:firstLine="480"/>
        <w:rPr>
          <w:rFonts w:ascii="Times New Roman" w:hAnsi="Times New Roman"/>
        </w:rPr>
      </w:pPr>
      <w:r>
        <w:rPr>
          <w:rFonts w:ascii="Times New Roman" w:hAnsi="Times New Roman"/>
        </w:rPr>
        <w:t>1）地下水跟踪监测原则</w:t>
      </w:r>
    </w:p>
    <w:p>
      <w:pPr>
        <w:ind w:firstLine="480"/>
        <w:rPr>
          <w:rFonts w:ascii="Times New Roman" w:hAnsi="Times New Roman"/>
        </w:rPr>
      </w:pPr>
      <w:r>
        <w:rPr>
          <w:rFonts w:ascii="Times New Roman" w:hAnsi="Times New Roman"/>
        </w:rPr>
        <w:t>A、以易受污染浅层地下水 (潜水)监测为主；</w:t>
      </w:r>
    </w:p>
    <w:p>
      <w:pPr>
        <w:ind w:firstLine="480"/>
        <w:rPr>
          <w:rFonts w:ascii="Times New Roman" w:hAnsi="Times New Roman"/>
        </w:rPr>
      </w:pPr>
      <w:r>
        <w:rPr>
          <w:rFonts w:ascii="Times New Roman" w:hAnsi="Times New Roman"/>
        </w:rPr>
        <w:t>B、上、下游同步对比监测原则；</w:t>
      </w:r>
    </w:p>
    <w:p>
      <w:pPr>
        <w:ind w:firstLine="480"/>
        <w:rPr>
          <w:rFonts w:ascii="Times New Roman" w:hAnsi="Times New Roman"/>
        </w:rPr>
      </w:pPr>
      <w:r>
        <w:rPr>
          <w:rFonts w:ascii="Times New Roman" w:hAnsi="Times New Roman"/>
        </w:rPr>
        <w:t>C、水质监测项目参照《地下水质量标准》相关要求和潜在污染源特征污染因子确定，各监测井可依据监测目的的不同适当增加和减少监测项目。</w:t>
      </w:r>
    </w:p>
    <w:p>
      <w:pPr>
        <w:ind w:firstLine="480"/>
        <w:rPr>
          <w:rFonts w:ascii="Times New Roman" w:hAnsi="Times New Roman"/>
        </w:rPr>
      </w:pPr>
      <w:r>
        <w:rPr>
          <w:rFonts w:ascii="Times New Roman" w:hAnsi="Times New Roman"/>
        </w:rPr>
        <w:t>2）跟踪监测井布置</w:t>
      </w:r>
    </w:p>
    <w:p>
      <w:pPr>
        <w:ind w:firstLine="480"/>
        <w:rPr>
          <w:rFonts w:ascii="Times New Roman" w:hAnsi="Times New Roman"/>
        </w:rPr>
      </w:pPr>
      <w:r>
        <w:rPr>
          <w:rFonts w:ascii="Times New Roman" w:hAnsi="Times New Roman"/>
        </w:rPr>
        <w:t>依据地下水监测原则，参照《排污单位自行监测技术指南 陆上石油天然气开采工业》（HJ 1248-2022）、《地下水环境监测技术规范》(HJ164-2020)、《地下水管理条例》（中华人民共和国国务院令 第748号）相关要求，结合评价区水文地质条件、场地周边地下水环境保护目标分布、地下水模拟预测结果，在项目周边共布设4个地下水跟踪监测点，重点监测地下水流向下游保护目标，监测指标为：石油类、汞、砷、六价铬。地下水监测点信息等详见</w:t>
      </w:r>
      <w:r>
        <w:rPr>
          <w:rFonts w:ascii="Times New Roman" w:hAnsi="Times New Roman"/>
        </w:rPr>
        <w:fldChar w:fldCharType="begin"/>
      </w:r>
      <w:r>
        <w:rPr>
          <w:rFonts w:ascii="Times New Roman" w:hAnsi="Times New Roman"/>
        </w:rPr>
        <w:instrText xml:space="preserve"> REF _Ref157935031 \h  \* MERGEFORMAT </w:instrText>
      </w:r>
      <w:r>
        <w:rPr>
          <w:rFonts w:ascii="Times New Roman" w:hAnsi="Times New Roman"/>
        </w:rPr>
        <w:fldChar w:fldCharType="separate"/>
      </w:r>
      <w:r>
        <w:rPr>
          <w:rFonts w:ascii="Times New Roman" w:hAnsi="Times New Roman"/>
        </w:rPr>
        <w:t>表 9</w:t>
      </w:r>
      <w:r>
        <w:rPr>
          <w:rFonts w:ascii="Times New Roman" w:hAnsi="Times New Roman"/>
        </w:rPr>
        <w:noBreakHyphen/>
      </w:r>
      <w:r>
        <w:rPr>
          <w:rFonts w:ascii="Times New Roman" w:hAnsi="Times New Roman"/>
        </w:rPr>
        <w:t>2</w:t>
      </w:r>
      <w:r>
        <w:rPr>
          <w:rFonts w:ascii="Times New Roman" w:hAnsi="Times New Roman"/>
        </w:rPr>
        <w:fldChar w:fldCharType="end"/>
      </w:r>
      <w:r>
        <w:rPr>
          <w:rFonts w:ascii="Times New Roman" w:hAnsi="Times New Roman"/>
        </w:rPr>
        <w:t>，跟踪监测点分布图见下</w:t>
      </w:r>
      <w:r>
        <w:rPr>
          <w:rFonts w:ascii="Times New Roman" w:hAnsi="Times New Roman"/>
        </w:rPr>
        <w:fldChar w:fldCharType="begin"/>
      </w:r>
      <w:r>
        <w:rPr>
          <w:rFonts w:ascii="Times New Roman" w:hAnsi="Times New Roman"/>
        </w:rPr>
        <w:instrText xml:space="preserve"> REF _Ref157950083 \h  \* MERGEFORMAT </w:instrText>
      </w:r>
      <w:r>
        <w:rPr>
          <w:rFonts w:ascii="Times New Roman" w:hAnsi="Times New Roman"/>
        </w:rPr>
        <w:fldChar w:fldCharType="separate"/>
      </w:r>
      <w:r>
        <w:rPr>
          <w:rFonts w:ascii="Times New Roman" w:hAnsi="Times New Roman"/>
        </w:rPr>
        <w:t>图 9</w:t>
      </w:r>
      <w:r>
        <w:rPr>
          <w:rFonts w:ascii="Times New Roman" w:hAnsi="Times New Roman"/>
        </w:rPr>
        <w:noBreakHyphen/>
      </w:r>
      <w:r>
        <w:rPr>
          <w:rFonts w:ascii="Times New Roman" w:hAnsi="Times New Roman"/>
        </w:rPr>
        <w:t>5</w:t>
      </w:r>
      <w:r>
        <w:rPr>
          <w:rFonts w:ascii="Times New Roman" w:hAnsi="Times New Roman"/>
        </w:rPr>
        <w:fldChar w:fldCharType="end"/>
      </w:r>
      <w:r>
        <w:rPr>
          <w:rFonts w:ascii="Times New Roman" w:hAnsi="Times New Roman"/>
        </w:rPr>
        <w:t>（附图47）。</w:t>
      </w:r>
    </w:p>
    <w:p>
      <w:pPr>
        <w:pStyle w:val="37"/>
        <w:rPr>
          <w:rFonts w:ascii="Times New Roman" w:hAnsi="Times New Roman" w:cs="Times New Roman"/>
        </w:rPr>
      </w:pPr>
      <w:bookmarkStart w:id="399" w:name="_Ref157935031"/>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bookmarkEnd w:id="399"/>
      <w:r>
        <w:rPr>
          <w:rFonts w:ascii="Times New Roman" w:hAnsi="Times New Roman" w:cs="Times New Roman"/>
        </w:rPr>
        <w:t xml:space="preserve">  地下水监测井布置情况表</w:t>
      </w:r>
    </w:p>
    <w:tbl>
      <w:tblPr>
        <w:tblStyle w:val="28"/>
        <w:tblW w:w="98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6"/>
        <w:gridCol w:w="2264"/>
        <w:gridCol w:w="1275"/>
        <w:gridCol w:w="1848"/>
        <w:gridCol w:w="1848"/>
        <w:gridCol w:w="1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856" w:type="dxa"/>
            <w:shd w:val="clear" w:color="auto" w:fill="auto"/>
            <w:vAlign w:val="center"/>
          </w:tcPr>
          <w:p>
            <w:pPr>
              <w:pStyle w:val="39"/>
              <w:rPr>
                <w:rFonts w:ascii="Times New Roman" w:hAnsi="Times New Roman"/>
              </w:rPr>
            </w:pPr>
            <w:r>
              <w:rPr>
                <w:rFonts w:ascii="Times New Roman" w:hAnsi="Times New Roman"/>
              </w:rPr>
              <w:t>编号</w:t>
            </w:r>
          </w:p>
        </w:tc>
        <w:tc>
          <w:tcPr>
            <w:tcW w:w="2264" w:type="dxa"/>
            <w:shd w:val="clear" w:color="auto" w:fill="auto"/>
            <w:vAlign w:val="center"/>
          </w:tcPr>
          <w:p>
            <w:pPr>
              <w:pStyle w:val="39"/>
              <w:rPr>
                <w:rFonts w:ascii="Times New Roman" w:hAnsi="Times New Roman"/>
              </w:rPr>
            </w:pPr>
            <w:r>
              <w:rPr>
                <w:rFonts w:ascii="Times New Roman" w:hAnsi="Times New Roman"/>
              </w:rPr>
              <w:t>位置</w:t>
            </w:r>
          </w:p>
        </w:tc>
        <w:tc>
          <w:tcPr>
            <w:tcW w:w="1275" w:type="dxa"/>
            <w:shd w:val="clear" w:color="auto" w:fill="auto"/>
            <w:vAlign w:val="center"/>
          </w:tcPr>
          <w:p>
            <w:pPr>
              <w:pStyle w:val="39"/>
              <w:rPr>
                <w:rFonts w:ascii="Times New Roman" w:hAnsi="Times New Roman"/>
              </w:rPr>
            </w:pPr>
            <w:r>
              <w:rPr>
                <w:rFonts w:ascii="Times New Roman" w:hAnsi="Times New Roman"/>
              </w:rPr>
              <w:t>监测频率</w:t>
            </w:r>
          </w:p>
        </w:tc>
        <w:tc>
          <w:tcPr>
            <w:tcW w:w="1848" w:type="dxa"/>
            <w:vAlign w:val="center"/>
          </w:tcPr>
          <w:p>
            <w:pPr>
              <w:pStyle w:val="39"/>
              <w:rPr>
                <w:rFonts w:ascii="Times New Roman" w:hAnsi="Times New Roman"/>
              </w:rPr>
            </w:pPr>
            <w:r>
              <w:rPr>
                <w:rFonts w:ascii="Times New Roman" w:hAnsi="Times New Roman"/>
              </w:rPr>
              <w:t>监测层位</w:t>
            </w:r>
          </w:p>
        </w:tc>
        <w:tc>
          <w:tcPr>
            <w:tcW w:w="1848" w:type="dxa"/>
            <w:shd w:val="clear" w:color="auto" w:fill="auto"/>
            <w:vAlign w:val="center"/>
          </w:tcPr>
          <w:p>
            <w:pPr>
              <w:pStyle w:val="39"/>
              <w:rPr>
                <w:rFonts w:ascii="Times New Roman" w:hAnsi="Times New Roman"/>
              </w:rPr>
            </w:pPr>
            <w:r>
              <w:rPr>
                <w:rFonts w:ascii="Times New Roman" w:hAnsi="Times New Roman"/>
              </w:rPr>
              <w:t>监测因子</w:t>
            </w:r>
          </w:p>
        </w:tc>
        <w:tc>
          <w:tcPr>
            <w:tcW w:w="1787" w:type="dxa"/>
            <w:shd w:val="clear" w:color="auto" w:fill="auto"/>
            <w:vAlign w:val="center"/>
          </w:tcPr>
          <w:p>
            <w:pPr>
              <w:pStyle w:val="39"/>
              <w:rPr>
                <w:rFonts w:ascii="Times New Roman" w:hAnsi="Times New Roman"/>
              </w:rPr>
            </w:pPr>
            <w:r>
              <w:rPr>
                <w:rFonts w:ascii="Times New Roman" w:hAnsi="Times New Roman"/>
              </w:rPr>
              <w:t>监测目的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856" w:type="dxa"/>
            <w:vMerge w:val="restart"/>
            <w:shd w:val="clear" w:color="auto" w:fill="auto"/>
            <w:vAlign w:val="center"/>
          </w:tcPr>
          <w:p>
            <w:pPr>
              <w:pStyle w:val="39"/>
              <w:rPr>
                <w:rFonts w:ascii="Times New Roman" w:hAnsi="Times New Roman"/>
              </w:rPr>
            </w:pPr>
            <w:r>
              <w:rPr>
                <w:rFonts w:ascii="Times New Roman" w:hAnsi="Times New Roman"/>
              </w:rPr>
              <w:t>MW1</w:t>
            </w:r>
          </w:p>
          <w:p>
            <w:pPr>
              <w:pStyle w:val="39"/>
              <w:rPr>
                <w:rFonts w:ascii="Times New Roman" w:hAnsi="Times New Roman"/>
              </w:rPr>
            </w:pPr>
            <w:r>
              <w:rPr>
                <w:rFonts w:ascii="Times New Roman" w:hAnsi="Times New Roman"/>
              </w:rPr>
              <w:t>（新建井）</w:t>
            </w:r>
          </w:p>
        </w:tc>
        <w:tc>
          <w:tcPr>
            <w:tcW w:w="2264" w:type="dxa"/>
            <w:shd w:val="clear" w:color="auto" w:fill="auto"/>
            <w:vAlign w:val="center"/>
          </w:tcPr>
          <w:p>
            <w:pPr>
              <w:pStyle w:val="39"/>
              <w:rPr>
                <w:rFonts w:ascii="Times New Roman" w:hAnsi="Times New Roman"/>
              </w:rPr>
            </w:pPr>
            <w:r>
              <w:rPr>
                <w:rFonts w:ascii="Times New Roman" w:hAnsi="Times New Roman"/>
              </w:rPr>
              <w:t>宣探1井站</w:t>
            </w:r>
          </w:p>
          <w:p>
            <w:pPr>
              <w:pStyle w:val="39"/>
              <w:rPr>
                <w:rFonts w:ascii="Times New Roman" w:hAnsi="Times New Roman"/>
              </w:rPr>
            </w:pPr>
            <w:r>
              <w:rPr>
                <w:rFonts w:ascii="Times New Roman" w:hAnsi="Times New Roman"/>
              </w:rPr>
              <w:t>北侧下游</w:t>
            </w:r>
          </w:p>
        </w:tc>
        <w:tc>
          <w:tcPr>
            <w:tcW w:w="1275" w:type="dxa"/>
            <w:vMerge w:val="restart"/>
            <w:shd w:val="clear" w:color="auto" w:fill="auto"/>
            <w:vAlign w:val="center"/>
          </w:tcPr>
          <w:p>
            <w:pPr>
              <w:pStyle w:val="39"/>
              <w:rPr>
                <w:rFonts w:ascii="Times New Roman" w:hAnsi="Times New Roman"/>
              </w:rPr>
            </w:pPr>
            <w:r>
              <w:rPr>
                <w:rFonts w:ascii="Times New Roman" w:hAnsi="Times New Roman"/>
              </w:rPr>
              <w:t>1次/年</w:t>
            </w:r>
          </w:p>
        </w:tc>
        <w:tc>
          <w:tcPr>
            <w:tcW w:w="1848" w:type="dxa"/>
            <w:vMerge w:val="restart"/>
            <w:vAlign w:val="center"/>
          </w:tcPr>
          <w:p>
            <w:pPr>
              <w:pStyle w:val="39"/>
              <w:rPr>
                <w:rFonts w:ascii="Times New Roman" w:hAnsi="Times New Roman"/>
              </w:rPr>
            </w:pPr>
            <w:r>
              <w:rPr>
                <w:rFonts w:ascii="Times New Roman" w:hAnsi="Times New Roman"/>
              </w:rPr>
              <w:t>基岩裂隙含水层（潜水）</w:t>
            </w:r>
          </w:p>
        </w:tc>
        <w:tc>
          <w:tcPr>
            <w:tcW w:w="1848" w:type="dxa"/>
            <w:vMerge w:val="restart"/>
            <w:shd w:val="clear" w:color="auto" w:fill="auto"/>
            <w:vAlign w:val="center"/>
          </w:tcPr>
          <w:p>
            <w:pPr>
              <w:pStyle w:val="39"/>
              <w:rPr>
                <w:rFonts w:ascii="Times New Roman" w:hAnsi="Times New Roman"/>
              </w:rPr>
            </w:pPr>
            <w:r>
              <w:rPr>
                <w:rFonts w:ascii="Times New Roman" w:hAnsi="Times New Roman"/>
              </w:rPr>
              <w:t>石油类、汞、砷、六价铬</w:t>
            </w:r>
          </w:p>
        </w:tc>
        <w:tc>
          <w:tcPr>
            <w:tcW w:w="1787" w:type="dxa"/>
            <w:vMerge w:val="restart"/>
            <w:shd w:val="clear" w:color="auto" w:fill="auto"/>
            <w:vAlign w:val="center"/>
          </w:tcPr>
          <w:p>
            <w:pPr>
              <w:pStyle w:val="39"/>
              <w:rPr>
                <w:rFonts w:ascii="Times New Roman" w:hAnsi="Times New Roman"/>
              </w:rPr>
            </w:pPr>
            <w:r>
              <w:rPr>
                <w:rFonts w:ascii="Times New Roman" w:hAnsi="Times New Roman"/>
              </w:rPr>
              <w:t>监测场地下游区地下水环境现状，并作为事故应急抽水井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856" w:type="dxa"/>
            <w:vMerge w:val="continue"/>
            <w:shd w:val="clear" w:color="auto" w:fill="auto"/>
            <w:vAlign w:val="center"/>
          </w:tcPr>
          <w:p>
            <w:pPr>
              <w:pStyle w:val="39"/>
              <w:rPr>
                <w:rFonts w:ascii="Times New Roman" w:hAnsi="Times New Roman"/>
              </w:rPr>
            </w:pPr>
          </w:p>
        </w:tc>
        <w:tc>
          <w:tcPr>
            <w:tcW w:w="2264" w:type="dxa"/>
            <w:shd w:val="clear" w:color="auto" w:fill="auto"/>
            <w:vAlign w:val="center"/>
          </w:tcPr>
          <w:p>
            <w:pPr>
              <w:pStyle w:val="39"/>
              <w:rPr>
                <w:rFonts w:ascii="Times New Roman" w:hAnsi="Times New Roman"/>
              </w:rPr>
            </w:pPr>
            <w:r>
              <w:rPr>
                <w:rFonts w:ascii="Times New Roman" w:hAnsi="Times New Roman"/>
              </w:rPr>
              <w:t>E:107.8494°</w:t>
            </w:r>
          </w:p>
        </w:tc>
        <w:tc>
          <w:tcPr>
            <w:tcW w:w="1275" w:type="dxa"/>
            <w:vMerge w:val="continue"/>
            <w:shd w:val="clear" w:color="auto" w:fill="auto"/>
            <w:vAlign w:val="center"/>
          </w:tcPr>
          <w:p>
            <w:pPr>
              <w:pStyle w:val="39"/>
              <w:rPr>
                <w:rFonts w:ascii="Times New Roman" w:hAnsi="Times New Roman"/>
              </w:rPr>
            </w:pPr>
          </w:p>
        </w:tc>
        <w:tc>
          <w:tcPr>
            <w:tcW w:w="1848" w:type="dxa"/>
            <w:vMerge w:val="continue"/>
            <w:vAlign w:val="center"/>
          </w:tcPr>
          <w:p>
            <w:pPr>
              <w:pStyle w:val="39"/>
              <w:rPr>
                <w:rFonts w:ascii="Times New Roman" w:hAnsi="Times New Roman"/>
              </w:rPr>
            </w:pPr>
          </w:p>
        </w:tc>
        <w:tc>
          <w:tcPr>
            <w:tcW w:w="1848" w:type="dxa"/>
            <w:vMerge w:val="continue"/>
            <w:shd w:val="clear" w:color="auto" w:fill="auto"/>
            <w:vAlign w:val="center"/>
          </w:tcPr>
          <w:p>
            <w:pPr>
              <w:pStyle w:val="39"/>
              <w:rPr>
                <w:rFonts w:ascii="Times New Roman" w:hAnsi="Times New Roman"/>
              </w:rPr>
            </w:pPr>
          </w:p>
        </w:tc>
        <w:tc>
          <w:tcPr>
            <w:tcW w:w="1787" w:type="dxa"/>
            <w:vMerge w:val="continue"/>
            <w:shd w:val="clear" w:color="auto" w:fill="auto"/>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856" w:type="dxa"/>
            <w:vMerge w:val="continue"/>
            <w:shd w:val="clear" w:color="auto" w:fill="auto"/>
            <w:vAlign w:val="center"/>
          </w:tcPr>
          <w:p>
            <w:pPr>
              <w:pStyle w:val="39"/>
              <w:rPr>
                <w:rFonts w:ascii="Times New Roman" w:hAnsi="Times New Roman"/>
              </w:rPr>
            </w:pPr>
          </w:p>
        </w:tc>
        <w:tc>
          <w:tcPr>
            <w:tcW w:w="2264" w:type="dxa"/>
            <w:shd w:val="clear" w:color="auto" w:fill="auto"/>
            <w:vAlign w:val="center"/>
          </w:tcPr>
          <w:p>
            <w:pPr>
              <w:pStyle w:val="39"/>
              <w:rPr>
                <w:rFonts w:ascii="Times New Roman" w:hAnsi="Times New Roman"/>
              </w:rPr>
            </w:pPr>
            <w:r>
              <w:rPr>
                <w:rFonts w:ascii="Times New Roman" w:hAnsi="Times New Roman"/>
              </w:rPr>
              <w:t>N: 31.4338°</w:t>
            </w:r>
          </w:p>
        </w:tc>
        <w:tc>
          <w:tcPr>
            <w:tcW w:w="1275" w:type="dxa"/>
            <w:vMerge w:val="continue"/>
            <w:shd w:val="clear" w:color="auto" w:fill="auto"/>
            <w:vAlign w:val="center"/>
          </w:tcPr>
          <w:p>
            <w:pPr>
              <w:pStyle w:val="39"/>
              <w:rPr>
                <w:rFonts w:ascii="Times New Roman" w:hAnsi="Times New Roman"/>
              </w:rPr>
            </w:pPr>
          </w:p>
        </w:tc>
        <w:tc>
          <w:tcPr>
            <w:tcW w:w="1848" w:type="dxa"/>
            <w:vMerge w:val="continue"/>
            <w:vAlign w:val="center"/>
          </w:tcPr>
          <w:p>
            <w:pPr>
              <w:pStyle w:val="39"/>
              <w:rPr>
                <w:rFonts w:ascii="Times New Roman" w:hAnsi="Times New Roman"/>
              </w:rPr>
            </w:pPr>
          </w:p>
        </w:tc>
        <w:tc>
          <w:tcPr>
            <w:tcW w:w="1848" w:type="dxa"/>
            <w:vMerge w:val="continue"/>
            <w:shd w:val="clear" w:color="auto" w:fill="auto"/>
            <w:vAlign w:val="center"/>
          </w:tcPr>
          <w:p>
            <w:pPr>
              <w:pStyle w:val="39"/>
              <w:rPr>
                <w:rFonts w:ascii="Times New Roman" w:hAnsi="Times New Roman"/>
              </w:rPr>
            </w:pPr>
          </w:p>
        </w:tc>
        <w:tc>
          <w:tcPr>
            <w:tcW w:w="1787" w:type="dxa"/>
            <w:vMerge w:val="continue"/>
            <w:shd w:val="clear" w:color="auto" w:fill="auto"/>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856" w:type="dxa"/>
            <w:vMerge w:val="restart"/>
            <w:shd w:val="clear" w:color="auto" w:fill="auto"/>
            <w:vAlign w:val="center"/>
          </w:tcPr>
          <w:p>
            <w:pPr>
              <w:pStyle w:val="39"/>
              <w:rPr>
                <w:rFonts w:ascii="Times New Roman" w:hAnsi="Times New Roman"/>
              </w:rPr>
            </w:pPr>
            <w:r>
              <w:rPr>
                <w:rFonts w:ascii="Times New Roman" w:hAnsi="Times New Roman"/>
              </w:rPr>
              <w:t>MW2</w:t>
            </w:r>
          </w:p>
        </w:tc>
        <w:tc>
          <w:tcPr>
            <w:tcW w:w="2264" w:type="dxa"/>
            <w:shd w:val="clear" w:color="auto" w:fill="auto"/>
            <w:vAlign w:val="center"/>
          </w:tcPr>
          <w:p>
            <w:pPr>
              <w:pStyle w:val="39"/>
              <w:rPr>
                <w:rFonts w:ascii="Times New Roman" w:hAnsi="Times New Roman"/>
              </w:rPr>
            </w:pPr>
            <w:r>
              <w:rPr>
                <w:rFonts w:ascii="Times New Roman" w:hAnsi="Times New Roman"/>
              </w:rPr>
              <w:t>宣兴1井站</w:t>
            </w:r>
          </w:p>
          <w:p>
            <w:pPr>
              <w:pStyle w:val="39"/>
              <w:rPr>
                <w:rFonts w:ascii="Times New Roman" w:hAnsi="Times New Roman"/>
              </w:rPr>
            </w:pPr>
            <w:r>
              <w:rPr>
                <w:rFonts w:ascii="Times New Roman" w:hAnsi="Times New Roman"/>
              </w:rPr>
              <w:t>上游</w:t>
            </w:r>
          </w:p>
        </w:tc>
        <w:tc>
          <w:tcPr>
            <w:tcW w:w="1275" w:type="dxa"/>
            <w:vMerge w:val="restart"/>
            <w:shd w:val="clear" w:color="auto" w:fill="auto"/>
            <w:vAlign w:val="center"/>
          </w:tcPr>
          <w:p>
            <w:pPr>
              <w:pStyle w:val="39"/>
              <w:rPr>
                <w:rFonts w:ascii="Times New Roman" w:hAnsi="Times New Roman"/>
              </w:rPr>
            </w:pPr>
            <w:r>
              <w:rPr>
                <w:rFonts w:ascii="Times New Roman" w:hAnsi="Times New Roman"/>
              </w:rPr>
              <w:t>1次/年</w:t>
            </w:r>
          </w:p>
        </w:tc>
        <w:tc>
          <w:tcPr>
            <w:tcW w:w="1848" w:type="dxa"/>
            <w:vMerge w:val="continue"/>
            <w:vAlign w:val="center"/>
          </w:tcPr>
          <w:p>
            <w:pPr>
              <w:pStyle w:val="39"/>
              <w:rPr>
                <w:rFonts w:ascii="Times New Roman" w:hAnsi="Times New Roman"/>
              </w:rPr>
            </w:pPr>
          </w:p>
        </w:tc>
        <w:tc>
          <w:tcPr>
            <w:tcW w:w="1848" w:type="dxa"/>
            <w:vMerge w:val="continue"/>
            <w:shd w:val="clear" w:color="auto" w:fill="auto"/>
            <w:vAlign w:val="center"/>
          </w:tcPr>
          <w:p>
            <w:pPr>
              <w:pStyle w:val="39"/>
              <w:rPr>
                <w:rFonts w:ascii="Times New Roman" w:hAnsi="Times New Roman"/>
              </w:rPr>
            </w:pPr>
          </w:p>
        </w:tc>
        <w:tc>
          <w:tcPr>
            <w:tcW w:w="1787" w:type="dxa"/>
            <w:vMerge w:val="restart"/>
            <w:shd w:val="clear" w:color="auto" w:fill="auto"/>
            <w:vAlign w:val="center"/>
          </w:tcPr>
          <w:p>
            <w:pPr>
              <w:pStyle w:val="39"/>
              <w:rPr>
                <w:rFonts w:ascii="Times New Roman" w:hAnsi="Times New Roman"/>
              </w:rPr>
            </w:pPr>
            <w:r>
              <w:rPr>
                <w:rFonts w:ascii="Times New Roman" w:hAnsi="Times New Roman"/>
              </w:rPr>
              <w:t>监测场地上游地下水环境背景值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856" w:type="dxa"/>
            <w:vMerge w:val="continue"/>
            <w:shd w:val="clear" w:color="auto" w:fill="auto"/>
            <w:vAlign w:val="center"/>
          </w:tcPr>
          <w:p>
            <w:pPr>
              <w:pStyle w:val="39"/>
              <w:rPr>
                <w:rFonts w:ascii="Times New Roman" w:hAnsi="Times New Roman"/>
              </w:rPr>
            </w:pPr>
          </w:p>
        </w:tc>
        <w:tc>
          <w:tcPr>
            <w:tcW w:w="2264" w:type="dxa"/>
            <w:shd w:val="clear" w:color="auto" w:fill="auto"/>
            <w:vAlign w:val="center"/>
          </w:tcPr>
          <w:p>
            <w:pPr>
              <w:pStyle w:val="39"/>
              <w:rPr>
                <w:rFonts w:ascii="Times New Roman" w:hAnsi="Times New Roman"/>
              </w:rPr>
            </w:pPr>
            <w:r>
              <w:rPr>
                <w:rFonts w:ascii="Times New Roman" w:hAnsi="Times New Roman"/>
              </w:rPr>
              <w:t>E: 107.8469°</w:t>
            </w:r>
          </w:p>
        </w:tc>
        <w:tc>
          <w:tcPr>
            <w:tcW w:w="1275" w:type="dxa"/>
            <w:vMerge w:val="continue"/>
            <w:shd w:val="clear" w:color="auto" w:fill="auto"/>
            <w:vAlign w:val="center"/>
          </w:tcPr>
          <w:p>
            <w:pPr>
              <w:pStyle w:val="39"/>
              <w:rPr>
                <w:rFonts w:ascii="Times New Roman" w:hAnsi="Times New Roman"/>
              </w:rPr>
            </w:pPr>
          </w:p>
        </w:tc>
        <w:tc>
          <w:tcPr>
            <w:tcW w:w="1848" w:type="dxa"/>
            <w:vMerge w:val="continue"/>
            <w:vAlign w:val="center"/>
          </w:tcPr>
          <w:p>
            <w:pPr>
              <w:pStyle w:val="39"/>
              <w:rPr>
                <w:rFonts w:ascii="Times New Roman" w:hAnsi="Times New Roman"/>
              </w:rPr>
            </w:pPr>
          </w:p>
        </w:tc>
        <w:tc>
          <w:tcPr>
            <w:tcW w:w="1848" w:type="dxa"/>
            <w:vMerge w:val="continue"/>
            <w:shd w:val="clear" w:color="auto" w:fill="auto"/>
            <w:vAlign w:val="center"/>
          </w:tcPr>
          <w:p>
            <w:pPr>
              <w:pStyle w:val="39"/>
              <w:rPr>
                <w:rFonts w:ascii="Times New Roman" w:hAnsi="Times New Roman"/>
              </w:rPr>
            </w:pPr>
          </w:p>
        </w:tc>
        <w:tc>
          <w:tcPr>
            <w:tcW w:w="1787" w:type="dxa"/>
            <w:vMerge w:val="continue"/>
            <w:shd w:val="clear" w:color="auto" w:fill="auto"/>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856" w:type="dxa"/>
            <w:vMerge w:val="continue"/>
            <w:shd w:val="clear" w:color="auto" w:fill="auto"/>
            <w:vAlign w:val="center"/>
          </w:tcPr>
          <w:p>
            <w:pPr>
              <w:pStyle w:val="39"/>
              <w:rPr>
                <w:rFonts w:ascii="Times New Roman" w:hAnsi="Times New Roman"/>
              </w:rPr>
            </w:pPr>
          </w:p>
        </w:tc>
        <w:tc>
          <w:tcPr>
            <w:tcW w:w="2264" w:type="dxa"/>
            <w:shd w:val="clear" w:color="auto" w:fill="auto"/>
            <w:vAlign w:val="center"/>
          </w:tcPr>
          <w:p>
            <w:pPr>
              <w:pStyle w:val="39"/>
              <w:rPr>
                <w:rFonts w:ascii="Times New Roman" w:hAnsi="Times New Roman"/>
              </w:rPr>
            </w:pPr>
            <w:r>
              <w:rPr>
                <w:rFonts w:ascii="Times New Roman" w:hAnsi="Times New Roman"/>
              </w:rPr>
              <w:t>N: 31.4554°</w:t>
            </w:r>
          </w:p>
        </w:tc>
        <w:tc>
          <w:tcPr>
            <w:tcW w:w="1275" w:type="dxa"/>
            <w:vMerge w:val="continue"/>
            <w:shd w:val="clear" w:color="auto" w:fill="auto"/>
            <w:vAlign w:val="center"/>
          </w:tcPr>
          <w:p>
            <w:pPr>
              <w:pStyle w:val="39"/>
              <w:rPr>
                <w:rFonts w:ascii="Times New Roman" w:hAnsi="Times New Roman"/>
              </w:rPr>
            </w:pPr>
          </w:p>
        </w:tc>
        <w:tc>
          <w:tcPr>
            <w:tcW w:w="1848" w:type="dxa"/>
            <w:vMerge w:val="continue"/>
            <w:vAlign w:val="center"/>
          </w:tcPr>
          <w:p>
            <w:pPr>
              <w:pStyle w:val="39"/>
              <w:rPr>
                <w:rFonts w:ascii="Times New Roman" w:hAnsi="Times New Roman"/>
              </w:rPr>
            </w:pPr>
          </w:p>
        </w:tc>
        <w:tc>
          <w:tcPr>
            <w:tcW w:w="1848" w:type="dxa"/>
            <w:vMerge w:val="continue"/>
            <w:shd w:val="clear" w:color="auto" w:fill="auto"/>
            <w:vAlign w:val="center"/>
          </w:tcPr>
          <w:p>
            <w:pPr>
              <w:pStyle w:val="39"/>
              <w:rPr>
                <w:rFonts w:ascii="Times New Roman" w:hAnsi="Times New Roman"/>
              </w:rPr>
            </w:pPr>
          </w:p>
        </w:tc>
        <w:tc>
          <w:tcPr>
            <w:tcW w:w="1787" w:type="dxa"/>
            <w:vMerge w:val="continue"/>
            <w:shd w:val="clear" w:color="auto" w:fill="auto"/>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856" w:type="dxa"/>
            <w:vMerge w:val="restart"/>
            <w:shd w:val="clear" w:color="auto" w:fill="auto"/>
            <w:vAlign w:val="center"/>
          </w:tcPr>
          <w:p>
            <w:pPr>
              <w:pStyle w:val="39"/>
              <w:rPr>
                <w:rFonts w:ascii="Times New Roman" w:hAnsi="Times New Roman"/>
              </w:rPr>
            </w:pPr>
            <w:r>
              <w:rPr>
                <w:rFonts w:ascii="Times New Roman" w:hAnsi="Times New Roman"/>
              </w:rPr>
              <w:t>MW3</w:t>
            </w:r>
          </w:p>
        </w:tc>
        <w:tc>
          <w:tcPr>
            <w:tcW w:w="2264" w:type="dxa"/>
            <w:shd w:val="clear" w:color="auto" w:fill="auto"/>
            <w:vAlign w:val="center"/>
          </w:tcPr>
          <w:p>
            <w:pPr>
              <w:pStyle w:val="39"/>
              <w:rPr>
                <w:rFonts w:ascii="Times New Roman" w:hAnsi="Times New Roman"/>
              </w:rPr>
            </w:pPr>
            <w:r>
              <w:rPr>
                <w:rFonts w:ascii="Times New Roman" w:hAnsi="Times New Roman"/>
              </w:rPr>
              <w:t>宣兴1井站</w:t>
            </w:r>
          </w:p>
          <w:p>
            <w:pPr>
              <w:pStyle w:val="39"/>
              <w:rPr>
                <w:rFonts w:ascii="Times New Roman" w:hAnsi="Times New Roman"/>
              </w:rPr>
            </w:pPr>
            <w:r>
              <w:rPr>
                <w:rFonts w:ascii="Times New Roman" w:hAnsi="Times New Roman"/>
              </w:rPr>
              <w:t>生产装置区下游</w:t>
            </w:r>
          </w:p>
        </w:tc>
        <w:tc>
          <w:tcPr>
            <w:tcW w:w="1275" w:type="dxa"/>
            <w:vMerge w:val="restart"/>
            <w:shd w:val="clear" w:color="auto" w:fill="auto"/>
            <w:vAlign w:val="center"/>
          </w:tcPr>
          <w:p>
            <w:pPr>
              <w:pStyle w:val="39"/>
              <w:rPr>
                <w:rFonts w:ascii="Times New Roman" w:hAnsi="Times New Roman"/>
              </w:rPr>
            </w:pPr>
            <w:r>
              <w:rPr>
                <w:rFonts w:ascii="Times New Roman" w:hAnsi="Times New Roman"/>
              </w:rPr>
              <w:t>1次/年</w:t>
            </w:r>
          </w:p>
        </w:tc>
        <w:tc>
          <w:tcPr>
            <w:tcW w:w="1848" w:type="dxa"/>
            <w:vMerge w:val="continue"/>
            <w:vAlign w:val="center"/>
          </w:tcPr>
          <w:p>
            <w:pPr>
              <w:pStyle w:val="39"/>
              <w:rPr>
                <w:rFonts w:ascii="Times New Roman" w:hAnsi="Times New Roman"/>
              </w:rPr>
            </w:pPr>
          </w:p>
        </w:tc>
        <w:tc>
          <w:tcPr>
            <w:tcW w:w="1848" w:type="dxa"/>
            <w:vMerge w:val="continue"/>
            <w:shd w:val="clear" w:color="auto" w:fill="auto"/>
            <w:vAlign w:val="center"/>
          </w:tcPr>
          <w:p>
            <w:pPr>
              <w:pStyle w:val="39"/>
              <w:rPr>
                <w:rFonts w:ascii="Times New Roman" w:hAnsi="Times New Roman"/>
              </w:rPr>
            </w:pPr>
          </w:p>
        </w:tc>
        <w:tc>
          <w:tcPr>
            <w:tcW w:w="1787" w:type="dxa"/>
            <w:vMerge w:val="restart"/>
            <w:shd w:val="clear" w:color="auto" w:fill="auto"/>
            <w:vAlign w:val="center"/>
          </w:tcPr>
          <w:p>
            <w:pPr>
              <w:pStyle w:val="39"/>
              <w:rPr>
                <w:rFonts w:ascii="Times New Roman" w:hAnsi="Times New Roman"/>
              </w:rPr>
            </w:pPr>
            <w:r>
              <w:rPr>
                <w:rFonts w:ascii="Times New Roman" w:hAnsi="Times New Roman"/>
              </w:rPr>
              <w:t>监测场地生产装置区（气田水罐区）下游区地下水环境现状，并作为事故应急抽水井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856" w:type="dxa"/>
            <w:vMerge w:val="continue"/>
            <w:shd w:val="clear" w:color="auto" w:fill="auto"/>
            <w:vAlign w:val="center"/>
          </w:tcPr>
          <w:p>
            <w:pPr>
              <w:pStyle w:val="39"/>
              <w:rPr>
                <w:rFonts w:ascii="Times New Roman" w:hAnsi="Times New Roman"/>
              </w:rPr>
            </w:pPr>
          </w:p>
        </w:tc>
        <w:tc>
          <w:tcPr>
            <w:tcW w:w="2264" w:type="dxa"/>
            <w:shd w:val="clear" w:color="auto" w:fill="auto"/>
            <w:vAlign w:val="center"/>
          </w:tcPr>
          <w:p>
            <w:pPr>
              <w:pStyle w:val="39"/>
              <w:rPr>
                <w:rFonts w:ascii="Times New Roman" w:hAnsi="Times New Roman"/>
              </w:rPr>
            </w:pPr>
            <w:r>
              <w:rPr>
                <w:rFonts w:ascii="Times New Roman" w:hAnsi="Times New Roman"/>
              </w:rPr>
              <w:t>E: 107.84713°</w:t>
            </w:r>
          </w:p>
        </w:tc>
        <w:tc>
          <w:tcPr>
            <w:tcW w:w="1275" w:type="dxa"/>
            <w:vMerge w:val="continue"/>
            <w:shd w:val="clear" w:color="auto" w:fill="auto"/>
            <w:vAlign w:val="center"/>
          </w:tcPr>
          <w:p>
            <w:pPr>
              <w:pStyle w:val="39"/>
              <w:rPr>
                <w:rFonts w:ascii="Times New Roman" w:hAnsi="Times New Roman"/>
              </w:rPr>
            </w:pPr>
          </w:p>
        </w:tc>
        <w:tc>
          <w:tcPr>
            <w:tcW w:w="1848" w:type="dxa"/>
            <w:vMerge w:val="continue"/>
            <w:vAlign w:val="center"/>
          </w:tcPr>
          <w:p>
            <w:pPr>
              <w:pStyle w:val="39"/>
              <w:rPr>
                <w:rFonts w:ascii="Times New Roman" w:hAnsi="Times New Roman"/>
              </w:rPr>
            </w:pPr>
          </w:p>
        </w:tc>
        <w:tc>
          <w:tcPr>
            <w:tcW w:w="1848" w:type="dxa"/>
            <w:vMerge w:val="continue"/>
            <w:shd w:val="clear" w:color="auto" w:fill="auto"/>
            <w:vAlign w:val="center"/>
          </w:tcPr>
          <w:p>
            <w:pPr>
              <w:pStyle w:val="39"/>
              <w:rPr>
                <w:rFonts w:ascii="Times New Roman" w:hAnsi="Times New Roman"/>
              </w:rPr>
            </w:pPr>
          </w:p>
        </w:tc>
        <w:tc>
          <w:tcPr>
            <w:tcW w:w="1787" w:type="dxa"/>
            <w:vMerge w:val="continue"/>
            <w:shd w:val="clear" w:color="auto" w:fill="auto"/>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856" w:type="dxa"/>
            <w:vMerge w:val="continue"/>
            <w:shd w:val="clear" w:color="auto" w:fill="auto"/>
            <w:vAlign w:val="center"/>
          </w:tcPr>
          <w:p>
            <w:pPr>
              <w:pStyle w:val="39"/>
              <w:rPr>
                <w:rFonts w:ascii="Times New Roman" w:hAnsi="Times New Roman"/>
              </w:rPr>
            </w:pPr>
          </w:p>
        </w:tc>
        <w:tc>
          <w:tcPr>
            <w:tcW w:w="2264" w:type="dxa"/>
            <w:shd w:val="clear" w:color="auto" w:fill="auto"/>
            <w:vAlign w:val="center"/>
          </w:tcPr>
          <w:p>
            <w:pPr>
              <w:pStyle w:val="39"/>
              <w:rPr>
                <w:rFonts w:ascii="Times New Roman" w:hAnsi="Times New Roman"/>
              </w:rPr>
            </w:pPr>
            <w:r>
              <w:rPr>
                <w:rFonts w:ascii="Times New Roman" w:hAnsi="Times New Roman"/>
              </w:rPr>
              <w:t>N: 31.4555°</w:t>
            </w:r>
          </w:p>
        </w:tc>
        <w:tc>
          <w:tcPr>
            <w:tcW w:w="1275" w:type="dxa"/>
            <w:vMerge w:val="continue"/>
            <w:shd w:val="clear" w:color="auto" w:fill="auto"/>
            <w:vAlign w:val="center"/>
          </w:tcPr>
          <w:p>
            <w:pPr>
              <w:pStyle w:val="39"/>
              <w:rPr>
                <w:rFonts w:ascii="Times New Roman" w:hAnsi="Times New Roman"/>
              </w:rPr>
            </w:pPr>
          </w:p>
        </w:tc>
        <w:tc>
          <w:tcPr>
            <w:tcW w:w="1848" w:type="dxa"/>
            <w:vMerge w:val="continue"/>
            <w:vAlign w:val="center"/>
          </w:tcPr>
          <w:p>
            <w:pPr>
              <w:pStyle w:val="39"/>
              <w:rPr>
                <w:rFonts w:ascii="Times New Roman" w:hAnsi="Times New Roman"/>
              </w:rPr>
            </w:pPr>
          </w:p>
        </w:tc>
        <w:tc>
          <w:tcPr>
            <w:tcW w:w="1848" w:type="dxa"/>
            <w:vMerge w:val="continue"/>
            <w:shd w:val="clear" w:color="auto" w:fill="auto"/>
            <w:vAlign w:val="center"/>
          </w:tcPr>
          <w:p>
            <w:pPr>
              <w:pStyle w:val="39"/>
              <w:rPr>
                <w:rFonts w:ascii="Times New Roman" w:hAnsi="Times New Roman"/>
              </w:rPr>
            </w:pPr>
          </w:p>
        </w:tc>
        <w:tc>
          <w:tcPr>
            <w:tcW w:w="1787" w:type="dxa"/>
            <w:vMerge w:val="continue"/>
            <w:shd w:val="clear" w:color="auto" w:fill="auto"/>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856" w:type="dxa"/>
            <w:vMerge w:val="restart"/>
            <w:shd w:val="clear" w:color="auto" w:fill="auto"/>
            <w:vAlign w:val="center"/>
          </w:tcPr>
          <w:p>
            <w:pPr>
              <w:pStyle w:val="39"/>
              <w:rPr>
                <w:rFonts w:ascii="Times New Roman" w:hAnsi="Times New Roman"/>
              </w:rPr>
            </w:pPr>
            <w:r>
              <w:rPr>
                <w:rFonts w:ascii="Times New Roman" w:hAnsi="Times New Roman"/>
              </w:rPr>
              <w:t>MW4</w:t>
            </w:r>
          </w:p>
        </w:tc>
        <w:tc>
          <w:tcPr>
            <w:tcW w:w="2264" w:type="dxa"/>
            <w:shd w:val="clear" w:color="auto" w:fill="auto"/>
            <w:vAlign w:val="center"/>
          </w:tcPr>
          <w:p>
            <w:pPr>
              <w:pStyle w:val="39"/>
              <w:rPr>
                <w:rFonts w:ascii="Times New Roman" w:hAnsi="Times New Roman"/>
              </w:rPr>
            </w:pPr>
            <w:r>
              <w:rPr>
                <w:rFonts w:ascii="Times New Roman" w:hAnsi="Times New Roman"/>
              </w:rPr>
              <w:t>宣兴1井站</w:t>
            </w:r>
          </w:p>
          <w:p>
            <w:pPr>
              <w:pStyle w:val="39"/>
              <w:rPr>
                <w:rFonts w:ascii="Times New Roman" w:hAnsi="Times New Roman"/>
              </w:rPr>
            </w:pPr>
            <w:r>
              <w:rPr>
                <w:rFonts w:ascii="Times New Roman" w:hAnsi="Times New Roman"/>
              </w:rPr>
              <w:t>下游靠近乱石滩河</w:t>
            </w:r>
          </w:p>
        </w:tc>
        <w:tc>
          <w:tcPr>
            <w:tcW w:w="1275" w:type="dxa"/>
            <w:vMerge w:val="restart"/>
            <w:shd w:val="clear" w:color="auto" w:fill="auto"/>
            <w:vAlign w:val="center"/>
          </w:tcPr>
          <w:p>
            <w:pPr>
              <w:pStyle w:val="39"/>
              <w:rPr>
                <w:rFonts w:ascii="Times New Roman" w:hAnsi="Times New Roman"/>
              </w:rPr>
            </w:pPr>
            <w:r>
              <w:rPr>
                <w:rFonts w:ascii="Times New Roman" w:hAnsi="Times New Roman"/>
              </w:rPr>
              <w:t>1次/年</w:t>
            </w:r>
          </w:p>
        </w:tc>
        <w:tc>
          <w:tcPr>
            <w:tcW w:w="1848" w:type="dxa"/>
            <w:vMerge w:val="continue"/>
            <w:vAlign w:val="center"/>
          </w:tcPr>
          <w:p>
            <w:pPr>
              <w:pStyle w:val="39"/>
              <w:rPr>
                <w:rFonts w:ascii="Times New Roman" w:hAnsi="Times New Roman"/>
              </w:rPr>
            </w:pPr>
          </w:p>
        </w:tc>
        <w:tc>
          <w:tcPr>
            <w:tcW w:w="1848" w:type="dxa"/>
            <w:vMerge w:val="continue"/>
            <w:shd w:val="clear" w:color="auto" w:fill="auto"/>
            <w:vAlign w:val="center"/>
          </w:tcPr>
          <w:p>
            <w:pPr>
              <w:pStyle w:val="39"/>
              <w:rPr>
                <w:rFonts w:ascii="Times New Roman" w:hAnsi="Times New Roman"/>
              </w:rPr>
            </w:pPr>
          </w:p>
        </w:tc>
        <w:tc>
          <w:tcPr>
            <w:tcW w:w="1787" w:type="dxa"/>
            <w:vMerge w:val="restart"/>
            <w:shd w:val="clear" w:color="auto" w:fill="auto"/>
            <w:vAlign w:val="center"/>
          </w:tcPr>
          <w:p>
            <w:pPr>
              <w:pStyle w:val="39"/>
              <w:rPr>
                <w:rFonts w:ascii="Times New Roman" w:hAnsi="Times New Roman"/>
              </w:rPr>
            </w:pPr>
            <w:r>
              <w:rPr>
                <w:rFonts w:ascii="Times New Roman" w:hAnsi="Times New Roman"/>
              </w:rPr>
              <w:t>监测场地下游区地下水环境现状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856" w:type="dxa"/>
            <w:vMerge w:val="continue"/>
            <w:shd w:val="clear" w:color="auto" w:fill="auto"/>
            <w:vAlign w:val="center"/>
          </w:tcPr>
          <w:p>
            <w:pPr>
              <w:pStyle w:val="39"/>
              <w:rPr>
                <w:rFonts w:ascii="Times New Roman" w:hAnsi="Times New Roman"/>
              </w:rPr>
            </w:pPr>
          </w:p>
        </w:tc>
        <w:tc>
          <w:tcPr>
            <w:tcW w:w="2264" w:type="dxa"/>
            <w:shd w:val="clear" w:color="auto" w:fill="auto"/>
            <w:vAlign w:val="center"/>
          </w:tcPr>
          <w:p>
            <w:pPr>
              <w:pStyle w:val="39"/>
              <w:rPr>
                <w:rFonts w:ascii="Times New Roman" w:hAnsi="Times New Roman"/>
              </w:rPr>
            </w:pPr>
            <w:r>
              <w:rPr>
                <w:rFonts w:ascii="Times New Roman" w:hAnsi="Times New Roman"/>
              </w:rPr>
              <w:t>E: 107.85836°</w:t>
            </w:r>
          </w:p>
        </w:tc>
        <w:tc>
          <w:tcPr>
            <w:tcW w:w="1275" w:type="dxa"/>
            <w:vMerge w:val="continue"/>
            <w:shd w:val="clear" w:color="auto" w:fill="auto"/>
            <w:vAlign w:val="center"/>
          </w:tcPr>
          <w:p>
            <w:pPr>
              <w:pStyle w:val="39"/>
              <w:rPr>
                <w:rFonts w:ascii="Times New Roman" w:hAnsi="Times New Roman"/>
              </w:rPr>
            </w:pPr>
          </w:p>
        </w:tc>
        <w:tc>
          <w:tcPr>
            <w:tcW w:w="1848" w:type="dxa"/>
            <w:vMerge w:val="continue"/>
            <w:vAlign w:val="center"/>
          </w:tcPr>
          <w:p>
            <w:pPr>
              <w:pStyle w:val="39"/>
              <w:rPr>
                <w:rFonts w:ascii="Times New Roman" w:hAnsi="Times New Roman"/>
              </w:rPr>
            </w:pPr>
          </w:p>
        </w:tc>
        <w:tc>
          <w:tcPr>
            <w:tcW w:w="1848" w:type="dxa"/>
            <w:vMerge w:val="continue"/>
            <w:shd w:val="clear" w:color="auto" w:fill="auto"/>
            <w:vAlign w:val="center"/>
          </w:tcPr>
          <w:p>
            <w:pPr>
              <w:pStyle w:val="39"/>
              <w:rPr>
                <w:rFonts w:ascii="Times New Roman" w:hAnsi="Times New Roman"/>
              </w:rPr>
            </w:pPr>
          </w:p>
        </w:tc>
        <w:tc>
          <w:tcPr>
            <w:tcW w:w="1787" w:type="dxa"/>
            <w:vMerge w:val="continue"/>
            <w:shd w:val="clear" w:color="auto" w:fill="auto"/>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856" w:type="dxa"/>
            <w:vMerge w:val="continue"/>
            <w:shd w:val="clear" w:color="auto" w:fill="auto"/>
            <w:vAlign w:val="center"/>
          </w:tcPr>
          <w:p>
            <w:pPr>
              <w:pStyle w:val="39"/>
              <w:rPr>
                <w:rFonts w:ascii="Times New Roman" w:hAnsi="Times New Roman"/>
              </w:rPr>
            </w:pPr>
          </w:p>
        </w:tc>
        <w:tc>
          <w:tcPr>
            <w:tcW w:w="2264" w:type="dxa"/>
            <w:shd w:val="clear" w:color="auto" w:fill="auto"/>
            <w:vAlign w:val="center"/>
          </w:tcPr>
          <w:p>
            <w:pPr>
              <w:pStyle w:val="39"/>
              <w:rPr>
                <w:rFonts w:ascii="Times New Roman" w:hAnsi="Times New Roman"/>
              </w:rPr>
            </w:pPr>
            <w:r>
              <w:rPr>
                <w:rFonts w:ascii="Times New Roman" w:hAnsi="Times New Roman"/>
              </w:rPr>
              <w:t>N: 31.45328°</w:t>
            </w:r>
          </w:p>
        </w:tc>
        <w:tc>
          <w:tcPr>
            <w:tcW w:w="1275" w:type="dxa"/>
            <w:vMerge w:val="continue"/>
            <w:shd w:val="clear" w:color="auto" w:fill="auto"/>
            <w:vAlign w:val="center"/>
          </w:tcPr>
          <w:p>
            <w:pPr>
              <w:pStyle w:val="39"/>
              <w:rPr>
                <w:rFonts w:ascii="Times New Roman" w:hAnsi="Times New Roman"/>
              </w:rPr>
            </w:pPr>
          </w:p>
        </w:tc>
        <w:tc>
          <w:tcPr>
            <w:tcW w:w="1848" w:type="dxa"/>
            <w:vMerge w:val="continue"/>
            <w:vAlign w:val="center"/>
          </w:tcPr>
          <w:p>
            <w:pPr>
              <w:pStyle w:val="39"/>
              <w:rPr>
                <w:rFonts w:ascii="Times New Roman" w:hAnsi="Times New Roman"/>
              </w:rPr>
            </w:pPr>
          </w:p>
        </w:tc>
        <w:tc>
          <w:tcPr>
            <w:tcW w:w="1848" w:type="dxa"/>
            <w:vMerge w:val="continue"/>
            <w:shd w:val="clear" w:color="auto" w:fill="auto"/>
            <w:vAlign w:val="center"/>
          </w:tcPr>
          <w:p>
            <w:pPr>
              <w:pStyle w:val="39"/>
              <w:rPr>
                <w:rFonts w:ascii="Times New Roman" w:hAnsi="Times New Roman"/>
              </w:rPr>
            </w:pPr>
          </w:p>
        </w:tc>
        <w:tc>
          <w:tcPr>
            <w:tcW w:w="1787" w:type="dxa"/>
            <w:vMerge w:val="continue"/>
            <w:shd w:val="clear" w:color="auto" w:fill="auto"/>
            <w:vAlign w:val="center"/>
          </w:tcPr>
          <w:p>
            <w:pPr>
              <w:pStyle w:val="39"/>
              <w:rPr>
                <w:rFonts w:ascii="Times New Roman" w:hAnsi="Times New Roman"/>
              </w:rPr>
            </w:pPr>
          </w:p>
        </w:tc>
      </w:tr>
    </w:tbl>
    <w:p>
      <w:pPr>
        <w:ind w:firstLine="0" w:firstLineChars="0"/>
        <w:rPr>
          <w:rFonts w:ascii="Times New Roman" w:hAnsi="Times New Roman"/>
        </w:rPr>
      </w:pPr>
      <w:r>
        <w:rPr>
          <w:rFonts w:ascii="Times New Roman" w:hAnsi="Times New Roman"/>
        </w:rPr>
        <w:drawing>
          <wp:inline distT="0" distB="0" distL="0" distR="0">
            <wp:extent cx="5274310" cy="6815455"/>
            <wp:effectExtent l="19050" t="19050" r="21590" b="23495"/>
            <wp:docPr id="4452345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34529" name="图片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a:xfrm>
                      <a:off x="0" y="0"/>
                      <a:ext cx="5274310" cy="6815455"/>
                    </a:xfrm>
                    <a:prstGeom prst="rect">
                      <a:avLst/>
                    </a:prstGeom>
                    <a:noFill/>
                    <a:ln w="12700">
                      <a:solidFill>
                        <a:schemeClr val="tx1"/>
                      </a:solidFill>
                    </a:ln>
                  </pic:spPr>
                </pic:pic>
              </a:graphicData>
            </a:graphic>
          </wp:inline>
        </w:drawing>
      </w:r>
    </w:p>
    <w:p>
      <w:pPr>
        <w:pStyle w:val="37"/>
        <w:rPr>
          <w:rFonts w:ascii="Times New Roman" w:hAnsi="Times New Roman" w:cs="Times New Roman"/>
        </w:rPr>
      </w:pPr>
      <w:bookmarkStart w:id="400" w:name="_Ref157950083"/>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bookmarkEnd w:id="400"/>
      <w:r>
        <w:rPr>
          <w:rFonts w:ascii="Times New Roman" w:hAnsi="Times New Roman" w:cs="Times New Roman"/>
        </w:rPr>
        <w:t xml:space="preserve">  地下水监测井位示意图</w:t>
      </w:r>
    </w:p>
    <w:p>
      <w:pPr>
        <w:ind w:firstLine="482"/>
        <w:rPr>
          <w:rFonts w:ascii="Times New Roman" w:hAnsi="Times New Roman"/>
          <w:b/>
          <w:bCs/>
        </w:rPr>
      </w:pPr>
      <w:r>
        <w:rPr>
          <w:rFonts w:ascii="Times New Roman" w:hAnsi="Times New Roman"/>
          <w:b/>
          <w:bCs/>
        </w:rPr>
        <w:t>（4）应急响应</w:t>
      </w:r>
    </w:p>
    <w:p>
      <w:pPr>
        <w:ind w:firstLine="480"/>
        <w:rPr>
          <w:rFonts w:ascii="Times New Roman" w:hAnsi="Times New Roman"/>
        </w:rPr>
      </w:pPr>
      <w:r>
        <w:rPr>
          <w:rFonts w:ascii="Times New Roman" w:hAnsi="Times New Roman"/>
        </w:rPr>
        <w:t>污染物质扩散影响地下水质，而且地下水一旦污染，很难恢复。一旦发生风险泄漏事故，先判定可能漏失层位，然后分析可能产生的地下水位抬升和污染质扩散范围，再利用可能扩散范围内外的已有井孔对相关层位井等开展地下水动态监测。如果风险事故对地下水影响较大，影响到地下水供水或其它用途，可以通过增加污染区的抽水井，将可能的污染物抽出处理；另外还可以通过如建造帷幕等的工程措施，隔断污染途径，辅助抽水处理，减轻甚至避免对地下水造成不利的影响。</w:t>
      </w:r>
    </w:p>
    <w:p>
      <w:pPr>
        <w:ind w:firstLine="480"/>
        <w:rPr>
          <w:rFonts w:ascii="Times New Roman" w:hAnsi="Times New Roman"/>
        </w:rPr>
      </w:pPr>
      <w:r>
        <w:rPr>
          <w:rFonts w:ascii="Times New Roman" w:hAnsi="Times New Roman"/>
        </w:rPr>
        <w:t>一旦发生地下水污染事故，应立即启动应急预案，并采取相应应急措施，包括：</w:t>
      </w:r>
    </w:p>
    <w:p>
      <w:pPr>
        <w:ind w:firstLine="480"/>
        <w:rPr>
          <w:rFonts w:ascii="Times New Roman" w:hAnsi="Times New Roman"/>
        </w:rPr>
      </w:pPr>
      <w:r>
        <w:rPr>
          <w:rFonts w:ascii="Times New Roman" w:hAnsi="Times New Roman"/>
        </w:rPr>
        <w:t>1）查明并切断污染源；</w:t>
      </w:r>
    </w:p>
    <w:p>
      <w:pPr>
        <w:ind w:firstLine="480"/>
        <w:rPr>
          <w:rFonts w:ascii="Times New Roman" w:hAnsi="Times New Roman"/>
        </w:rPr>
      </w:pPr>
      <w:r>
        <w:rPr>
          <w:rFonts w:ascii="Times New Roman" w:hAnsi="Times New Roman"/>
        </w:rPr>
        <w:t>2）探明地下水污染深度、范围和污染程度；</w:t>
      </w:r>
    </w:p>
    <w:p>
      <w:pPr>
        <w:ind w:firstLine="480"/>
        <w:rPr>
          <w:rFonts w:ascii="Times New Roman" w:hAnsi="Times New Roman"/>
        </w:rPr>
      </w:pPr>
      <w:r>
        <w:rPr>
          <w:rFonts w:ascii="Times New Roman" w:hAnsi="Times New Roman"/>
        </w:rPr>
        <w:t>3）依据探明的地下水污染情况，合理布置封闭、截流措施，并对受污染水体进行抽排工作；</w:t>
      </w:r>
    </w:p>
    <w:p>
      <w:pPr>
        <w:ind w:firstLine="480"/>
        <w:rPr>
          <w:rFonts w:ascii="Times New Roman" w:hAnsi="Times New Roman"/>
        </w:rPr>
      </w:pPr>
      <w:r>
        <w:rPr>
          <w:rFonts w:ascii="Times New Roman" w:hAnsi="Times New Roman"/>
        </w:rPr>
        <w:t>4）将抽取的受污染地下水进行集中收集、处理，并送实验室检测分析；</w:t>
      </w:r>
    </w:p>
    <w:p>
      <w:pPr>
        <w:ind w:firstLine="480"/>
        <w:rPr>
          <w:rFonts w:ascii="Times New Roman" w:hAnsi="Times New Roman"/>
        </w:rPr>
      </w:pPr>
      <w:r>
        <w:rPr>
          <w:rFonts w:ascii="Times New Roman" w:hAnsi="Times New Roman"/>
        </w:rPr>
        <w:t>5）当地下水中污染物浓度达到地下水功能区划的标准后，逐步停止抽水并开展土壤修复工作。</w:t>
      </w:r>
    </w:p>
    <w:p>
      <w:pPr>
        <w:ind w:firstLine="480"/>
        <w:rPr>
          <w:rFonts w:ascii="Times New Roman" w:hAnsi="Times New Roman"/>
        </w:rPr>
      </w:pPr>
      <w:r>
        <w:rPr>
          <w:rFonts w:ascii="Times New Roman" w:hAnsi="Times New Roman"/>
        </w:rPr>
        <w:t>本项目地下水应急措施可采取抽水井截获的方式，根据地下水环境预测和评价结果，结合污染羽模拟扩散距离，有针对性地设置应急抽水井。应急抽水井首先利用潜在污染源下游的长期监测井进行抽水。同时，根据污染扩散的实际情况，有针对性地增加应急抽水井，并依据抽水设计方案进行施工钻孔。</w:t>
      </w:r>
    </w:p>
    <w:p>
      <w:pPr>
        <w:pStyle w:val="4"/>
        <w:rPr>
          <w:rFonts w:ascii="Times New Roman" w:hAnsi="Times New Roman" w:cs="Times New Roman"/>
        </w:rPr>
      </w:pPr>
      <w:r>
        <w:rPr>
          <w:rFonts w:ascii="Times New Roman" w:hAnsi="Times New Roman" w:cs="Times New Roman"/>
        </w:rPr>
        <w:t>退役期地下水污染防治措施</w:t>
      </w:r>
    </w:p>
    <w:p>
      <w:pPr>
        <w:ind w:firstLine="480"/>
        <w:rPr>
          <w:rFonts w:ascii="Times New Roman" w:hAnsi="Times New Roman"/>
        </w:rPr>
      </w:pPr>
      <w:r>
        <w:rPr>
          <w:rFonts w:ascii="Times New Roman" w:hAnsi="Times New Roman"/>
        </w:rPr>
        <w:t>服务期满施工过程加强废弃管线、废弃建筑垃圾等地表污染物的堆放管理，防止施工废水下渗污染地下水。</w:t>
      </w:r>
    </w:p>
    <w:p>
      <w:pPr>
        <w:pStyle w:val="3"/>
        <w:rPr>
          <w:rFonts w:ascii="Times New Roman" w:hAnsi="Times New Roman" w:cs="Times New Roman"/>
        </w:rPr>
      </w:pPr>
      <w:bookmarkStart w:id="401" w:name="_Toc162339454"/>
      <w:r>
        <w:rPr>
          <w:rFonts w:ascii="Times New Roman" w:hAnsi="Times New Roman" w:cs="Times New Roman"/>
        </w:rPr>
        <w:t>生态环境保护措施</w:t>
      </w:r>
      <w:bookmarkEnd w:id="401"/>
    </w:p>
    <w:p>
      <w:pPr>
        <w:pStyle w:val="4"/>
        <w:rPr>
          <w:rFonts w:ascii="Times New Roman" w:hAnsi="Times New Roman" w:cs="Times New Roman"/>
        </w:rPr>
      </w:pPr>
      <w:r>
        <w:rPr>
          <w:rFonts w:ascii="Times New Roman" w:hAnsi="Times New Roman" w:cs="Times New Roman"/>
        </w:rPr>
        <w:t>施工期生态保护措施</w:t>
      </w:r>
    </w:p>
    <w:p>
      <w:pPr>
        <w:pStyle w:val="5"/>
        <w:rPr>
          <w:rFonts w:ascii="Times New Roman" w:hAnsi="Times New Roman"/>
        </w:rPr>
      </w:pPr>
      <w:r>
        <w:rPr>
          <w:rFonts w:ascii="Times New Roman" w:hAnsi="Times New Roman"/>
        </w:rPr>
        <w:t>土地利用现有格局保护和恢复措施</w:t>
      </w:r>
    </w:p>
    <w:p>
      <w:pPr>
        <w:ind w:firstLine="480"/>
        <w:rPr>
          <w:rFonts w:ascii="Times New Roman" w:hAnsi="Times New Roman"/>
        </w:rPr>
      </w:pPr>
      <w:r>
        <w:rPr>
          <w:rFonts w:ascii="Times New Roman" w:hAnsi="Times New Roman"/>
        </w:rPr>
        <w:t>（1）严格控制施工占用土地</w:t>
      </w:r>
    </w:p>
    <w:p>
      <w:pPr>
        <w:ind w:firstLine="480"/>
        <w:rPr>
          <w:rFonts w:ascii="Times New Roman" w:hAnsi="Times New Roman"/>
        </w:rPr>
      </w:pPr>
      <w:r>
        <w:rPr>
          <w:rFonts w:ascii="Times New Roman" w:hAnsi="Times New Roman"/>
        </w:rPr>
        <w:t>1）对项目井场、清管站、阀室、放空区、进站道路永久占地合理规划，严格控制施工作业带宽度，本项目管径为DN250、DN150、DN80、DN50不等，埋地段施工作业带宽度为管道沿线两侧10-16m。施工作业带宽度以满足施工要求为主，本着节约土地，减少破坏植被的原则尽量缩窄，综合考虑；</w:t>
      </w:r>
    </w:p>
    <w:p>
      <w:pPr>
        <w:ind w:firstLine="480"/>
        <w:rPr>
          <w:rFonts w:ascii="Times New Roman" w:hAnsi="Times New Roman"/>
        </w:rPr>
      </w:pPr>
      <w:r>
        <w:rPr>
          <w:rFonts w:ascii="Times New Roman" w:hAnsi="Times New Roman"/>
        </w:rPr>
        <w:t>2）按设计标准规定，严格控制施工作业带面积，不得超过作业标准规定，对管道敷设施工宽度控制在设计标准范围内，并尽量沿道路纵向平行布设，以减少土壤扰动和地表植被破坏，减少裸地和土方暴露面积；</w:t>
      </w:r>
    </w:p>
    <w:p>
      <w:pPr>
        <w:ind w:firstLine="480"/>
        <w:rPr>
          <w:rFonts w:ascii="Times New Roman" w:hAnsi="Times New Roman"/>
        </w:rPr>
      </w:pPr>
      <w:r>
        <w:rPr>
          <w:rFonts w:ascii="Times New Roman" w:hAnsi="Times New Roman"/>
        </w:rPr>
        <w:t>3）一切施工作业尽量利用原有公路，沿已有车辙行驶，若无原有公路，则要执行先修道路，后设点作业的原则进行。杜绝车辆乱碾乱轧的情况发生，不随意开设便道。管道尽量沿公路侧平行布置，便于施工及运营期检修维护，避免修筑专门施工便道；</w:t>
      </w:r>
    </w:p>
    <w:p>
      <w:pPr>
        <w:ind w:firstLine="480"/>
        <w:rPr>
          <w:rFonts w:ascii="Times New Roman" w:hAnsi="Times New Roman"/>
        </w:rPr>
      </w:pPr>
      <w:r>
        <w:rPr>
          <w:rFonts w:ascii="Times New Roman" w:hAnsi="Times New Roman"/>
        </w:rPr>
        <w:t>4）现场施工作业机械应严格管理，划定活动范围，不得在道路和施工作业场地以外的地方行驶和作业，保持路外植被不被破坏。</w:t>
      </w:r>
    </w:p>
    <w:p>
      <w:pPr>
        <w:ind w:firstLine="480"/>
        <w:rPr>
          <w:rFonts w:ascii="Times New Roman" w:hAnsi="Times New Roman"/>
        </w:rPr>
      </w:pPr>
      <w:r>
        <w:rPr>
          <w:rFonts w:ascii="Times New Roman" w:hAnsi="Times New Roman"/>
        </w:rPr>
        <w:t>（2）恢复土地利用原有格局</w:t>
      </w:r>
    </w:p>
    <w:p>
      <w:pPr>
        <w:ind w:firstLine="480"/>
        <w:rPr>
          <w:rFonts w:ascii="Times New Roman" w:hAnsi="Times New Roman"/>
        </w:rPr>
      </w:pPr>
      <w:r>
        <w:rPr>
          <w:rFonts w:ascii="Times New Roman" w:hAnsi="Times New Roman"/>
        </w:rPr>
        <w:t>1）施工结束后，应恢复地貌原状。施工时对管沟开挖的土壤做分层开挖、分层堆放，分层回填压实，以保护植被生长层，降低对土壤养分的影响，尽快使土壤恢复生产力，同时减少水土流失；</w:t>
      </w:r>
    </w:p>
    <w:p>
      <w:pPr>
        <w:ind w:firstLine="480"/>
        <w:rPr>
          <w:rFonts w:ascii="Times New Roman" w:hAnsi="Times New Roman"/>
        </w:rPr>
      </w:pPr>
      <w:r>
        <w:rPr>
          <w:rFonts w:ascii="Times New Roman" w:hAnsi="Times New Roman"/>
        </w:rPr>
        <w:t>2）对管沟回填后多余的土严禁大量集中弃置，应均匀分散在管道中心两侧，并使管沟与周围自然地表形成平滑过度，不得形成汇水环境，防止水土流失。管道所经地段的原始地表存在局部凹地时，若有集水的可能，需采用管沟多余土或借土填高以防地表水汇集。对敷设在较平坦地段的管道，应在地貌恢复后使管沟与附近地表自然过渡，回填土与周围地表坡向保持一致，严禁在管沟两侧有集水环境存在；</w:t>
      </w:r>
    </w:p>
    <w:p>
      <w:pPr>
        <w:ind w:firstLine="480"/>
        <w:rPr>
          <w:rFonts w:ascii="Times New Roman" w:hAnsi="Times New Roman"/>
        </w:rPr>
      </w:pPr>
      <w:r>
        <w:rPr>
          <w:rFonts w:ascii="Times New Roman" w:hAnsi="Times New Roman"/>
        </w:rPr>
        <w:t>3）对管道修筑过程中产生的弃土区要平整，然后洒上一次水，再让其自然恢复。</w:t>
      </w:r>
    </w:p>
    <w:p>
      <w:pPr>
        <w:pStyle w:val="5"/>
        <w:rPr>
          <w:rFonts w:ascii="Times New Roman" w:hAnsi="Times New Roman"/>
        </w:rPr>
      </w:pPr>
      <w:r>
        <w:rPr>
          <w:rFonts w:ascii="Times New Roman" w:hAnsi="Times New Roman"/>
        </w:rPr>
        <w:t>生物多样性保护措施</w:t>
      </w:r>
    </w:p>
    <w:p>
      <w:pPr>
        <w:ind w:firstLine="480"/>
        <w:rPr>
          <w:rFonts w:ascii="Times New Roman" w:hAnsi="Times New Roman"/>
        </w:rPr>
      </w:pPr>
      <w:r>
        <w:rPr>
          <w:rFonts w:ascii="Times New Roman" w:hAnsi="Times New Roman"/>
        </w:rPr>
        <w:t>（1）在施工过程中，应加强施工人员的管理，禁止施工人员对野外植被滥砍滥伐，破坏沿线地区的生态环境；</w:t>
      </w:r>
    </w:p>
    <w:p>
      <w:pPr>
        <w:ind w:firstLine="480"/>
        <w:rPr>
          <w:rFonts w:ascii="Times New Roman" w:hAnsi="Times New Roman"/>
        </w:rPr>
      </w:pPr>
      <w:r>
        <w:rPr>
          <w:rFonts w:ascii="Times New Roman" w:hAnsi="Times New Roman"/>
        </w:rPr>
        <w:t>（2）禁止施工人员对野生动物尤其是珍稀动物的滥捕滥杀，作好野生动物的保护工作；</w:t>
      </w:r>
    </w:p>
    <w:p>
      <w:pPr>
        <w:ind w:firstLine="480"/>
        <w:rPr>
          <w:rFonts w:ascii="Times New Roman" w:hAnsi="Times New Roman"/>
        </w:rPr>
      </w:pPr>
      <w:r>
        <w:rPr>
          <w:rFonts w:ascii="Times New Roman" w:hAnsi="Times New Roman"/>
        </w:rPr>
        <w:t>（3）施工期要加大对保护野生动物的宣传力度，大力宣传鸟类、两栖、爬行动物等对农林卫生业的作用。禁止捕杀鸟类、两栖和爬行动物等；</w:t>
      </w:r>
    </w:p>
    <w:p>
      <w:pPr>
        <w:ind w:firstLine="480"/>
        <w:rPr>
          <w:rFonts w:ascii="Times New Roman" w:hAnsi="Times New Roman"/>
        </w:rPr>
      </w:pPr>
      <w:r>
        <w:rPr>
          <w:rFonts w:ascii="Times New Roman" w:hAnsi="Times New Roman"/>
        </w:rPr>
        <w:t>（4）在车辆行驶中，遇见动物通过时，应避让，施工结束后，应采取相应的恢复替代措施，如对破坏植被的恢复等；</w:t>
      </w:r>
    </w:p>
    <w:p>
      <w:pPr>
        <w:ind w:firstLine="480"/>
        <w:rPr>
          <w:rFonts w:ascii="Times New Roman" w:hAnsi="Times New Roman"/>
        </w:rPr>
      </w:pPr>
      <w:r>
        <w:rPr>
          <w:rFonts w:ascii="Times New Roman" w:hAnsi="Times New Roman"/>
        </w:rPr>
        <w:t>（5）根据该区域鸟类繁殖的特点，尤其是珍惜濒危物种的鸟类，尽可能缩窄施工作业带宽度，尽量避免高强度噪声的机械设备同时使用，避免夜间高亮度灯照名，尽量降低对鸟类产生影响。严禁施工人员在评价区域内猎鸟、捕鸟、毒鸟，积极开展“爱鸟护鸟”的宣传活动，使得人类与鸟类更好和谐共处。</w:t>
      </w:r>
    </w:p>
    <w:p>
      <w:pPr>
        <w:pStyle w:val="5"/>
        <w:rPr>
          <w:rFonts w:ascii="Times New Roman" w:hAnsi="Times New Roman"/>
        </w:rPr>
      </w:pPr>
      <w:r>
        <w:rPr>
          <w:rFonts w:ascii="Times New Roman" w:hAnsi="Times New Roman"/>
        </w:rPr>
        <w:t>植被保护及恢复措施</w:t>
      </w:r>
    </w:p>
    <w:p>
      <w:pPr>
        <w:ind w:firstLine="480"/>
        <w:rPr>
          <w:rFonts w:ascii="Times New Roman" w:hAnsi="Times New Roman"/>
        </w:rPr>
      </w:pPr>
      <w:r>
        <w:rPr>
          <w:rFonts w:ascii="Times New Roman" w:hAnsi="Times New Roman"/>
        </w:rPr>
        <w:t>（1）施工作业带</w:t>
      </w:r>
    </w:p>
    <w:p>
      <w:pPr>
        <w:ind w:firstLine="480"/>
        <w:rPr>
          <w:rFonts w:ascii="Times New Roman" w:hAnsi="Times New Roman"/>
        </w:rPr>
      </w:pPr>
      <w:r>
        <w:rPr>
          <w:rFonts w:ascii="Times New Roman" w:hAnsi="Times New Roman"/>
        </w:rPr>
        <w:t>输气管道施工作业带宽度约为10-16m，由于公益林、天然林分布广，面积大，无法避让，因此穿越林地时尽量缩窄施工作业带，天然林和公益林施工作业带控制在10-12m，一般林地施工作业带控制在10-14m，施工结束后尽快对管线两侧5m范围外的林地选用本地种进行恢复，5m范围内恢复浅根植被。</w:t>
      </w:r>
    </w:p>
    <w:p>
      <w:pPr>
        <w:ind w:firstLine="480"/>
        <w:rPr>
          <w:rFonts w:ascii="Times New Roman" w:hAnsi="Times New Roman"/>
        </w:rPr>
      </w:pPr>
      <w:r>
        <w:rPr>
          <w:rFonts w:ascii="Times New Roman" w:hAnsi="Times New Roman"/>
        </w:rPr>
        <w:t>（2）施工便道、堆管场</w:t>
      </w:r>
    </w:p>
    <w:p>
      <w:pPr>
        <w:ind w:firstLine="480"/>
        <w:rPr>
          <w:rFonts w:ascii="Times New Roman" w:hAnsi="Times New Roman"/>
        </w:rPr>
      </w:pPr>
      <w:r>
        <w:rPr>
          <w:rFonts w:ascii="Times New Roman" w:hAnsi="Times New Roman"/>
        </w:rPr>
        <w:t>施工便道、堆管场的选线应避免和尽量减少对地表植被的破坏和影响。工程结束后，立即对施工便道进行恢复。管道施工过程中，尽可能不破坏地形、地貌；施工完毕后，尽可能将施工地带地形、地貌恢复至施工前时的地形地貌。根据现场踏勘，没有发现需要特别保护的树种，在具体施工中，如发现特别需保护的树种并且无法避让时，应进行移栽。</w:t>
      </w:r>
    </w:p>
    <w:p>
      <w:pPr>
        <w:ind w:firstLine="480"/>
        <w:rPr>
          <w:rFonts w:ascii="Times New Roman" w:hAnsi="Times New Roman"/>
        </w:rPr>
      </w:pPr>
      <w:r>
        <w:rPr>
          <w:rFonts w:ascii="Times New Roman" w:hAnsi="Times New Roman"/>
        </w:rPr>
        <w:t>本项目占用林地需严格落实《四川省建设项目使用林地审核审批管理规范》（川林规</w:t>
      </w:r>
      <w:r>
        <w:rPr>
          <w:rFonts w:hint="eastAsia" w:ascii="Times New Roman" w:hAnsi="Times New Roman"/>
          <w:lang w:eastAsia="zh-CN"/>
        </w:rPr>
        <w:t>〔2022〕</w:t>
      </w:r>
      <w:r>
        <w:rPr>
          <w:rFonts w:ascii="Times New Roman" w:hAnsi="Times New Roman"/>
        </w:rPr>
        <w:t>2号）临时使用林地的监管工作要求。建立完善的管理体系，不随意砍伐植物，在开挖的工程中，如发现有国家重点保护植物，要报告当地环保部门，立即组织挽救，移栽他处。</w:t>
      </w:r>
    </w:p>
    <w:p>
      <w:pPr>
        <w:pStyle w:val="5"/>
        <w:rPr>
          <w:rFonts w:ascii="Times New Roman" w:hAnsi="Times New Roman"/>
        </w:rPr>
      </w:pPr>
      <w:r>
        <w:rPr>
          <w:rFonts w:ascii="Times New Roman" w:hAnsi="Times New Roman"/>
        </w:rPr>
        <w:t>对农业的保护措施</w:t>
      </w:r>
    </w:p>
    <w:p>
      <w:pPr>
        <w:ind w:firstLine="480"/>
        <w:rPr>
          <w:rFonts w:ascii="Times New Roman" w:hAnsi="Times New Roman"/>
        </w:rPr>
      </w:pPr>
      <w:r>
        <w:rPr>
          <w:rFonts w:ascii="Times New Roman" w:hAnsi="Times New Roman"/>
        </w:rPr>
        <w:t>（1）在工程的总体规划中必须考虑施工对农业生产的影响，将农业损失纳入到工程预算中，管道通过农业区时，尤其是占用园地、菜地、粮棉油地等经济农业区时应尽量缩小影响范围，减少损失，降低工程对农业生态环境的干扰和破坏，尽量减少占用永久基本农田，占用的部分按照等质等量的要求进行占补平衡。</w:t>
      </w:r>
    </w:p>
    <w:p>
      <w:pPr>
        <w:ind w:firstLine="480"/>
        <w:rPr>
          <w:rFonts w:ascii="Times New Roman" w:hAnsi="Times New Roman"/>
        </w:rPr>
      </w:pPr>
      <w:r>
        <w:rPr>
          <w:rFonts w:ascii="Times New Roman" w:hAnsi="Times New Roman"/>
        </w:rPr>
        <w:t>（2）于本项目所涉及的永久占地和临时占地都应按有关土地管理办法的要求，逐级上报有审批权的政府部门批准，对于永久占地，应纳入地方土地利用规划中，并按有关土地管理部门要求认真执行。</w:t>
      </w:r>
    </w:p>
    <w:p>
      <w:pPr>
        <w:ind w:firstLine="480"/>
        <w:rPr>
          <w:rFonts w:ascii="Times New Roman" w:hAnsi="Times New Roman"/>
        </w:rPr>
      </w:pPr>
      <w:r>
        <w:rPr>
          <w:rFonts w:ascii="Times New Roman" w:hAnsi="Times New Roman"/>
        </w:rPr>
        <w:t>（3）根据《基本农田保护条例》，非农业建设经批准占用基本农田的，按照保持耕地面积动态平衡，应“占多少、垦多少”，没有条件开垦或开垦耕地不符合要求的应按规定缴纳耕地开垦费，专款用于开垦新耕地。</w:t>
      </w:r>
    </w:p>
    <w:p>
      <w:pPr>
        <w:ind w:firstLine="480"/>
        <w:rPr>
          <w:rFonts w:ascii="Times New Roman" w:hAnsi="Times New Roman"/>
        </w:rPr>
      </w:pPr>
      <w:r>
        <w:rPr>
          <w:rFonts w:ascii="Times New Roman" w:hAnsi="Times New Roman"/>
        </w:rPr>
        <w:t>（4）本项目临时占地中，占用耕地8.06hm</w:t>
      </w:r>
      <w:r>
        <w:rPr>
          <w:rFonts w:ascii="Times New Roman" w:hAnsi="Times New Roman"/>
          <w:vertAlign w:val="superscript"/>
        </w:rPr>
        <w:t>2</w:t>
      </w:r>
      <w:r>
        <w:rPr>
          <w:rFonts w:ascii="Times New Roman" w:hAnsi="Times New Roman"/>
        </w:rPr>
        <w:t>，对于临时占地除在施工中采取措施减少基本农田破坏外，在施工结束后，应做好基本农田的恢复工作。除补偿因临时占地对农田产量的直接损失外，还应考虑施工结束后因土壤结构破坏对农作物产量的间接损失以及土壤恢复的补偿费等。</w:t>
      </w:r>
    </w:p>
    <w:p>
      <w:pPr>
        <w:ind w:firstLine="480"/>
        <w:rPr>
          <w:rFonts w:ascii="Times New Roman" w:hAnsi="Times New Roman"/>
        </w:rPr>
      </w:pPr>
      <w:r>
        <w:rPr>
          <w:rFonts w:ascii="Times New Roman" w:hAnsi="Times New Roman"/>
        </w:rPr>
        <w:t>（5）施工中虽采用了分层开挖、分层回填措施，但耕层土养分也会大量流失，需进行土壤恢复；所占用基本农田耕作层的土壤用于新开垦耕地、劣质地或者其他耕地的土壤改良；临时占用的农田，工程完工后立即实施复垦措施，并可与农民协商，由农民自行复垦。</w:t>
      </w:r>
    </w:p>
    <w:p>
      <w:pPr>
        <w:ind w:firstLine="480"/>
        <w:rPr>
          <w:rFonts w:ascii="Times New Roman" w:hAnsi="Times New Roman"/>
        </w:rPr>
      </w:pPr>
      <w:r>
        <w:rPr>
          <w:rFonts w:ascii="Times New Roman" w:hAnsi="Times New Roman"/>
        </w:rPr>
        <w:t>（6）提高施工效率，缩短施工时间，以保持耕作层肥力，缩短农业生产季节的损失，因地制宜地选择施工季节，尽量避开农作物的生长和收获期，减少农业当季损失。</w:t>
      </w:r>
    </w:p>
    <w:p>
      <w:pPr>
        <w:ind w:firstLine="480"/>
        <w:rPr>
          <w:rFonts w:ascii="Times New Roman" w:hAnsi="Times New Roman"/>
        </w:rPr>
      </w:pPr>
      <w:r>
        <w:rPr>
          <w:rFonts w:ascii="Times New Roman" w:hAnsi="Times New Roman"/>
        </w:rPr>
        <w:t>（7）管道施工中要采取保护土壤措施，对农业熟化土壤要分层开挖，分别堆放，分层填埋，减少因施工造成生土上翻、耕层养分损失、农作物减产的后果，同时要避免由于土层不坚实而形成的水土流失等问题。</w:t>
      </w:r>
    </w:p>
    <w:p>
      <w:pPr>
        <w:ind w:firstLine="480"/>
        <w:rPr>
          <w:rFonts w:ascii="Times New Roman" w:hAnsi="Times New Roman"/>
        </w:rPr>
      </w:pPr>
      <w:r>
        <w:rPr>
          <w:rFonts w:ascii="Times New Roman" w:hAnsi="Times New Roman"/>
        </w:rPr>
        <w:t>（8）由于施工设备庞大，在施工时，应避免农田基础设施受碾压而失去正常使用功能。</w:t>
      </w:r>
    </w:p>
    <w:p>
      <w:pPr>
        <w:ind w:firstLine="480"/>
        <w:rPr>
          <w:rFonts w:ascii="Times New Roman" w:hAnsi="Times New Roman"/>
        </w:rPr>
      </w:pPr>
      <w:r>
        <w:rPr>
          <w:rFonts w:ascii="Times New Roman" w:hAnsi="Times New Roman"/>
        </w:rPr>
        <w:t>（9）制定永久基本农田保护方案。</w:t>
      </w:r>
    </w:p>
    <w:p>
      <w:pPr>
        <w:pStyle w:val="5"/>
        <w:rPr>
          <w:rFonts w:ascii="Times New Roman" w:hAnsi="Times New Roman"/>
        </w:rPr>
      </w:pPr>
      <w:r>
        <w:rPr>
          <w:rFonts w:ascii="Times New Roman" w:hAnsi="Times New Roman"/>
        </w:rPr>
        <w:t>对古树名木保护措施</w:t>
      </w:r>
    </w:p>
    <w:p>
      <w:pPr>
        <w:ind w:firstLine="480"/>
        <w:rPr>
          <w:rFonts w:ascii="Times New Roman" w:hAnsi="Times New Roman"/>
        </w:rPr>
      </w:pPr>
      <w:r>
        <w:rPr>
          <w:rFonts w:ascii="Times New Roman" w:hAnsi="Times New Roman"/>
        </w:rPr>
        <w:t>（1）对永久占地范围内和管道施工作业带内的树木砍伐前核实是否有古树名木。</w:t>
      </w:r>
    </w:p>
    <w:p>
      <w:pPr>
        <w:ind w:firstLine="480"/>
        <w:rPr>
          <w:rFonts w:ascii="Times New Roman" w:hAnsi="Times New Roman"/>
        </w:rPr>
      </w:pPr>
      <w:r>
        <w:rPr>
          <w:rFonts w:ascii="Times New Roman" w:hAnsi="Times New Roman"/>
        </w:rPr>
        <w:t>（2）本项目施工便道、堆管场、人行巡检便道等绕避古树名木保护范围。</w:t>
      </w:r>
    </w:p>
    <w:p>
      <w:pPr>
        <w:ind w:firstLine="480"/>
        <w:rPr>
          <w:rFonts w:ascii="Times New Roman" w:hAnsi="Times New Roman"/>
        </w:rPr>
      </w:pPr>
      <w:r>
        <w:rPr>
          <w:rFonts w:ascii="Times New Roman" w:hAnsi="Times New Roman"/>
        </w:rPr>
        <w:t>（3）如施工过程中发现对无法避让的古树名木，须按照《四川省古树名木保护条例》中古树名木管理规定，制定移植方案，落实移植、养护费用，并按照有关法律、法规的规定审批。</w:t>
      </w:r>
    </w:p>
    <w:p>
      <w:pPr>
        <w:ind w:firstLine="480"/>
        <w:rPr>
          <w:rFonts w:ascii="Times New Roman" w:hAnsi="Times New Roman"/>
        </w:rPr>
      </w:pPr>
      <w:r>
        <w:rPr>
          <w:rFonts w:ascii="Times New Roman" w:hAnsi="Times New Roman"/>
        </w:rPr>
        <w:t>（4）施工期要加大保护古树名木的宣传力度，禁止施工人员对古树造成破坏等。</w:t>
      </w:r>
    </w:p>
    <w:p>
      <w:pPr>
        <w:pStyle w:val="5"/>
        <w:rPr>
          <w:rFonts w:ascii="Times New Roman" w:hAnsi="Times New Roman"/>
        </w:rPr>
      </w:pPr>
      <w:r>
        <w:rPr>
          <w:rFonts w:ascii="Times New Roman" w:hAnsi="Times New Roman"/>
        </w:rPr>
        <w:t>水生生态保护措施</w:t>
      </w:r>
    </w:p>
    <w:p>
      <w:pPr>
        <w:ind w:firstLine="480"/>
        <w:rPr>
          <w:rFonts w:ascii="Times New Roman" w:hAnsi="Times New Roman"/>
        </w:rPr>
      </w:pPr>
      <w:r>
        <w:rPr>
          <w:rFonts w:ascii="Times New Roman" w:hAnsi="Times New Roman"/>
        </w:rPr>
        <w:t>（1）清溪水环境保护措施</w:t>
      </w:r>
    </w:p>
    <w:p>
      <w:pPr>
        <w:ind w:firstLine="480"/>
        <w:rPr>
          <w:rFonts w:ascii="Times New Roman" w:hAnsi="Times New Roman"/>
        </w:rPr>
      </w:pPr>
      <w:r>
        <w:rPr>
          <w:rFonts w:ascii="Times New Roman" w:hAnsi="Times New Roman"/>
        </w:rPr>
        <w:t>做好施工方案，加强施工管理，防止施工材料直接对河道进行堵塞；采取切实的水土保持措施，防止大量弃土堆积于河道内；选择在枯水期进行清溪河的开挖穿越，同时提高作业效率，缩短涉水工程作业时间。施工过程中禁止在河道洗涤车辆，禁止生产废水直接排入河道污染水环境。</w:t>
      </w:r>
    </w:p>
    <w:p>
      <w:pPr>
        <w:ind w:firstLine="480"/>
        <w:rPr>
          <w:rFonts w:ascii="Times New Roman" w:hAnsi="Times New Roman"/>
        </w:rPr>
      </w:pPr>
      <w:r>
        <w:rPr>
          <w:rFonts w:ascii="Times New Roman" w:hAnsi="Times New Roman"/>
        </w:rPr>
        <w:t>（2）鱼类资源保护措施</w:t>
      </w:r>
    </w:p>
    <w:p>
      <w:pPr>
        <w:ind w:firstLine="480"/>
        <w:rPr>
          <w:rFonts w:ascii="Times New Roman" w:hAnsi="Times New Roman"/>
        </w:rPr>
      </w:pPr>
      <w:r>
        <w:rPr>
          <w:rFonts w:ascii="Times New Roman" w:hAnsi="Times New Roman"/>
        </w:rPr>
        <w:t>施工期应加强对施工人员保护水生生态环境的</w:t>
      </w:r>
      <w:r>
        <w:rPr>
          <w:rFonts w:hint="eastAsia" w:ascii="Times New Roman" w:hAnsi="Times New Roman"/>
          <w:lang w:eastAsia="zh-CN"/>
        </w:rPr>
        <w:t>法治宣传</w:t>
      </w:r>
      <w:r>
        <w:rPr>
          <w:rFonts w:ascii="Times New Roman" w:hAnsi="Times New Roman"/>
        </w:rPr>
        <w:t>教育，提倡文明施工，禁止施工人员乱捕鱼。</w:t>
      </w:r>
    </w:p>
    <w:p>
      <w:pPr>
        <w:pStyle w:val="5"/>
        <w:rPr>
          <w:rFonts w:ascii="Times New Roman" w:hAnsi="Times New Roman"/>
        </w:rPr>
      </w:pPr>
      <w:r>
        <w:rPr>
          <w:rFonts w:ascii="Times New Roman" w:hAnsi="Times New Roman"/>
        </w:rPr>
        <w:t>百里峡风景名胜区保护措施</w:t>
      </w:r>
    </w:p>
    <w:p>
      <w:pPr>
        <w:ind w:firstLine="480"/>
        <w:rPr>
          <w:rFonts w:ascii="Times New Roman" w:hAnsi="Times New Roman"/>
        </w:rPr>
      </w:pPr>
      <w:r>
        <w:rPr>
          <w:rFonts w:ascii="Times New Roman" w:hAnsi="Times New Roman"/>
        </w:rPr>
        <w:t>（1）施工场地不准建设在</w:t>
      </w:r>
      <w:r>
        <w:rPr>
          <w:rFonts w:ascii="Times New Roman" w:hAnsi="Times New Roman"/>
        </w:rPr>
        <w:tab/>
      </w:r>
      <w:r>
        <w:rPr>
          <w:rFonts w:ascii="Times New Roman" w:hAnsi="Times New Roman"/>
        </w:rPr>
        <w:t>百里峡风景名胜区附近陆地上。</w:t>
      </w:r>
    </w:p>
    <w:p>
      <w:pPr>
        <w:ind w:firstLine="480"/>
        <w:rPr>
          <w:rFonts w:ascii="Times New Roman" w:hAnsi="Times New Roman"/>
        </w:rPr>
      </w:pPr>
      <w:r>
        <w:rPr>
          <w:rFonts w:ascii="Times New Roman" w:hAnsi="Times New Roman"/>
        </w:rPr>
        <w:t>（2）施工产生的一切固体废物均应回收，禁止排入风景名胜区附近水体。</w:t>
      </w:r>
    </w:p>
    <w:p>
      <w:pPr>
        <w:ind w:firstLine="480"/>
        <w:rPr>
          <w:rFonts w:ascii="Times New Roman" w:hAnsi="Times New Roman"/>
        </w:rPr>
      </w:pPr>
      <w:r>
        <w:rPr>
          <w:rFonts w:ascii="Times New Roman" w:hAnsi="Times New Roman"/>
        </w:rPr>
        <w:t>（3）在风景名胜区附近禁止给施工机械加油或存放油品储罐，禁止清洗施工机械、排放污水。机械设备若有漏油现象，要及时清理，避免造成大面积污染。</w:t>
      </w:r>
    </w:p>
    <w:p>
      <w:pPr>
        <w:ind w:firstLine="480"/>
        <w:rPr>
          <w:rFonts w:ascii="Times New Roman" w:hAnsi="Times New Roman"/>
        </w:rPr>
      </w:pPr>
      <w:r>
        <w:rPr>
          <w:rFonts w:ascii="Times New Roman" w:hAnsi="Times New Roman"/>
        </w:rPr>
        <w:t>（4）严禁在风景名胜区附近排放管道试压水。</w:t>
      </w:r>
    </w:p>
    <w:p>
      <w:pPr>
        <w:ind w:firstLine="480"/>
        <w:rPr>
          <w:rFonts w:ascii="Times New Roman" w:hAnsi="Times New Roman"/>
        </w:rPr>
      </w:pPr>
      <w:r>
        <w:rPr>
          <w:rFonts w:ascii="Times New Roman" w:hAnsi="Times New Roman"/>
        </w:rPr>
        <w:t>（5）在风景名胜区附近禁止建设临时厕所。</w:t>
      </w:r>
    </w:p>
    <w:p>
      <w:pPr>
        <w:ind w:firstLine="480"/>
        <w:rPr>
          <w:rFonts w:ascii="Times New Roman" w:hAnsi="Times New Roman"/>
        </w:rPr>
      </w:pPr>
      <w:r>
        <w:rPr>
          <w:rFonts w:ascii="Times New Roman" w:hAnsi="Times New Roman"/>
        </w:rPr>
        <w:t>（6）该段施工前，对施工人员进行专门的环境教育，使其认识到风景名胜区保护的重要性，严格按照施工规范施工，避免对风景名胜区产生破坏。</w:t>
      </w:r>
    </w:p>
    <w:p>
      <w:pPr>
        <w:pStyle w:val="5"/>
        <w:rPr>
          <w:rFonts w:ascii="Times New Roman" w:hAnsi="Times New Roman"/>
        </w:rPr>
      </w:pPr>
      <w:r>
        <w:rPr>
          <w:rFonts w:ascii="Times New Roman" w:hAnsi="Times New Roman"/>
        </w:rPr>
        <w:t>对水土流失的防治措施</w:t>
      </w:r>
    </w:p>
    <w:p>
      <w:pPr>
        <w:ind w:firstLine="480"/>
        <w:rPr>
          <w:rFonts w:ascii="Times New Roman" w:hAnsi="Times New Roman"/>
        </w:rPr>
      </w:pPr>
      <w:r>
        <w:rPr>
          <w:rFonts w:ascii="Times New Roman" w:hAnsi="Times New Roman"/>
        </w:rPr>
        <w:t>（1）优化主体工程设计，在既保证主体工程顺利施工的条件下，同时兼顾水土保持的要求。</w:t>
      </w:r>
    </w:p>
    <w:p>
      <w:pPr>
        <w:ind w:firstLine="480"/>
        <w:rPr>
          <w:rFonts w:ascii="Times New Roman" w:hAnsi="Times New Roman"/>
        </w:rPr>
      </w:pPr>
      <w:r>
        <w:rPr>
          <w:rFonts w:ascii="Times New Roman" w:hAnsi="Times New Roman"/>
        </w:rPr>
        <w:t xml:space="preserve">（2）规范施工程序，优化施工组织和施工工艺。合理安排施工时序，尽量缩短施工工期，减少疏松地面的裸露时间；尽量避开雨季施工，适时开挖，减轻施工期造成的水土流失。增加土石方移动过程中临时处理措施，完善边坡挡土工程、护坡工程，修建临时性围墙封闭施工，将水土流失尽量控制在项目区内进行防治。 </w:t>
      </w:r>
    </w:p>
    <w:p>
      <w:pPr>
        <w:ind w:firstLine="480"/>
        <w:rPr>
          <w:rFonts w:ascii="Times New Roman" w:hAnsi="Times New Roman"/>
        </w:rPr>
      </w:pPr>
      <w:r>
        <w:rPr>
          <w:rFonts w:ascii="Times New Roman" w:hAnsi="Times New Roman"/>
        </w:rPr>
        <w:t>（3）增加临时排水措施和沉沙池工程。本项目全面扰动地表，施工建设期土体裸露面积大、裸露时间较长，雨季易产生严重水土流失，因此在采取永久性防治措施之前，应采取临时性措施，控制施工期水土流失。</w:t>
      </w:r>
    </w:p>
    <w:p>
      <w:pPr>
        <w:ind w:firstLine="480"/>
        <w:rPr>
          <w:rFonts w:ascii="Times New Roman" w:hAnsi="Times New Roman"/>
        </w:rPr>
      </w:pPr>
      <w:r>
        <w:rPr>
          <w:rFonts w:ascii="Times New Roman" w:hAnsi="Times New Roman"/>
        </w:rPr>
        <w:t>（4）项目建设应满足消防及交通要求，项目道路及给排水管网一次敷设到位，避免改沟改路，尤其应防止沟渠受截而使水流冲刷改道，造成水土流失。</w:t>
      </w:r>
    </w:p>
    <w:p>
      <w:pPr>
        <w:ind w:firstLine="480"/>
        <w:rPr>
          <w:rFonts w:ascii="Times New Roman" w:hAnsi="Times New Roman"/>
        </w:rPr>
      </w:pPr>
      <w:r>
        <w:rPr>
          <w:rFonts w:ascii="Times New Roman" w:hAnsi="Times New Roman"/>
        </w:rPr>
        <w:t>（5）本项目所在区域属于嘉陵江及沱江中下游国家级水土流失重点治理区，水土流失防治标准执行《生产建设项目水土流失防治标准》（GB/T50434-2018）一级标准。</w:t>
      </w:r>
    </w:p>
    <w:p>
      <w:pPr>
        <w:pStyle w:val="5"/>
        <w:rPr>
          <w:rFonts w:ascii="Times New Roman" w:hAnsi="Times New Roman"/>
        </w:rPr>
      </w:pPr>
      <w:r>
        <w:rPr>
          <w:rFonts w:ascii="Times New Roman" w:hAnsi="Times New Roman"/>
        </w:rPr>
        <w:t>加强工程的环境保护监理工作</w:t>
      </w:r>
    </w:p>
    <w:p>
      <w:pPr>
        <w:ind w:firstLine="480"/>
        <w:rPr>
          <w:rFonts w:ascii="Times New Roman" w:hAnsi="Times New Roman"/>
        </w:rPr>
      </w:pPr>
      <w:r>
        <w:rPr>
          <w:rFonts w:ascii="Times New Roman" w:hAnsi="Times New Roman"/>
        </w:rPr>
        <w:t>加强施工期的环境监理工作，对建设项目实施专业化的环境保护咨询和技术服务，协助和指导建设单位全面落实建设项目各项环保措施。</w:t>
      </w:r>
    </w:p>
    <w:p>
      <w:pPr>
        <w:ind w:firstLine="480"/>
        <w:rPr>
          <w:rFonts w:ascii="Times New Roman" w:hAnsi="Times New Roman"/>
        </w:rPr>
      </w:pPr>
      <w:r>
        <w:rPr>
          <w:rFonts w:ascii="Times New Roman" w:hAnsi="Times New Roman"/>
        </w:rPr>
        <w:t>（1）建设单位</w:t>
      </w:r>
    </w:p>
    <w:p>
      <w:pPr>
        <w:ind w:firstLine="480"/>
        <w:rPr>
          <w:rFonts w:ascii="Times New Roman" w:hAnsi="Times New Roman"/>
        </w:rPr>
      </w:pPr>
      <w:r>
        <w:rPr>
          <w:rFonts w:ascii="Times New Roman" w:hAnsi="Times New Roman"/>
        </w:rPr>
        <w:t>1）加强工程监理的招投标工作，保证合理的监理费用，使工程监理单位能够独立开展工程质量、环境保护的监理工作。</w:t>
      </w:r>
    </w:p>
    <w:p>
      <w:pPr>
        <w:ind w:firstLine="480"/>
        <w:rPr>
          <w:rFonts w:ascii="Times New Roman" w:hAnsi="Times New Roman"/>
        </w:rPr>
      </w:pPr>
      <w:r>
        <w:rPr>
          <w:rFonts w:ascii="Times New Roman" w:hAnsi="Times New Roman"/>
        </w:rPr>
        <w:t>2）通过招标选择优秀的监理队伍，严把监理上岗资质关、能力关，明确提出配备具有一定环保素质的工程技术人员以及相应的检测设备的要求。</w:t>
      </w:r>
    </w:p>
    <w:p>
      <w:pPr>
        <w:ind w:firstLine="480"/>
        <w:rPr>
          <w:rFonts w:ascii="Times New Roman" w:hAnsi="Times New Roman"/>
        </w:rPr>
      </w:pPr>
      <w:r>
        <w:rPr>
          <w:rFonts w:ascii="Times New Roman" w:hAnsi="Times New Roman"/>
        </w:rPr>
        <w:t>3）保证工程监理工作的正常条件和独立行使监理功能的权利，并将其包括环境监理在内的监理权力的内容明确通告施工单位。</w:t>
      </w:r>
    </w:p>
    <w:p>
      <w:pPr>
        <w:ind w:firstLine="480"/>
        <w:rPr>
          <w:rFonts w:ascii="Times New Roman" w:hAnsi="Times New Roman"/>
        </w:rPr>
      </w:pPr>
      <w:r>
        <w:rPr>
          <w:rFonts w:ascii="Times New Roman" w:hAnsi="Times New Roman"/>
        </w:rPr>
        <w:t>4）建立工程监理监督的有效体制，杜绝监理人员的不端行为。</w:t>
      </w:r>
    </w:p>
    <w:p>
      <w:pPr>
        <w:ind w:firstLine="480"/>
        <w:rPr>
          <w:rFonts w:ascii="Times New Roman" w:hAnsi="Times New Roman"/>
        </w:rPr>
      </w:pPr>
      <w:r>
        <w:rPr>
          <w:rFonts w:ascii="Times New Roman" w:hAnsi="Times New Roman"/>
        </w:rPr>
        <w:t>（2）工程监理单位</w:t>
      </w:r>
    </w:p>
    <w:p>
      <w:pPr>
        <w:ind w:firstLine="480"/>
        <w:rPr>
          <w:rFonts w:ascii="Times New Roman" w:hAnsi="Times New Roman"/>
        </w:rPr>
      </w:pPr>
      <w:r>
        <w:rPr>
          <w:rFonts w:ascii="Times New Roman" w:hAnsi="Times New Roman"/>
        </w:rPr>
        <w:t>1）按监理合同配备具有一定的环保素质的监理人员，并就监理服务的内容强化所有现场监理人员的环境保护知识培训，提高监理人员的环保专业技能。</w:t>
      </w:r>
    </w:p>
    <w:p>
      <w:pPr>
        <w:ind w:firstLine="480"/>
        <w:rPr>
          <w:rFonts w:ascii="Times New Roman" w:hAnsi="Times New Roman"/>
        </w:rPr>
      </w:pPr>
      <w:r>
        <w:rPr>
          <w:rFonts w:ascii="Times New Roman" w:hAnsi="Times New Roman"/>
        </w:rPr>
        <w:t>2）监督符合环保要求的施工组织计划的实施，工程变更必须经过环保论证，经监理单位审批后方可实施。</w:t>
      </w:r>
    </w:p>
    <w:p>
      <w:pPr>
        <w:ind w:firstLine="480"/>
        <w:rPr>
          <w:rFonts w:ascii="Times New Roman" w:hAnsi="Times New Roman"/>
        </w:rPr>
      </w:pPr>
      <w:r>
        <w:rPr>
          <w:rFonts w:ascii="Times New Roman" w:hAnsi="Times New Roman"/>
        </w:rPr>
        <w:t>3）监理单位应加大对生态环境影响较大的土方工程监理力度，包括有肥力土层的剥离和临时储存等，避免土壤资源浪费和土壤侵蚀现象的发生。</w:t>
      </w:r>
    </w:p>
    <w:p>
      <w:pPr>
        <w:ind w:firstLine="480"/>
        <w:rPr>
          <w:rFonts w:ascii="Times New Roman" w:hAnsi="Times New Roman"/>
        </w:rPr>
      </w:pPr>
      <w:r>
        <w:rPr>
          <w:rFonts w:ascii="Times New Roman" w:hAnsi="Times New Roman"/>
        </w:rPr>
        <w:t>4）在施工单位自检基础上，进行其环境保护工作的终检、评定和验收，确保工程正常、有序地进行。</w:t>
      </w:r>
    </w:p>
    <w:p>
      <w:pPr>
        <w:ind w:firstLine="0" w:firstLineChars="0"/>
        <w:rPr>
          <w:rFonts w:ascii="Times New Roman" w:hAnsi="Times New Roman"/>
        </w:rPr>
      </w:pPr>
      <w:r>
        <w:rPr>
          <w:rFonts w:ascii="Times New Roman" w:hAnsi="Times New Roman"/>
        </w:rPr>
        <w:drawing>
          <wp:inline distT="0" distB="0" distL="0" distR="0">
            <wp:extent cx="5274310" cy="7527925"/>
            <wp:effectExtent l="0" t="0" r="2540" b="0"/>
            <wp:docPr id="2064597134" name="图片 2064597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97134" name="图片 2064597134"/>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274310" cy="7527925"/>
                    </a:xfrm>
                    <a:prstGeom prst="rect">
                      <a:avLst/>
                    </a:prstGeom>
                  </pic:spPr>
                </pic:pic>
              </a:graphicData>
            </a:graphic>
          </wp:inline>
        </w:drawing>
      </w:r>
    </w:p>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bookmarkStart w:id="402" w:name="_Hlk160808926"/>
      <w:r>
        <w:rPr>
          <w:rFonts w:ascii="Times New Roman" w:hAnsi="Times New Roman" w:cs="Times New Roman"/>
        </w:rPr>
        <w:t>管道敷设生态保护措施图</w:t>
      </w:r>
      <w:bookmarkEnd w:id="402"/>
    </w:p>
    <w:p>
      <w:pPr>
        <w:ind w:firstLine="480"/>
        <w:rPr>
          <w:rFonts w:ascii="Times New Roman" w:hAnsi="Times New Roman"/>
        </w:rPr>
      </w:pPr>
    </w:p>
    <w:p>
      <w:pPr>
        <w:ind w:firstLine="480"/>
        <w:rPr>
          <w:rFonts w:ascii="Times New Roman" w:hAnsi="Times New Roman"/>
        </w:rPr>
      </w:pPr>
    </w:p>
    <w:p>
      <w:pPr>
        <w:ind w:firstLine="0" w:firstLineChars="0"/>
        <w:rPr>
          <w:rFonts w:ascii="Times New Roman" w:hAnsi="Times New Roman"/>
        </w:rPr>
      </w:pPr>
      <w:r>
        <w:rPr>
          <w:rFonts w:ascii="Times New Roman" w:hAnsi="Times New Roman"/>
        </w:rPr>
        <w:drawing>
          <wp:inline distT="0" distB="0" distL="0" distR="0">
            <wp:extent cx="5274310" cy="360553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274310" cy="3605530"/>
                    </a:xfrm>
                    <a:prstGeom prst="rect">
                      <a:avLst/>
                    </a:prstGeom>
                  </pic:spPr>
                </pic:pic>
              </a:graphicData>
            </a:graphic>
          </wp:inline>
        </w:drawing>
      </w:r>
    </w:p>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bookmarkStart w:id="403" w:name="_Hlk160808942"/>
      <w:r>
        <w:rPr>
          <w:rFonts w:ascii="Times New Roman" w:hAnsi="Times New Roman" w:cs="Times New Roman"/>
        </w:rPr>
        <w:t>爬坡管道敷设生态保护措施图</w:t>
      </w:r>
      <w:bookmarkEnd w:id="403"/>
    </w:p>
    <w:p>
      <w:pPr>
        <w:ind w:firstLine="0" w:firstLineChars="0"/>
        <w:rPr>
          <w:rFonts w:ascii="Times New Roman" w:hAnsi="Times New Roman"/>
        </w:rPr>
      </w:pPr>
      <w:r>
        <w:rPr>
          <w:rFonts w:ascii="Times New Roman" w:hAnsi="Times New Roman"/>
        </w:rPr>
        <w:drawing>
          <wp:inline distT="0" distB="0" distL="0" distR="0">
            <wp:extent cx="5274310" cy="3311525"/>
            <wp:effectExtent l="0" t="0" r="2540"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274310" cy="3311525"/>
                    </a:xfrm>
                    <a:prstGeom prst="rect">
                      <a:avLst/>
                    </a:prstGeom>
                  </pic:spPr>
                </pic:pic>
              </a:graphicData>
            </a:graphic>
          </wp:inline>
        </w:drawing>
      </w:r>
    </w:p>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bookmarkStart w:id="404" w:name="_Hlk160808955"/>
      <w:r>
        <w:rPr>
          <w:rFonts w:ascii="Times New Roman" w:hAnsi="Times New Roman" w:cs="Times New Roman"/>
        </w:rPr>
        <w:t>施工便道生态保护措施图</w:t>
      </w:r>
      <w:bookmarkEnd w:id="404"/>
    </w:p>
    <w:p>
      <w:pPr>
        <w:ind w:firstLine="0" w:firstLineChars="0"/>
        <w:rPr>
          <w:rFonts w:ascii="Times New Roman" w:hAnsi="Times New Roman"/>
        </w:rPr>
      </w:pPr>
    </w:p>
    <w:p>
      <w:pPr>
        <w:ind w:firstLine="480"/>
        <w:rPr>
          <w:rFonts w:ascii="Times New Roman" w:hAnsi="Times New Roman"/>
        </w:rPr>
      </w:pPr>
      <w:r>
        <w:rPr>
          <w:rFonts w:ascii="Times New Roman" w:hAnsi="Times New Roman"/>
        </w:rPr>
        <w:drawing>
          <wp:inline distT="0" distB="0" distL="0" distR="0">
            <wp:extent cx="5091430" cy="3158490"/>
            <wp:effectExtent l="0" t="0" r="0" b="3810"/>
            <wp:docPr id="2064597132" name="图片 2064597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97132" name="图片 2064597132"/>
                    <pic:cNvPicPr>
                      <a:picLocks noChangeAspect="1"/>
                    </pic:cNvPicPr>
                  </pic:nvPicPr>
                  <pic:blipFill>
                    <a:blip r:embed="rId176" cstate="print">
                      <a:extLst>
                        <a:ext uri="{28A0092B-C50C-407E-A947-70E740481C1C}">
                          <a14:useLocalDpi xmlns:a14="http://schemas.microsoft.com/office/drawing/2010/main" val="0"/>
                        </a:ext>
                      </a:extLst>
                    </a:blip>
                    <a:srcRect l="919" t="8014" r="2497" b="8910"/>
                    <a:stretch>
                      <a:fillRect/>
                    </a:stretch>
                  </pic:blipFill>
                  <pic:spPr>
                    <a:xfrm>
                      <a:off x="0" y="0"/>
                      <a:ext cx="5094119" cy="3160433"/>
                    </a:xfrm>
                    <a:prstGeom prst="rect">
                      <a:avLst/>
                    </a:prstGeom>
                    <a:ln>
                      <a:noFill/>
                    </a:ln>
                  </pic:spPr>
                </pic:pic>
              </a:graphicData>
            </a:graphic>
          </wp:inline>
        </w:drawing>
      </w:r>
    </w:p>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bookmarkStart w:id="405" w:name="_Hlk160808972"/>
      <w:r>
        <w:rPr>
          <w:rFonts w:ascii="Times New Roman" w:hAnsi="Times New Roman" w:cs="Times New Roman"/>
        </w:rPr>
        <w:t>宣探1井站生态保护措施图</w:t>
      </w:r>
      <w:bookmarkEnd w:id="405"/>
    </w:p>
    <w:p>
      <w:pPr>
        <w:ind w:firstLine="480"/>
        <w:rPr>
          <w:rFonts w:ascii="Times New Roman" w:hAnsi="Times New Roman"/>
        </w:rPr>
      </w:pPr>
      <w:r>
        <w:rPr>
          <w:rFonts w:ascii="Times New Roman" w:hAnsi="Times New Roman"/>
        </w:rPr>
        <w:drawing>
          <wp:inline distT="0" distB="0" distL="0" distR="0">
            <wp:extent cx="5022215" cy="2812415"/>
            <wp:effectExtent l="0" t="0" r="6985" b="6985"/>
            <wp:docPr id="2064597133" name="图片 2064597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97133" name="图片 2064597133"/>
                    <pic:cNvPicPr>
                      <a:picLocks noChangeAspect="1"/>
                    </pic:cNvPicPr>
                  </pic:nvPicPr>
                  <pic:blipFill>
                    <a:blip r:embed="rId177" cstate="print">
                      <a:extLst>
                        <a:ext uri="{28A0092B-C50C-407E-A947-70E740481C1C}">
                          <a14:useLocalDpi xmlns:a14="http://schemas.microsoft.com/office/drawing/2010/main" val="0"/>
                        </a:ext>
                      </a:extLst>
                    </a:blip>
                    <a:srcRect r="4856" b="4106"/>
                    <a:stretch>
                      <a:fillRect/>
                    </a:stretch>
                  </pic:blipFill>
                  <pic:spPr>
                    <a:xfrm>
                      <a:off x="0" y="0"/>
                      <a:ext cx="5018208" cy="2810197"/>
                    </a:xfrm>
                    <a:prstGeom prst="rect">
                      <a:avLst/>
                    </a:prstGeom>
                    <a:ln>
                      <a:noFill/>
                    </a:ln>
                  </pic:spPr>
                </pic:pic>
              </a:graphicData>
            </a:graphic>
          </wp:inline>
        </w:drawing>
      </w:r>
    </w:p>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r>
        <w:rPr>
          <w:rFonts w:ascii="Times New Roman" w:hAnsi="Times New Roman" w:cs="Times New Roman"/>
        </w:rPr>
        <w:t>宣兴1井站生态保护措施图</w:t>
      </w:r>
    </w:p>
    <w:p>
      <w:pPr>
        <w:ind w:firstLine="480"/>
        <w:rPr>
          <w:rFonts w:ascii="Times New Roman" w:hAnsi="Times New Roman"/>
        </w:rPr>
      </w:pPr>
    </w:p>
    <w:p>
      <w:pPr>
        <w:pStyle w:val="4"/>
        <w:rPr>
          <w:rFonts w:ascii="Times New Roman" w:hAnsi="Times New Roman" w:cs="Times New Roman"/>
        </w:rPr>
      </w:pPr>
      <w:r>
        <w:rPr>
          <w:rFonts w:ascii="Times New Roman" w:hAnsi="Times New Roman" w:cs="Times New Roman"/>
        </w:rPr>
        <w:t>运营期生态保护措施</w:t>
      </w:r>
    </w:p>
    <w:p>
      <w:pPr>
        <w:ind w:firstLine="480"/>
        <w:rPr>
          <w:rFonts w:ascii="Times New Roman" w:hAnsi="Times New Roman"/>
        </w:rPr>
      </w:pPr>
      <w:r>
        <w:rPr>
          <w:rFonts w:ascii="Times New Roman" w:hAnsi="Times New Roman"/>
        </w:rPr>
        <w:t>运营期除巡护通道占用部分临时占地外，无其他新增占地，不会地表植被造成破坏，运营期需加强管理植被恢复区，减少水土流失；严格限制巡护通道宽度，尽量占地林地，耕地等，严禁管道巡护人员对巡护通道以外的植被和树木进行采伐。</w:t>
      </w:r>
    </w:p>
    <w:p>
      <w:pPr>
        <w:pStyle w:val="4"/>
        <w:rPr>
          <w:rFonts w:ascii="Times New Roman" w:hAnsi="Times New Roman" w:cs="Times New Roman"/>
        </w:rPr>
      </w:pPr>
      <w:r>
        <w:rPr>
          <w:rFonts w:ascii="Times New Roman" w:hAnsi="Times New Roman" w:cs="Times New Roman"/>
        </w:rPr>
        <w:t>退役期生态保护措施</w:t>
      </w:r>
    </w:p>
    <w:p>
      <w:pPr>
        <w:ind w:firstLine="480"/>
        <w:rPr>
          <w:rFonts w:ascii="Times New Roman" w:hAnsi="Times New Roman"/>
        </w:rPr>
      </w:pPr>
      <w:r>
        <w:rPr>
          <w:rFonts w:ascii="Times New Roman" w:hAnsi="Times New Roman"/>
        </w:rPr>
        <w:t>站场在退役期，站场除井口区域外的设备设施将进行拆除，且对水泥地坪进行清理，然后进行覆土和植被恢复，使井场占地范围内（除井口区域）的自然植被逐步恢复。</w:t>
      </w:r>
    </w:p>
    <w:p>
      <w:pPr>
        <w:pStyle w:val="3"/>
        <w:rPr>
          <w:rFonts w:ascii="Times New Roman" w:hAnsi="Times New Roman" w:cs="Times New Roman"/>
        </w:rPr>
      </w:pPr>
      <w:bookmarkStart w:id="406" w:name="_Toc162339455"/>
      <w:r>
        <w:rPr>
          <w:rFonts w:ascii="Times New Roman" w:hAnsi="Times New Roman" w:cs="Times New Roman"/>
        </w:rPr>
        <w:t>环境风险防范措施</w:t>
      </w:r>
      <w:bookmarkEnd w:id="406"/>
    </w:p>
    <w:p>
      <w:pPr>
        <w:ind w:firstLine="480"/>
        <w:rPr>
          <w:rFonts w:ascii="Times New Roman" w:hAnsi="Times New Roman"/>
        </w:rPr>
      </w:pPr>
      <w:r>
        <w:rPr>
          <w:rFonts w:ascii="Times New Roman" w:hAnsi="Times New Roman"/>
        </w:rPr>
        <w:t>具体见本报告书环境风险评价章节。</w:t>
      </w:r>
    </w:p>
    <w:p>
      <w:pPr>
        <w:pStyle w:val="3"/>
        <w:rPr>
          <w:rFonts w:ascii="Times New Roman" w:hAnsi="Times New Roman" w:cs="Times New Roman"/>
        </w:rPr>
      </w:pPr>
      <w:bookmarkStart w:id="407" w:name="_Toc162339456"/>
      <w:r>
        <w:rPr>
          <w:rFonts w:ascii="Times New Roman" w:hAnsi="Times New Roman" w:cs="Times New Roman"/>
        </w:rPr>
        <w:t>环保设施 “三同时”</w:t>
      </w:r>
      <w:bookmarkEnd w:id="407"/>
    </w:p>
    <w:p>
      <w:pPr>
        <w:ind w:firstLine="480"/>
        <w:rPr>
          <w:rFonts w:ascii="Times New Roman" w:hAnsi="Times New Roman"/>
        </w:rPr>
      </w:pPr>
      <w:r>
        <w:rPr>
          <w:rFonts w:ascii="Times New Roman" w:hAnsi="Times New Roman"/>
        </w:rPr>
        <w:t>为了加强建设项目的环境管理，防止环境污染，减轻或防止环境质量下降，根据《建设项目环境保护设计规定》等的相关要求，建设项目的环保设施必须与主体功能的建设同时进行。</w:t>
      </w:r>
    </w:p>
    <w:p>
      <w:pPr>
        <w:ind w:firstLine="480"/>
        <w:rPr>
          <w:rFonts w:ascii="Times New Roman" w:hAnsi="Times New Roman"/>
        </w:rPr>
      </w:pPr>
      <w:r>
        <w:rPr>
          <w:rFonts w:ascii="Times New Roman" w:hAnsi="Times New Roman"/>
        </w:rPr>
        <w:t>本项目总投资</w:t>
      </w:r>
      <w:r>
        <w:rPr>
          <w:rFonts w:ascii="Times New Roman" w:hAnsi="Times New Roman"/>
          <w:highlight w:val="black"/>
        </w:rPr>
        <w:t>为33172.90万元，其中环保投资840万元，环保投资占比2.53%</w:t>
      </w:r>
      <w:r>
        <w:rPr>
          <w:rFonts w:ascii="Times New Roman" w:hAnsi="Times New Roman"/>
        </w:rPr>
        <w:t>。本项目采取的环保设施“三同时”及其投资汇总见</w:t>
      </w:r>
      <w:r>
        <w:rPr>
          <w:rFonts w:ascii="Times New Roman" w:hAnsi="Times New Roman"/>
        </w:rPr>
        <w:fldChar w:fldCharType="begin"/>
      </w:r>
      <w:r>
        <w:rPr>
          <w:rFonts w:ascii="Times New Roman" w:hAnsi="Times New Roman"/>
        </w:rPr>
        <w:instrText xml:space="preserve"> REF _Ref151629434 \h  \* MERGEFORMAT </w:instrText>
      </w:r>
      <w:r>
        <w:rPr>
          <w:rFonts w:ascii="Times New Roman" w:hAnsi="Times New Roman"/>
        </w:rPr>
        <w:fldChar w:fldCharType="separate"/>
      </w:r>
      <w:r>
        <w:rPr>
          <w:rFonts w:ascii="Times New Roman" w:hAnsi="Times New Roman"/>
        </w:rPr>
        <w:t>表 9</w:t>
      </w:r>
      <w:r>
        <w:rPr>
          <w:rFonts w:ascii="Times New Roman" w:hAnsi="Times New Roman"/>
        </w:rPr>
        <w:noBreakHyphen/>
      </w:r>
      <w:r>
        <w:rPr>
          <w:rFonts w:ascii="Times New Roman" w:hAnsi="Times New Roman"/>
        </w:rPr>
        <w:t>3</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408" w:name="_Ref151629434"/>
      <w:bookmarkStart w:id="409" w:name="_Hlk155618058"/>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bookmarkEnd w:id="408"/>
      <w:r>
        <w:rPr>
          <w:rFonts w:ascii="Times New Roman" w:hAnsi="Times New Roman" w:cs="Times New Roman"/>
        </w:rPr>
        <w:t xml:space="preserve">  本项目竣工环保验收一览表</w:t>
      </w:r>
    </w:p>
    <w:tbl>
      <w:tblPr>
        <w:tblStyle w:val="28"/>
        <w:tblW w:w="86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1134"/>
        <w:gridCol w:w="1985"/>
        <w:gridCol w:w="1142"/>
        <w:gridCol w:w="31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pStyle w:val="39"/>
              <w:rPr>
                <w:rFonts w:ascii="Times New Roman" w:hAnsi="Times New Roman"/>
              </w:rPr>
            </w:pPr>
            <w:bookmarkStart w:id="410" w:name="_Hlk155618916"/>
            <w:r>
              <w:rPr>
                <w:rFonts w:ascii="Times New Roman" w:hAnsi="Times New Roman"/>
              </w:rPr>
              <w:t>类别</w:t>
            </w:r>
          </w:p>
        </w:tc>
        <w:tc>
          <w:tcPr>
            <w:tcW w:w="3119" w:type="dxa"/>
            <w:gridSpan w:val="2"/>
            <w:vAlign w:val="center"/>
          </w:tcPr>
          <w:p>
            <w:pPr>
              <w:pStyle w:val="39"/>
              <w:rPr>
                <w:rFonts w:ascii="Times New Roman" w:hAnsi="Times New Roman"/>
              </w:rPr>
            </w:pPr>
            <w:r>
              <w:rPr>
                <w:rFonts w:ascii="Times New Roman" w:hAnsi="Times New Roman"/>
              </w:rPr>
              <w:t>治理措施</w:t>
            </w:r>
          </w:p>
        </w:tc>
        <w:tc>
          <w:tcPr>
            <w:tcW w:w="1142" w:type="dxa"/>
            <w:vAlign w:val="center"/>
          </w:tcPr>
          <w:p>
            <w:pPr>
              <w:pStyle w:val="39"/>
              <w:rPr>
                <w:rFonts w:ascii="Times New Roman" w:hAnsi="Times New Roman"/>
              </w:rPr>
            </w:pPr>
            <w:r>
              <w:rPr>
                <w:rFonts w:ascii="Times New Roman" w:hAnsi="Times New Roman"/>
              </w:rPr>
              <w:t>投资估算</w:t>
            </w:r>
          </w:p>
          <w:p>
            <w:pPr>
              <w:pStyle w:val="39"/>
              <w:rPr>
                <w:rFonts w:ascii="Times New Roman" w:hAnsi="Times New Roman"/>
              </w:rPr>
            </w:pPr>
            <w:r>
              <w:rPr>
                <w:rFonts w:ascii="Times New Roman" w:hAnsi="Times New Roman"/>
              </w:rPr>
              <w:t>（万元）</w:t>
            </w:r>
          </w:p>
        </w:tc>
        <w:tc>
          <w:tcPr>
            <w:tcW w:w="3110" w:type="dxa"/>
            <w:vAlign w:val="center"/>
          </w:tcPr>
          <w:p>
            <w:pPr>
              <w:pStyle w:val="39"/>
              <w:rPr>
                <w:rFonts w:ascii="Times New Roman" w:hAnsi="Times New Roman"/>
              </w:rPr>
            </w:pPr>
            <w:r>
              <w:rPr>
                <w:rFonts w:ascii="Times New Roman" w:hAnsi="Times New Roman"/>
              </w:rPr>
              <w:t>执行标准/处理效果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restart"/>
            <w:vAlign w:val="center"/>
          </w:tcPr>
          <w:p>
            <w:pPr>
              <w:pStyle w:val="39"/>
              <w:rPr>
                <w:rFonts w:ascii="Times New Roman" w:hAnsi="Times New Roman"/>
              </w:rPr>
            </w:pPr>
            <w:r>
              <w:rPr>
                <w:rFonts w:ascii="Times New Roman" w:hAnsi="Times New Roman"/>
              </w:rPr>
              <w:t>施工期</w:t>
            </w:r>
          </w:p>
        </w:tc>
        <w:tc>
          <w:tcPr>
            <w:tcW w:w="1134" w:type="dxa"/>
            <w:vAlign w:val="center"/>
          </w:tcPr>
          <w:p>
            <w:pPr>
              <w:pStyle w:val="39"/>
              <w:rPr>
                <w:rFonts w:ascii="Times New Roman" w:hAnsi="Times New Roman"/>
              </w:rPr>
            </w:pPr>
            <w:r>
              <w:rPr>
                <w:rFonts w:ascii="Times New Roman" w:hAnsi="Times New Roman"/>
              </w:rPr>
              <w:t>废水</w:t>
            </w:r>
          </w:p>
        </w:tc>
        <w:tc>
          <w:tcPr>
            <w:tcW w:w="1985" w:type="dxa"/>
            <w:vAlign w:val="center"/>
          </w:tcPr>
          <w:p>
            <w:pPr>
              <w:pStyle w:val="39"/>
              <w:rPr>
                <w:rFonts w:ascii="Times New Roman" w:hAnsi="Times New Roman"/>
              </w:rPr>
            </w:pPr>
            <w:r>
              <w:rPr>
                <w:rFonts w:ascii="Times New Roman" w:hAnsi="Times New Roman"/>
              </w:rPr>
              <w:t>沉淀池</w:t>
            </w:r>
          </w:p>
        </w:tc>
        <w:tc>
          <w:tcPr>
            <w:tcW w:w="1142" w:type="dxa"/>
            <w:vAlign w:val="center"/>
          </w:tcPr>
          <w:p>
            <w:pPr>
              <w:pStyle w:val="39"/>
              <w:rPr>
                <w:rFonts w:ascii="Times New Roman" w:hAnsi="Times New Roman"/>
                <w:highlight w:val="black"/>
              </w:rPr>
            </w:pPr>
            <w:r>
              <w:rPr>
                <w:rFonts w:ascii="Times New Roman" w:hAnsi="Times New Roman"/>
                <w:highlight w:val="black"/>
              </w:rPr>
              <w:t>5</w:t>
            </w:r>
          </w:p>
        </w:tc>
        <w:tc>
          <w:tcPr>
            <w:tcW w:w="3110" w:type="dxa"/>
            <w:vAlign w:val="center"/>
          </w:tcPr>
          <w:p>
            <w:pPr>
              <w:pStyle w:val="39"/>
              <w:rPr>
                <w:rFonts w:ascii="Times New Roman" w:hAnsi="Times New Roman"/>
              </w:rPr>
            </w:pPr>
            <w:r>
              <w:rPr>
                <w:rFonts w:ascii="Times New Roman" w:hAnsi="Times New Roman"/>
              </w:rPr>
              <w:t>设有防渗布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废气</w:t>
            </w:r>
          </w:p>
        </w:tc>
        <w:tc>
          <w:tcPr>
            <w:tcW w:w="1985" w:type="dxa"/>
            <w:vAlign w:val="center"/>
          </w:tcPr>
          <w:p>
            <w:pPr>
              <w:pStyle w:val="39"/>
              <w:rPr>
                <w:rFonts w:ascii="Times New Roman" w:hAnsi="Times New Roman"/>
              </w:rPr>
            </w:pPr>
            <w:r>
              <w:rPr>
                <w:rFonts w:ascii="Times New Roman" w:hAnsi="Times New Roman"/>
              </w:rPr>
              <w:t>洒水抑尘、施工围挡</w:t>
            </w:r>
          </w:p>
        </w:tc>
        <w:tc>
          <w:tcPr>
            <w:tcW w:w="1142" w:type="dxa"/>
            <w:vAlign w:val="center"/>
          </w:tcPr>
          <w:p>
            <w:pPr>
              <w:pStyle w:val="39"/>
              <w:rPr>
                <w:rFonts w:ascii="Times New Roman" w:hAnsi="Times New Roman"/>
                <w:highlight w:val="black"/>
              </w:rPr>
            </w:pPr>
            <w:r>
              <w:rPr>
                <w:rFonts w:ascii="Times New Roman" w:hAnsi="Times New Roman"/>
                <w:highlight w:val="black"/>
              </w:rPr>
              <w:t>5</w:t>
            </w:r>
          </w:p>
        </w:tc>
        <w:tc>
          <w:tcPr>
            <w:tcW w:w="3110" w:type="dxa"/>
            <w:vAlign w:val="center"/>
          </w:tcPr>
          <w:p>
            <w:pPr>
              <w:pStyle w:val="39"/>
              <w:rPr>
                <w:rFonts w:ascii="Times New Roman" w:hAnsi="Times New Roman"/>
              </w:rPr>
            </w:pPr>
            <w:r>
              <w:rPr>
                <w:rFonts w:ascii="Times New Roman" w:hAnsi="Times New Roman"/>
              </w:rPr>
              <w:t>洒水抑尘、施工围挡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土壤</w:t>
            </w:r>
          </w:p>
        </w:tc>
        <w:tc>
          <w:tcPr>
            <w:tcW w:w="1985" w:type="dxa"/>
            <w:vAlign w:val="center"/>
          </w:tcPr>
          <w:p>
            <w:pPr>
              <w:pStyle w:val="39"/>
              <w:rPr>
                <w:rFonts w:ascii="Times New Roman" w:hAnsi="Times New Roman"/>
              </w:rPr>
            </w:pPr>
            <w:r>
              <w:rPr>
                <w:rFonts w:ascii="Times New Roman" w:hAnsi="Times New Roman"/>
              </w:rPr>
              <w:t>分层堆放、分层回填</w:t>
            </w:r>
          </w:p>
        </w:tc>
        <w:tc>
          <w:tcPr>
            <w:tcW w:w="1142" w:type="dxa"/>
            <w:vAlign w:val="center"/>
          </w:tcPr>
          <w:p>
            <w:pPr>
              <w:pStyle w:val="39"/>
              <w:rPr>
                <w:rFonts w:ascii="Times New Roman" w:hAnsi="Times New Roman"/>
                <w:highlight w:val="black"/>
              </w:rPr>
            </w:pPr>
            <w:r>
              <w:rPr>
                <w:rFonts w:ascii="Times New Roman" w:hAnsi="Times New Roman"/>
                <w:highlight w:val="black"/>
              </w:rPr>
              <w:t>/</w:t>
            </w:r>
          </w:p>
        </w:tc>
        <w:tc>
          <w:tcPr>
            <w:tcW w:w="3110" w:type="dxa"/>
            <w:vAlign w:val="center"/>
          </w:tcPr>
          <w:p>
            <w:pPr>
              <w:pStyle w:val="39"/>
              <w:rPr>
                <w:rFonts w:ascii="Times New Roman" w:hAnsi="Times New Roman"/>
              </w:rPr>
            </w:pPr>
            <w:r>
              <w:rPr>
                <w:rFonts w:ascii="Times New Roman" w:hAnsi="Times New Roman"/>
              </w:rPr>
              <w:t>分层堆放、分层回填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生态</w:t>
            </w:r>
          </w:p>
        </w:tc>
        <w:tc>
          <w:tcPr>
            <w:tcW w:w="1985" w:type="dxa"/>
            <w:vAlign w:val="center"/>
          </w:tcPr>
          <w:p>
            <w:pPr>
              <w:pStyle w:val="39"/>
              <w:rPr>
                <w:rFonts w:ascii="Times New Roman" w:hAnsi="Times New Roman"/>
              </w:rPr>
            </w:pPr>
            <w:r>
              <w:rPr>
                <w:rFonts w:ascii="Times New Roman" w:hAnsi="Times New Roman"/>
              </w:rPr>
              <w:t>施工结束后生态恢复</w:t>
            </w:r>
          </w:p>
        </w:tc>
        <w:tc>
          <w:tcPr>
            <w:tcW w:w="1142" w:type="dxa"/>
            <w:vAlign w:val="center"/>
          </w:tcPr>
          <w:p>
            <w:pPr>
              <w:pStyle w:val="39"/>
              <w:rPr>
                <w:rFonts w:ascii="Times New Roman" w:hAnsi="Times New Roman"/>
                <w:highlight w:val="black"/>
              </w:rPr>
            </w:pPr>
            <w:r>
              <w:rPr>
                <w:rFonts w:ascii="Times New Roman" w:hAnsi="Times New Roman"/>
                <w:highlight w:val="black"/>
              </w:rPr>
              <w:t>100</w:t>
            </w:r>
          </w:p>
        </w:tc>
        <w:tc>
          <w:tcPr>
            <w:tcW w:w="3110" w:type="dxa"/>
            <w:vAlign w:val="center"/>
          </w:tcPr>
          <w:p>
            <w:pPr>
              <w:pStyle w:val="39"/>
              <w:rPr>
                <w:rFonts w:ascii="Times New Roman" w:hAnsi="Times New Roman"/>
              </w:rPr>
            </w:pPr>
            <w:r>
              <w:rPr>
                <w:rFonts w:ascii="Times New Roman" w:hAnsi="Times New Roman"/>
              </w:rPr>
              <w:t>管沟平整、土地复垦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restart"/>
            <w:vAlign w:val="center"/>
          </w:tcPr>
          <w:p>
            <w:pPr>
              <w:pStyle w:val="39"/>
              <w:rPr>
                <w:rFonts w:ascii="Times New Roman" w:hAnsi="Times New Roman"/>
              </w:rPr>
            </w:pPr>
            <w:r>
              <w:rPr>
                <w:rFonts w:ascii="Times New Roman" w:hAnsi="Times New Roman"/>
              </w:rPr>
              <w:t>运营期</w:t>
            </w:r>
          </w:p>
        </w:tc>
        <w:tc>
          <w:tcPr>
            <w:tcW w:w="1134" w:type="dxa"/>
            <w:vMerge w:val="restart"/>
            <w:vAlign w:val="center"/>
          </w:tcPr>
          <w:p>
            <w:pPr>
              <w:pStyle w:val="39"/>
              <w:rPr>
                <w:rFonts w:ascii="Times New Roman" w:hAnsi="Times New Roman"/>
              </w:rPr>
            </w:pPr>
            <w:r>
              <w:rPr>
                <w:rFonts w:ascii="Times New Roman" w:hAnsi="Times New Roman"/>
              </w:rPr>
              <w:t>废水</w:t>
            </w:r>
          </w:p>
        </w:tc>
        <w:tc>
          <w:tcPr>
            <w:tcW w:w="1985" w:type="dxa"/>
            <w:vAlign w:val="center"/>
          </w:tcPr>
          <w:p>
            <w:pPr>
              <w:pStyle w:val="39"/>
              <w:rPr>
                <w:rFonts w:ascii="Times New Roman" w:hAnsi="Times New Roman"/>
              </w:rPr>
            </w:pPr>
            <w:r>
              <w:rPr>
                <w:rFonts w:ascii="Times New Roman" w:hAnsi="Times New Roman"/>
                <w:kern w:val="0"/>
              </w:rPr>
              <w:t>宣探1井站气田水罐</w:t>
            </w:r>
            <w:r>
              <w:rPr>
                <w:rFonts w:ascii="Times New Roman" w:hAnsi="Times New Roman"/>
              </w:rPr>
              <w:t>*</w:t>
            </w:r>
          </w:p>
        </w:tc>
        <w:tc>
          <w:tcPr>
            <w:tcW w:w="1142" w:type="dxa"/>
            <w:vAlign w:val="center"/>
          </w:tcPr>
          <w:p>
            <w:pPr>
              <w:pStyle w:val="39"/>
              <w:rPr>
                <w:rFonts w:ascii="Times New Roman" w:hAnsi="Times New Roman"/>
                <w:highlight w:val="black"/>
              </w:rPr>
            </w:pPr>
            <w:r>
              <w:rPr>
                <w:rFonts w:ascii="Times New Roman" w:hAnsi="Times New Roman"/>
                <w:highlight w:val="black"/>
              </w:rPr>
              <w:t>50</w:t>
            </w:r>
          </w:p>
        </w:tc>
        <w:tc>
          <w:tcPr>
            <w:tcW w:w="3110" w:type="dxa"/>
            <w:vAlign w:val="center"/>
          </w:tcPr>
          <w:p>
            <w:pPr>
              <w:pStyle w:val="39"/>
              <w:rPr>
                <w:rFonts w:ascii="Times New Roman" w:hAnsi="Times New Roman"/>
              </w:rPr>
            </w:pPr>
            <w:r>
              <w:rPr>
                <w:rFonts w:ascii="Times New Roman" w:hAnsi="Times New Roman"/>
                <w:kern w:val="0"/>
              </w:rPr>
              <w:t>P1.6MPaDN2800×8400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134" w:type="dxa"/>
            <w:vMerge w:val="continue"/>
            <w:vAlign w:val="center"/>
          </w:tcPr>
          <w:p>
            <w:pPr>
              <w:pStyle w:val="39"/>
              <w:rPr>
                <w:rFonts w:ascii="Times New Roman" w:hAnsi="Times New Roman"/>
              </w:rPr>
            </w:pPr>
          </w:p>
        </w:tc>
        <w:tc>
          <w:tcPr>
            <w:tcW w:w="1985" w:type="dxa"/>
            <w:vAlign w:val="center"/>
          </w:tcPr>
          <w:p>
            <w:pPr>
              <w:pStyle w:val="39"/>
              <w:rPr>
                <w:rFonts w:ascii="Times New Roman" w:hAnsi="Times New Roman"/>
              </w:rPr>
            </w:pPr>
            <w:r>
              <w:rPr>
                <w:rFonts w:ascii="Times New Roman" w:hAnsi="Times New Roman"/>
                <w:kern w:val="0"/>
              </w:rPr>
              <w:t>宣探1井站放空分液罐</w:t>
            </w:r>
            <w:r>
              <w:rPr>
                <w:rFonts w:ascii="Times New Roman" w:hAnsi="Times New Roman"/>
              </w:rPr>
              <w:t>*</w:t>
            </w:r>
          </w:p>
        </w:tc>
        <w:tc>
          <w:tcPr>
            <w:tcW w:w="1142" w:type="dxa"/>
            <w:vAlign w:val="center"/>
          </w:tcPr>
          <w:p>
            <w:pPr>
              <w:pStyle w:val="39"/>
              <w:rPr>
                <w:rFonts w:ascii="Times New Roman" w:hAnsi="Times New Roman"/>
                <w:highlight w:val="black"/>
              </w:rPr>
            </w:pPr>
            <w:r>
              <w:rPr>
                <w:rFonts w:ascii="Times New Roman" w:hAnsi="Times New Roman"/>
                <w:highlight w:val="black"/>
              </w:rPr>
              <w:t>30</w:t>
            </w:r>
          </w:p>
        </w:tc>
        <w:tc>
          <w:tcPr>
            <w:tcW w:w="3110" w:type="dxa"/>
            <w:vAlign w:val="center"/>
          </w:tcPr>
          <w:p>
            <w:pPr>
              <w:pStyle w:val="39"/>
              <w:spacing w:before="156" w:after="156"/>
              <w:rPr>
                <w:rFonts w:ascii="Times New Roman" w:hAnsi="Times New Roman"/>
              </w:rPr>
            </w:pPr>
            <w:r>
              <w:rPr>
                <w:rFonts w:ascii="Times New Roman" w:hAnsi="Times New Roman"/>
                <w:kern w:val="0"/>
              </w:rPr>
              <w:t>P1.6MPaDN2400×7200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134" w:type="dxa"/>
            <w:vMerge w:val="continue"/>
            <w:vAlign w:val="center"/>
          </w:tcPr>
          <w:p>
            <w:pPr>
              <w:pStyle w:val="39"/>
              <w:rPr>
                <w:rFonts w:ascii="Times New Roman" w:hAnsi="Times New Roman"/>
              </w:rPr>
            </w:pPr>
          </w:p>
        </w:tc>
        <w:tc>
          <w:tcPr>
            <w:tcW w:w="1985" w:type="dxa"/>
            <w:vAlign w:val="center"/>
          </w:tcPr>
          <w:p>
            <w:pPr>
              <w:pStyle w:val="39"/>
              <w:rPr>
                <w:rFonts w:ascii="Times New Roman" w:hAnsi="Times New Roman"/>
              </w:rPr>
            </w:pPr>
            <w:r>
              <w:rPr>
                <w:rFonts w:ascii="Times New Roman" w:hAnsi="Times New Roman"/>
                <w:kern w:val="0"/>
              </w:rPr>
              <w:t>宣兴1井站气田水罐</w:t>
            </w:r>
            <w:r>
              <w:rPr>
                <w:rFonts w:ascii="Times New Roman" w:hAnsi="Times New Roman"/>
              </w:rPr>
              <w:t>*</w:t>
            </w:r>
          </w:p>
        </w:tc>
        <w:tc>
          <w:tcPr>
            <w:tcW w:w="1142" w:type="dxa"/>
            <w:vAlign w:val="center"/>
          </w:tcPr>
          <w:p>
            <w:pPr>
              <w:pStyle w:val="39"/>
              <w:rPr>
                <w:rFonts w:ascii="Times New Roman" w:hAnsi="Times New Roman"/>
                <w:highlight w:val="black"/>
              </w:rPr>
            </w:pPr>
            <w:r>
              <w:rPr>
                <w:rFonts w:ascii="Times New Roman" w:hAnsi="Times New Roman"/>
                <w:highlight w:val="black"/>
              </w:rPr>
              <w:t>50</w:t>
            </w:r>
          </w:p>
        </w:tc>
        <w:tc>
          <w:tcPr>
            <w:tcW w:w="3110" w:type="dxa"/>
            <w:vAlign w:val="center"/>
          </w:tcPr>
          <w:p>
            <w:pPr>
              <w:pStyle w:val="39"/>
              <w:rPr>
                <w:rFonts w:ascii="Times New Roman" w:hAnsi="Times New Roman"/>
              </w:rPr>
            </w:pPr>
            <w:r>
              <w:rPr>
                <w:rFonts w:ascii="Times New Roman" w:hAnsi="Times New Roman"/>
                <w:kern w:val="0"/>
              </w:rPr>
              <w:t>P1.6MPaDN2800×8400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134" w:type="dxa"/>
            <w:vMerge w:val="continue"/>
            <w:vAlign w:val="center"/>
          </w:tcPr>
          <w:p>
            <w:pPr>
              <w:pStyle w:val="39"/>
              <w:rPr>
                <w:rFonts w:ascii="Times New Roman" w:hAnsi="Times New Roman"/>
              </w:rPr>
            </w:pPr>
          </w:p>
        </w:tc>
        <w:tc>
          <w:tcPr>
            <w:tcW w:w="1985" w:type="dxa"/>
            <w:vAlign w:val="center"/>
          </w:tcPr>
          <w:p>
            <w:pPr>
              <w:pStyle w:val="39"/>
              <w:rPr>
                <w:rFonts w:ascii="Times New Roman" w:hAnsi="Times New Roman"/>
              </w:rPr>
            </w:pPr>
            <w:r>
              <w:rPr>
                <w:rFonts w:ascii="Times New Roman" w:hAnsi="Times New Roman"/>
                <w:kern w:val="0"/>
              </w:rPr>
              <w:t>宣兴1井站放空分液罐</w:t>
            </w:r>
            <w:r>
              <w:rPr>
                <w:rFonts w:ascii="Times New Roman" w:hAnsi="Times New Roman"/>
              </w:rPr>
              <w:t>*</w:t>
            </w:r>
          </w:p>
        </w:tc>
        <w:tc>
          <w:tcPr>
            <w:tcW w:w="1142" w:type="dxa"/>
            <w:vAlign w:val="center"/>
          </w:tcPr>
          <w:p>
            <w:pPr>
              <w:pStyle w:val="39"/>
              <w:rPr>
                <w:rFonts w:ascii="Times New Roman" w:hAnsi="Times New Roman"/>
                <w:highlight w:val="black"/>
              </w:rPr>
            </w:pPr>
            <w:r>
              <w:rPr>
                <w:rFonts w:ascii="Times New Roman" w:hAnsi="Times New Roman"/>
                <w:highlight w:val="black"/>
              </w:rPr>
              <w:t>30</w:t>
            </w:r>
          </w:p>
        </w:tc>
        <w:tc>
          <w:tcPr>
            <w:tcW w:w="3110" w:type="dxa"/>
            <w:vAlign w:val="center"/>
          </w:tcPr>
          <w:p>
            <w:pPr>
              <w:pStyle w:val="39"/>
              <w:rPr>
                <w:rFonts w:ascii="Times New Roman" w:hAnsi="Times New Roman"/>
              </w:rPr>
            </w:pPr>
            <w:r>
              <w:rPr>
                <w:rFonts w:ascii="Times New Roman" w:hAnsi="Times New Roman"/>
                <w:kern w:val="0"/>
              </w:rPr>
              <w:t>P1.6MPaDN2400×7200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134" w:type="dxa"/>
            <w:vMerge w:val="continue"/>
            <w:vAlign w:val="center"/>
          </w:tcPr>
          <w:p>
            <w:pPr>
              <w:pStyle w:val="39"/>
              <w:rPr>
                <w:rFonts w:ascii="Times New Roman" w:hAnsi="Times New Roman"/>
              </w:rPr>
            </w:pPr>
          </w:p>
        </w:tc>
        <w:tc>
          <w:tcPr>
            <w:tcW w:w="1985" w:type="dxa"/>
            <w:vAlign w:val="center"/>
          </w:tcPr>
          <w:p>
            <w:pPr>
              <w:pStyle w:val="39"/>
              <w:rPr>
                <w:rFonts w:ascii="Times New Roman" w:hAnsi="Times New Roman"/>
              </w:rPr>
            </w:pPr>
            <w:r>
              <w:rPr>
                <w:rFonts w:ascii="Times New Roman" w:hAnsi="Times New Roman"/>
                <w:kern w:val="0"/>
              </w:rPr>
              <w:t>宣探清管站放空分液罐</w:t>
            </w:r>
            <w:r>
              <w:rPr>
                <w:rFonts w:ascii="Times New Roman" w:hAnsi="Times New Roman"/>
              </w:rPr>
              <w:t>*</w:t>
            </w:r>
          </w:p>
        </w:tc>
        <w:tc>
          <w:tcPr>
            <w:tcW w:w="1142" w:type="dxa"/>
            <w:vAlign w:val="center"/>
          </w:tcPr>
          <w:p>
            <w:pPr>
              <w:pStyle w:val="39"/>
              <w:rPr>
                <w:rFonts w:ascii="Times New Roman" w:hAnsi="Times New Roman"/>
                <w:highlight w:val="black"/>
              </w:rPr>
            </w:pPr>
            <w:r>
              <w:rPr>
                <w:rFonts w:ascii="Times New Roman" w:hAnsi="Times New Roman"/>
                <w:highlight w:val="black"/>
              </w:rPr>
              <w:t>30</w:t>
            </w:r>
          </w:p>
        </w:tc>
        <w:tc>
          <w:tcPr>
            <w:tcW w:w="3110" w:type="dxa"/>
            <w:vAlign w:val="center"/>
          </w:tcPr>
          <w:p>
            <w:pPr>
              <w:pStyle w:val="39"/>
              <w:rPr>
                <w:rFonts w:ascii="Times New Roman" w:hAnsi="Times New Roman"/>
              </w:rPr>
            </w:pPr>
            <w:r>
              <w:rPr>
                <w:rFonts w:ascii="Times New Roman" w:hAnsi="Times New Roman"/>
                <w:kern w:val="0"/>
              </w:rPr>
              <w:t>P1.6MPaDN2800×8400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134" w:type="dxa"/>
            <w:vMerge w:val="restart"/>
            <w:vAlign w:val="center"/>
          </w:tcPr>
          <w:p>
            <w:pPr>
              <w:pStyle w:val="39"/>
              <w:rPr>
                <w:rFonts w:ascii="Times New Roman" w:hAnsi="Times New Roman"/>
              </w:rPr>
            </w:pPr>
            <w:r>
              <w:rPr>
                <w:rFonts w:ascii="Times New Roman" w:hAnsi="Times New Roman"/>
              </w:rPr>
              <w:t>废气</w:t>
            </w:r>
          </w:p>
        </w:tc>
        <w:tc>
          <w:tcPr>
            <w:tcW w:w="1985" w:type="dxa"/>
            <w:vAlign w:val="center"/>
          </w:tcPr>
          <w:p>
            <w:pPr>
              <w:pStyle w:val="39"/>
              <w:rPr>
                <w:rFonts w:ascii="Times New Roman" w:hAnsi="Times New Roman"/>
              </w:rPr>
            </w:pPr>
            <w:r>
              <w:rPr>
                <w:rFonts w:ascii="Times New Roman" w:hAnsi="Times New Roman"/>
              </w:rPr>
              <w:t>宣探1井站火炬*</w:t>
            </w:r>
          </w:p>
        </w:tc>
        <w:tc>
          <w:tcPr>
            <w:tcW w:w="1142" w:type="dxa"/>
            <w:vAlign w:val="center"/>
          </w:tcPr>
          <w:p>
            <w:pPr>
              <w:pStyle w:val="39"/>
              <w:rPr>
                <w:rFonts w:ascii="Times New Roman" w:hAnsi="Times New Roman"/>
                <w:highlight w:val="black"/>
              </w:rPr>
            </w:pPr>
            <w:r>
              <w:rPr>
                <w:rFonts w:ascii="Times New Roman" w:hAnsi="Times New Roman"/>
                <w:highlight w:val="black"/>
              </w:rPr>
              <w:t>20</w:t>
            </w:r>
          </w:p>
        </w:tc>
        <w:tc>
          <w:tcPr>
            <w:tcW w:w="3110" w:type="dxa"/>
            <w:vAlign w:val="center"/>
          </w:tcPr>
          <w:p>
            <w:pPr>
              <w:pStyle w:val="39"/>
              <w:rPr>
                <w:rFonts w:ascii="Times New Roman" w:hAnsi="Times New Roman"/>
              </w:rPr>
            </w:pPr>
            <w:r>
              <w:rPr>
                <w:rFonts w:ascii="Times New Roman" w:hAnsi="Times New Roman"/>
              </w:rPr>
              <w:t>常压 DN250x 30000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134" w:type="dxa"/>
            <w:vMerge w:val="continue"/>
            <w:vAlign w:val="center"/>
          </w:tcPr>
          <w:p>
            <w:pPr>
              <w:pStyle w:val="39"/>
              <w:rPr>
                <w:rFonts w:ascii="Times New Roman" w:hAnsi="Times New Roman"/>
              </w:rPr>
            </w:pPr>
          </w:p>
        </w:tc>
        <w:tc>
          <w:tcPr>
            <w:tcW w:w="1985" w:type="dxa"/>
            <w:vAlign w:val="center"/>
          </w:tcPr>
          <w:p>
            <w:pPr>
              <w:pStyle w:val="39"/>
              <w:rPr>
                <w:rFonts w:ascii="Times New Roman" w:hAnsi="Times New Roman"/>
              </w:rPr>
            </w:pPr>
            <w:r>
              <w:rPr>
                <w:rFonts w:ascii="Times New Roman" w:hAnsi="Times New Roman"/>
              </w:rPr>
              <w:t>宣兴1井站火炬*</w:t>
            </w:r>
          </w:p>
        </w:tc>
        <w:tc>
          <w:tcPr>
            <w:tcW w:w="1142" w:type="dxa"/>
            <w:vAlign w:val="center"/>
          </w:tcPr>
          <w:p>
            <w:pPr>
              <w:pStyle w:val="39"/>
              <w:rPr>
                <w:rFonts w:ascii="Times New Roman" w:hAnsi="Times New Roman"/>
                <w:highlight w:val="black"/>
              </w:rPr>
            </w:pPr>
            <w:r>
              <w:rPr>
                <w:rFonts w:ascii="Times New Roman" w:hAnsi="Times New Roman"/>
                <w:highlight w:val="black"/>
              </w:rPr>
              <w:t>20</w:t>
            </w:r>
          </w:p>
        </w:tc>
        <w:tc>
          <w:tcPr>
            <w:tcW w:w="3110" w:type="dxa"/>
            <w:vAlign w:val="center"/>
          </w:tcPr>
          <w:p>
            <w:pPr>
              <w:pStyle w:val="39"/>
              <w:rPr>
                <w:rFonts w:ascii="Times New Roman" w:hAnsi="Times New Roman"/>
              </w:rPr>
            </w:pPr>
            <w:r>
              <w:rPr>
                <w:rFonts w:ascii="Times New Roman" w:hAnsi="Times New Roman"/>
              </w:rPr>
              <w:t>常压 DN250 x30000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134" w:type="dxa"/>
            <w:vMerge w:val="continue"/>
            <w:vAlign w:val="center"/>
          </w:tcPr>
          <w:p>
            <w:pPr>
              <w:pStyle w:val="39"/>
              <w:rPr>
                <w:rFonts w:ascii="Times New Roman" w:hAnsi="Times New Roman"/>
              </w:rPr>
            </w:pPr>
          </w:p>
        </w:tc>
        <w:tc>
          <w:tcPr>
            <w:tcW w:w="1985" w:type="dxa"/>
            <w:vAlign w:val="center"/>
          </w:tcPr>
          <w:p>
            <w:pPr>
              <w:pStyle w:val="39"/>
              <w:rPr>
                <w:rFonts w:ascii="Times New Roman" w:hAnsi="Times New Roman"/>
              </w:rPr>
            </w:pPr>
            <w:r>
              <w:rPr>
                <w:rFonts w:ascii="Times New Roman" w:hAnsi="Times New Roman"/>
              </w:rPr>
              <w:t>清管站火炬*</w:t>
            </w:r>
          </w:p>
        </w:tc>
        <w:tc>
          <w:tcPr>
            <w:tcW w:w="1142" w:type="dxa"/>
            <w:vAlign w:val="center"/>
          </w:tcPr>
          <w:p>
            <w:pPr>
              <w:pStyle w:val="39"/>
              <w:rPr>
                <w:rFonts w:ascii="Times New Roman" w:hAnsi="Times New Roman"/>
                <w:highlight w:val="black"/>
              </w:rPr>
            </w:pPr>
            <w:r>
              <w:rPr>
                <w:rFonts w:ascii="Times New Roman" w:hAnsi="Times New Roman"/>
                <w:highlight w:val="black"/>
              </w:rPr>
              <w:t>20</w:t>
            </w:r>
          </w:p>
        </w:tc>
        <w:tc>
          <w:tcPr>
            <w:tcW w:w="3110" w:type="dxa"/>
            <w:vAlign w:val="center"/>
          </w:tcPr>
          <w:p>
            <w:pPr>
              <w:pStyle w:val="39"/>
              <w:rPr>
                <w:rFonts w:ascii="Times New Roman" w:hAnsi="Times New Roman"/>
              </w:rPr>
            </w:pPr>
            <w:r>
              <w:rPr>
                <w:rFonts w:ascii="Times New Roman" w:hAnsi="Times New Roman"/>
              </w:rPr>
              <w:t>常压 DN250x 22000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134" w:type="dxa"/>
            <w:vMerge w:val="continue"/>
            <w:vAlign w:val="center"/>
          </w:tcPr>
          <w:p>
            <w:pPr>
              <w:pStyle w:val="39"/>
              <w:rPr>
                <w:rFonts w:ascii="Times New Roman" w:hAnsi="Times New Roman"/>
              </w:rPr>
            </w:pPr>
          </w:p>
        </w:tc>
        <w:tc>
          <w:tcPr>
            <w:tcW w:w="1985" w:type="dxa"/>
            <w:vAlign w:val="center"/>
          </w:tcPr>
          <w:p>
            <w:pPr>
              <w:pStyle w:val="39"/>
              <w:rPr>
                <w:rFonts w:ascii="Times New Roman" w:hAnsi="Times New Roman"/>
              </w:rPr>
            </w:pPr>
            <w:r>
              <w:rPr>
                <w:rFonts w:ascii="Times New Roman" w:hAnsi="Times New Roman"/>
              </w:rPr>
              <w:t>水套炉排气筒</w:t>
            </w:r>
          </w:p>
        </w:tc>
        <w:tc>
          <w:tcPr>
            <w:tcW w:w="1142" w:type="dxa"/>
            <w:vAlign w:val="center"/>
          </w:tcPr>
          <w:p>
            <w:pPr>
              <w:pStyle w:val="39"/>
              <w:rPr>
                <w:rFonts w:ascii="Times New Roman" w:hAnsi="Times New Roman"/>
                <w:highlight w:val="black"/>
              </w:rPr>
            </w:pPr>
            <w:r>
              <w:rPr>
                <w:rFonts w:ascii="Times New Roman" w:hAnsi="Times New Roman"/>
                <w:highlight w:val="black"/>
              </w:rPr>
              <w:t>10</w:t>
            </w:r>
          </w:p>
        </w:tc>
        <w:tc>
          <w:tcPr>
            <w:tcW w:w="3110" w:type="dxa"/>
            <w:vAlign w:val="center"/>
          </w:tcPr>
          <w:p>
            <w:pPr>
              <w:pStyle w:val="39"/>
              <w:rPr>
                <w:rFonts w:ascii="Times New Roman" w:hAnsi="Times New Roman"/>
              </w:rPr>
            </w:pPr>
            <w:r>
              <w:rPr>
                <w:rFonts w:ascii="Times New Roman" w:hAnsi="Times New Roman"/>
              </w:rPr>
              <w:t>15m（2套）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134" w:type="dxa"/>
            <w:vAlign w:val="center"/>
          </w:tcPr>
          <w:p>
            <w:pPr>
              <w:pStyle w:val="39"/>
              <w:rPr>
                <w:rFonts w:ascii="Times New Roman" w:hAnsi="Times New Roman"/>
              </w:rPr>
            </w:pPr>
            <w:r>
              <w:rPr>
                <w:rFonts w:ascii="Times New Roman" w:hAnsi="Times New Roman"/>
              </w:rPr>
              <w:t>噪声</w:t>
            </w:r>
          </w:p>
        </w:tc>
        <w:tc>
          <w:tcPr>
            <w:tcW w:w="1985" w:type="dxa"/>
            <w:vAlign w:val="center"/>
          </w:tcPr>
          <w:p>
            <w:pPr>
              <w:pStyle w:val="39"/>
              <w:rPr>
                <w:rFonts w:ascii="Times New Roman" w:hAnsi="Times New Roman"/>
                <w:b/>
                <w:bCs/>
              </w:rPr>
            </w:pPr>
            <w:r>
              <w:rPr>
                <w:rFonts w:ascii="Times New Roman" w:hAnsi="Times New Roman"/>
              </w:rPr>
              <w:t>配置低噪声设备</w:t>
            </w:r>
          </w:p>
        </w:tc>
        <w:tc>
          <w:tcPr>
            <w:tcW w:w="1142" w:type="dxa"/>
            <w:vAlign w:val="center"/>
          </w:tcPr>
          <w:p>
            <w:pPr>
              <w:pStyle w:val="39"/>
              <w:rPr>
                <w:rFonts w:ascii="Times New Roman" w:hAnsi="Times New Roman"/>
                <w:highlight w:val="black"/>
              </w:rPr>
            </w:pPr>
            <w:r>
              <w:rPr>
                <w:rFonts w:ascii="Times New Roman" w:hAnsi="Times New Roman"/>
                <w:highlight w:val="black"/>
              </w:rPr>
              <w:t>50</w:t>
            </w:r>
          </w:p>
        </w:tc>
        <w:tc>
          <w:tcPr>
            <w:tcW w:w="3110" w:type="dxa"/>
            <w:vAlign w:val="center"/>
          </w:tcPr>
          <w:p>
            <w:pPr>
              <w:pStyle w:val="39"/>
              <w:rPr>
                <w:rFonts w:ascii="Times New Roman" w:hAnsi="Times New Roman"/>
                <w:b/>
                <w:bCs/>
              </w:rPr>
            </w:pPr>
            <w:r>
              <w:rPr>
                <w:rFonts w:ascii="Times New Roman" w:hAnsi="Times New Roman"/>
              </w:rPr>
              <w:t>《工业企业厂界环境噪声排放标准》 (GB12348-2008)中的 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134" w:type="dxa"/>
            <w:vMerge w:val="restart"/>
            <w:vAlign w:val="center"/>
          </w:tcPr>
          <w:p>
            <w:pPr>
              <w:pStyle w:val="39"/>
              <w:rPr>
                <w:rFonts w:ascii="Times New Roman" w:hAnsi="Times New Roman"/>
              </w:rPr>
            </w:pPr>
            <w:r>
              <w:rPr>
                <w:rFonts w:ascii="Times New Roman" w:hAnsi="Times New Roman"/>
              </w:rPr>
              <w:t>事故风险防范与应急措施</w:t>
            </w:r>
          </w:p>
        </w:tc>
        <w:tc>
          <w:tcPr>
            <w:tcW w:w="1985" w:type="dxa"/>
            <w:vAlign w:val="center"/>
          </w:tcPr>
          <w:p>
            <w:pPr>
              <w:pStyle w:val="39"/>
              <w:rPr>
                <w:rFonts w:ascii="Times New Roman" w:hAnsi="Times New Roman"/>
              </w:rPr>
            </w:pPr>
            <w:r>
              <w:rPr>
                <w:rFonts w:ascii="Times New Roman" w:hAnsi="Times New Roman"/>
              </w:rPr>
              <w:t>气田水罐围堰</w:t>
            </w:r>
          </w:p>
        </w:tc>
        <w:tc>
          <w:tcPr>
            <w:tcW w:w="1142" w:type="dxa"/>
            <w:vAlign w:val="center"/>
          </w:tcPr>
          <w:p>
            <w:pPr>
              <w:pStyle w:val="39"/>
              <w:rPr>
                <w:rFonts w:ascii="Times New Roman" w:hAnsi="Times New Roman"/>
                <w:highlight w:val="black"/>
              </w:rPr>
            </w:pPr>
            <w:r>
              <w:rPr>
                <w:rFonts w:ascii="Times New Roman" w:hAnsi="Times New Roman"/>
                <w:highlight w:val="black"/>
              </w:rPr>
              <w:t>20</w:t>
            </w:r>
          </w:p>
        </w:tc>
        <w:tc>
          <w:tcPr>
            <w:tcW w:w="3110" w:type="dxa"/>
            <w:vAlign w:val="center"/>
          </w:tcPr>
          <w:p>
            <w:pPr>
              <w:pStyle w:val="39"/>
              <w:rPr>
                <w:rFonts w:ascii="Times New Roman" w:hAnsi="Times New Roman"/>
              </w:rPr>
            </w:pPr>
            <w:r>
              <w:rPr>
                <w:rFonts w:ascii="Times New Roman" w:hAnsi="Times New Roman"/>
                <w:kern w:val="0"/>
              </w:rPr>
              <w:t>宣探1井站和宣兴1井站均布置10mx4mx0.3m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39"/>
              <w:rPr>
                <w:rFonts w:ascii="Times New Roman" w:hAnsi="Times New Roman"/>
              </w:rPr>
            </w:pPr>
          </w:p>
        </w:tc>
        <w:tc>
          <w:tcPr>
            <w:tcW w:w="1134" w:type="dxa"/>
            <w:vMerge w:val="continue"/>
            <w:vAlign w:val="center"/>
          </w:tcPr>
          <w:p>
            <w:pPr>
              <w:pStyle w:val="39"/>
              <w:rPr>
                <w:rFonts w:ascii="Times New Roman" w:hAnsi="Times New Roman"/>
              </w:rPr>
            </w:pPr>
          </w:p>
        </w:tc>
        <w:tc>
          <w:tcPr>
            <w:tcW w:w="1985" w:type="dxa"/>
            <w:vAlign w:val="center"/>
          </w:tcPr>
          <w:p>
            <w:pPr>
              <w:pStyle w:val="39"/>
              <w:rPr>
                <w:rFonts w:ascii="Times New Roman" w:hAnsi="Times New Roman"/>
              </w:rPr>
            </w:pPr>
            <w:r>
              <w:rPr>
                <w:rFonts w:ascii="Times New Roman" w:hAnsi="Times New Roman"/>
              </w:rPr>
              <w:t>地面防渗</w:t>
            </w:r>
          </w:p>
        </w:tc>
        <w:tc>
          <w:tcPr>
            <w:tcW w:w="1142" w:type="dxa"/>
            <w:vAlign w:val="center"/>
          </w:tcPr>
          <w:p>
            <w:pPr>
              <w:pStyle w:val="39"/>
              <w:rPr>
                <w:rFonts w:ascii="Times New Roman" w:hAnsi="Times New Roman"/>
                <w:highlight w:val="black"/>
              </w:rPr>
            </w:pPr>
            <w:r>
              <w:rPr>
                <w:rFonts w:ascii="Times New Roman" w:hAnsi="Times New Roman"/>
                <w:highlight w:val="black"/>
              </w:rPr>
              <w:t>200</w:t>
            </w:r>
          </w:p>
        </w:tc>
        <w:tc>
          <w:tcPr>
            <w:tcW w:w="3110" w:type="dxa"/>
            <w:vAlign w:val="center"/>
          </w:tcPr>
          <w:p>
            <w:pPr>
              <w:pStyle w:val="39"/>
              <w:rPr>
                <w:rFonts w:ascii="Times New Roman" w:hAnsi="Times New Roman"/>
              </w:rPr>
            </w:pPr>
            <w:r>
              <w:rPr>
                <w:rFonts w:ascii="Times New Roman" w:hAnsi="Times New Roman"/>
              </w:rPr>
              <w:t>分区防渗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pStyle w:val="39"/>
              <w:rPr>
                <w:rFonts w:ascii="Times New Roman" w:hAnsi="Times New Roman"/>
              </w:rPr>
            </w:pPr>
            <w:r>
              <w:rPr>
                <w:rFonts w:ascii="Times New Roman" w:hAnsi="Times New Roman"/>
              </w:rPr>
              <w:t>环境管理</w:t>
            </w:r>
          </w:p>
        </w:tc>
        <w:tc>
          <w:tcPr>
            <w:tcW w:w="1134" w:type="dxa"/>
            <w:vAlign w:val="center"/>
          </w:tcPr>
          <w:p>
            <w:pPr>
              <w:pStyle w:val="39"/>
              <w:rPr>
                <w:rFonts w:ascii="Times New Roman" w:hAnsi="Times New Roman"/>
              </w:rPr>
            </w:pPr>
            <w:r>
              <w:rPr>
                <w:rFonts w:ascii="Times New Roman" w:hAnsi="Times New Roman"/>
              </w:rPr>
              <w:t>环境管理</w:t>
            </w:r>
          </w:p>
        </w:tc>
        <w:tc>
          <w:tcPr>
            <w:tcW w:w="1985" w:type="dxa"/>
            <w:vAlign w:val="center"/>
          </w:tcPr>
          <w:p>
            <w:pPr>
              <w:pStyle w:val="39"/>
              <w:rPr>
                <w:rFonts w:ascii="Times New Roman" w:hAnsi="Times New Roman"/>
              </w:rPr>
            </w:pPr>
            <w:r>
              <w:rPr>
                <w:rFonts w:ascii="Times New Roman" w:hAnsi="Times New Roman"/>
              </w:rPr>
              <w:t>环境监测、人员培训等、环评、竣工环保验收等相关工作费用</w:t>
            </w:r>
          </w:p>
        </w:tc>
        <w:tc>
          <w:tcPr>
            <w:tcW w:w="1142" w:type="dxa"/>
            <w:vAlign w:val="center"/>
          </w:tcPr>
          <w:p>
            <w:pPr>
              <w:pStyle w:val="39"/>
              <w:rPr>
                <w:rFonts w:ascii="Times New Roman" w:hAnsi="Times New Roman"/>
                <w:highlight w:val="black"/>
              </w:rPr>
            </w:pPr>
            <w:r>
              <w:rPr>
                <w:rFonts w:ascii="Times New Roman" w:hAnsi="Times New Roman"/>
                <w:highlight w:val="black"/>
              </w:rPr>
              <w:t>200</w:t>
            </w:r>
          </w:p>
        </w:tc>
        <w:tc>
          <w:tcPr>
            <w:tcW w:w="3110" w:type="dxa"/>
            <w:vAlign w:val="center"/>
          </w:tcPr>
          <w:p>
            <w:pPr>
              <w:pStyle w:val="39"/>
              <w:rPr>
                <w:rFonts w:ascii="Times New Roman" w:hAnsi="Times New Roman"/>
              </w:rPr>
            </w:pPr>
            <w:r>
              <w:rPr>
                <w:rFonts w:ascii="Times New Roman" w:hAnsi="Times New Roman"/>
              </w:rPr>
              <w:t>企业例行监测、环评、竣工环保验收等</w:t>
            </w:r>
          </w:p>
        </w:tc>
      </w:tr>
      <w:bookmarkEnd w:id="409"/>
      <w:bookmarkEnd w:id="410"/>
    </w:tbl>
    <w:p>
      <w:pPr>
        <w:pStyle w:val="41"/>
        <w:spacing w:before="156" w:after="156"/>
        <w:rPr>
          <w:rFonts w:ascii="Times New Roman" w:hAnsi="Times New Roman" w:cs="Times New Roman"/>
        </w:rPr>
      </w:pPr>
      <w:r>
        <w:rPr>
          <w:rFonts w:ascii="Times New Roman" w:hAnsi="Times New Roman" w:cs="Times New Roman"/>
        </w:rPr>
        <w:t>*总造价的部分计入环保投资</w:t>
      </w:r>
    </w:p>
    <w:p>
      <w:pPr>
        <w:widowControl/>
        <w:spacing w:line="240" w:lineRule="auto"/>
        <w:ind w:firstLine="0" w:firstLineChars="0"/>
        <w:rPr>
          <w:rFonts w:ascii="Times New Roman" w:hAnsi="Times New Roman"/>
        </w:rPr>
      </w:pPr>
      <w:r>
        <w:rPr>
          <w:rFonts w:ascii="Times New Roman" w:hAnsi="Times New Roman"/>
        </w:rPr>
        <w:br w:type="page"/>
      </w:r>
    </w:p>
    <w:p>
      <w:pPr>
        <w:pStyle w:val="2"/>
        <w:rPr>
          <w:rFonts w:ascii="Times New Roman" w:hAnsi="Times New Roman" w:cs="Times New Roman"/>
        </w:rPr>
      </w:pPr>
      <w:bookmarkStart w:id="411" w:name="_Toc162339457"/>
      <w:r>
        <w:rPr>
          <w:rFonts w:ascii="Times New Roman" w:hAnsi="Times New Roman" w:cs="Times New Roman"/>
        </w:rPr>
        <w:t>环境影响经济损益分析</w:t>
      </w:r>
      <w:bookmarkEnd w:id="411"/>
    </w:p>
    <w:p>
      <w:pPr>
        <w:ind w:firstLine="480"/>
        <w:rPr>
          <w:rFonts w:ascii="Times New Roman" w:hAnsi="Times New Roman"/>
        </w:rPr>
      </w:pPr>
      <w:r>
        <w:rPr>
          <w:rFonts w:ascii="Times New Roman" w:hAnsi="Times New Roman"/>
        </w:rPr>
        <w:t>环境影响经济损益分析是环境影响评价的一项重要工作内容，它是对建设项目经济效益、社会效益与环境效益的综合分析。通过分析经济收益水平、环境效益和社会效益，说明项目的环保综合效益状况。</w:t>
      </w:r>
    </w:p>
    <w:p>
      <w:pPr>
        <w:ind w:firstLine="480"/>
        <w:rPr>
          <w:rFonts w:ascii="Times New Roman" w:hAnsi="Times New Roman"/>
        </w:rPr>
      </w:pPr>
      <w:r>
        <w:rPr>
          <w:rFonts w:ascii="Times New Roman" w:hAnsi="Times New Roman"/>
        </w:rPr>
        <w:t>本工程的经济损益分析选择工程、环境、生态资源和社会经济等有代表性的指标，采用专业判断法和调查评价法，主要从经济效益、环境效益和社会效益三方面，分析本项目经济效益、环境效益和社会效益状况，进行环境经济损益估算。</w:t>
      </w:r>
    </w:p>
    <w:p>
      <w:pPr>
        <w:pStyle w:val="3"/>
        <w:rPr>
          <w:rFonts w:ascii="Times New Roman" w:hAnsi="Times New Roman" w:cs="Times New Roman"/>
        </w:rPr>
      </w:pPr>
      <w:bookmarkStart w:id="412" w:name="_Toc162339458"/>
      <w:r>
        <w:rPr>
          <w:rFonts w:ascii="Times New Roman" w:hAnsi="Times New Roman" w:cs="Times New Roman"/>
        </w:rPr>
        <w:t>项目投资</w:t>
      </w:r>
      <w:bookmarkEnd w:id="412"/>
    </w:p>
    <w:p>
      <w:pPr>
        <w:ind w:firstLine="480"/>
        <w:rPr>
          <w:rFonts w:ascii="Times New Roman" w:hAnsi="Times New Roman"/>
        </w:rPr>
      </w:pPr>
      <w:r>
        <w:rPr>
          <w:rFonts w:ascii="Times New Roman" w:hAnsi="Times New Roman"/>
        </w:rPr>
        <w:t>本项目经济指标情况见</w:t>
      </w:r>
      <w:r>
        <w:rPr>
          <w:rFonts w:ascii="Times New Roman" w:hAnsi="Times New Roman"/>
        </w:rPr>
        <w:fldChar w:fldCharType="begin"/>
      </w:r>
      <w:r>
        <w:rPr>
          <w:rFonts w:ascii="Times New Roman" w:hAnsi="Times New Roman"/>
        </w:rPr>
        <w:instrText xml:space="preserve"> REF _Ref154671832 \h  \* MERGEFORMAT </w:instrText>
      </w:r>
      <w:r>
        <w:rPr>
          <w:rFonts w:ascii="Times New Roman" w:hAnsi="Times New Roman"/>
        </w:rPr>
        <w:fldChar w:fldCharType="separate"/>
      </w:r>
      <w:r>
        <w:rPr>
          <w:rFonts w:ascii="Times New Roman" w:hAnsi="Times New Roman"/>
        </w:rPr>
        <w:t>表 10</w:t>
      </w:r>
      <w:r>
        <w:rPr>
          <w:rFonts w:ascii="Times New Roman" w:hAnsi="Times New Roman"/>
        </w:rPr>
        <w:noBreakHyphen/>
      </w:r>
      <w:r>
        <w:rPr>
          <w:rFonts w:ascii="Times New Roman" w:hAnsi="Times New Roman"/>
        </w:rPr>
        <w:t>1</w:t>
      </w:r>
      <w:r>
        <w:rPr>
          <w:rFonts w:ascii="Times New Roman" w:hAnsi="Times New Roman"/>
        </w:rPr>
        <w:fldChar w:fldCharType="end"/>
      </w:r>
      <w:r>
        <w:rPr>
          <w:rFonts w:ascii="Times New Roman" w:hAnsi="Times New Roman"/>
        </w:rPr>
        <w:t>，本项目总投资</w:t>
      </w:r>
      <w:r>
        <w:rPr>
          <w:rFonts w:ascii="Times New Roman" w:hAnsi="Times New Roman"/>
          <w:highlight w:val="black"/>
        </w:rPr>
        <w:t>为33172.9万元。</w:t>
      </w:r>
    </w:p>
    <w:p>
      <w:pPr>
        <w:pStyle w:val="37"/>
        <w:rPr>
          <w:rFonts w:ascii="Times New Roman" w:hAnsi="Times New Roman" w:cs="Times New Roman"/>
        </w:rPr>
      </w:pPr>
      <w:bookmarkStart w:id="413" w:name="_Ref15467183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bookmarkEnd w:id="413"/>
      <w:r>
        <w:rPr>
          <w:rFonts w:ascii="Times New Roman" w:hAnsi="Times New Roman" w:cs="Times New Roman"/>
        </w:rPr>
        <w:t xml:space="preserve">  经济指标汇总表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7"/>
        <w:gridCol w:w="2101"/>
        <w:gridCol w:w="2491"/>
        <w:gridCol w:w="15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7" w:type="dxa"/>
            <w:vAlign w:val="bottom"/>
          </w:tcPr>
          <w:p>
            <w:pPr>
              <w:pStyle w:val="39"/>
              <w:rPr>
                <w:rFonts w:ascii="Times New Roman" w:hAnsi="Times New Roman"/>
              </w:rPr>
            </w:pPr>
            <w:r>
              <w:rPr>
                <w:rFonts w:ascii="Times New Roman" w:hAnsi="Times New Roman"/>
              </w:rPr>
              <w:t>序号</w:t>
            </w:r>
          </w:p>
        </w:tc>
        <w:tc>
          <w:tcPr>
            <w:tcW w:w="2101" w:type="dxa"/>
            <w:vAlign w:val="bottom"/>
          </w:tcPr>
          <w:p>
            <w:pPr>
              <w:pStyle w:val="39"/>
              <w:rPr>
                <w:rFonts w:ascii="Times New Roman" w:hAnsi="Times New Roman"/>
              </w:rPr>
            </w:pPr>
            <w:r>
              <w:rPr>
                <w:rFonts w:ascii="Times New Roman" w:hAnsi="Times New Roman"/>
              </w:rPr>
              <w:t>项  目</w:t>
            </w:r>
          </w:p>
        </w:tc>
        <w:tc>
          <w:tcPr>
            <w:tcW w:w="2491" w:type="dxa"/>
            <w:vAlign w:val="bottom"/>
          </w:tcPr>
          <w:p>
            <w:pPr>
              <w:pStyle w:val="39"/>
              <w:rPr>
                <w:rFonts w:ascii="Times New Roman" w:hAnsi="Times New Roman"/>
              </w:rPr>
            </w:pPr>
            <w:r>
              <w:rPr>
                <w:rFonts w:ascii="Times New Roman" w:hAnsi="Times New Roman"/>
              </w:rPr>
              <w:t>单位</w:t>
            </w:r>
          </w:p>
        </w:tc>
        <w:tc>
          <w:tcPr>
            <w:tcW w:w="1500" w:type="dxa"/>
            <w:vAlign w:val="bottom"/>
          </w:tcPr>
          <w:p>
            <w:pPr>
              <w:pStyle w:val="39"/>
              <w:rPr>
                <w:rFonts w:ascii="Times New Roman" w:hAnsi="Times New Roman"/>
              </w:rPr>
            </w:pPr>
            <w:r>
              <w:rPr>
                <w:rFonts w:ascii="Times New Roman" w:hAnsi="Times New Roman"/>
              </w:rPr>
              <w:t>开发方案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7" w:type="dxa"/>
            <w:vAlign w:val="bottom"/>
          </w:tcPr>
          <w:p>
            <w:pPr>
              <w:pStyle w:val="39"/>
              <w:rPr>
                <w:rFonts w:ascii="Times New Roman" w:hAnsi="Times New Roman"/>
              </w:rPr>
            </w:pPr>
            <w:r>
              <w:rPr>
                <w:rFonts w:ascii="Times New Roman" w:hAnsi="Times New Roman"/>
              </w:rPr>
              <w:t>1</w:t>
            </w:r>
          </w:p>
        </w:tc>
        <w:tc>
          <w:tcPr>
            <w:tcW w:w="2101" w:type="dxa"/>
            <w:vAlign w:val="bottom"/>
          </w:tcPr>
          <w:p>
            <w:pPr>
              <w:pStyle w:val="39"/>
              <w:rPr>
                <w:rFonts w:ascii="Times New Roman" w:hAnsi="Times New Roman"/>
              </w:rPr>
            </w:pPr>
            <w:r>
              <w:rPr>
                <w:rFonts w:ascii="Times New Roman" w:hAnsi="Times New Roman"/>
              </w:rPr>
              <w:t>总投资</w:t>
            </w:r>
          </w:p>
        </w:tc>
        <w:tc>
          <w:tcPr>
            <w:tcW w:w="2491" w:type="dxa"/>
            <w:vAlign w:val="bottom"/>
          </w:tcPr>
          <w:p>
            <w:pPr>
              <w:pStyle w:val="39"/>
              <w:rPr>
                <w:rFonts w:ascii="Times New Roman" w:hAnsi="Times New Roman"/>
              </w:rPr>
            </w:pPr>
            <w:r>
              <w:rPr>
                <w:rFonts w:ascii="Times New Roman" w:hAnsi="Times New Roman"/>
              </w:rPr>
              <w:t>万元</w:t>
            </w:r>
          </w:p>
        </w:tc>
        <w:tc>
          <w:tcPr>
            <w:tcW w:w="1500" w:type="dxa"/>
            <w:vAlign w:val="bottom"/>
          </w:tcPr>
          <w:p>
            <w:pPr>
              <w:pStyle w:val="39"/>
              <w:rPr>
                <w:rFonts w:ascii="Times New Roman" w:hAnsi="Times New Roman"/>
                <w:highlight w:val="black"/>
              </w:rPr>
            </w:pPr>
            <w:r>
              <w:rPr>
                <w:rFonts w:ascii="Times New Roman" w:hAnsi="Times New Roman"/>
                <w:highlight w:val="black"/>
              </w:rPr>
              <w:t>33172.9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7" w:type="dxa"/>
            <w:vAlign w:val="bottom"/>
          </w:tcPr>
          <w:p>
            <w:pPr>
              <w:pStyle w:val="39"/>
              <w:rPr>
                <w:rFonts w:ascii="Times New Roman" w:hAnsi="Times New Roman"/>
              </w:rPr>
            </w:pPr>
            <w:r>
              <w:rPr>
                <w:rFonts w:ascii="Times New Roman" w:hAnsi="Times New Roman"/>
              </w:rPr>
              <w:t>2</w:t>
            </w:r>
          </w:p>
        </w:tc>
        <w:tc>
          <w:tcPr>
            <w:tcW w:w="2101" w:type="dxa"/>
            <w:vAlign w:val="bottom"/>
          </w:tcPr>
          <w:p>
            <w:pPr>
              <w:pStyle w:val="39"/>
              <w:rPr>
                <w:rFonts w:ascii="Times New Roman" w:hAnsi="Times New Roman"/>
              </w:rPr>
            </w:pPr>
            <w:r>
              <w:rPr>
                <w:rFonts w:ascii="Times New Roman" w:hAnsi="Times New Roman"/>
              </w:rPr>
              <w:t>建设投资</w:t>
            </w:r>
          </w:p>
        </w:tc>
        <w:tc>
          <w:tcPr>
            <w:tcW w:w="2491" w:type="dxa"/>
            <w:vAlign w:val="bottom"/>
          </w:tcPr>
          <w:p>
            <w:pPr>
              <w:pStyle w:val="39"/>
              <w:rPr>
                <w:rFonts w:ascii="Times New Roman" w:hAnsi="Times New Roman"/>
              </w:rPr>
            </w:pPr>
            <w:r>
              <w:rPr>
                <w:rFonts w:ascii="Times New Roman" w:hAnsi="Times New Roman"/>
              </w:rPr>
              <w:t>万元</w:t>
            </w:r>
          </w:p>
        </w:tc>
        <w:tc>
          <w:tcPr>
            <w:tcW w:w="1500" w:type="dxa"/>
            <w:vAlign w:val="bottom"/>
          </w:tcPr>
          <w:p>
            <w:pPr>
              <w:pStyle w:val="39"/>
              <w:rPr>
                <w:rFonts w:ascii="Times New Roman" w:hAnsi="Times New Roman"/>
                <w:highlight w:val="black"/>
              </w:rPr>
            </w:pPr>
            <w:r>
              <w:rPr>
                <w:rFonts w:ascii="Times New Roman" w:hAnsi="Times New Roman"/>
                <w:highlight w:val="black"/>
              </w:rPr>
              <w:t>30831.02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7" w:type="dxa"/>
            <w:vAlign w:val="bottom"/>
          </w:tcPr>
          <w:p>
            <w:pPr>
              <w:pStyle w:val="39"/>
              <w:rPr>
                <w:rFonts w:ascii="Times New Roman" w:hAnsi="Times New Roman"/>
              </w:rPr>
            </w:pPr>
            <w:r>
              <w:rPr>
                <w:rFonts w:ascii="Times New Roman" w:hAnsi="Times New Roman"/>
              </w:rPr>
              <w:t>3</w:t>
            </w:r>
          </w:p>
        </w:tc>
        <w:tc>
          <w:tcPr>
            <w:tcW w:w="2101" w:type="dxa"/>
            <w:vAlign w:val="bottom"/>
          </w:tcPr>
          <w:p>
            <w:pPr>
              <w:pStyle w:val="39"/>
              <w:rPr>
                <w:rFonts w:ascii="Times New Roman" w:hAnsi="Times New Roman"/>
              </w:rPr>
            </w:pPr>
            <w:r>
              <w:rPr>
                <w:rFonts w:ascii="Times New Roman" w:hAnsi="Times New Roman"/>
              </w:rPr>
              <w:t>建设期利息</w:t>
            </w:r>
          </w:p>
        </w:tc>
        <w:tc>
          <w:tcPr>
            <w:tcW w:w="2491" w:type="dxa"/>
            <w:vAlign w:val="bottom"/>
          </w:tcPr>
          <w:p>
            <w:pPr>
              <w:pStyle w:val="39"/>
              <w:rPr>
                <w:rFonts w:ascii="Times New Roman" w:hAnsi="Times New Roman"/>
              </w:rPr>
            </w:pPr>
            <w:r>
              <w:rPr>
                <w:rFonts w:ascii="Times New Roman" w:hAnsi="Times New Roman"/>
              </w:rPr>
              <w:t>万元</w:t>
            </w:r>
          </w:p>
        </w:tc>
        <w:tc>
          <w:tcPr>
            <w:tcW w:w="1500" w:type="dxa"/>
            <w:vAlign w:val="bottom"/>
          </w:tcPr>
          <w:p>
            <w:pPr>
              <w:pStyle w:val="39"/>
              <w:rPr>
                <w:rFonts w:ascii="Times New Roman" w:hAnsi="Times New Roman"/>
                <w:highlight w:val="black"/>
              </w:rPr>
            </w:pPr>
            <w:r>
              <w:rPr>
                <w:rFonts w:ascii="Times New Roman" w:hAnsi="Times New Roman"/>
                <w:highlight w:val="black"/>
              </w:rPr>
              <w:t>207.68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7" w:type="dxa"/>
            <w:vAlign w:val="bottom"/>
          </w:tcPr>
          <w:p>
            <w:pPr>
              <w:pStyle w:val="39"/>
              <w:rPr>
                <w:rFonts w:ascii="Times New Roman" w:hAnsi="Times New Roman"/>
              </w:rPr>
            </w:pPr>
            <w:r>
              <w:rPr>
                <w:rFonts w:ascii="Times New Roman" w:hAnsi="Times New Roman"/>
              </w:rPr>
              <w:t>4</w:t>
            </w:r>
          </w:p>
        </w:tc>
        <w:tc>
          <w:tcPr>
            <w:tcW w:w="2101" w:type="dxa"/>
            <w:vAlign w:val="bottom"/>
          </w:tcPr>
          <w:p>
            <w:pPr>
              <w:pStyle w:val="39"/>
              <w:rPr>
                <w:rFonts w:ascii="Times New Roman" w:hAnsi="Times New Roman"/>
              </w:rPr>
            </w:pPr>
            <w:r>
              <w:rPr>
                <w:rFonts w:ascii="Times New Roman" w:hAnsi="Times New Roman"/>
              </w:rPr>
              <w:t>增值税</w:t>
            </w:r>
          </w:p>
        </w:tc>
        <w:tc>
          <w:tcPr>
            <w:tcW w:w="2491" w:type="dxa"/>
            <w:vAlign w:val="bottom"/>
          </w:tcPr>
          <w:p>
            <w:pPr>
              <w:pStyle w:val="39"/>
              <w:rPr>
                <w:rFonts w:ascii="Times New Roman" w:hAnsi="Times New Roman"/>
              </w:rPr>
            </w:pPr>
            <w:r>
              <w:rPr>
                <w:rFonts w:ascii="Times New Roman" w:hAnsi="Times New Roman"/>
              </w:rPr>
              <w:t>万元</w:t>
            </w:r>
          </w:p>
        </w:tc>
        <w:tc>
          <w:tcPr>
            <w:tcW w:w="1500" w:type="dxa"/>
            <w:vAlign w:val="bottom"/>
          </w:tcPr>
          <w:p>
            <w:pPr>
              <w:pStyle w:val="39"/>
              <w:rPr>
                <w:rFonts w:ascii="Times New Roman" w:hAnsi="Times New Roman"/>
                <w:highlight w:val="black"/>
              </w:rPr>
            </w:pPr>
            <w:r>
              <w:rPr>
                <w:rFonts w:ascii="Times New Roman" w:hAnsi="Times New Roman"/>
                <w:highlight w:val="black"/>
              </w:rPr>
              <w:t>2134.20</w:t>
            </w:r>
          </w:p>
        </w:tc>
      </w:tr>
    </w:tbl>
    <w:p>
      <w:pPr>
        <w:pStyle w:val="3"/>
        <w:rPr>
          <w:rFonts w:ascii="Times New Roman" w:hAnsi="Times New Roman" w:cs="Times New Roman"/>
        </w:rPr>
      </w:pPr>
      <w:bookmarkStart w:id="414" w:name="_Toc162339459"/>
      <w:r>
        <w:rPr>
          <w:rFonts w:ascii="Times New Roman" w:hAnsi="Times New Roman" w:cs="Times New Roman"/>
        </w:rPr>
        <w:t>工程环保投资</w:t>
      </w:r>
      <w:bookmarkEnd w:id="414"/>
    </w:p>
    <w:p>
      <w:pPr>
        <w:ind w:firstLine="480"/>
        <w:rPr>
          <w:rFonts w:ascii="Times New Roman" w:hAnsi="Times New Roman"/>
        </w:rPr>
      </w:pPr>
      <w:r>
        <w:rPr>
          <w:rFonts w:ascii="Times New Roman" w:hAnsi="Times New Roman"/>
        </w:rPr>
        <w:t>本项目在建设期对各环境要素可能产生不同程度的影响。项目总投资</w:t>
      </w:r>
      <w:r>
        <w:rPr>
          <w:rFonts w:ascii="Times New Roman" w:hAnsi="Times New Roman"/>
          <w:highlight w:val="black"/>
        </w:rPr>
        <w:t>33172.9万元，其中环保投资840万元，占项目总投资的2.53%。</w:t>
      </w:r>
    </w:p>
    <w:p>
      <w:pPr>
        <w:pStyle w:val="3"/>
        <w:rPr>
          <w:rFonts w:ascii="Times New Roman" w:hAnsi="Times New Roman" w:cs="Times New Roman"/>
        </w:rPr>
      </w:pPr>
      <w:bookmarkStart w:id="415" w:name="_Toc162339460"/>
      <w:r>
        <w:rPr>
          <w:rFonts w:ascii="Times New Roman" w:hAnsi="Times New Roman" w:cs="Times New Roman"/>
        </w:rPr>
        <w:t>环境效益分析</w:t>
      </w:r>
      <w:bookmarkEnd w:id="415"/>
    </w:p>
    <w:p>
      <w:pPr>
        <w:ind w:firstLine="480"/>
        <w:rPr>
          <w:rFonts w:ascii="Times New Roman" w:hAnsi="Times New Roman"/>
        </w:rPr>
      </w:pPr>
      <w:r>
        <w:rPr>
          <w:rFonts w:ascii="Times New Roman" w:hAnsi="Times New Roman"/>
        </w:rPr>
        <w:t>以煤为主的能源结构是造成大气污染的主要原因。根据世界各国污染治理的经验，减轻大气污染的措施之一就是用无污染或低污染的优质能源替代煤，由此，本项目获得的清洁能源—天然气是解决环境污染问题的必然选择。</w:t>
      </w:r>
    </w:p>
    <w:p>
      <w:pPr>
        <w:ind w:firstLine="480"/>
        <w:rPr>
          <w:rFonts w:ascii="Times New Roman" w:hAnsi="Times New Roman"/>
        </w:rPr>
      </w:pPr>
      <w:r>
        <w:rPr>
          <w:rFonts w:ascii="Times New Roman" w:hAnsi="Times New Roman"/>
        </w:rPr>
        <w:t>天然气相对于煤、原油等能源的环境效益最好，天然气燃烧造成的污染大约为原油的1/40，为煤的1/800。监测表明，燃烧天然气排放的CO、CO</w:t>
      </w:r>
      <w:r>
        <w:rPr>
          <w:rFonts w:ascii="Times New Roman" w:hAnsi="Times New Roman"/>
          <w:vertAlign w:val="subscript"/>
        </w:rPr>
        <w:t>2</w:t>
      </w:r>
      <w:r>
        <w:rPr>
          <w:rFonts w:ascii="Times New Roman" w:hAnsi="Times New Roman"/>
        </w:rPr>
        <w:t>、NO</w:t>
      </w:r>
      <w:r>
        <w:rPr>
          <w:rFonts w:ascii="Times New Roman" w:hAnsi="Times New Roman"/>
          <w:vertAlign w:val="subscript"/>
        </w:rPr>
        <w:t>2</w:t>
      </w:r>
      <w:r>
        <w:rPr>
          <w:rFonts w:ascii="Times New Roman" w:hAnsi="Times New Roman"/>
        </w:rPr>
        <w:t>、灰分、SO</w:t>
      </w:r>
      <w:r>
        <w:rPr>
          <w:rFonts w:ascii="Times New Roman" w:hAnsi="Times New Roman"/>
          <w:vertAlign w:val="subscript"/>
        </w:rPr>
        <w:t>2</w:t>
      </w:r>
      <w:r>
        <w:rPr>
          <w:rFonts w:ascii="Times New Roman" w:hAnsi="Times New Roman"/>
        </w:rPr>
        <w:t>大大低于煤和原油的排放量，排污对比情况详见</w:t>
      </w:r>
      <w:r>
        <w:rPr>
          <w:rFonts w:ascii="Times New Roman" w:hAnsi="Times New Roman"/>
        </w:rPr>
        <w:fldChar w:fldCharType="begin"/>
      </w:r>
      <w:r>
        <w:rPr>
          <w:rFonts w:ascii="Times New Roman" w:hAnsi="Times New Roman"/>
        </w:rPr>
        <w:instrText xml:space="preserve"> REF _Ref154680287 \h  \* MERGEFORMAT </w:instrText>
      </w:r>
      <w:r>
        <w:rPr>
          <w:rFonts w:ascii="Times New Roman" w:hAnsi="Times New Roman"/>
        </w:rPr>
        <w:fldChar w:fldCharType="separate"/>
      </w:r>
      <w:r>
        <w:rPr>
          <w:rFonts w:ascii="Times New Roman" w:hAnsi="Times New Roman"/>
        </w:rPr>
        <w:t>表 10</w:t>
      </w:r>
      <w:r>
        <w:rPr>
          <w:rFonts w:ascii="Times New Roman" w:hAnsi="Times New Roman"/>
        </w:rPr>
        <w:noBreakHyphen/>
      </w:r>
      <w:r>
        <w:rPr>
          <w:rFonts w:ascii="Times New Roman" w:hAnsi="Times New Roman"/>
        </w:rPr>
        <w:t>2</w:t>
      </w:r>
      <w:r>
        <w:rPr>
          <w:rFonts w:ascii="Times New Roman" w:hAnsi="Times New Roman"/>
        </w:rPr>
        <w:fldChar w:fldCharType="end"/>
      </w:r>
      <w:r>
        <w:rPr>
          <w:rFonts w:ascii="Times New Roman" w:hAnsi="Times New Roman"/>
        </w:rPr>
        <w:t>。</w:t>
      </w:r>
    </w:p>
    <w:p>
      <w:pPr>
        <w:pStyle w:val="37"/>
        <w:rPr>
          <w:rFonts w:ascii="Times New Roman" w:hAnsi="Times New Roman" w:cs="Times New Roman"/>
        </w:rPr>
      </w:pPr>
      <w:bookmarkStart w:id="416" w:name="_Ref154680287"/>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bookmarkEnd w:id="416"/>
      <w:r>
        <w:rPr>
          <w:rFonts w:ascii="Times New Roman" w:hAnsi="Times New Roman" w:cs="Times New Roman"/>
        </w:rPr>
        <w:t xml:space="preserve">  天然气与原油、煤燃烧的排污量对比*（按单位热值计）</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66"/>
        <w:gridCol w:w="2865"/>
        <w:gridCol w:w="1703"/>
        <w:gridCol w:w="23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66" w:type="dxa"/>
            <w:vAlign w:val="bottom"/>
          </w:tcPr>
          <w:p>
            <w:pPr>
              <w:pStyle w:val="39"/>
              <w:rPr>
                <w:rFonts w:ascii="Times New Roman" w:hAnsi="Times New Roman"/>
              </w:rPr>
            </w:pPr>
            <w:r>
              <w:rPr>
                <w:rFonts w:ascii="Times New Roman" w:hAnsi="Times New Roman"/>
              </w:rPr>
              <w:t>燃烧产物</w:t>
            </w:r>
          </w:p>
        </w:tc>
        <w:tc>
          <w:tcPr>
            <w:tcW w:w="2865" w:type="dxa"/>
            <w:vAlign w:val="bottom"/>
          </w:tcPr>
          <w:p>
            <w:pPr>
              <w:pStyle w:val="39"/>
              <w:rPr>
                <w:rFonts w:ascii="Times New Roman" w:hAnsi="Times New Roman"/>
              </w:rPr>
            </w:pPr>
            <w:r>
              <w:rPr>
                <w:rFonts w:ascii="Times New Roman" w:hAnsi="Times New Roman"/>
              </w:rPr>
              <w:t>天然气</w:t>
            </w:r>
          </w:p>
        </w:tc>
        <w:tc>
          <w:tcPr>
            <w:tcW w:w="1703" w:type="dxa"/>
            <w:vAlign w:val="bottom"/>
          </w:tcPr>
          <w:p>
            <w:pPr>
              <w:pStyle w:val="39"/>
              <w:rPr>
                <w:rFonts w:ascii="Times New Roman" w:hAnsi="Times New Roman"/>
              </w:rPr>
            </w:pPr>
            <w:r>
              <w:rPr>
                <w:rFonts w:ascii="Times New Roman" w:hAnsi="Times New Roman"/>
              </w:rPr>
              <w:t>原油</w:t>
            </w:r>
          </w:p>
        </w:tc>
        <w:tc>
          <w:tcPr>
            <w:tcW w:w="2337" w:type="dxa"/>
            <w:vAlign w:val="bottom"/>
          </w:tcPr>
          <w:p>
            <w:pPr>
              <w:pStyle w:val="39"/>
              <w:rPr>
                <w:rFonts w:ascii="Times New Roman" w:hAnsi="Times New Roman"/>
              </w:rPr>
            </w:pPr>
            <w:r>
              <w:rPr>
                <w:rFonts w:ascii="Times New Roman" w:hAnsi="Times New Roman"/>
              </w:rPr>
              <w:t>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66" w:type="dxa"/>
            <w:vAlign w:val="bottom"/>
          </w:tcPr>
          <w:p>
            <w:pPr>
              <w:pStyle w:val="39"/>
              <w:rPr>
                <w:rFonts w:ascii="Times New Roman" w:hAnsi="Times New Roman"/>
              </w:rPr>
            </w:pPr>
            <w:r>
              <w:rPr>
                <w:rFonts w:ascii="Times New Roman" w:hAnsi="Times New Roman"/>
              </w:rPr>
              <w:t>灰分</w:t>
            </w:r>
          </w:p>
        </w:tc>
        <w:tc>
          <w:tcPr>
            <w:tcW w:w="2865" w:type="dxa"/>
            <w:vAlign w:val="bottom"/>
          </w:tcPr>
          <w:p>
            <w:pPr>
              <w:pStyle w:val="39"/>
              <w:rPr>
                <w:rFonts w:ascii="Times New Roman" w:hAnsi="Times New Roman"/>
              </w:rPr>
            </w:pPr>
            <w:r>
              <w:rPr>
                <w:rFonts w:ascii="Times New Roman" w:hAnsi="Times New Roman"/>
              </w:rPr>
              <w:t>1</w:t>
            </w:r>
          </w:p>
        </w:tc>
        <w:tc>
          <w:tcPr>
            <w:tcW w:w="1703" w:type="dxa"/>
            <w:vAlign w:val="bottom"/>
          </w:tcPr>
          <w:p>
            <w:pPr>
              <w:pStyle w:val="39"/>
              <w:rPr>
                <w:rFonts w:ascii="Times New Roman" w:hAnsi="Times New Roman"/>
              </w:rPr>
            </w:pPr>
            <w:r>
              <w:rPr>
                <w:rFonts w:ascii="Times New Roman" w:hAnsi="Times New Roman"/>
              </w:rPr>
              <w:t>14</w:t>
            </w:r>
          </w:p>
        </w:tc>
        <w:tc>
          <w:tcPr>
            <w:tcW w:w="2337" w:type="dxa"/>
            <w:vAlign w:val="bottom"/>
          </w:tcPr>
          <w:p>
            <w:pPr>
              <w:pStyle w:val="39"/>
              <w:rPr>
                <w:rFonts w:ascii="Times New Roman" w:hAnsi="Times New Roman"/>
              </w:rPr>
            </w:pPr>
            <w:r>
              <w:rPr>
                <w:rFonts w:ascii="Times New Roman" w:hAnsi="Times New Roman"/>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66" w:type="dxa"/>
            <w:vAlign w:val="bottom"/>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2865" w:type="dxa"/>
            <w:vAlign w:val="bottom"/>
          </w:tcPr>
          <w:p>
            <w:pPr>
              <w:pStyle w:val="39"/>
              <w:rPr>
                <w:rFonts w:ascii="Times New Roman" w:hAnsi="Times New Roman"/>
              </w:rPr>
            </w:pPr>
            <w:r>
              <w:rPr>
                <w:rFonts w:ascii="Times New Roman" w:hAnsi="Times New Roman"/>
              </w:rPr>
              <w:t>1</w:t>
            </w:r>
          </w:p>
        </w:tc>
        <w:tc>
          <w:tcPr>
            <w:tcW w:w="1703" w:type="dxa"/>
            <w:vAlign w:val="bottom"/>
          </w:tcPr>
          <w:p>
            <w:pPr>
              <w:pStyle w:val="39"/>
              <w:rPr>
                <w:rFonts w:ascii="Times New Roman" w:hAnsi="Times New Roman"/>
              </w:rPr>
            </w:pPr>
            <w:r>
              <w:rPr>
                <w:rFonts w:ascii="Times New Roman" w:hAnsi="Times New Roman"/>
              </w:rPr>
              <w:t>400</w:t>
            </w:r>
          </w:p>
        </w:tc>
        <w:tc>
          <w:tcPr>
            <w:tcW w:w="2337" w:type="dxa"/>
            <w:vAlign w:val="bottom"/>
          </w:tcPr>
          <w:p>
            <w:pPr>
              <w:pStyle w:val="39"/>
              <w:rPr>
                <w:rFonts w:ascii="Times New Roman" w:hAnsi="Times New Roman"/>
              </w:rPr>
            </w:pPr>
            <w:r>
              <w:rPr>
                <w:rFonts w:ascii="Times New Roman" w:hAnsi="Times New Roman"/>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66" w:type="dxa"/>
            <w:vAlign w:val="bottom"/>
          </w:tcPr>
          <w:p>
            <w:pPr>
              <w:pStyle w:val="39"/>
              <w:rPr>
                <w:rFonts w:ascii="Times New Roman" w:hAnsi="Times New Roman"/>
              </w:rPr>
            </w:pPr>
            <w:r>
              <w:rPr>
                <w:rFonts w:ascii="Times New Roman" w:hAnsi="Times New Roman"/>
              </w:rPr>
              <w:t>NO</w:t>
            </w:r>
            <w:r>
              <w:rPr>
                <w:rFonts w:ascii="Times New Roman" w:hAnsi="Times New Roman"/>
                <w:vertAlign w:val="subscript"/>
              </w:rPr>
              <w:t>2</w:t>
            </w:r>
          </w:p>
        </w:tc>
        <w:tc>
          <w:tcPr>
            <w:tcW w:w="2865" w:type="dxa"/>
            <w:vAlign w:val="bottom"/>
          </w:tcPr>
          <w:p>
            <w:pPr>
              <w:pStyle w:val="39"/>
              <w:rPr>
                <w:rFonts w:ascii="Times New Roman" w:hAnsi="Times New Roman"/>
              </w:rPr>
            </w:pPr>
            <w:r>
              <w:rPr>
                <w:rFonts w:ascii="Times New Roman" w:hAnsi="Times New Roman"/>
              </w:rPr>
              <w:t>1</w:t>
            </w:r>
          </w:p>
        </w:tc>
        <w:tc>
          <w:tcPr>
            <w:tcW w:w="1703" w:type="dxa"/>
            <w:vAlign w:val="bottom"/>
          </w:tcPr>
          <w:p>
            <w:pPr>
              <w:pStyle w:val="39"/>
              <w:rPr>
                <w:rFonts w:ascii="Times New Roman" w:hAnsi="Times New Roman"/>
              </w:rPr>
            </w:pPr>
            <w:r>
              <w:rPr>
                <w:rFonts w:ascii="Times New Roman" w:hAnsi="Times New Roman"/>
              </w:rPr>
              <w:t>5</w:t>
            </w:r>
          </w:p>
        </w:tc>
        <w:tc>
          <w:tcPr>
            <w:tcW w:w="2337" w:type="dxa"/>
            <w:vAlign w:val="bottom"/>
          </w:tcPr>
          <w:p>
            <w:pPr>
              <w:pStyle w:val="39"/>
              <w:rPr>
                <w:rFonts w:ascii="Times New Roman" w:hAnsi="Times New Roman"/>
              </w:rPr>
            </w:pPr>
            <w:r>
              <w:rPr>
                <w:rFonts w:ascii="Times New Roman" w:hAnsi="Times New Roma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66" w:type="dxa"/>
            <w:vAlign w:val="bottom"/>
          </w:tcPr>
          <w:p>
            <w:pPr>
              <w:pStyle w:val="39"/>
              <w:rPr>
                <w:rFonts w:ascii="Times New Roman" w:hAnsi="Times New Roman"/>
              </w:rPr>
            </w:pPr>
            <w:r>
              <w:rPr>
                <w:rFonts w:ascii="Times New Roman" w:hAnsi="Times New Roman"/>
              </w:rPr>
              <w:t>CO</w:t>
            </w:r>
          </w:p>
        </w:tc>
        <w:tc>
          <w:tcPr>
            <w:tcW w:w="2865" w:type="dxa"/>
            <w:vAlign w:val="bottom"/>
          </w:tcPr>
          <w:p>
            <w:pPr>
              <w:pStyle w:val="39"/>
              <w:rPr>
                <w:rFonts w:ascii="Times New Roman" w:hAnsi="Times New Roman"/>
              </w:rPr>
            </w:pPr>
            <w:r>
              <w:rPr>
                <w:rFonts w:ascii="Times New Roman" w:hAnsi="Times New Roman"/>
              </w:rPr>
              <w:t>1</w:t>
            </w:r>
          </w:p>
        </w:tc>
        <w:tc>
          <w:tcPr>
            <w:tcW w:w="1703" w:type="dxa"/>
            <w:vAlign w:val="bottom"/>
          </w:tcPr>
          <w:p>
            <w:pPr>
              <w:pStyle w:val="39"/>
              <w:rPr>
                <w:rFonts w:ascii="Times New Roman" w:hAnsi="Times New Roman"/>
              </w:rPr>
            </w:pPr>
            <w:r>
              <w:rPr>
                <w:rFonts w:ascii="Times New Roman" w:hAnsi="Times New Roman"/>
              </w:rPr>
              <w:t>16</w:t>
            </w:r>
          </w:p>
        </w:tc>
        <w:tc>
          <w:tcPr>
            <w:tcW w:w="2337" w:type="dxa"/>
            <w:vAlign w:val="bottom"/>
          </w:tcPr>
          <w:p>
            <w:pPr>
              <w:pStyle w:val="39"/>
              <w:rPr>
                <w:rFonts w:ascii="Times New Roman" w:hAnsi="Times New Roman"/>
              </w:rPr>
            </w:pPr>
            <w:r>
              <w:rPr>
                <w:rFonts w:ascii="Times New Roman" w:hAnsi="Times New Roman"/>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66" w:type="dxa"/>
            <w:vAlign w:val="bottom"/>
          </w:tcPr>
          <w:p>
            <w:pPr>
              <w:pStyle w:val="39"/>
              <w:rPr>
                <w:rFonts w:ascii="Times New Roman" w:hAnsi="Times New Roman"/>
              </w:rPr>
            </w:pPr>
            <w:r>
              <w:rPr>
                <w:rFonts w:ascii="Times New Roman" w:hAnsi="Times New Roman"/>
              </w:rPr>
              <w:t>CO</w:t>
            </w:r>
            <w:r>
              <w:rPr>
                <w:rFonts w:ascii="Times New Roman" w:hAnsi="Times New Roman"/>
                <w:vertAlign w:val="subscript"/>
              </w:rPr>
              <w:t>2</w:t>
            </w:r>
          </w:p>
        </w:tc>
        <w:tc>
          <w:tcPr>
            <w:tcW w:w="2865" w:type="dxa"/>
            <w:vAlign w:val="bottom"/>
          </w:tcPr>
          <w:p>
            <w:pPr>
              <w:pStyle w:val="39"/>
              <w:rPr>
                <w:rFonts w:ascii="Times New Roman" w:hAnsi="Times New Roman"/>
              </w:rPr>
            </w:pPr>
            <w:r>
              <w:rPr>
                <w:rFonts w:ascii="Times New Roman" w:hAnsi="Times New Roman"/>
              </w:rPr>
              <w:t>3</w:t>
            </w:r>
          </w:p>
        </w:tc>
        <w:tc>
          <w:tcPr>
            <w:tcW w:w="1703" w:type="dxa"/>
            <w:vAlign w:val="bottom"/>
          </w:tcPr>
          <w:p>
            <w:pPr>
              <w:pStyle w:val="39"/>
              <w:rPr>
                <w:rFonts w:ascii="Times New Roman" w:hAnsi="Times New Roman"/>
              </w:rPr>
            </w:pPr>
            <w:r>
              <w:rPr>
                <w:rFonts w:ascii="Times New Roman" w:hAnsi="Times New Roman"/>
              </w:rPr>
              <w:t>4</w:t>
            </w:r>
          </w:p>
        </w:tc>
        <w:tc>
          <w:tcPr>
            <w:tcW w:w="2337" w:type="dxa"/>
            <w:vAlign w:val="bottom"/>
          </w:tcPr>
          <w:p>
            <w:pPr>
              <w:pStyle w:val="39"/>
              <w:rPr>
                <w:rFonts w:ascii="Times New Roman" w:hAnsi="Times New Roman"/>
              </w:rPr>
            </w:pPr>
            <w:r>
              <w:rPr>
                <w:rFonts w:ascii="Times New Roman" w:hAnsi="Times New Roma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gridSpan w:val="4"/>
            <w:vAlign w:val="bottom"/>
          </w:tcPr>
          <w:p>
            <w:pPr>
              <w:pStyle w:val="39"/>
              <w:jc w:val="left"/>
              <w:rPr>
                <w:rFonts w:ascii="Times New Roman" w:hAnsi="Times New Roman"/>
              </w:rPr>
            </w:pPr>
            <w:r>
              <w:rPr>
                <w:rFonts w:ascii="Times New Roman" w:hAnsi="Times New Roman"/>
                <w:sz w:val="18"/>
                <w:szCs w:val="18"/>
              </w:rPr>
              <w:t>注：*资料来源：《四川石油经济》2000年第一期中《天然气利用之环境效益初探》。</w:t>
            </w:r>
          </w:p>
        </w:tc>
      </w:tr>
    </w:tbl>
    <w:p>
      <w:pPr>
        <w:ind w:firstLine="480"/>
        <w:rPr>
          <w:rFonts w:ascii="Times New Roman" w:hAnsi="Times New Roman"/>
        </w:rPr>
      </w:pPr>
    </w:p>
    <w:p>
      <w:pPr>
        <w:ind w:firstLine="480"/>
        <w:rPr>
          <w:rFonts w:ascii="Times New Roman" w:hAnsi="Times New Roman"/>
        </w:rPr>
      </w:pPr>
      <w:r>
        <w:rPr>
          <w:rFonts w:ascii="Times New Roman" w:hAnsi="Times New Roman"/>
        </w:rPr>
        <w:t>从表中数据可以看出，天然气替代原油和煤等能源的环境效益是十分明显。本工程的开发将对当地环境及天然气使用的地区大气环境将产生明显的正效益。</w:t>
      </w:r>
    </w:p>
    <w:p>
      <w:pPr>
        <w:pStyle w:val="3"/>
        <w:rPr>
          <w:rFonts w:ascii="Times New Roman" w:hAnsi="Times New Roman" w:cs="Times New Roman"/>
        </w:rPr>
      </w:pPr>
      <w:bookmarkStart w:id="417" w:name="_Toc162339461"/>
      <w:r>
        <w:rPr>
          <w:rFonts w:ascii="Times New Roman" w:hAnsi="Times New Roman" w:cs="Times New Roman"/>
        </w:rPr>
        <w:t>价格优势带来的经济效益</w:t>
      </w:r>
      <w:bookmarkEnd w:id="417"/>
    </w:p>
    <w:p>
      <w:pPr>
        <w:ind w:firstLine="480"/>
        <w:rPr>
          <w:rFonts w:ascii="Times New Roman" w:hAnsi="Times New Roman"/>
        </w:rPr>
      </w:pPr>
      <w:r>
        <w:rPr>
          <w:rFonts w:ascii="Times New Roman" w:hAnsi="Times New Roman"/>
        </w:rPr>
        <w:t>天然气作为民用燃料十分优越，除洁净、方便之外，其热效率也高，它是原油的1.4倍，是煤的2倍，是火电的2.8倍，它也比人造煤气及液化石油气的火焰稳定，燃烧更完全。天然气无论在价格上还是在使用效益上均高于其他燃料，详情见下表。</w:t>
      </w:r>
    </w:p>
    <w:p>
      <w:pPr>
        <w:pStyle w:val="37"/>
        <w:rPr>
          <w:rFonts w:ascii="Times New Roman" w:hAnsi="Times New Roman" w:cs="Times New Roman"/>
        </w:rPr>
      </w:pPr>
      <w:bookmarkStart w:id="418" w:name="_Ref154680779"/>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bookmarkEnd w:id="418"/>
      <w:r>
        <w:rPr>
          <w:rFonts w:ascii="Times New Roman" w:hAnsi="Times New Roman" w:cs="Times New Roman"/>
        </w:rPr>
        <w:t xml:space="preserve">  不同燃气等热值(4000kcal)价格对比表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55"/>
        <w:gridCol w:w="2159"/>
        <w:gridCol w:w="2159"/>
        <w:gridCol w:w="23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 w:hRule="atLeast"/>
          <w:jc w:val="center"/>
        </w:trPr>
        <w:tc>
          <w:tcPr>
            <w:tcW w:w="2355" w:type="dxa"/>
            <w:vAlign w:val="center"/>
          </w:tcPr>
          <w:p>
            <w:pPr>
              <w:pStyle w:val="39"/>
              <w:rPr>
                <w:rFonts w:ascii="Times New Roman" w:hAnsi="Times New Roman"/>
              </w:rPr>
            </w:pPr>
            <w:r>
              <w:rPr>
                <w:rFonts w:ascii="Times New Roman" w:hAnsi="Times New Roman"/>
              </w:rPr>
              <w:t>燃料</w:t>
            </w:r>
          </w:p>
        </w:tc>
        <w:tc>
          <w:tcPr>
            <w:tcW w:w="2159" w:type="dxa"/>
            <w:vAlign w:val="center"/>
          </w:tcPr>
          <w:p>
            <w:pPr>
              <w:pStyle w:val="39"/>
              <w:rPr>
                <w:rFonts w:ascii="Times New Roman" w:hAnsi="Times New Roman"/>
              </w:rPr>
            </w:pPr>
            <w:r>
              <w:rPr>
                <w:rFonts w:ascii="Times New Roman" w:hAnsi="Times New Roman"/>
              </w:rPr>
              <w:t>管道煤制气</w:t>
            </w:r>
            <w:r>
              <w:rPr>
                <w:rFonts w:ascii="Times New Roman" w:hAnsi="Times New Roman"/>
                <w:vertAlign w:val="superscript"/>
              </w:rPr>
              <w:t>(1)</w:t>
            </w:r>
          </w:p>
        </w:tc>
        <w:tc>
          <w:tcPr>
            <w:tcW w:w="2159" w:type="dxa"/>
            <w:vAlign w:val="center"/>
          </w:tcPr>
          <w:p>
            <w:pPr>
              <w:pStyle w:val="39"/>
              <w:rPr>
                <w:rFonts w:ascii="Times New Roman" w:hAnsi="Times New Roman"/>
              </w:rPr>
            </w:pPr>
            <w:r>
              <w:rPr>
                <w:rFonts w:ascii="Times New Roman" w:hAnsi="Times New Roman"/>
              </w:rPr>
              <w:t>瓶装液化石油气</w:t>
            </w:r>
            <w:r>
              <w:rPr>
                <w:rFonts w:ascii="Times New Roman" w:hAnsi="Times New Roman"/>
                <w:vertAlign w:val="superscript"/>
              </w:rPr>
              <w:t>(2)</w:t>
            </w:r>
          </w:p>
        </w:tc>
        <w:tc>
          <w:tcPr>
            <w:tcW w:w="2398" w:type="dxa"/>
            <w:vAlign w:val="center"/>
          </w:tcPr>
          <w:p>
            <w:pPr>
              <w:pStyle w:val="39"/>
              <w:rPr>
                <w:rFonts w:ascii="Times New Roman" w:hAnsi="Times New Roman"/>
              </w:rPr>
            </w:pPr>
            <w:r>
              <w:rPr>
                <w:rFonts w:ascii="Times New Roman" w:hAnsi="Times New Roman"/>
              </w:rPr>
              <w:t>天然气</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355" w:type="dxa"/>
            <w:vAlign w:val="center"/>
          </w:tcPr>
          <w:p>
            <w:pPr>
              <w:pStyle w:val="39"/>
              <w:rPr>
                <w:rFonts w:ascii="Times New Roman" w:hAnsi="Times New Roman"/>
              </w:rPr>
            </w:pPr>
            <w:r>
              <w:rPr>
                <w:rFonts w:ascii="Times New Roman" w:hAnsi="Times New Roman"/>
              </w:rPr>
              <w:t>价格</w:t>
            </w:r>
          </w:p>
        </w:tc>
        <w:tc>
          <w:tcPr>
            <w:tcW w:w="2159" w:type="dxa"/>
            <w:vAlign w:val="center"/>
          </w:tcPr>
          <w:p>
            <w:pPr>
              <w:pStyle w:val="39"/>
              <w:rPr>
                <w:rFonts w:ascii="Times New Roman" w:hAnsi="Times New Roman"/>
              </w:rPr>
            </w:pPr>
            <w:r>
              <w:rPr>
                <w:rFonts w:ascii="Times New Roman" w:hAnsi="Times New Roman"/>
              </w:rPr>
              <w:t>1.00元/m</w:t>
            </w:r>
            <w:r>
              <w:rPr>
                <w:rFonts w:ascii="Times New Roman" w:hAnsi="Times New Roman"/>
                <w:vertAlign w:val="superscript"/>
              </w:rPr>
              <w:t>3</w:t>
            </w:r>
          </w:p>
        </w:tc>
        <w:tc>
          <w:tcPr>
            <w:tcW w:w="2159" w:type="dxa"/>
            <w:vAlign w:val="center"/>
          </w:tcPr>
          <w:p>
            <w:pPr>
              <w:pStyle w:val="39"/>
              <w:rPr>
                <w:rFonts w:ascii="Times New Roman" w:hAnsi="Times New Roman"/>
              </w:rPr>
            </w:pPr>
            <w:r>
              <w:rPr>
                <w:rFonts w:ascii="Times New Roman" w:hAnsi="Times New Roman"/>
              </w:rPr>
              <w:t>0.90元/kg</w:t>
            </w:r>
          </w:p>
        </w:tc>
        <w:tc>
          <w:tcPr>
            <w:tcW w:w="2398" w:type="dxa"/>
            <w:vAlign w:val="center"/>
          </w:tcPr>
          <w:p>
            <w:pPr>
              <w:pStyle w:val="39"/>
              <w:rPr>
                <w:rFonts w:ascii="Times New Roman" w:hAnsi="Times New Roman"/>
              </w:rPr>
            </w:pPr>
            <w:r>
              <w:rPr>
                <w:rFonts w:ascii="Times New Roman" w:hAnsi="Times New Roman"/>
              </w:rPr>
              <w:t>0.60元/m</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7" w:hRule="atLeast"/>
          <w:jc w:val="center"/>
        </w:trPr>
        <w:tc>
          <w:tcPr>
            <w:tcW w:w="9071" w:type="dxa"/>
            <w:gridSpan w:val="4"/>
            <w:vAlign w:val="center"/>
          </w:tcPr>
          <w:p>
            <w:pPr>
              <w:pStyle w:val="39"/>
              <w:rPr>
                <w:rFonts w:ascii="Times New Roman" w:hAnsi="Times New Roman"/>
              </w:rPr>
            </w:pPr>
            <w:r>
              <w:rPr>
                <w:rFonts w:ascii="Times New Roman" w:hAnsi="Times New Roman"/>
                <w:sz w:val="18"/>
              </w:rPr>
              <w:t>注：（1）有政府补贴下的价格，热值4000kcal/m</w:t>
            </w:r>
            <w:r>
              <w:rPr>
                <w:rFonts w:ascii="Times New Roman" w:hAnsi="Times New Roman"/>
                <w:sz w:val="18"/>
                <w:vertAlign w:val="superscript"/>
              </w:rPr>
              <w:t>3</w:t>
            </w:r>
            <w:r>
              <w:rPr>
                <w:rFonts w:ascii="Times New Roman" w:hAnsi="Times New Roman"/>
                <w:sz w:val="18"/>
              </w:rPr>
              <w:t>；（2）按每瓶13kg，价35元，热值12000kcal/kg；（3）按平均价1.20元/m</w:t>
            </w:r>
            <w:r>
              <w:rPr>
                <w:rFonts w:ascii="Times New Roman" w:hAnsi="Times New Roman"/>
                <w:sz w:val="18"/>
                <w:vertAlign w:val="superscript"/>
              </w:rPr>
              <w:t>3</w:t>
            </w:r>
            <w:r>
              <w:rPr>
                <w:rFonts w:ascii="Times New Roman" w:hAnsi="Times New Roman"/>
                <w:sz w:val="18"/>
              </w:rPr>
              <w:t>，热值8000kcal/m</w:t>
            </w:r>
            <w:r>
              <w:rPr>
                <w:rFonts w:ascii="Times New Roman" w:hAnsi="Times New Roman"/>
                <w:sz w:val="18"/>
                <w:vertAlign w:val="superscript"/>
              </w:rPr>
              <w:t>3</w:t>
            </w:r>
            <w:r>
              <w:rPr>
                <w:rFonts w:ascii="Times New Roman" w:hAnsi="Times New Roman"/>
                <w:sz w:val="18"/>
              </w:rPr>
              <w:t>折算。</w:t>
            </w:r>
          </w:p>
        </w:tc>
      </w:tr>
    </w:tbl>
    <w:p>
      <w:pPr>
        <w:pStyle w:val="37"/>
        <w:rPr>
          <w:rFonts w:ascii="Times New Roman" w:hAnsi="Times New Roman" w:cs="Times New Roman"/>
        </w:rPr>
      </w:pPr>
      <w:bookmarkStart w:id="419" w:name="_Ref15468078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bookmarkEnd w:id="419"/>
      <w:r>
        <w:rPr>
          <w:rFonts w:ascii="Times New Roman" w:hAnsi="Times New Roman" w:cs="Times New Roman"/>
        </w:rPr>
        <w:t xml:space="preserve">  每户对不同燃气的月费用表(等热值下)</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89"/>
        <w:gridCol w:w="2197"/>
        <w:gridCol w:w="1723"/>
        <w:gridCol w:w="23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8" w:hRule="atLeast"/>
          <w:jc w:val="center"/>
        </w:trPr>
        <w:tc>
          <w:tcPr>
            <w:tcW w:w="2789" w:type="dxa"/>
            <w:vAlign w:val="center"/>
          </w:tcPr>
          <w:p>
            <w:pPr>
              <w:pStyle w:val="39"/>
              <w:rPr>
                <w:rFonts w:ascii="Times New Roman" w:hAnsi="Times New Roman"/>
              </w:rPr>
            </w:pPr>
            <w:r>
              <w:rPr>
                <w:rFonts w:ascii="Times New Roman" w:hAnsi="Times New Roman"/>
              </w:rPr>
              <w:t>项目</w:t>
            </w:r>
          </w:p>
        </w:tc>
        <w:tc>
          <w:tcPr>
            <w:tcW w:w="2197" w:type="dxa"/>
            <w:vAlign w:val="center"/>
          </w:tcPr>
          <w:p>
            <w:pPr>
              <w:pStyle w:val="39"/>
              <w:rPr>
                <w:rFonts w:ascii="Times New Roman" w:hAnsi="Times New Roman"/>
              </w:rPr>
            </w:pPr>
            <w:r>
              <w:rPr>
                <w:rFonts w:ascii="Times New Roman" w:hAnsi="Times New Roman"/>
              </w:rPr>
              <w:t>液化石油气</w:t>
            </w:r>
          </w:p>
        </w:tc>
        <w:tc>
          <w:tcPr>
            <w:tcW w:w="1723" w:type="dxa"/>
            <w:vAlign w:val="center"/>
          </w:tcPr>
          <w:p>
            <w:pPr>
              <w:pStyle w:val="39"/>
              <w:rPr>
                <w:rFonts w:ascii="Times New Roman" w:hAnsi="Times New Roman"/>
              </w:rPr>
            </w:pPr>
            <w:r>
              <w:rPr>
                <w:rFonts w:ascii="Times New Roman" w:hAnsi="Times New Roman"/>
              </w:rPr>
              <w:t>天然气</w:t>
            </w:r>
          </w:p>
        </w:tc>
        <w:tc>
          <w:tcPr>
            <w:tcW w:w="2362" w:type="dxa"/>
            <w:vAlign w:val="center"/>
          </w:tcPr>
          <w:p>
            <w:pPr>
              <w:pStyle w:val="39"/>
              <w:rPr>
                <w:rFonts w:ascii="Times New Roman" w:hAnsi="Times New Roman"/>
              </w:rPr>
            </w:pPr>
            <w:r>
              <w:rPr>
                <w:rFonts w:ascii="Times New Roman" w:hAnsi="Times New Roman"/>
              </w:rPr>
              <w:t>煤制气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9" w:hRule="atLeast"/>
          <w:jc w:val="center"/>
        </w:trPr>
        <w:tc>
          <w:tcPr>
            <w:tcW w:w="2789" w:type="dxa"/>
            <w:vAlign w:val="center"/>
          </w:tcPr>
          <w:p>
            <w:pPr>
              <w:pStyle w:val="39"/>
              <w:rPr>
                <w:rFonts w:ascii="Times New Roman" w:hAnsi="Times New Roman"/>
              </w:rPr>
            </w:pPr>
            <w:r>
              <w:rPr>
                <w:rFonts w:ascii="Times New Roman" w:hAnsi="Times New Roman"/>
              </w:rPr>
              <w:t>月用量</w:t>
            </w:r>
          </w:p>
        </w:tc>
        <w:tc>
          <w:tcPr>
            <w:tcW w:w="2197" w:type="dxa"/>
            <w:vAlign w:val="center"/>
          </w:tcPr>
          <w:p>
            <w:pPr>
              <w:pStyle w:val="39"/>
              <w:rPr>
                <w:rFonts w:ascii="Times New Roman" w:hAnsi="Times New Roman"/>
              </w:rPr>
            </w:pPr>
            <w:r>
              <w:rPr>
                <w:rFonts w:ascii="Times New Roman" w:hAnsi="Times New Roman"/>
              </w:rPr>
              <w:t>20kg</w:t>
            </w:r>
          </w:p>
        </w:tc>
        <w:tc>
          <w:tcPr>
            <w:tcW w:w="1723" w:type="dxa"/>
            <w:vAlign w:val="center"/>
          </w:tcPr>
          <w:p>
            <w:pPr>
              <w:pStyle w:val="39"/>
              <w:rPr>
                <w:rFonts w:ascii="Times New Roman" w:hAnsi="Times New Roman"/>
              </w:rPr>
            </w:pPr>
            <w:r>
              <w:rPr>
                <w:rFonts w:ascii="Times New Roman" w:hAnsi="Times New Roman"/>
              </w:rPr>
              <w:t>30m</w:t>
            </w:r>
            <w:r>
              <w:rPr>
                <w:rFonts w:ascii="Times New Roman" w:hAnsi="Times New Roman"/>
                <w:vertAlign w:val="superscript"/>
              </w:rPr>
              <w:t>3   (3)</w:t>
            </w:r>
          </w:p>
        </w:tc>
        <w:tc>
          <w:tcPr>
            <w:tcW w:w="2362" w:type="dxa"/>
            <w:vAlign w:val="center"/>
          </w:tcPr>
          <w:p>
            <w:pPr>
              <w:pStyle w:val="39"/>
              <w:rPr>
                <w:rFonts w:ascii="Times New Roman" w:hAnsi="Times New Roman"/>
              </w:rPr>
            </w:pPr>
            <w:r>
              <w:rPr>
                <w:rFonts w:ascii="Times New Roman" w:hAnsi="Times New Roman"/>
              </w:rPr>
              <w:t>60m</w:t>
            </w:r>
            <w:r>
              <w:rPr>
                <w:rFonts w:ascii="Times New Roman" w:hAnsi="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9" w:hRule="atLeast"/>
          <w:jc w:val="center"/>
        </w:trPr>
        <w:tc>
          <w:tcPr>
            <w:tcW w:w="2789" w:type="dxa"/>
            <w:vAlign w:val="center"/>
          </w:tcPr>
          <w:p>
            <w:pPr>
              <w:pStyle w:val="39"/>
              <w:rPr>
                <w:rFonts w:ascii="Times New Roman" w:hAnsi="Times New Roman"/>
              </w:rPr>
            </w:pPr>
            <w:r>
              <w:rPr>
                <w:rFonts w:ascii="Times New Roman" w:hAnsi="Times New Roman"/>
              </w:rPr>
              <w:t>单价</w:t>
            </w:r>
          </w:p>
        </w:tc>
        <w:tc>
          <w:tcPr>
            <w:tcW w:w="2197" w:type="dxa"/>
            <w:vAlign w:val="center"/>
          </w:tcPr>
          <w:p>
            <w:pPr>
              <w:pStyle w:val="39"/>
              <w:rPr>
                <w:rFonts w:ascii="Times New Roman" w:hAnsi="Times New Roman"/>
              </w:rPr>
            </w:pPr>
            <w:r>
              <w:rPr>
                <w:rFonts w:ascii="Times New Roman" w:hAnsi="Times New Roman"/>
              </w:rPr>
              <w:t xml:space="preserve">2.69元/kg  </w:t>
            </w:r>
            <w:r>
              <w:rPr>
                <w:rFonts w:ascii="Times New Roman" w:hAnsi="Times New Roman"/>
                <w:vertAlign w:val="superscript"/>
              </w:rPr>
              <w:t>(1)</w:t>
            </w:r>
          </w:p>
        </w:tc>
        <w:tc>
          <w:tcPr>
            <w:tcW w:w="1723" w:type="dxa"/>
            <w:vAlign w:val="center"/>
          </w:tcPr>
          <w:p>
            <w:pPr>
              <w:pStyle w:val="39"/>
              <w:rPr>
                <w:rFonts w:ascii="Times New Roman" w:hAnsi="Times New Roman"/>
              </w:rPr>
            </w:pPr>
            <w:r>
              <w:rPr>
                <w:rFonts w:ascii="Times New Roman" w:hAnsi="Times New Roman"/>
              </w:rPr>
              <w:t>1.20元/m</w:t>
            </w:r>
            <w:r>
              <w:rPr>
                <w:rFonts w:ascii="Times New Roman" w:hAnsi="Times New Roman"/>
                <w:vertAlign w:val="superscript"/>
              </w:rPr>
              <w:t>3</w:t>
            </w:r>
          </w:p>
        </w:tc>
        <w:tc>
          <w:tcPr>
            <w:tcW w:w="2362" w:type="dxa"/>
            <w:vAlign w:val="center"/>
          </w:tcPr>
          <w:p>
            <w:pPr>
              <w:pStyle w:val="39"/>
              <w:rPr>
                <w:rFonts w:ascii="Times New Roman" w:hAnsi="Times New Roman"/>
              </w:rPr>
            </w:pPr>
            <w:r>
              <w:rPr>
                <w:rFonts w:ascii="Times New Roman" w:hAnsi="Times New Roman"/>
              </w:rPr>
              <w:t>1.00元/m</w:t>
            </w:r>
            <w:r>
              <w:rPr>
                <w:rFonts w:ascii="Times New Roman" w:hAnsi="Times New Roman"/>
                <w:vertAlign w:val="superscript"/>
              </w:rPr>
              <w:t>3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2789" w:type="dxa"/>
            <w:vAlign w:val="center"/>
          </w:tcPr>
          <w:p>
            <w:pPr>
              <w:pStyle w:val="39"/>
              <w:rPr>
                <w:rFonts w:ascii="Times New Roman" w:hAnsi="Times New Roman"/>
              </w:rPr>
            </w:pPr>
            <w:r>
              <w:rPr>
                <w:rFonts w:ascii="Times New Roman" w:hAnsi="Times New Roman"/>
              </w:rPr>
              <w:t>月费用</w:t>
            </w:r>
          </w:p>
        </w:tc>
        <w:tc>
          <w:tcPr>
            <w:tcW w:w="2197" w:type="dxa"/>
            <w:vAlign w:val="center"/>
          </w:tcPr>
          <w:p>
            <w:pPr>
              <w:pStyle w:val="39"/>
              <w:rPr>
                <w:rFonts w:ascii="Times New Roman" w:hAnsi="Times New Roman"/>
              </w:rPr>
            </w:pPr>
            <w:r>
              <w:rPr>
                <w:rFonts w:ascii="Times New Roman" w:hAnsi="Times New Roman"/>
              </w:rPr>
              <w:t>53.80元</w:t>
            </w:r>
          </w:p>
        </w:tc>
        <w:tc>
          <w:tcPr>
            <w:tcW w:w="1723" w:type="dxa"/>
            <w:vAlign w:val="center"/>
          </w:tcPr>
          <w:p>
            <w:pPr>
              <w:pStyle w:val="39"/>
              <w:rPr>
                <w:rFonts w:ascii="Times New Roman" w:hAnsi="Times New Roman"/>
              </w:rPr>
            </w:pPr>
            <w:r>
              <w:rPr>
                <w:rFonts w:ascii="Times New Roman" w:hAnsi="Times New Roman"/>
              </w:rPr>
              <w:t>36.00元</w:t>
            </w:r>
          </w:p>
        </w:tc>
        <w:tc>
          <w:tcPr>
            <w:tcW w:w="2362" w:type="dxa"/>
            <w:vAlign w:val="center"/>
          </w:tcPr>
          <w:p>
            <w:pPr>
              <w:pStyle w:val="39"/>
              <w:rPr>
                <w:rFonts w:ascii="Times New Roman" w:hAnsi="Times New Roman"/>
              </w:rPr>
            </w:pPr>
            <w:r>
              <w:rPr>
                <w:rFonts w:ascii="Times New Roman" w:hAnsi="Times New Roman"/>
              </w:rPr>
              <w:t>60.00元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9" w:hRule="atLeast"/>
          <w:jc w:val="center"/>
        </w:trPr>
        <w:tc>
          <w:tcPr>
            <w:tcW w:w="2789" w:type="dxa"/>
            <w:vAlign w:val="center"/>
          </w:tcPr>
          <w:p>
            <w:pPr>
              <w:pStyle w:val="39"/>
              <w:rPr>
                <w:rFonts w:ascii="Times New Roman" w:hAnsi="Times New Roman"/>
              </w:rPr>
            </w:pPr>
            <w:r>
              <w:rPr>
                <w:rFonts w:ascii="Times New Roman" w:hAnsi="Times New Roman"/>
              </w:rPr>
              <w:t>与天然气的费用差</w:t>
            </w:r>
          </w:p>
        </w:tc>
        <w:tc>
          <w:tcPr>
            <w:tcW w:w="2197" w:type="dxa"/>
            <w:vAlign w:val="center"/>
          </w:tcPr>
          <w:p>
            <w:pPr>
              <w:pStyle w:val="39"/>
              <w:rPr>
                <w:rFonts w:ascii="Times New Roman" w:hAnsi="Times New Roman"/>
              </w:rPr>
            </w:pPr>
            <w:r>
              <w:rPr>
                <w:rFonts w:ascii="Times New Roman" w:hAnsi="Times New Roman"/>
              </w:rPr>
              <w:t>17.80元</w:t>
            </w:r>
          </w:p>
        </w:tc>
        <w:tc>
          <w:tcPr>
            <w:tcW w:w="1723" w:type="dxa"/>
            <w:vAlign w:val="center"/>
          </w:tcPr>
          <w:p>
            <w:pPr>
              <w:pStyle w:val="39"/>
              <w:rPr>
                <w:rFonts w:ascii="Times New Roman" w:hAnsi="Times New Roman"/>
              </w:rPr>
            </w:pPr>
            <w:r>
              <w:rPr>
                <w:rFonts w:ascii="Times New Roman" w:hAnsi="Times New Roman"/>
              </w:rPr>
              <w:t>0</w:t>
            </w:r>
          </w:p>
        </w:tc>
        <w:tc>
          <w:tcPr>
            <w:tcW w:w="2362" w:type="dxa"/>
            <w:vAlign w:val="center"/>
          </w:tcPr>
          <w:p>
            <w:pPr>
              <w:pStyle w:val="39"/>
              <w:rPr>
                <w:rFonts w:ascii="Times New Roman" w:hAnsi="Times New Roman"/>
              </w:rPr>
            </w:pPr>
            <w:r>
              <w:rPr>
                <w:rFonts w:ascii="Times New Roman" w:hAnsi="Times New Roman"/>
              </w:rPr>
              <w:t>24.00元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8" w:hRule="atLeast"/>
          <w:jc w:val="center"/>
        </w:trPr>
        <w:tc>
          <w:tcPr>
            <w:tcW w:w="9071" w:type="dxa"/>
            <w:gridSpan w:val="4"/>
            <w:vAlign w:val="center"/>
          </w:tcPr>
          <w:p>
            <w:pPr>
              <w:pStyle w:val="39"/>
              <w:rPr>
                <w:rFonts w:ascii="Times New Roman" w:hAnsi="Times New Roman"/>
              </w:rPr>
            </w:pPr>
            <w:r>
              <w:rPr>
                <w:rFonts w:ascii="Times New Roman" w:hAnsi="Times New Roman"/>
                <w:sz w:val="18"/>
                <w:szCs w:val="18"/>
              </w:rPr>
              <w:t>注：（1）按每瓶13kg，35元计；（2）有政府补贴下的价格；（3）按每户市民平均月消耗天然气30m</w:t>
            </w:r>
            <w:r>
              <w:rPr>
                <w:rFonts w:ascii="Times New Roman" w:hAnsi="Times New Roman"/>
                <w:sz w:val="18"/>
                <w:szCs w:val="18"/>
                <w:vertAlign w:val="superscript"/>
              </w:rPr>
              <w:t>3</w:t>
            </w:r>
            <w:r>
              <w:rPr>
                <w:rFonts w:ascii="Times New Roman" w:hAnsi="Times New Roman"/>
                <w:sz w:val="18"/>
                <w:szCs w:val="18"/>
              </w:rPr>
              <w:t>计。</w:t>
            </w:r>
          </w:p>
        </w:tc>
      </w:tr>
    </w:tbl>
    <w:p>
      <w:pPr>
        <w:ind w:firstLine="480"/>
        <w:rPr>
          <w:rFonts w:ascii="Times New Roman" w:hAnsi="Times New Roman"/>
        </w:rPr>
      </w:pPr>
    </w:p>
    <w:p>
      <w:pPr>
        <w:pStyle w:val="37"/>
        <w:rPr>
          <w:rFonts w:ascii="Times New Roman" w:hAnsi="Times New Roman" w:cs="Times New Roman"/>
        </w:rPr>
      </w:pPr>
      <w:bookmarkStart w:id="420" w:name="_Ref154680784"/>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bookmarkEnd w:id="420"/>
      <w:r>
        <w:rPr>
          <w:rFonts w:ascii="Times New Roman" w:hAnsi="Times New Roman" w:cs="Times New Roman"/>
        </w:rPr>
        <w:t xml:space="preserve">  不同工业燃料技术经济对比表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6"/>
        <w:gridCol w:w="1524"/>
        <w:gridCol w:w="1452"/>
        <w:gridCol w:w="1436"/>
        <w:gridCol w:w="25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066" w:type="dxa"/>
            <w:vAlign w:val="center"/>
          </w:tcPr>
          <w:p>
            <w:pPr>
              <w:pStyle w:val="39"/>
              <w:rPr>
                <w:rFonts w:ascii="Times New Roman" w:hAnsi="Times New Roman"/>
              </w:rPr>
            </w:pPr>
            <w:r>
              <w:rPr>
                <w:rFonts w:ascii="Times New Roman" w:hAnsi="Times New Roman"/>
              </w:rPr>
              <w:t>所替换的燃料种类</w:t>
            </w:r>
          </w:p>
        </w:tc>
        <w:tc>
          <w:tcPr>
            <w:tcW w:w="1524" w:type="dxa"/>
            <w:vAlign w:val="center"/>
          </w:tcPr>
          <w:p>
            <w:pPr>
              <w:pStyle w:val="39"/>
              <w:rPr>
                <w:rFonts w:ascii="Times New Roman" w:hAnsi="Times New Roman"/>
              </w:rPr>
            </w:pPr>
            <w:r>
              <w:rPr>
                <w:rFonts w:ascii="Times New Roman" w:hAnsi="Times New Roman"/>
              </w:rPr>
              <w:t>所替换的燃料数量</w:t>
            </w:r>
          </w:p>
        </w:tc>
        <w:tc>
          <w:tcPr>
            <w:tcW w:w="1452" w:type="dxa"/>
            <w:vAlign w:val="center"/>
          </w:tcPr>
          <w:p>
            <w:pPr>
              <w:pStyle w:val="39"/>
              <w:rPr>
                <w:rFonts w:ascii="Times New Roman" w:hAnsi="Times New Roman"/>
              </w:rPr>
            </w:pPr>
            <w:r>
              <w:rPr>
                <w:rFonts w:ascii="Times New Roman" w:hAnsi="Times New Roman"/>
              </w:rPr>
              <w:t>替换的燃</w:t>
            </w:r>
          </w:p>
          <w:p>
            <w:pPr>
              <w:pStyle w:val="39"/>
              <w:rPr>
                <w:rFonts w:ascii="Times New Roman" w:hAnsi="Times New Roman"/>
              </w:rPr>
            </w:pPr>
            <w:r>
              <w:rPr>
                <w:rFonts w:ascii="Times New Roman" w:hAnsi="Times New Roman"/>
              </w:rPr>
              <w:t>料费用(元)</w:t>
            </w:r>
          </w:p>
        </w:tc>
        <w:tc>
          <w:tcPr>
            <w:tcW w:w="1436" w:type="dxa"/>
            <w:vAlign w:val="center"/>
          </w:tcPr>
          <w:p>
            <w:pPr>
              <w:pStyle w:val="39"/>
              <w:rPr>
                <w:rFonts w:ascii="Times New Roman" w:hAnsi="Times New Roman"/>
              </w:rPr>
            </w:pPr>
            <w:r>
              <w:rPr>
                <w:rFonts w:ascii="Times New Roman" w:hAnsi="Times New Roman"/>
              </w:rPr>
              <w:t>替换后节约的费用</w:t>
            </w:r>
          </w:p>
        </w:tc>
        <w:tc>
          <w:tcPr>
            <w:tcW w:w="2593" w:type="dxa"/>
            <w:vAlign w:val="center"/>
          </w:tcPr>
          <w:p>
            <w:pPr>
              <w:pStyle w:val="39"/>
              <w:rPr>
                <w:rFonts w:ascii="Times New Roman" w:hAnsi="Times New Roman"/>
              </w:rPr>
            </w:pPr>
            <w:r>
              <w:rPr>
                <w:rFonts w:ascii="Times New Roman" w:hAnsi="Times New Roman"/>
              </w:rPr>
              <w:t>替换后其效果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066" w:type="dxa"/>
            <w:vAlign w:val="center"/>
          </w:tcPr>
          <w:p>
            <w:pPr>
              <w:pStyle w:val="39"/>
              <w:rPr>
                <w:rFonts w:ascii="Times New Roman" w:hAnsi="Times New Roman"/>
              </w:rPr>
            </w:pPr>
            <w:r>
              <w:rPr>
                <w:rFonts w:ascii="Times New Roman" w:hAnsi="Times New Roman"/>
              </w:rPr>
              <w:t>电</w:t>
            </w:r>
          </w:p>
        </w:tc>
        <w:tc>
          <w:tcPr>
            <w:tcW w:w="1524" w:type="dxa"/>
            <w:vAlign w:val="center"/>
          </w:tcPr>
          <w:p>
            <w:pPr>
              <w:pStyle w:val="39"/>
              <w:rPr>
                <w:rFonts w:ascii="Times New Roman" w:hAnsi="Times New Roman"/>
              </w:rPr>
            </w:pPr>
            <w:r>
              <w:rPr>
                <w:rFonts w:ascii="Times New Roman" w:hAnsi="Times New Roman"/>
              </w:rPr>
              <w:t>8.20kw·h</w:t>
            </w:r>
          </w:p>
        </w:tc>
        <w:tc>
          <w:tcPr>
            <w:tcW w:w="1452" w:type="dxa"/>
            <w:vAlign w:val="center"/>
          </w:tcPr>
          <w:p>
            <w:pPr>
              <w:pStyle w:val="39"/>
              <w:rPr>
                <w:rFonts w:ascii="Times New Roman" w:hAnsi="Times New Roman"/>
              </w:rPr>
            </w:pPr>
            <w:r>
              <w:rPr>
                <w:rFonts w:ascii="Times New Roman" w:hAnsi="Times New Roman"/>
              </w:rPr>
              <w:t>2.97</w:t>
            </w:r>
          </w:p>
        </w:tc>
        <w:tc>
          <w:tcPr>
            <w:tcW w:w="1436" w:type="dxa"/>
            <w:vAlign w:val="center"/>
          </w:tcPr>
          <w:p>
            <w:pPr>
              <w:pStyle w:val="39"/>
              <w:rPr>
                <w:rFonts w:ascii="Times New Roman" w:hAnsi="Times New Roman"/>
              </w:rPr>
            </w:pPr>
            <w:r>
              <w:rPr>
                <w:rFonts w:ascii="Times New Roman" w:hAnsi="Times New Roman"/>
              </w:rPr>
              <w:t>61%</w:t>
            </w:r>
          </w:p>
        </w:tc>
        <w:tc>
          <w:tcPr>
            <w:tcW w:w="2593" w:type="dxa"/>
            <w:vAlign w:val="center"/>
          </w:tcPr>
          <w:p>
            <w:pPr>
              <w:pStyle w:val="39"/>
              <w:rPr>
                <w:rFonts w:ascii="Times New Roman" w:hAnsi="Times New Roman"/>
              </w:rPr>
            </w:pPr>
            <w:r>
              <w:rPr>
                <w:rFonts w:ascii="Times New Roman" w:hAnsi="Times New Roman"/>
              </w:rPr>
              <w:t>改造原来的加热工艺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066" w:type="dxa"/>
            <w:vAlign w:val="center"/>
          </w:tcPr>
          <w:p>
            <w:pPr>
              <w:pStyle w:val="39"/>
              <w:rPr>
                <w:rFonts w:ascii="Times New Roman" w:hAnsi="Times New Roman"/>
              </w:rPr>
            </w:pPr>
            <w:r>
              <w:rPr>
                <w:rFonts w:ascii="Times New Roman" w:hAnsi="Times New Roman"/>
              </w:rPr>
              <w:t>焦炭（炼铁）</w:t>
            </w:r>
          </w:p>
        </w:tc>
        <w:tc>
          <w:tcPr>
            <w:tcW w:w="1524" w:type="dxa"/>
            <w:vAlign w:val="center"/>
          </w:tcPr>
          <w:p>
            <w:pPr>
              <w:pStyle w:val="39"/>
              <w:rPr>
                <w:rFonts w:ascii="Times New Roman" w:hAnsi="Times New Roman"/>
              </w:rPr>
            </w:pPr>
            <w:r>
              <w:rPr>
                <w:rFonts w:ascii="Times New Roman" w:hAnsi="Times New Roman"/>
              </w:rPr>
              <w:t>2.26kg</w:t>
            </w:r>
          </w:p>
        </w:tc>
        <w:tc>
          <w:tcPr>
            <w:tcW w:w="1452" w:type="dxa"/>
            <w:vAlign w:val="center"/>
          </w:tcPr>
          <w:p>
            <w:pPr>
              <w:pStyle w:val="39"/>
              <w:rPr>
                <w:rFonts w:ascii="Times New Roman" w:hAnsi="Times New Roman"/>
              </w:rPr>
            </w:pPr>
            <w:r>
              <w:rPr>
                <w:rFonts w:ascii="Times New Roman" w:hAnsi="Times New Roman"/>
              </w:rPr>
              <w:t>0.90</w:t>
            </w:r>
          </w:p>
        </w:tc>
        <w:tc>
          <w:tcPr>
            <w:tcW w:w="1436" w:type="dxa"/>
            <w:vAlign w:val="center"/>
          </w:tcPr>
          <w:p>
            <w:pPr>
              <w:pStyle w:val="39"/>
              <w:rPr>
                <w:rFonts w:ascii="Times New Roman" w:hAnsi="Times New Roman"/>
              </w:rPr>
            </w:pPr>
            <w:r>
              <w:rPr>
                <w:rFonts w:ascii="Times New Roman" w:hAnsi="Times New Roman"/>
              </w:rPr>
              <w:t>-17%</w:t>
            </w:r>
          </w:p>
        </w:tc>
        <w:tc>
          <w:tcPr>
            <w:tcW w:w="2593" w:type="dxa"/>
            <w:vAlign w:val="center"/>
          </w:tcPr>
          <w:p>
            <w:pPr>
              <w:pStyle w:val="39"/>
              <w:rPr>
                <w:rFonts w:ascii="Times New Roman" w:hAnsi="Times New Roman"/>
              </w:rPr>
            </w:pPr>
            <w:r>
              <w:rPr>
                <w:rFonts w:ascii="Times New Roman" w:hAnsi="Times New Roman"/>
              </w:rPr>
              <w:t>环保更优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066" w:type="dxa"/>
            <w:vAlign w:val="center"/>
          </w:tcPr>
          <w:p>
            <w:pPr>
              <w:pStyle w:val="39"/>
              <w:rPr>
                <w:rFonts w:ascii="Times New Roman" w:hAnsi="Times New Roman"/>
              </w:rPr>
            </w:pPr>
            <w:r>
              <w:rPr>
                <w:rFonts w:ascii="Times New Roman" w:hAnsi="Times New Roman"/>
              </w:rPr>
              <w:t>原煤（窑炉）</w:t>
            </w:r>
          </w:p>
        </w:tc>
        <w:tc>
          <w:tcPr>
            <w:tcW w:w="1524" w:type="dxa"/>
            <w:vAlign w:val="center"/>
          </w:tcPr>
          <w:p>
            <w:pPr>
              <w:pStyle w:val="39"/>
              <w:rPr>
                <w:rFonts w:ascii="Times New Roman" w:hAnsi="Times New Roman"/>
              </w:rPr>
            </w:pPr>
            <w:r>
              <w:rPr>
                <w:rFonts w:ascii="Times New Roman" w:hAnsi="Times New Roman"/>
              </w:rPr>
              <w:t>2.15kg</w:t>
            </w:r>
          </w:p>
        </w:tc>
        <w:tc>
          <w:tcPr>
            <w:tcW w:w="1452" w:type="dxa"/>
            <w:vAlign w:val="center"/>
          </w:tcPr>
          <w:p>
            <w:pPr>
              <w:pStyle w:val="39"/>
              <w:rPr>
                <w:rFonts w:ascii="Times New Roman" w:hAnsi="Times New Roman"/>
              </w:rPr>
            </w:pPr>
            <w:r>
              <w:rPr>
                <w:rFonts w:ascii="Times New Roman" w:hAnsi="Times New Roman"/>
              </w:rPr>
              <w:t>0.52</w:t>
            </w:r>
          </w:p>
        </w:tc>
        <w:tc>
          <w:tcPr>
            <w:tcW w:w="1436" w:type="dxa"/>
            <w:vAlign w:val="center"/>
          </w:tcPr>
          <w:p>
            <w:pPr>
              <w:pStyle w:val="39"/>
              <w:rPr>
                <w:rFonts w:ascii="Times New Roman" w:hAnsi="Times New Roman"/>
              </w:rPr>
            </w:pPr>
            <w:r>
              <w:rPr>
                <w:rFonts w:ascii="Times New Roman" w:hAnsi="Times New Roman"/>
              </w:rPr>
              <w:t>-105%</w:t>
            </w:r>
          </w:p>
        </w:tc>
        <w:tc>
          <w:tcPr>
            <w:tcW w:w="2593" w:type="dxa"/>
            <w:vAlign w:val="center"/>
          </w:tcPr>
          <w:p>
            <w:pPr>
              <w:pStyle w:val="39"/>
              <w:rPr>
                <w:rFonts w:ascii="Times New Roman" w:hAnsi="Times New Roman"/>
              </w:rPr>
            </w:pPr>
            <w:r>
              <w:rPr>
                <w:rFonts w:ascii="Times New Roman" w:hAnsi="Times New Roman"/>
              </w:rPr>
              <w:t>环保更优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066" w:type="dxa"/>
            <w:vAlign w:val="center"/>
          </w:tcPr>
          <w:p>
            <w:pPr>
              <w:pStyle w:val="39"/>
              <w:rPr>
                <w:rFonts w:ascii="Times New Roman" w:hAnsi="Times New Roman"/>
              </w:rPr>
            </w:pPr>
            <w:r>
              <w:rPr>
                <w:rFonts w:ascii="Times New Roman" w:hAnsi="Times New Roman"/>
              </w:rPr>
              <w:t>原煤（食品）</w:t>
            </w:r>
          </w:p>
        </w:tc>
        <w:tc>
          <w:tcPr>
            <w:tcW w:w="1524" w:type="dxa"/>
            <w:vAlign w:val="center"/>
          </w:tcPr>
          <w:p>
            <w:pPr>
              <w:pStyle w:val="39"/>
              <w:rPr>
                <w:rFonts w:ascii="Times New Roman" w:hAnsi="Times New Roman"/>
              </w:rPr>
            </w:pPr>
            <w:r>
              <w:rPr>
                <w:rFonts w:ascii="Times New Roman" w:hAnsi="Times New Roman"/>
              </w:rPr>
              <w:t>3.74kg</w:t>
            </w:r>
          </w:p>
        </w:tc>
        <w:tc>
          <w:tcPr>
            <w:tcW w:w="1452" w:type="dxa"/>
            <w:vAlign w:val="center"/>
          </w:tcPr>
          <w:p>
            <w:pPr>
              <w:pStyle w:val="39"/>
              <w:rPr>
                <w:rFonts w:ascii="Times New Roman" w:hAnsi="Times New Roman"/>
              </w:rPr>
            </w:pPr>
            <w:r>
              <w:rPr>
                <w:rFonts w:ascii="Times New Roman" w:hAnsi="Times New Roman"/>
              </w:rPr>
              <w:t>0.90</w:t>
            </w:r>
          </w:p>
        </w:tc>
        <w:tc>
          <w:tcPr>
            <w:tcW w:w="1436" w:type="dxa"/>
            <w:vAlign w:val="center"/>
          </w:tcPr>
          <w:p>
            <w:pPr>
              <w:pStyle w:val="39"/>
              <w:rPr>
                <w:rFonts w:ascii="Times New Roman" w:hAnsi="Times New Roman"/>
              </w:rPr>
            </w:pPr>
            <w:r>
              <w:rPr>
                <w:rFonts w:ascii="Times New Roman" w:hAnsi="Times New Roman"/>
              </w:rPr>
              <w:t>-17%</w:t>
            </w:r>
          </w:p>
        </w:tc>
        <w:tc>
          <w:tcPr>
            <w:tcW w:w="2593" w:type="dxa"/>
            <w:vAlign w:val="center"/>
          </w:tcPr>
          <w:p>
            <w:pPr>
              <w:pStyle w:val="39"/>
              <w:rPr>
                <w:rFonts w:ascii="Times New Roman" w:hAnsi="Times New Roman"/>
              </w:rPr>
            </w:pPr>
            <w:r>
              <w:rPr>
                <w:rFonts w:ascii="Times New Roman" w:hAnsi="Times New Roman"/>
              </w:rPr>
              <w:t>显著提高产品质量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066" w:type="dxa"/>
            <w:vAlign w:val="center"/>
          </w:tcPr>
          <w:p>
            <w:pPr>
              <w:pStyle w:val="39"/>
              <w:rPr>
                <w:rFonts w:ascii="Times New Roman" w:hAnsi="Times New Roman"/>
              </w:rPr>
            </w:pPr>
            <w:r>
              <w:rPr>
                <w:rFonts w:ascii="Times New Roman" w:hAnsi="Times New Roman"/>
              </w:rPr>
              <w:t>原煤（纺织）</w:t>
            </w:r>
          </w:p>
        </w:tc>
        <w:tc>
          <w:tcPr>
            <w:tcW w:w="1524" w:type="dxa"/>
            <w:vAlign w:val="center"/>
          </w:tcPr>
          <w:p>
            <w:pPr>
              <w:pStyle w:val="39"/>
              <w:rPr>
                <w:rFonts w:ascii="Times New Roman" w:hAnsi="Times New Roman"/>
              </w:rPr>
            </w:pPr>
            <w:r>
              <w:rPr>
                <w:rFonts w:ascii="Times New Roman" w:hAnsi="Times New Roman"/>
              </w:rPr>
              <w:t>3.16kg</w:t>
            </w:r>
          </w:p>
        </w:tc>
        <w:tc>
          <w:tcPr>
            <w:tcW w:w="1452" w:type="dxa"/>
            <w:vAlign w:val="center"/>
          </w:tcPr>
          <w:p>
            <w:pPr>
              <w:pStyle w:val="39"/>
              <w:rPr>
                <w:rFonts w:ascii="Times New Roman" w:hAnsi="Times New Roman"/>
              </w:rPr>
            </w:pPr>
            <w:r>
              <w:rPr>
                <w:rFonts w:ascii="Times New Roman" w:hAnsi="Times New Roman"/>
              </w:rPr>
              <w:t>3.16</w:t>
            </w:r>
          </w:p>
        </w:tc>
        <w:tc>
          <w:tcPr>
            <w:tcW w:w="1436" w:type="dxa"/>
            <w:vAlign w:val="center"/>
          </w:tcPr>
          <w:p>
            <w:pPr>
              <w:pStyle w:val="39"/>
              <w:rPr>
                <w:rFonts w:ascii="Times New Roman" w:hAnsi="Times New Roman"/>
              </w:rPr>
            </w:pPr>
            <w:r>
              <w:rPr>
                <w:rFonts w:ascii="Times New Roman" w:hAnsi="Times New Roman"/>
              </w:rPr>
              <w:t>67%</w:t>
            </w:r>
          </w:p>
        </w:tc>
        <w:tc>
          <w:tcPr>
            <w:tcW w:w="2593" w:type="dxa"/>
            <w:vAlign w:val="center"/>
          </w:tcPr>
          <w:p>
            <w:pPr>
              <w:pStyle w:val="39"/>
              <w:rPr>
                <w:rFonts w:ascii="Times New Roman" w:hAnsi="Times New Roman"/>
              </w:rPr>
            </w:pPr>
            <w:r>
              <w:rPr>
                <w:rFonts w:ascii="Times New Roman" w:hAnsi="Times New Roman"/>
              </w:rPr>
              <w:t>显著提高产品质量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066" w:type="dxa"/>
            <w:vAlign w:val="center"/>
          </w:tcPr>
          <w:p>
            <w:pPr>
              <w:pStyle w:val="39"/>
              <w:rPr>
                <w:rFonts w:ascii="Times New Roman" w:hAnsi="Times New Roman"/>
              </w:rPr>
            </w:pPr>
            <w:r>
              <w:rPr>
                <w:rFonts w:ascii="Times New Roman" w:hAnsi="Times New Roman"/>
              </w:rPr>
              <w:t>汽油</w:t>
            </w:r>
          </w:p>
        </w:tc>
        <w:tc>
          <w:tcPr>
            <w:tcW w:w="1524" w:type="dxa"/>
            <w:vAlign w:val="center"/>
          </w:tcPr>
          <w:p>
            <w:pPr>
              <w:pStyle w:val="39"/>
              <w:rPr>
                <w:rFonts w:ascii="Times New Roman" w:hAnsi="Times New Roman"/>
              </w:rPr>
            </w:pPr>
            <w:r>
              <w:rPr>
                <w:rFonts w:ascii="Times New Roman" w:hAnsi="Times New Roman"/>
              </w:rPr>
              <w:t>0.88kg</w:t>
            </w:r>
          </w:p>
        </w:tc>
        <w:tc>
          <w:tcPr>
            <w:tcW w:w="1452" w:type="dxa"/>
            <w:vAlign w:val="center"/>
          </w:tcPr>
          <w:p>
            <w:pPr>
              <w:pStyle w:val="39"/>
              <w:rPr>
                <w:rFonts w:ascii="Times New Roman" w:hAnsi="Times New Roman"/>
              </w:rPr>
            </w:pPr>
            <w:r>
              <w:rPr>
                <w:rFonts w:ascii="Times New Roman" w:hAnsi="Times New Roman"/>
              </w:rPr>
              <w:t>1.94</w:t>
            </w:r>
          </w:p>
        </w:tc>
        <w:tc>
          <w:tcPr>
            <w:tcW w:w="1436" w:type="dxa"/>
            <w:vAlign w:val="center"/>
          </w:tcPr>
          <w:p>
            <w:pPr>
              <w:pStyle w:val="39"/>
              <w:rPr>
                <w:rFonts w:ascii="Times New Roman" w:hAnsi="Times New Roman"/>
              </w:rPr>
            </w:pPr>
            <w:r>
              <w:rPr>
                <w:rFonts w:ascii="Times New Roman" w:hAnsi="Times New Roman"/>
              </w:rPr>
              <w:t>46%</w:t>
            </w:r>
          </w:p>
        </w:tc>
        <w:tc>
          <w:tcPr>
            <w:tcW w:w="2593" w:type="dxa"/>
            <w:vAlign w:val="center"/>
          </w:tcPr>
          <w:p>
            <w:pPr>
              <w:pStyle w:val="39"/>
              <w:rPr>
                <w:rFonts w:ascii="Times New Roman" w:hAnsi="Times New Roman"/>
              </w:rPr>
            </w:pPr>
            <w:r>
              <w:rPr>
                <w:rFonts w:ascii="Times New Roman" w:hAnsi="Times New Roman"/>
              </w:rPr>
              <w:t>环保更优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066" w:type="dxa"/>
            <w:vAlign w:val="center"/>
          </w:tcPr>
          <w:p>
            <w:pPr>
              <w:pStyle w:val="39"/>
              <w:rPr>
                <w:rFonts w:ascii="Times New Roman" w:hAnsi="Times New Roman"/>
              </w:rPr>
            </w:pPr>
            <w:r>
              <w:rPr>
                <w:rFonts w:ascii="Times New Roman" w:hAnsi="Times New Roman"/>
              </w:rPr>
              <w:t>液化气</w:t>
            </w:r>
          </w:p>
        </w:tc>
        <w:tc>
          <w:tcPr>
            <w:tcW w:w="1524" w:type="dxa"/>
            <w:vAlign w:val="center"/>
          </w:tcPr>
          <w:p>
            <w:pPr>
              <w:pStyle w:val="39"/>
              <w:rPr>
                <w:rFonts w:ascii="Times New Roman" w:hAnsi="Times New Roman"/>
              </w:rPr>
            </w:pPr>
            <w:r>
              <w:rPr>
                <w:rFonts w:ascii="Times New Roman" w:hAnsi="Times New Roman"/>
              </w:rPr>
              <w:t>0.84kg</w:t>
            </w:r>
          </w:p>
        </w:tc>
        <w:tc>
          <w:tcPr>
            <w:tcW w:w="1452" w:type="dxa"/>
            <w:vAlign w:val="center"/>
          </w:tcPr>
          <w:p>
            <w:pPr>
              <w:pStyle w:val="39"/>
              <w:rPr>
                <w:rFonts w:ascii="Times New Roman" w:hAnsi="Times New Roman"/>
              </w:rPr>
            </w:pPr>
            <w:r>
              <w:rPr>
                <w:rFonts w:ascii="Times New Roman" w:hAnsi="Times New Roman"/>
              </w:rPr>
              <w:t>2.18</w:t>
            </w:r>
          </w:p>
        </w:tc>
        <w:tc>
          <w:tcPr>
            <w:tcW w:w="1436" w:type="dxa"/>
            <w:vAlign w:val="center"/>
          </w:tcPr>
          <w:p>
            <w:pPr>
              <w:pStyle w:val="39"/>
              <w:rPr>
                <w:rFonts w:ascii="Times New Roman" w:hAnsi="Times New Roman"/>
              </w:rPr>
            </w:pPr>
            <w:r>
              <w:rPr>
                <w:rFonts w:ascii="Times New Roman" w:hAnsi="Times New Roman"/>
              </w:rPr>
              <w:t>52%</w:t>
            </w:r>
          </w:p>
        </w:tc>
        <w:tc>
          <w:tcPr>
            <w:tcW w:w="2593" w:type="dxa"/>
            <w:vAlign w:val="center"/>
          </w:tcPr>
          <w:p>
            <w:pPr>
              <w:pStyle w:val="39"/>
              <w:rPr>
                <w:rFonts w:ascii="Times New Roman" w:hAnsi="Times New Roman"/>
              </w:rPr>
            </w:pPr>
            <w:r>
              <w:rPr>
                <w:rFonts w:ascii="Times New Roman" w:hAnsi="Times New Roman"/>
              </w:rPr>
              <w:t>安全性更好</w:t>
            </w:r>
          </w:p>
        </w:tc>
      </w:tr>
    </w:tbl>
    <w:p>
      <w:pPr>
        <w:ind w:firstLine="480"/>
        <w:rPr>
          <w:rFonts w:ascii="Times New Roman" w:hAnsi="Times New Roman"/>
        </w:rPr>
      </w:pPr>
      <w:r>
        <w:rPr>
          <w:rFonts w:ascii="Times New Roman" w:hAnsi="Times New Roman"/>
        </w:rPr>
        <w:t>从</w:t>
      </w:r>
      <w:r>
        <w:rPr>
          <w:rFonts w:ascii="Times New Roman" w:hAnsi="Times New Roman"/>
        </w:rPr>
        <w:fldChar w:fldCharType="begin"/>
      </w:r>
      <w:r>
        <w:rPr>
          <w:rFonts w:ascii="Times New Roman" w:hAnsi="Times New Roman"/>
        </w:rPr>
        <w:instrText xml:space="preserve"> REF _Ref154680779 \h  \* MERGEFORMAT </w:instrText>
      </w:r>
      <w:r>
        <w:rPr>
          <w:rFonts w:ascii="Times New Roman" w:hAnsi="Times New Roman"/>
        </w:rPr>
        <w:fldChar w:fldCharType="separate"/>
      </w:r>
      <w:r>
        <w:rPr>
          <w:rFonts w:ascii="Times New Roman" w:hAnsi="Times New Roman"/>
        </w:rPr>
        <w:t>表 10</w:t>
      </w:r>
      <w:r>
        <w:rPr>
          <w:rFonts w:ascii="Times New Roman" w:hAnsi="Times New Roman"/>
        </w:rPr>
        <w:noBreakHyphen/>
      </w:r>
      <w:r>
        <w:rPr>
          <w:rFonts w:ascii="Times New Roman" w:hAnsi="Times New Roman"/>
        </w:rPr>
        <w:t>3</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_Ref154680782 \h  \* MERGEFORMAT </w:instrText>
      </w:r>
      <w:r>
        <w:rPr>
          <w:rFonts w:ascii="Times New Roman" w:hAnsi="Times New Roman"/>
        </w:rPr>
        <w:fldChar w:fldCharType="separate"/>
      </w:r>
      <w:r>
        <w:rPr>
          <w:rFonts w:ascii="Times New Roman" w:hAnsi="Times New Roman"/>
        </w:rPr>
        <w:t>表 10</w:t>
      </w:r>
      <w:r>
        <w:rPr>
          <w:rFonts w:ascii="Times New Roman" w:hAnsi="Times New Roman"/>
        </w:rPr>
        <w:noBreakHyphen/>
      </w:r>
      <w:r>
        <w:rPr>
          <w:rFonts w:ascii="Times New Roman" w:hAnsi="Times New Roman"/>
        </w:rPr>
        <w:t>4</w:t>
      </w:r>
      <w:r>
        <w:rPr>
          <w:rFonts w:ascii="Times New Roman" w:hAnsi="Times New Roman"/>
        </w:rPr>
        <w:fldChar w:fldCharType="end"/>
      </w:r>
      <w:r>
        <w:rPr>
          <w:rFonts w:ascii="Times New Roman" w:hAnsi="Times New Roman"/>
        </w:rPr>
        <w:t>、</w:t>
      </w:r>
      <w:r>
        <w:rPr>
          <w:rFonts w:ascii="Times New Roman" w:hAnsi="Times New Roman"/>
        </w:rPr>
        <w:fldChar w:fldCharType="begin"/>
      </w:r>
      <w:r>
        <w:rPr>
          <w:rFonts w:ascii="Times New Roman" w:hAnsi="Times New Roman"/>
        </w:rPr>
        <w:instrText xml:space="preserve"> REF _Ref154680784 \h  \* MERGEFORMAT </w:instrText>
      </w:r>
      <w:r>
        <w:rPr>
          <w:rFonts w:ascii="Times New Roman" w:hAnsi="Times New Roman"/>
        </w:rPr>
        <w:fldChar w:fldCharType="separate"/>
      </w:r>
      <w:r>
        <w:rPr>
          <w:rFonts w:ascii="Times New Roman" w:hAnsi="Times New Roman"/>
        </w:rPr>
        <w:t>表 10</w:t>
      </w:r>
      <w:r>
        <w:rPr>
          <w:rFonts w:ascii="Times New Roman" w:hAnsi="Times New Roman"/>
        </w:rPr>
        <w:noBreakHyphen/>
      </w:r>
      <w:r>
        <w:rPr>
          <w:rFonts w:ascii="Times New Roman" w:hAnsi="Times New Roman"/>
        </w:rPr>
        <w:t>5</w:t>
      </w:r>
      <w:r>
        <w:rPr>
          <w:rFonts w:ascii="Times New Roman" w:hAnsi="Times New Roman"/>
        </w:rPr>
        <w:fldChar w:fldCharType="end"/>
      </w:r>
      <w:r>
        <w:rPr>
          <w:rFonts w:ascii="Times New Roman" w:hAnsi="Times New Roman"/>
        </w:rPr>
        <w:t>可知，在等热值条件下，每户月用天然气费用比使用石油液化气和煤制气低49～67%，同时，天然气是清洁、优质、具有竞争力的能源和化工原料。它燃烧时仅仅散发极少的SO</w:t>
      </w:r>
      <w:r>
        <w:rPr>
          <w:rFonts w:ascii="Times New Roman" w:hAnsi="Times New Roman"/>
          <w:vertAlign w:val="subscript"/>
        </w:rPr>
        <w:t>2</w:t>
      </w:r>
      <w:r>
        <w:rPr>
          <w:rFonts w:ascii="Times New Roman" w:hAnsi="Times New Roman"/>
        </w:rPr>
        <w:t>、微量的CO，而且无悬浮颗粒物，虽然投资费用大，但环保，易被用户接受。据国际能源机构预测，用煤燃烧发电仍占统治地位，而用天然气发电的比重将上升到16.7%～24.7%。目前，天然气在运输业的应用如雨后春笋正在兴起，CNG代替汽油开汽车，不仅成本降低50%以上，而且与汽油相比，尾气排放物中将减少一氧化碳97%，碳氧化物72%，氮氧化物39%，二氧化碳24%，二氧化硫90%，不排放苯、铅等，噪声也会降低40%。可见，价格优势带来的经济效益明显。</w:t>
      </w:r>
    </w:p>
    <w:p>
      <w:pPr>
        <w:pStyle w:val="3"/>
        <w:rPr>
          <w:rFonts w:ascii="Times New Roman" w:hAnsi="Times New Roman" w:cs="Times New Roman"/>
        </w:rPr>
      </w:pPr>
      <w:bookmarkStart w:id="421" w:name="_Toc162339462"/>
      <w:r>
        <w:rPr>
          <w:rFonts w:ascii="Times New Roman" w:hAnsi="Times New Roman" w:cs="Times New Roman"/>
        </w:rPr>
        <w:t>社会效益分析</w:t>
      </w:r>
      <w:bookmarkEnd w:id="421"/>
    </w:p>
    <w:p>
      <w:pPr>
        <w:ind w:firstLine="480"/>
        <w:rPr>
          <w:rFonts w:ascii="Times New Roman" w:hAnsi="Times New Roman"/>
        </w:rPr>
      </w:pPr>
      <w:r>
        <w:rPr>
          <w:rFonts w:ascii="Times New Roman" w:hAnsi="Times New Roman"/>
        </w:rPr>
        <w:t>本项目将会带来巨大的社会效益，主要表现在以下几方面：</w:t>
      </w:r>
    </w:p>
    <w:p>
      <w:pPr>
        <w:ind w:firstLine="480"/>
        <w:rPr>
          <w:rFonts w:ascii="Times New Roman" w:hAnsi="Times New Roman"/>
        </w:rPr>
      </w:pPr>
      <w:r>
        <w:rPr>
          <w:rFonts w:ascii="Times New Roman" w:hAnsi="Times New Roman"/>
        </w:rPr>
        <w:t>（1）认知桃花气田宣探1井组飞仙关组气藏情况，为2024年天然气增储上产</w:t>
      </w:r>
      <w:r>
        <w:rPr>
          <w:rFonts w:hint="eastAsia" w:ascii="Times New Roman" w:hAnsi="Times New Roman"/>
          <w:lang w:eastAsia="zh-CN"/>
        </w:rPr>
        <w:t>作</w:t>
      </w:r>
      <w:r>
        <w:rPr>
          <w:rFonts w:ascii="Times New Roman" w:hAnsi="Times New Roman"/>
        </w:rPr>
        <w:t>出贡献。</w:t>
      </w:r>
    </w:p>
    <w:p>
      <w:pPr>
        <w:ind w:firstLine="480"/>
        <w:rPr>
          <w:rFonts w:ascii="Times New Roman" w:hAnsi="Times New Roman"/>
        </w:rPr>
      </w:pPr>
      <w:r>
        <w:rPr>
          <w:rFonts w:ascii="Times New Roman" w:hAnsi="Times New Roman"/>
        </w:rPr>
        <w:t>（2）本项目的实施可调整燃料结构，对减轻大气污染起着重要作用。</w:t>
      </w:r>
    </w:p>
    <w:p>
      <w:pPr>
        <w:pStyle w:val="3"/>
        <w:rPr>
          <w:rFonts w:ascii="Times New Roman" w:hAnsi="Times New Roman" w:cs="Times New Roman"/>
        </w:rPr>
      </w:pPr>
      <w:bookmarkStart w:id="422" w:name="_Toc162339463"/>
      <w:r>
        <w:rPr>
          <w:rFonts w:ascii="Times New Roman" w:hAnsi="Times New Roman" w:cs="Times New Roman"/>
        </w:rPr>
        <w:t>结论</w:t>
      </w:r>
      <w:bookmarkEnd w:id="422"/>
    </w:p>
    <w:p>
      <w:pPr>
        <w:ind w:firstLine="480"/>
        <w:rPr>
          <w:rFonts w:ascii="Times New Roman" w:hAnsi="Times New Roman"/>
        </w:rPr>
      </w:pPr>
      <w:r>
        <w:rPr>
          <w:rFonts w:ascii="Times New Roman" w:hAnsi="Times New Roman"/>
        </w:rPr>
        <w:t>综上，为了保护环境，达到环境目标的要求，采取了相应的环保措施，付出了一定的经济代价，但其度合适，企业完全能够接受，而且所支付的环保费用还能取得一定的经济效益。则从社会效益、环境效益和经济效益上分析可以得出，本项目建设是可行的，符合社会、经济与环境协调发展的原则。</w:t>
      </w:r>
      <w:r>
        <w:rPr>
          <w:rFonts w:ascii="Times New Roman" w:hAnsi="Times New Roman"/>
        </w:rPr>
        <w:br w:type="page"/>
      </w:r>
    </w:p>
    <w:p>
      <w:pPr>
        <w:pStyle w:val="2"/>
        <w:rPr>
          <w:rFonts w:ascii="Times New Roman" w:hAnsi="Times New Roman" w:cs="Times New Roman"/>
        </w:rPr>
      </w:pPr>
      <w:bookmarkStart w:id="423" w:name="_Toc162339464"/>
      <w:r>
        <w:rPr>
          <w:rFonts w:ascii="Times New Roman" w:hAnsi="Times New Roman" w:cs="Times New Roman"/>
        </w:rPr>
        <w:t>建设项目合规性分析</w:t>
      </w:r>
      <w:bookmarkEnd w:id="423"/>
    </w:p>
    <w:p>
      <w:pPr>
        <w:pStyle w:val="3"/>
        <w:rPr>
          <w:rFonts w:ascii="Times New Roman" w:hAnsi="Times New Roman" w:cs="Times New Roman"/>
        </w:rPr>
      </w:pPr>
      <w:bookmarkStart w:id="424" w:name="_Toc162339465"/>
      <w:r>
        <w:rPr>
          <w:rFonts w:ascii="Times New Roman" w:hAnsi="Times New Roman" w:cs="Times New Roman"/>
        </w:rPr>
        <w:t>产业政策符合性分析</w:t>
      </w:r>
      <w:bookmarkEnd w:id="424"/>
    </w:p>
    <w:p>
      <w:pPr>
        <w:ind w:firstLine="480"/>
        <w:rPr>
          <w:rFonts w:ascii="Times New Roman" w:hAnsi="Times New Roman"/>
        </w:rPr>
      </w:pPr>
      <w:r>
        <w:rPr>
          <w:rFonts w:ascii="Times New Roman" w:hAnsi="Times New Roman"/>
        </w:rPr>
        <w:t>本项目不属于国务院规定关停的15类严重污染环境的“十五小”项目，不属于列入《第一批严重污染环境（大气）的淘汰工艺与设备名录</w:t>
      </w:r>
      <w:r>
        <w:rPr>
          <w:rFonts w:hint="eastAsia" w:ascii="Times New Roman" w:hAnsi="Times New Roman"/>
          <w:lang w:eastAsia="zh-CN"/>
        </w:rPr>
        <w:t>》《</w:t>
      </w:r>
      <w:r>
        <w:rPr>
          <w:rFonts w:ascii="Times New Roman" w:hAnsi="Times New Roman"/>
        </w:rPr>
        <w:t>淘汰落后生产能力、工艺和产品的目录》（第一批、第二批、第三批）和《工商投资领域制止重复建设目录》的项目，因此本项目不违反国家有关产业政策。</w:t>
      </w:r>
    </w:p>
    <w:p>
      <w:pPr>
        <w:ind w:firstLine="480"/>
        <w:rPr>
          <w:rFonts w:ascii="Times New Roman" w:hAnsi="Times New Roman"/>
        </w:rPr>
      </w:pPr>
      <w:r>
        <w:rPr>
          <w:rFonts w:ascii="Times New Roman" w:hAnsi="Times New Roman"/>
        </w:rPr>
        <w:t>本项目系天然气勘探开发中的天然气开发工程，项目属于《产业结构调整指导目录（2024年本）》规定鼓励发展类产业项目第七条“石油天然气”第一款“石油天然气开采”，符合国家产业政策。</w:t>
      </w:r>
    </w:p>
    <w:p>
      <w:pPr>
        <w:ind w:firstLine="480"/>
        <w:rPr>
          <w:rFonts w:ascii="Times New Roman" w:hAnsi="Times New Roman"/>
        </w:rPr>
      </w:pPr>
      <w:r>
        <w:rPr>
          <w:rFonts w:ascii="Times New Roman" w:hAnsi="Times New Roman"/>
        </w:rPr>
        <w:t>综上所述，本项目建设符合国家现行产业政策要求。</w:t>
      </w:r>
    </w:p>
    <w:p>
      <w:pPr>
        <w:pStyle w:val="3"/>
        <w:rPr>
          <w:rFonts w:ascii="Times New Roman" w:hAnsi="Times New Roman" w:cs="Times New Roman"/>
        </w:rPr>
      </w:pPr>
      <w:bookmarkStart w:id="425" w:name="_Toc162339466"/>
      <w:r>
        <w:rPr>
          <w:rFonts w:ascii="Times New Roman" w:hAnsi="Times New Roman" w:cs="Times New Roman"/>
        </w:rPr>
        <w:t>相关规划符合性分析</w:t>
      </w:r>
      <w:bookmarkEnd w:id="425"/>
    </w:p>
    <w:p>
      <w:pPr>
        <w:pStyle w:val="4"/>
        <w:rPr>
          <w:rFonts w:ascii="Times New Roman" w:hAnsi="Times New Roman" w:cs="Times New Roman"/>
        </w:rPr>
      </w:pPr>
      <w:r>
        <w:rPr>
          <w:rFonts w:ascii="Times New Roman" w:hAnsi="Times New Roman" w:cs="Times New Roman"/>
        </w:rPr>
        <w:t>与《四川省国民经济和社会发展第十四个五年规划和二</w:t>
      </w:r>
      <w:r>
        <w:rPr>
          <w:rFonts w:hint="eastAsia" w:ascii="Times New Roman" w:hAnsi="Times New Roman" w:cs="Times New Roman"/>
        </w:rPr>
        <w:t>〇</w:t>
      </w:r>
      <w:r>
        <w:rPr>
          <w:rFonts w:ascii="Times New Roman" w:hAnsi="Times New Roman" w:cs="Times New Roman"/>
        </w:rPr>
        <w:t>三五年远景目标纲要》的符合性分析</w:t>
      </w:r>
    </w:p>
    <w:p>
      <w:pPr>
        <w:ind w:firstLine="480"/>
        <w:rPr>
          <w:rFonts w:ascii="Times New Roman" w:hAnsi="Times New Roman"/>
        </w:rPr>
      </w:pPr>
      <w:r>
        <w:rPr>
          <w:rFonts w:ascii="Times New Roman" w:hAnsi="Times New Roman"/>
        </w:rPr>
        <w:t>《四川省霍敏经济和社会发展第十四个五年规划和</w:t>
      </w:r>
      <w:bookmarkStart w:id="462" w:name="_GoBack"/>
      <w:bookmarkEnd w:id="462"/>
      <w:r>
        <w:rPr>
          <w:rFonts w:hint="eastAsia" w:ascii="Times New Roman" w:hAnsi="Times New Roman"/>
          <w:lang w:eastAsia="zh-CN"/>
        </w:rPr>
        <w:t>二〇三五年</w:t>
      </w:r>
      <w:r>
        <w:rPr>
          <w:rFonts w:ascii="Times New Roman" w:hAnsi="Times New Roman"/>
        </w:rPr>
        <w:t>远景目标纲要》中第三十二章完善现代能源网络体系、第一节打造中国“气大庆”中指出：实施中国“气大庆”建设行动，加强天然气产供储销体系建设，建成全国最大天然气（页岩气）生产基地，天然气年产量力争达到630 亿m</w:t>
      </w:r>
      <w:r>
        <w:rPr>
          <w:rFonts w:ascii="Times New Roman" w:hAnsi="Times New Roman"/>
          <w:vertAlign w:val="superscript"/>
        </w:rPr>
        <w:t>3</w:t>
      </w:r>
      <w:r>
        <w:rPr>
          <w:rFonts w:ascii="Times New Roman" w:hAnsi="Times New Roman"/>
        </w:rPr>
        <w:t>。大力推进天然气（页岩气）勘探开发，完善资源开发利益共享机制，加快增储上产，重点实施川中安岳、</w:t>
      </w:r>
      <w:r>
        <w:rPr>
          <w:rFonts w:ascii="Times New Roman" w:hAnsi="Times New Roman"/>
          <w:b/>
          <w:bCs/>
        </w:rPr>
        <w:t>川东北高含硫</w:t>
      </w:r>
      <w:r>
        <w:rPr>
          <w:rFonts w:ascii="Times New Roman" w:hAnsi="Times New Roman"/>
        </w:rPr>
        <w:t>、川西致密气等气田滚动开发，加快川南长宁、威远、泸州等区块页岩气产能建设。优化城乡天然气输配网络，加快重点区域天然气长输管道建设，延伸和完善天然气支线管道，天然气管道达到2.25 万km以上，年输配能力达700 亿m</w:t>
      </w:r>
      <w:r>
        <w:rPr>
          <w:rFonts w:ascii="Times New Roman" w:hAnsi="Times New Roman"/>
          <w:vertAlign w:val="superscript"/>
        </w:rPr>
        <w:t>3</w:t>
      </w:r>
      <w:r>
        <w:rPr>
          <w:rFonts w:ascii="Times New Roman" w:hAnsi="Times New Roman"/>
        </w:rPr>
        <w:t>。</w:t>
      </w:r>
    </w:p>
    <w:p>
      <w:pPr>
        <w:ind w:firstLine="480"/>
        <w:rPr>
          <w:rFonts w:ascii="Times New Roman" w:hAnsi="Times New Roman"/>
        </w:rPr>
      </w:pPr>
      <w:r>
        <w:rPr>
          <w:rFonts w:ascii="Times New Roman" w:hAnsi="Times New Roman"/>
        </w:rPr>
        <w:t>本项目为川东北高含硫气田试采工程，为</w:t>
      </w:r>
      <w:r>
        <w:rPr>
          <w:rFonts w:hint="eastAsia" w:ascii="Times New Roman" w:hAnsi="Times New Roman"/>
          <w:lang w:eastAsia="zh-CN"/>
        </w:rPr>
        <w:t>“十四五”规划</w:t>
      </w:r>
      <w:r>
        <w:rPr>
          <w:rFonts w:ascii="Times New Roman" w:hAnsi="Times New Roman"/>
        </w:rPr>
        <w:t>中提出的重点能源建设项目，符合《四川省霍敏经济和社会发展第十四个五年规划和</w:t>
      </w:r>
      <w:r>
        <w:rPr>
          <w:rFonts w:hint="eastAsia" w:ascii="Times New Roman" w:hAnsi="Times New Roman"/>
          <w:lang w:eastAsia="zh-CN"/>
        </w:rPr>
        <w:t>二〇三五年</w:t>
      </w:r>
      <w:r>
        <w:rPr>
          <w:rFonts w:ascii="Times New Roman" w:hAnsi="Times New Roman"/>
        </w:rPr>
        <w:t>远景目标纲要》中的相关要求。</w:t>
      </w:r>
    </w:p>
    <w:p>
      <w:pPr>
        <w:pStyle w:val="4"/>
        <w:rPr>
          <w:rFonts w:ascii="Times New Roman" w:hAnsi="Times New Roman" w:cs="Times New Roman"/>
        </w:rPr>
      </w:pPr>
      <w:r>
        <w:rPr>
          <w:rFonts w:ascii="Times New Roman" w:hAnsi="Times New Roman" w:cs="Times New Roman"/>
        </w:rPr>
        <w:t>与《四川省主体功能区规划》符合性分析</w:t>
      </w:r>
    </w:p>
    <w:p>
      <w:pPr>
        <w:ind w:firstLine="480"/>
        <w:rPr>
          <w:rFonts w:ascii="Times New Roman" w:hAnsi="Times New Roman"/>
        </w:rPr>
      </w:pPr>
      <w:r>
        <w:rPr>
          <w:rFonts w:ascii="Times New Roman" w:hAnsi="Times New Roman"/>
        </w:rPr>
        <w:t>《四川省主体功能区规划》从总体上将全省划分为重点开发、限制开发和禁止开发三大类功能区域，其中重点开发和限制开发区域原则上以县级行政区为基本单元，禁止开发区域以自然或法定边界为基本单元，分布在其他类型主体功能区域之中。</w:t>
      </w:r>
    </w:p>
    <w:p>
      <w:pPr>
        <w:ind w:firstLine="480"/>
        <w:rPr>
          <w:rFonts w:ascii="Times New Roman" w:hAnsi="Times New Roman"/>
        </w:rPr>
      </w:pPr>
      <w:r>
        <w:rPr>
          <w:rFonts w:ascii="Times New Roman" w:hAnsi="Times New Roman"/>
        </w:rPr>
        <w:t>重点开发区：成都平原、川南、川东北和攀西地区的89个县（市、区），以及与之相连的50个点状开发城镇，占全省面积20.7%。</w:t>
      </w:r>
    </w:p>
    <w:p>
      <w:pPr>
        <w:ind w:firstLine="480"/>
        <w:rPr>
          <w:rFonts w:ascii="Times New Roman" w:hAnsi="Times New Roman"/>
        </w:rPr>
      </w:pPr>
      <w:r>
        <w:rPr>
          <w:rFonts w:ascii="Times New Roman" w:hAnsi="Times New Roman"/>
        </w:rPr>
        <w:t>限制开发区：包括农产品主产区和重点生态功能区两部分，共92个县（市）。农产品主产区包括盆地中部平原浅丘区、川南低中山区和盆地东部丘陵低山区、盆地西缘山区和安宁河流域5大农产品主产区；重点生态功能区主要包括若尔盖草原湿地生态功能区、川滇森林及生物多样性生态功能区、秦巴生物多样性生态功能区等，两者共计67个县，</w:t>
      </w:r>
      <w:r>
        <w:rPr>
          <w:rFonts w:hint="eastAsia" w:ascii="Times New Roman" w:hAnsi="Times New Roman"/>
          <w:lang w:eastAsia="zh-CN"/>
        </w:rPr>
        <w:t>辖区面积</w:t>
      </w:r>
      <w:r>
        <w:rPr>
          <w:rFonts w:ascii="Times New Roman" w:hAnsi="Times New Roman"/>
        </w:rPr>
        <w:t>占全省面积79.3%。</w:t>
      </w:r>
    </w:p>
    <w:p>
      <w:pPr>
        <w:ind w:firstLine="480"/>
        <w:rPr>
          <w:rFonts w:ascii="Times New Roman" w:hAnsi="Times New Roman"/>
        </w:rPr>
      </w:pPr>
      <w:r>
        <w:rPr>
          <w:rFonts w:ascii="Times New Roman" w:hAnsi="Times New Roman"/>
        </w:rPr>
        <w:t>禁止开发区：该区域点状分布于城市化地区、农产品主产区、重点生态地区，截至2011年底，全省共有禁止开发区域317处，总面积11.5万平方公里，占全省面积23.6%。</w:t>
      </w:r>
    </w:p>
    <w:p>
      <w:pPr>
        <w:ind w:firstLine="480"/>
        <w:rPr>
          <w:rFonts w:ascii="Times New Roman" w:hAnsi="Times New Roman"/>
        </w:rPr>
      </w:pPr>
      <w:r>
        <w:rPr>
          <w:rFonts w:ascii="Times New Roman" w:hAnsi="Times New Roman"/>
        </w:rPr>
        <w:t>根据《四川省主体功能区规划》布局，项目区属于国家层面限制开发区域（农产品主产区）。集输管道均敷设于地下，井站占地面积较小，且不在各级禁止开发区域。</w:t>
      </w:r>
    </w:p>
    <w:p>
      <w:pPr>
        <w:ind w:firstLine="480"/>
        <w:rPr>
          <w:rFonts w:ascii="Times New Roman" w:hAnsi="Times New Roman"/>
        </w:rPr>
      </w:pPr>
      <w:r>
        <w:rPr>
          <w:rFonts w:ascii="Times New Roman" w:hAnsi="Times New Roman"/>
        </w:rPr>
        <w:t>本工程属于天然气开采工程，为清洁能源建设项目，满足《四川省主体功能区规划》的要求。</w:t>
      </w:r>
    </w:p>
    <w:p>
      <w:pPr>
        <w:ind w:firstLine="480"/>
        <w:rPr>
          <w:rFonts w:ascii="Times New Roman" w:hAnsi="Times New Roman"/>
        </w:rPr>
      </w:pPr>
    </w:p>
    <w:p>
      <w:pPr>
        <w:ind w:firstLine="0" w:firstLineChars="0"/>
        <w:rPr>
          <w:rFonts w:ascii="Times New Roman" w:hAnsi="Times New Roman"/>
        </w:rPr>
      </w:pPr>
      <w:r>
        <w:rPr>
          <w:rFonts w:ascii="Times New Roman" w:hAnsi="Times New Roman"/>
        </w:rPr>
        <w:drawing>
          <wp:inline distT="0" distB="0" distL="0" distR="0">
            <wp:extent cx="5274310" cy="7260590"/>
            <wp:effectExtent l="19050" t="19050" r="21590" b="16510"/>
            <wp:docPr id="15650674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067475" name="图片 4"/>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274310" cy="7260590"/>
                    </a:xfrm>
                    <a:prstGeom prst="rect">
                      <a:avLst/>
                    </a:prstGeom>
                    <a:ln w="12700">
                      <a:solidFill>
                        <a:schemeClr val="tx1"/>
                      </a:solidFill>
                    </a:ln>
                  </pic:spPr>
                </pic:pic>
              </a:graphicData>
            </a:graphic>
          </wp:inline>
        </w:drawing>
      </w:r>
    </w:p>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 xml:space="preserve">  本项目与四川省主体功能区划分总图的叠图</w:t>
      </w:r>
    </w:p>
    <w:p>
      <w:pPr>
        <w:ind w:firstLine="480"/>
        <w:rPr>
          <w:rFonts w:ascii="Times New Roman" w:hAnsi="Times New Roman"/>
        </w:rPr>
      </w:pPr>
    </w:p>
    <w:p>
      <w:pPr>
        <w:pStyle w:val="4"/>
        <w:rPr>
          <w:rFonts w:ascii="Times New Roman" w:hAnsi="Times New Roman" w:cs="Times New Roman"/>
        </w:rPr>
      </w:pPr>
      <w:r>
        <w:rPr>
          <w:rFonts w:ascii="Times New Roman" w:hAnsi="Times New Roman" w:cs="Times New Roman"/>
        </w:rPr>
        <w:t>与《四川省“十四五”能源发展规划》符合性分析</w:t>
      </w:r>
    </w:p>
    <w:p>
      <w:pPr>
        <w:ind w:firstLine="480"/>
        <w:rPr>
          <w:rFonts w:ascii="Times New Roman" w:hAnsi="Times New Roman"/>
        </w:rPr>
      </w:pPr>
      <w:r>
        <w:rPr>
          <w:rFonts w:ascii="Times New Roman" w:hAnsi="Times New Roman"/>
        </w:rPr>
        <w:t>《四川省“十四五”能源发展规划》中提出：大力推进油气基础设施建设，按照适度超前的原则，加快省内油气输送管网建设，围绕主要产气区、消费区和薄弱区，统筹优化管网布局，构建供应稳定、运行高效、安全可靠的输配系统。建成西南地区天然气（页岩气）输送枢纽，全面形成环形输送管网，年输配能力达到450 亿m</w:t>
      </w:r>
      <w:r>
        <w:rPr>
          <w:rFonts w:ascii="Times New Roman" w:hAnsi="Times New Roman"/>
          <w:vertAlign w:val="superscript"/>
        </w:rPr>
        <w:t>3</w:t>
      </w:r>
      <w:r>
        <w:rPr>
          <w:rFonts w:ascii="Times New Roman" w:hAnsi="Times New Roman"/>
        </w:rPr>
        <w:t>，五年累计外输天然气544 亿m</w:t>
      </w:r>
      <w:r>
        <w:rPr>
          <w:rFonts w:ascii="Times New Roman" w:hAnsi="Times New Roman"/>
          <w:vertAlign w:val="superscript"/>
        </w:rPr>
        <w:t>3</w:t>
      </w:r>
      <w:r>
        <w:rPr>
          <w:rFonts w:ascii="Times New Roman" w:hAnsi="Times New Roman"/>
        </w:rPr>
        <w:t>。</w:t>
      </w:r>
    </w:p>
    <w:p>
      <w:pPr>
        <w:ind w:firstLine="480"/>
        <w:rPr>
          <w:rFonts w:ascii="Times New Roman" w:hAnsi="Times New Roman"/>
        </w:rPr>
      </w:pPr>
      <w:r>
        <w:rPr>
          <w:rFonts w:ascii="Times New Roman" w:hAnsi="Times New Roman"/>
        </w:rPr>
        <w:t>本项目属油气开采项目，有利于省内油气输送管网建设，可为主要产气区提供稳定、高效、可靠的输配系统。因此，本项目符合此《四川省“十四五”能源发展规划》要求。</w:t>
      </w:r>
    </w:p>
    <w:p>
      <w:pPr>
        <w:pStyle w:val="4"/>
        <w:rPr>
          <w:rFonts w:ascii="Times New Roman" w:hAnsi="Times New Roman" w:cs="Times New Roman"/>
        </w:rPr>
      </w:pPr>
      <w:r>
        <w:rPr>
          <w:rFonts w:ascii="Times New Roman" w:hAnsi="Times New Roman" w:cs="Times New Roman"/>
        </w:rPr>
        <w:t>与《四川省矿产资源总体规划（2021-2025年）》符合性分析</w:t>
      </w:r>
    </w:p>
    <w:p>
      <w:pPr>
        <w:ind w:firstLine="480"/>
        <w:rPr>
          <w:rFonts w:ascii="Times New Roman" w:hAnsi="Times New Roman"/>
        </w:rPr>
      </w:pPr>
      <w:r>
        <w:rPr>
          <w:rFonts w:ascii="Times New Roman" w:hAnsi="Times New Roman"/>
        </w:rPr>
        <w:t>规划目标：到2025 年，重要矿产资源量稳步增长，矿产资源安全保障能力有所提高，勘查开发与保护空间布局进一步优化，资源节约集约和高效利用水平明显提升，绿色矿业发展取得积极成效，矿产资源勘查开发与国民经济社会发展、生态环境保护协调发展新格局基本形成。</w:t>
      </w:r>
    </w:p>
    <w:p>
      <w:pPr>
        <w:ind w:firstLine="480"/>
        <w:rPr>
          <w:rFonts w:ascii="Times New Roman" w:hAnsi="Times New Roman"/>
        </w:rPr>
      </w:pPr>
      <w:r>
        <w:rPr>
          <w:rFonts w:ascii="Times New Roman" w:hAnsi="Times New Roman"/>
        </w:rPr>
        <w:t>重要矿产实现找矿新突破。加大财政投资矿产勘查力度，提高重要矿产资源综合勘查水平和保障程度，新发现战略性矿产资源大中型矿产地10 至15 处。国家天然气（页岩气）千亿立方米级产能基地、攀西战略资源创新开发试验区建设得到有力支撑。</w:t>
      </w:r>
    </w:p>
    <w:p>
      <w:pPr>
        <w:ind w:firstLine="480"/>
        <w:rPr>
          <w:rFonts w:ascii="Times New Roman" w:hAnsi="Times New Roman"/>
        </w:rPr>
      </w:pPr>
      <w:r>
        <w:rPr>
          <w:rFonts w:ascii="Times New Roman" w:hAnsi="Times New Roman"/>
        </w:rPr>
        <w:t>矿政管理与服务水平不断提升。全面推进矿产资源管理体制机制改革，行政审批效率和信息化管理水平进一步提高。矿产资源储量管理工作更加精细，资源家底更加清楚。“净矿”出让取得成效，出让收益征收、分配机制更趋合理。基本完成矿业权市场和公共服务体系现代化建设，资源配置更加合理高效，矿产资源管理效能明显提升。</w:t>
      </w:r>
    </w:p>
    <w:p>
      <w:pPr>
        <w:ind w:firstLine="480"/>
        <w:rPr>
          <w:rFonts w:ascii="Times New Roman" w:hAnsi="Times New Roman"/>
        </w:rPr>
      </w:pPr>
      <w:r>
        <w:rPr>
          <w:rFonts w:ascii="Times New Roman" w:hAnsi="Times New Roman"/>
        </w:rPr>
        <w:t>其中第三章 科学分区管理 优化勘查开发保护布局中指出：川东北能源建材勘查开发区。包括南充、达州、广安、巴中、广元5市，大力发展清洁能源化工、特色矿产品精深加工，推动川东北经济区振兴发展。重点加强达州、广元、广安、巴中地区天然气、页岩油、致密气勘探开发，有序开采巴中、广元石墨矿，促进石墨精深加工产业发展，推进广元天然沥青勘查开发；落实---。</w:t>
      </w:r>
    </w:p>
    <w:p>
      <w:pPr>
        <w:ind w:firstLine="480"/>
        <w:rPr>
          <w:rFonts w:ascii="Times New Roman" w:hAnsi="Times New Roman"/>
        </w:rPr>
      </w:pPr>
      <w:r>
        <w:rPr>
          <w:rFonts w:ascii="Times New Roman" w:hAnsi="Times New Roman"/>
        </w:rPr>
        <w:t>其中第五章 坚持集约节约 促进资源高效利用中指出：大力支持天然气、页岩气开采，2025年底全省天然气（页岩气）产量达到630亿立方米/年，2035年建成国家天然气（页岩气）千亿立方米级茶能基地。</w:t>
      </w:r>
    </w:p>
    <w:p>
      <w:pPr>
        <w:ind w:firstLine="480"/>
        <w:rPr>
          <w:rFonts w:ascii="Times New Roman" w:hAnsi="Times New Roman"/>
        </w:rPr>
      </w:pPr>
      <w:r>
        <w:rPr>
          <w:rFonts w:ascii="Times New Roman" w:hAnsi="Times New Roman"/>
        </w:rPr>
        <w:t>本项目位于达州，属于川东北能源建材矿产资源发展区；拟建项目属石油天然气行业，项目的建设为加强天然气基地的建设提供有利的支撑。</w:t>
      </w:r>
    </w:p>
    <w:p>
      <w:pPr>
        <w:ind w:firstLine="480"/>
        <w:rPr>
          <w:rFonts w:ascii="Times New Roman" w:hAnsi="Times New Roman"/>
        </w:rPr>
      </w:pPr>
      <w:r>
        <w:rPr>
          <w:rFonts w:ascii="Times New Roman" w:hAnsi="Times New Roman"/>
        </w:rPr>
        <w:t>因此，项目建设符合《四川省矿产资源总体规划（2021-2025年）》的相关要求。</w:t>
      </w:r>
    </w:p>
    <w:p>
      <w:pPr>
        <w:pStyle w:val="4"/>
        <w:rPr>
          <w:rFonts w:ascii="Times New Roman" w:hAnsi="Times New Roman" w:cs="Times New Roman"/>
        </w:rPr>
      </w:pPr>
      <w:r>
        <w:rPr>
          <w:rFonts w:ascii="Times New Roman" w:hAnsi="Times New Roman" w:cs="Times New Roman"/>
        </w:rPr>
        <w:t>与《四川省矿产资源总体规划（2021-2025年）环境影响报告书》及审查意见的符合性分析</w:t>
      </w:r>
    </w:p>
    <w:p>
      <w:pPr>
        <w:ind w:firstLine="480"/>
        <w:rPr>
          <w:rFonts w:ascii="Times New Roman" w:hAnsi="Times New Roman"/>
        </w:rPr>
      </w:pPr>
      <w:r>
        <w:rPr>
          <w:rFonts w:ascii="Times New Roman" w:hAnsi="Times New Roman"/>
        </w:rPr>
        <w:t>四川省自然资源厅组织编制了《四川省矿产资源总体规划（2021-2025年）环境影响报告书》，2022年7月生态环境部正式印发《关于《四川省矿产资源总体规划(2021-2025年) 环境影响报告书) 的审查意见》（环审〔2022〕105号）。项目与《四川省矿产资源总体规划（2021-2025年）环境影响报告书》及审查意见的符合性分析见下表，根据下表分析，本项目的建设与之相符。</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 xml:space="preserve">  与《四川省矿产资源总体规划（2021-2025年）环境影响报告书》及审意见符合性分析表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82"/>
        <w:gridCol w:w="1984"/>
        <w:gridCol w:w="9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2" w:type="dxa"/>
          </w:tcPr>
          <w:p>
            <w:pPr>
              <w:pStyle w:val="39"/>
              <w:rPr>
                <w:rFonts w:ascii="Times New Roman" w:hAnsi="Times New Roman"/>
              </w:rPr>
            </w:pPr>
            <w:r>
              <w:rPr>
                <w:rFonts w:ascii="Times New Roman" w:hAnsi="Times New Roman"/>
              </w:rPr>
              <w:t>文件情况</w:t>
            </w:r>
          </w:p>
        </w:tc>
        <w:tc>
          <w:tcPr>
            <w:tcW w:w="1984" w:type="dxa"/>
          </w:tcPr>
          <w:p>
            <w:pPr>
              <w:pStyle w:val="39"/>
              <w:rPr>
                <w:rFonts w:ascii="Times New Roman" w:hAnsi="Times New Roman"/>
              </w:rPr>
            </w:pPr>
            <w:r>
              <w:rPr>
                <w:rFonts w:ascii="Times New Roman" w:hAnsi="Times New Roman"/>
              </w:rPr>
              <w:t>本项目情况</w:t>
            </w:r>
          </w:p>
        </w:tc>
        <w:tc>
          <w:tcPr>
            <w:tcW w:w="930" w:type="dxa"/>
          </w:tcPr>
          <w:p>
            <w:pPr>
              <w:pStyle w:val="39"/>
              <w:rPr>
                <w:rFonts w:ascii="Times New Roman" w:hAnsi="Times New Roman"/>
              </w:rPr>
            </w:pPr>
            <w:r>
              <w:rPr>
                <w:rFonts w:ascii="Times New Roman" w:hAnsi="Times New Roma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2" w:type="dxa"/>
          </w:tcPr>
          <w:p>
            <w:pPr>
              <w:pStyle w:val="39"/>
              <w:jc w:val="left"/>
              <w:rPr>
                <w:rFonts w:ascii="Times New Roman" w:hAnsi="Times New Roman"/>
                <w:b/>
                <w:bCs/>
              </w:rPr>
            </w:pPr>
            <w:r>
              <w:rPr>
                <w:rFonts w:ascii="Times New Roman" w:hAnsi="Times New Roman"/>
                <w:b/>
                <w:bCs/>
              </w:rPr>
              <w:t>严格“三线一单”管控</w:t>
            </w:r>
          </w:p>
          <w:p>
            <w:pPr>
              <w:pStyle w:val="39"/>
              <w:jc w:val="left"/>
              <w:rPr>
                <w:rFonts w:ascii="Times New Roman" w:hAnsi="Times New Roman"/>
              </w:rPr>
            </w:pPr>
            <w:r>
              <w:rPr>
                <w:rFonts w:ascii="Times New Roman" w:hAnsi="Times New Roman"/>
              </w:rPr>
              <w:t>规划中的开采区应依法遵守环境敏感区规定，加强规划空间管制，不在生态保护红线内新出让采矿权；出于国家矿产资源战略考虑，可在生态保护红线内开展公益性资源勘查；生态保护红线内已有矿产资源开发应开展生态环境论证，损害生态功能的采矿项目应依法逐步退出。</w:t>
            </w:r>
          </w:p>
          <w:p>
            <w:pPr>
              <w:pStyle w:val="39"/>
              <w:jc w:val="left"/>
              <w:rPr>
                <w:rFonts w:ascii="Times New Roman" w:hAnsi="Times New Roman"/>
              </w:rPr>
            </w:pPr>
            <w:r>
              <w:rPr>
                <w:rFonts w:ascii="Times New Roman" w:hAnsi="Times New Roman"/>
              </w:rPr>
              <w:t>矿产开发企业应当对产生的废水进行处理，达到国家或者四川省的污染物排放标准后方可排放，严禁将未经处理的废水直接排入外环境。矿山开采区应进行必要的防渗处理，防控地下水污染。对农用地实行严格保护，确保其面积不减少、土壤环境质量不下降，禁止任何单位和个人在基本农田保护区内挖砂、采石、采矿、取土、堆放固体废弃物或者进行其他破坏基本农田的活动。</w:t>
            </w:r>
          </w:p>
          <w:p>
            <w:pPr>
              <w:pStyle w:val="39"/>
              <w:jc w:val="left"/>
              <w:rPr>
                <w:rFonts w:ascii="Times New Roman" w:hAnsi="Times New Roman"/>
              </w:rPr>
            </w:pPr>
            <w:r>
              <w:rPr>
                <w:rFonts w:ascii="Times New Roman" w:hAnsi="Times New Roman"/>
              </w:rPr>
              <w:t>采矿权区块实施必须严格执行规划要求，不得超越矿权范围从事采矿活动，不得突破区块矿产资源利用上线。实行用水总量控制和定额管理，严格执行水资源开发利用控制红线，严格取水制度，加强污废水无害化处理和资源化再利用，建设节水型社会。严格控制采矿建设用地，优先进行原有矿山生态环境恢复治理，根据恢复土地数量进行土地供给。推进节能降耗，严格能耗准入门槛。坚持节约优先，严控资源利用上线，降低资源消耗强度，建设资源节约型社会。规划应加强空间管控，严格按照《长江经济带战略环境评价四川省“三线一单”编制成果》及四川省各市州长江经济带战略环境评价“三线一单”编制文本中有关矿产资源勘查开发的准入要求，严格矿产资源开采项目准入，推进矿产资源开发利用布局与结构优化调整，落实《关于加快建设绿色矿山的实施意见》(国土资规 (2017) 4号) 等相关规定和要求，推动矿业绿色发展，实现资源开发利用与环境保护相协调的绿色发展格局</w:t>
            </w:r>
          </w:p>
        </w:tc>
        <w:tc>
          <w:tcPr>
            <w:tcW w:w="1984" w:type="dxa"/>
          </w:tcPr>
          <w:p>
            <w:pPr>
              <w:pStyle w:val="39"/>
              <w:rPr>
                <w:rFonts w:ascii="Times New Roman" w:hAnsi="Times New Roman"/>
              </w:rPr>
            </w:pPr>
            <w:r>
              <w:rPr>
                <w:rFonts w:ascii="Times New Roman" w:hAnsi="Times New Roman"/>
              </w:rPr>
              <w:t>本项目不在生态保护红线范围值内，符合“三线一单”要求；项目废水处理达标后外排，产生的固体废物均能得到妥善处置，项目所在地生态环境良好，无突出环境问题。本项目属于清洁能源开采项目，项目的实施后能够改善区域能源结构，减少重能源废气排放量，对改善区域环境空气质量有积极作用。</w:t>
            </w:r>
          </w:p>
        </w:tc>
        <w:tc>
          <w:tcPr>
            <w:tcW w:w="930" w:type="dxa"/>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2" w:type="dxa"/>
          </w:tcPr>
          <w:p>
            <w:pPr>
              <w:pStyle w:val="39"/>
              <w:jc w:val="left"/>
              <w:rPr>
                <w:rFonts w:ascii="Times New Roman" w:hAnsi="Times New Roman"/>
                <w:b/>
                <w:bCs/>
              </w:rPr>
            </w:pPr>
            <w:r>
              <w:rPr>
                <w:rFonts w:ascii="Times New Roman" w:hAnsi="Times New Roman"/>
                <w:b/>
                <w:bCs/>
              </w:rPr>
              <w:t>严格开采准入条件，优化开发利用结构。</w:t>
            </w:r>
          </w:p>
          <w:p>
            <w:pPr>
              <w:pStyle w:val="39"/>
              <w:jc w:val="left"/>
              <w:rPr>
                <w:rFonts w:ascii="Times New Roman" w:hAnsi="Times New Roman"/>
              </w:rPr>
            </w:pPr>
            <w:r>
              <w:rPr>
                <w:rFonts w:ascii="Times New Roman" w:hAnsi="Times New Roman"/>
              </w:rPr>
              <w:t>限制开采能耗大、污染重的矿产，最大限度减少对环境的破坏。一是加大页岩气、页岩油、煤层气、地热能等非常规能源矿产以及城镇化和重大基础设施建设所需新型建材矿产勘查开采，保障国家资源安全和区域经济高质量发展需求;二是严格禁止产能过剩、赋存条件差、环境污染重的硫铁矿、芒硝、盐矿、泥炭、石棉等矿产进行勘查或扩大产能，不具备安全生产条件、灾害隐患严重、污染物不能达标排放的矿山应依法关闭;三是严格落实稀土矿开采总量控制制度，同时对水泥用灰岩、磷矿开发规模进行控制。严格执行最低开采规模、三率水平门槛要求，提高资源规模化、集约化开发利用水平，着力构建一批高效、可持续发展的特色产业经济链和勘查开发基地。</w:t>
            </w:r>
          </w:p>
        </w:tc>
        <w:tc>
          <w:tcPr>
            <w:tcW w:w="1984" w:type="dxa"/>
          </w:tcPr>
          <w:p>
            <w:pPr>
              <w:pStyle w:val="39"/>
              <w:rPr>
                <w:rFonts w:ascii="Times New Roman" w:hAnsi="Times New Roman"/>
              </w:rPr>
            </w:pPr>
            <w:r>
              <w:rPr>
                <w:rFonts w:ascii="Times New Roman" w:hAnsi="Times New Roman"/>
              </w:rPr>
              <w:t>本项目属于天然气开采项目，满足准入条件。</w:t>
            </w:r>
          </w:p>
        </w:tc>
        <w:tc>
          <w:tcPr>
            <w:tcW w:w="930" w:type="dxa"/>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2" w:type="dxa"/>
          </w:tcPr>
          <w:p>
            <w:pPr>
              <w:pStyle w:val="39"/>
              <w:jc w:val="left"/>
              <w:rPr>
                <w:rFonts w:ascii="Times New Roman" w:hAnsi="Times New Roman"/>
                <w:b/>
                <w:bCs/>
              </w:rPr>
            </w:pPr>
            <w:r>
              <w:rPr>
                <w:rFonts w:ascii="Times New Roman" w:hAnsi="Times New Roman"/>
                <w:b/>
                <w:bCs/>
              </w:rPr>
              <w:t>建立健全监管与风险防控体系。</w:t>
            </w:r>
          </w:p>
          <w:p>
            <w:pPr>
              <w:pStyle w:val="39"/>
              <w:jc w:val="left"/>
              <w:rPr>
                <w:rFonts w:ascii="Times New Roman" w:hAnsi="Times New Roman"/>
              </w:rPr>
            </w:pPr>
            <w:r>
              <w:rPr>
                <w:rFonts w:ascii="Times New Roman" w:hAnsi="Times New Roman"/>
              </w:rPr>
              <w:t>坚持生态补偿和资源有偿使用制度，坚持“谁保护，谁受益”。健全自然资源资产产权制度和用途管制制度，发挥体制优势。</w:t>
            </w:r>
          </w:p>
        </w:tc>
        <w:tc>
          <w:tcPr>
            <w:tcW w:w="1984" w:type="dxa"/>
          </w:tcPr>
          <w:p>
            <w:pPr>
              <w:pStyle w:val="39"/>
              <w:rPr>
                <w:rFonts w:ascii="Times New Roman" w:hAnsi="Times New Roman"/>
              </w:rPr>
            </w:pPr>
            <w:r>
              <w:rPr>
                <w:rFonts w:ascii="Times New Roman" w:hAnsi="Times New Roman"/>
              </w:rPr>
              <w:t>建设单位对临时占地采取生态补偿措施，依法履行临时占地治理责任。</w:t>
            </w:r>
          </w:p>
        </w:tc>
        <w:tc>
          <w:tcPr>
            <w:tcW w:w="930" w:type="dxa"/>
          </w:tcPr>
          <w:p>
            <w:pPr>
              <w:pStyle w:val="39"/>
              <w:rPr>
                <w:rFonts w:ascii="Times New Roman" w:hAnsi="Times New Roman"/>
              </w:rPr>
            </w:pPr>
            <w:r>
              <w:rPr>
                <w:rFonts w:ascii="Times New Roman" w:hAnsi="Times New Roman"/>
              </w:rPr>
              <w:t>符合</w:t>
            </w:r>
          </w:p>
        </w:tc>
      </w:tr>
    </w:tbl>
    <w:p>
      <w:pPr>
        <w:ind w:firstLine="480"/>
        <w:rPr>
          <w:rFonts w:ascii="Times New Roman" w:hAnsi="Times New Roman"/>
        </w:rPr>
      </w:pPr>
    </w:p>
    <w:p>
      <w:pPr>
        <w:pStyle w:val="4"/>
        <w:rPr>
          <w:rFonts w:ascii="Times New Roman" w:hAnsi="Times New Roman" w:cs="Times New Roman"/>
        </w:rPr>
      </w:pPr>
      <w:r>
        <w:rPr>
          <w:rFonts w:ascii="Times New Roman" w:hAnsi="Times New Roman" w:cs="Times New Roman"/>
        </w:rPr>
        <w:t>与《长江经济带生态环境保护规划》符合性分析</w:t>
      </w:r>
    </w:p>
    <w:p>
      <w:pPr>
        <w:ind w:firstLine="480"/>
        <w:rPr>
          <w:rFonts w:ascii="Times New Roman" w:hAnsi="Times New Roman"/>
        </w:rPr>
      </w:pPr>
      <w:r>
        <w:rPr>
          <w:rFonts w:ascii="Times New Roman" w:hAnsi="Times New Roman"/>
        </w:rPr>
        <w:t>根据《长江经济带生态环境保护规划》专栏11 城乡环境综合整治－大气污染治理：开展燃煤电厂超低排放和节能改造。以钢铁、水泥、平板玻璃等行业和燃煤工业锅炉为重点，推进工业污染源全面达标排放。以石化、化工、工业涂装、包装印刷等行业为重点，推进挥发性有机物排放综合整治。建设完善天然气输送管道、城市燃气管网、天然气储气库、城市调峰站储气罐等基础设施，实施民用部门“煤改电”“煤改气”工程。</w:t>
      </w:r>
    </w:p>
    <w:p>
      <w:pPr>
        <w:ind w:firstLine="480"/>
        <w:rPr>
          <w:rFonts w:ascii="Times New Roman" w:hAnsi="Times New Roman"/>
        </w:rPr>
      </w:pPr>
      <w:r>
        <w:rPr>
          <w:rFonts w:ascii="Times New Roman" w:hAnsi="Times New Roman"/>
        </w:rPr>
        <w:t>本项目属天然气开采及集输项目，项目建设将完善天然气开采的基础设施。因此，本项目符合此《长江经济带生态环境保护规划》要求。</w:t>
      </w:r>
    </w:p>
    <w:p>
      <w:pPr>
        <w:pStyle w:val="4"/>
        <w:rPr>
          <w:rFonts w:ascii="Times New Roman" w:hAnsi="Times New Roman" w:cs="Times New Roman"/>
        </w:rPr>
      </w:pPr>
      <w:r>
        <w:rPr>
          <w:rFonts w:ascii="Times New Roman" w:hAnsi="Times New Roman" w:cs="Times New Roman"/>
        </w:rPr>
        <w:t>与《宣汉县国土空间总体规划（2021-2034年）》的符合性分析</w:t>
      </w:r>
    </w:p>
    <w:p>
      <w:pPr>
        <w:ind w:firstLine="480"/>
        <w:rPr>
          <w:rFonts w:ascii="Times New Roman" w:hAnsi="Times New Roman"/>
        </w:rPr>
      </w:pPr>
      <w:r>
        <w:rPr>
          <w:rFonts w:ascii="Times New Roman" w:hAnsi="Times New Roman"/>
        </w:rPr>
        <w:t>《宣汉县国土空间总体规划（2021-2035年）》已于2023年3月6日由宣汉县人民政府发布。</w:t>
      </w:r>
    </w:p>
    <w:p>
      <w:pPr>
        <w:ind w:firstLine="480"/>
        <w:rPr>
          <w:rFonts w:ascii="Times New Roman" w:hAnsi="Times New Roman"/>
        </w:rPr>
      </w:pPr>
      <w:r>
        <w:rPr>
          <w:rFonts w:ascii="Times New Roman" w:hAnsi="Times New Roman"/>
        </w:rPr>
        <w:t>划将宣汉国家森林公园、百里峡自然保护区、白马山森林公园，城区饮用水源保护区和珍稀鱼种保护区等划入生态保护区范围，总面积288.19km</w:t>
      </w:r>
      <w:r>
        <w:rPr>
          <w:rFonts w:ascii="Times New Roman" w:hAnsi="Times New Roman"/>
          <w:vertAlign w:val="superscript"/>
        </w:rPr>
        <w:t>2</w:t>
      </w:r>
      <w:r>
        <w:rPr>
          <w:rFonts w:ascii="Times New Roman" w:hAnsi="Times New Roman"/>
        </w:rPr>
        <w:t>；将永久基本农田相对集中需严格保护的区域划入农田保护区面积范围，总面积701.64 km</w:t>
      </w:r>
      <w:r>
        <w:rPr>
          <w:rFonts w:ascii="Times New Roman" w:hAnsi="Times New Roman"/>
          <w:vertAlign w:val="superscript"/>
        </w:rPr>
        <w:t>2</w:t>
      </w:r>
      <w:r>
        <w:rPr>
          <w:rFonts w:ascii="Times New Roman" w:hAnsi="Times New Roman"/>
        </w:rPr>
        <w:t>；将宣汉县城、各工业园区、镇区等城镇开发边界围合的范围划入城镇发展区，总面积41.30 km</w:t>
      </w:r>
      <w:r>
        <w:rPr>
          <w:rFonts w:ascii="Times New Roman" w:hAnsi="Times New Roman"/>
          <w:vertAlign w:val="superscript"/>
        </w:rPr>
        <w:t>2</w:t>
      </w:r>
      <w:r>
        <w:rPr>
          <w:rFonts w:ascii="Times New Roman" w:hAnsi="Times New Roman"/>
        </w:rPr>
        <w:t>。</w:t>
      </w:r>
    </w:p>
    <w:p>
      <w:pPr>
        <w:ind w:firstLine="480"/>
        <w:rPr>
          <w:rFonts w:ascii="Times New Roman" w:hAnsi="Times New Roman"/>
        </w:rPr>
      </w:pPr>
      <w:r>
        <w:rPr>
          <w:rFonts w:ascii="Times New Roman" w:hAnsi="Times New Roman"/>
        </w:rPr>
        <w:t>根据本项目与宣汉县县域城镇开发边界图、县域耕地和永久基本农田保护红线图、县域生态保护红线图的叠图（详见附图35～附图37），本项目不涉及生态保护红线，不在城镇开发边界内；永久占地目前涉及占用永久基本农田，面积为22.2亩，在前期钻井工程项目中已办理了临时占地手续，待临时占地期满后进行永久占地的占用手续；管道施工时临时占用永久基本农田，占用面积约6.34hm</w:t>
      </w:r>
      <w:r>
        <w:rPr>
          <w:rFonts w:ascii="Times New Roman" w:hAnsi="Times New Roman"/>
          <w:vertAlign w:val="superscript"/>
        </w:rPr>
        <w:t>2</w:t>
      </w:r>
      <w:r>
        <w:rPr>
          <w:rFonts w:ascii="Times New Roman" w:hAnsi="Times New Roman"/>
        </w:rPr>
        <w:t>，施工结束后及时对地表进行恢复原状。</w:t>
      </w:r>
    </w:p>
    <w:p>
      <w:pPr>
        <w:ind w:firstLine="480"/>
        <w:rPr>
          <w:rFonts w:ascii="Times New Roman" w:hAnsi="Times New Roman"/>
        </w:rPr>
      </w:pPr>
      <w:r>
        <w:rPr>
          <w:rFonts w:ascii="Times New Roman" w:hAnsi="Times New Roman"/>
        </w:rPr>
        <w:t>另外本项目为天然气开采项目，符合规划中城市职能中“中国气都”的称号。综上，本项目的建设与《宣汉县国土空间总体规划（2021-2035年）》相符。</w:t>
      </w:r>
    </w:p>
    <w:p>
      <w:pPr>
        <w:pStyle w:val="3"/>
        <w:rPr>
          <w:rFonts w:ascii="Times New Roman" w:hAnsi="Times New Roman" w:cs="Times New Roman"/>
        </w:rPr>
      </w:pPr>
      <w:bookmarkStart w:id="426" w:name="_Toc162339467"/>
      <w:r>
        <w:rPr>
          <w:rFonts w:ascii="Times New Roman" w:hAnsi="Times New Roman" w:cs="Times New Roman"/>
        </w:rPr>
        <w:t>相关政策符合性分析</w:t>
      </w:r>
      <w:bookmarkEnd w:id="426"/>
    </w:p>
    <w:p>
      <w:pPr>
        <w:pStyle w:val="4"/>
        <w:rPr>
          <w:rFonts w:ascii="Times New Roman" w:hAnsi="Times New Roman" w:cs="Times New Roman"/>
        </w:rPr>
      </w:pPr>
      <w:r>
        <w:rPr>
          <w:rFonts w:ascii="Times New Roman" w:hAnsi="Times New Roman" w:cs="Times New Roman"/>
        </w:rPr>
        <w:t>与《石油天然气开采业污染防治技术政策》符合性分析</w:t>
      </w:r>
    </w:p>
    <w:p>
      <w:pPr>
        <w:ind w:firstLine="480"/>
        <w:rPr>
          <w:rFonts w:ascii="Times New Roman" w:hAnsi="Times New Roman"/>
        </w:rPr>
      </w:pPr>
      <w:r>
        <w:rPr>
          <w:rFonts w:ascii="Times New Roman" w:hAnsi="Times New Roman"/>
        </w:rPr>
        <w:t>本项目与《石油天然气开采业污染防治技术政策》（生态环境部公告2012 年第18 号）对比分析见下表。</w:t>
      </w:r>
    </w:p>
    <w:p>
      <w:pPr>
        <w:ind w:firstLine="480"/>
        <w:rPr>
          <w:rFonts w:ascii="Times New Roman" w:hAnsi="Times New Roman"/>
        </w:rPr>
      </w:pPr>
      <w:r>
        <w:rPr>
          <w:rFonts w:ascii="Times New Roman" w:hAnsi="Times New Roman"/>
        </w:rPr>
        <w:t>通过将本项目工程内容、环保措施内容与《石油天然气开采业污染防治技术政策》中清洁生产、生态保护、污染治理、运行风险和环境管理等内容进行对比分析，项目建设符合《石油天然气开采业污染防治技术政策》要求。</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 xml:space="preserve">  本项目与《石油天然气开采业污染防治技术政策》符合性分析</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4253"/>
        <w:gridCol w:w="2469"/>
        <w:gridCol w:w="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序号</w:t>
            </w:r>
          </w:p>
        </w:tc>
        <w:tc>
          <w:tcPr>
            <w:tcW w:w="4253" w:type="dxa"/>
            <w:vAlign w:val="center"/>
          </w:tcPr>
          <w:p>
            <w:pPr>
              <w:pStyle w:val="39"/>
              <w:rPr>
                <w:rFonts w:ascii="Times New Roman" w:hAnsi="Times New Roman"/>
              </w:rPr>
            </w:pPr>
            <w:r>
              <w:rPr>
                <w:rFonts w:ascii="Times New Roman" w:hAnsi="Times New Roman"/>
              </w:rPr>
              <w:t>政策要求</w:t>
            </w:r>
          </w:p>
        </w:tc>
        <w:tc>
          <w:tcPr>
            <w:tcW w:w="2469" w:type="dxa"/>
            <w:vAlign w:val="center"/>
          </w:tcPr>
          <w:p>
            <w:pPr>
              <w:pStyle w:val="39"/>
              <w:rPr>
                <w:rFonts w:ascii="Times New Roman" w:hAnsi="Times New Roman"/>
              </w:rPr>
            </w:pPr>
            <w:r>
              <w:rPr>
                <w:rFonts w:ascii="Times New Roman" w:hAnsi="Times New Roman"/>
              </w:rPr>
              <w:t>本项目情况</w:t>
            </w:r>
          </w:p>
        </w:tc>
        <w:tc>
          <w:tcPr>
            <w:tcW w:w="870" w:type="dxa"/>
            <w:vAlign w:val="center"/>
          </w:tcPr>
          <w:p>
            <w:pPr>
              <w:pStyle w:val="39"/>
              <w:rPr>
                <w:rFonts w:ascii="Times New Roman" w:hAnsi="Times New Roman"/>
              </w:rPr>
            </w:pPr>
            <w:r>
              <w:rPr>
                <w:rFonts w:ascii="Times New Roman" w:hAnsi="Times New Roma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4"/>
            <w:vAlign w:val="center"/>
          </w:tcPr>
          <w:p>
            <w:pPr>
              <w:pStyle w:val="39"/>
              <w:rPr>
                <w:rFonts w:ascii="Times New Roman" w:hAnsi="Times New Roman"/>
              </w:rPr>
            </w:pPr>
            <w:r>
              <w:rPr>
                <w:rFonts w:ascii="Times New Roman" w:hAnsi="Times New Roman"/>
              </w:rPr>
              <w:t>一、总则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1</w:t>
            </w:r>
          </w:p>
        </w:tc>
        <w:tc>
          <w:tcPr>
            <w:tcW w:w="4253" w:type="dxa"/>
            <w:vAlign w:val="center"/>
          </w:tcPr>
          <w:p>
            <w:pPr>
              <w:pStyle w:val="39"/>
              <w:rPr>
                <w:rFonts w:ascii="Times New Roman" w:hAnsi="Times New Roman"/>
              </w:rPr>
            </w:pPr>
            <w:r>
              <w:rPr>
                <w:rFonts w:ascii="Times New Roman" w:hAnsi="Times New Roman"/>
              </w:rPr>
              <w:t>石油天然气开采要坚持油气开发与环境保护并举，油气田整体开发与优化布局相结合，污染防治与生态保护并重。大力推行清洁生产，发展循环经济，强化末端治理，注重环境风险防范，因地制宜进行生态恢复与建设，实现绿色发展。</w:t>
            </w:r>
          </w:p>
        </w:tc>
        <w:tc>
          <w:tcPr>
            <w:tcW w:w="2469" w:type="dxa"/>
            <w:vAlign w:val="center"/>
          </w:tcPr>
          <w:p>
            <w:pPr>
              <w:pStyle w:val="39"/>
              <w:rPr>
                <w:rFonts w:ascii="Times New Roman" w:hAnsi="Times New Roman"/>
              </w:rPr>
            </w:pPr>
            <w:r>
              <w:rPr>
                <w:rFonts w:ascii="Times New Roman" w:hAnsi="Times New Roman"/>
              </w:rPr>
              <w:t>本项目为天然气地面集输工程，天然气处理依托距离本项目较近的宣汉净化厂。坚持开发与环境保护并举，污染防治与生态保护并重。</w:t>
            </w:r>
          </w:p>
        </w:tc>
        <w:tc>
          <w:tcPr>
            <w:tcW w:w="870"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2</w:t>
            </w:r>
          </w:p>
        </w:tc>
        <w:tc>
          <w:tcPr>
            <w:tcW w:w="4253" w:type="dxa"/>
            <w:vAlign w:val="center"/>
          </w:tcPr>
          <w:p>
            <w:pPr>
              <w:pStyle w:val="39"/>
              <w:rPr>
                <w:rFonts w:ascii="Times New Roman" w:hAnsi="Times New Roman"/>
              </w:rPr>
            </w:pPr>
            <w:r>
              <w:rPr>
                <w:rFonts w:ascii="Times New Roman" w:hAnsi="Times New Roman"/>
              </w:rPr>
              <w:t>在环境敏感区进行石油天然气勘探、开采的，要在开发前对生态、环境影响进行充分论证，并严格执行环境影响评价文件的要求，积极采取缓解生态、环境破坏的措施。</w:t>
            </w:r>
          </w:p>
        </w:tc>
        <w:tc>
          <w:tcPr>
            <w:tcW w:w="2469" w:type="dxa"/>
            <w:vAlign w:val="center"/>
          </w:tcPr>
          <w:p>
            <w:pPr>
              <w:pStyle w:val="39"/>
              <w:rPr>
                <w:rFonts w:ascii="Times New Roman" w:hAnsi="Times New Roman"/>
              </w:rPr>
            </w:pPr>
            <w:r>
              <w:rPr>
                <w:rFonts w:ascii="Times New Roman" w:hAnsi="Times New Roman"/>
              </w:rPr>
              <w:t>本评价要求项目建设和运营要严格执行环评及批复要求。</w:t>
            </w:r>
          </w:p>
        </w:tc>
        <w:tc>
          <w:tcPr>
            <w:tcW w:w="870"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4"/>
            <w:vAlign w:val="center"/>
          </w:tcPr>
          <w:p>
            <w:pPr>
              <w:pStyle w:val="39"/>
              <w:rPr>
                <w:rFonts w:ascii="Times New Roman" w:hAnsi="Times New Roman"/>
              </w:rPr>
            </w:pPr>
            <w:r>
              <w:rPr>
                <w:rFonts w:ascii="Times New Roman" w:hAnsi="Times New Roman"/>
              </w:rPr>
              <w:t>二、清洁生产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3</w:t>
            </w:r>
          </w:p>
        </w:tc>
        <w:tc>
          <w:tcPr>
            <w:tcW w:w="4253" w:type="dxa"/>
            <w:vAlign w:val="center"/>
          </w:tcPr>
          <w:p>
            <w:pPr>
              <w:pStyle w:val="39"/>
              <w:rPr>
                <w:rFonts w:ascii="Times New Roman" w:hAnsi="Times New Roman"/>
              </w:rPr>
            </w:pPr>
            <w:r>
              <w:rPr>
                <w:rFonts w:ascii="Times New Roman" w:hAnsi="Times New Roman"/>
              </w:rPr>
              <w:t>油气田开发不得使用含有国际公约禁用化学物质的油气田化学剂，逐步淘汰微毒及以上油气田化学剂，鼓励使用无毒油气田化学剂。</w:t>
            </w:r>
          </w:p>
        </w:tc>
        <w:tc>
          <w:tcPr>
            <w:tcW w:w="2469" w:type="dxa"/>
            <w:vAlign w:val="center"/>
          </w:tcPr>
          <w:p>
            <w:pPr>
              <w:pStyle w:val="39"/>
              <w:rPr>
                <w:rFonts w:ascii="Times New Roman" w:hAnsi="Times New Roman"/>
              </w:rPr>
            </w:pPr>
            <w:r>
              <w:rPr>
                <w:rFonts w:ascii="Times New Roman" w:hAnsi="Times New Roman"/>
              </w:rPr>
              <w:t>本项目使用的油气田化学剂符合国际公约相关要求，不属于违禁品。</w:t>
            </w:r>
          </w:p>
        </w:tc>
        <w:tc>
          <w:tcPr>
            <w:tcW w:w="870"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4</w:t>
            </w:r>
          </w:p>
        </w:tc>
        <w:tc>
          <w:tcPr>
            <w:tcW w:w="4253" w:type="dxa"/>
            <w:vAlign w:val="center"/>
          </w:tcPr>
          <w:p>
            <w:pPr>
              <w:pStyle w:val="39"/>
              <w:rPr>
                <w:rFonts w:ascii="Times New Roman" w:hAnsi="Times New Roman"/>
              </w:rPr>
            </w:pPr>
            <w:r>
              <w:rPr>
                <w:rFonts w:ascii="Times New Roman" w:hAnsi="Times New Roman"/>
              </w:rPr>
              <w:t>在钻井过程中，鼓励采用环境友好的钻井液体系；配备完善的固控设备，钻井液循环率达到95%以上；钻井过程产生的废水应回用。</w:t>
            </w:r>
          </w:p>
        </w:tc>
        <w:tc>
          <w:tcPr>
            <w:tcW w:w="2469" w:type="dxa"/>
            <w:vAlign w:val="center"/>
          </w:tcPr>
          <w:p>
            <w:pPr>
              <w:pStyle w:val="39"/>
              <w:rPr>
                <w:rFonts w:ascii="Times New Roman" w:hAnsi="Times New Roman"/>
              </w:rPr>
            </w:pPr>
            <w:r>
              <w:rPr>
                <w:rFonts w:ascii="Times New Roman" w:hAnsi="Times New Roman"/>
              </w:rPr>
              <w:t>本项目为天然气地面集输工程，不涉及钻井工程。</w:t>
            </w:r>
          </w:p>
        </w:tc>
        <w:tc>
          <w:tcPr>
            <w:tcW w:w="870"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5</w:t>
            </w:r>
          </w:p>
        </w:tc>
        <w:tc>
          <w:tcPr>
            <w:tcW w:w="4253" w:type="dxa"/>
            <w:vAlign w:val="center"/>
          </w:tcPr>
          <w:p>
            <w:pPr>
              <w:pStyle w:val="39"/>
              <w:rPr>
                <w:rFonts w:ascii="Times New Roman" w:hAnsi="Times New Roman"/>
              </w:rPr>
            </w:pPr>
            <w:r>
              <w:rPr>
                <w:rFonts w:ascii="Times New Roman" w:hAnsi="Times New Roman"/>
              </w:rPr>
              <w:t>在井下作业过程中，酸化液和压裂液宜集中配制，酸化残液、压裂残液和返排液应回收利用或进行无害化处置，压裂放喷返排入罐率应达到100%。酸化、压裂作业和试油（气）过程应采取防喷、地面管线防刺、防漏、防溢等措施。</w:t>
            </w:r>
          </w:p>
        </w:tc>
        <w:tc>
          <w:tcPr>
            <w:tcW w:w="2469" w:type="dxa"/>
            <w:vAlign w:val="center"/>
          </w:tcPr>
          <w:p>
            <w:pPr>
              <w:pStyle w:val="39"/>
              <w:rPr>
                <w:rFonts w:ascii="Times New Roman" w:hAnsi="Times New Roman"/>
              </w:rPr>
            </w:pPr>
            <w:r>
              <w:rPr>
                <w:rFonts w:ascii="Times New Roman" w:hAnsi="Times New Roman"/>
              </w:rPr>
              <w:t>本项目为天然气地面集输工程，不涉及钻井工程。</w:t>
            </w:r>
          </w:p>
        </w:tc>
        <w:tc>
          <w:tcPr>
            <w:tcW w:w="870"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4"/>
            <w:vAlign w:val="center"/>
          </w:tcPr>
          <w:p>
            <w:pPr>
              <w:pStyle w:val="39"/>
              <w:rPr>
                <w:rFonts w:ascii="Times New Roman" w:hAnsi="Times New Roman"/>
              </w:rPr>
            </w:pPr>
            <w:r>
              <w:rPr>
                <w:rFonts w:ascii="Times New Roman" w:hAnsi="Times New Roman"/>
              </w:rPr>
              <w:t>三、生态保护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6</w:t>
            </w:r>
          </w:p>
        </w:tc>
        <w:tc>
          <w:tcPr>
            <w:tcW w:w="4253" w:type="dxa"/>
            <w:vAlign w:val="center"/>
          </w:tcPr>
          <w:p>
            <w:pPr>
              <w:pStyle w:val="39"/>
              <w:rPr>
                <w:rFonts w:ascii="Times New Roman" w:hAnsi="Times New Roman"/>
              </w:rPr>
            </w:pPr>
            <w:r>
              <w:rPr>
                <w:rFonts w:ascii="Times New Roman" w:hAnsi="Times New Roman"/>
              </w:rPr>
              <w:t>油气田建设宜布置丛式井组，采用多分支井、水平井、小孔钻井、空气钻井等钻井技术，以减少废物产生和占地。</w:t>
            </w:r>
          </w:p>
        </w:tc>
        <w:tc>
          <w:tcPr>
            <w:tcW w:w="2469" w:type="dxa"/>
            <w:vAlign w:val="center"/>
          </w:tcPr>
          <w:p>
            <w:pPr>
              <w:pStyle w:val="39"/>
              <w:rPr>
                <w:rFonts w:ascii="Times New Roman" w:hAnsi="Times New Roman"/>
              </w:rPr>
            </w:pPr>
            <w:r>
              <w:rPr>
                <w:rFonts w:ascii="Times New Roman" w:hAnsi="Times New Roman"/>
              </w:rPr>
              <w:t>本项目为天然气地面集输工程，不涉及钻井工程。</w:t>
            </w:r>
          </w:p>
        </w:tc>
        <w:tc>
          <w:tcPr>
            <w:tcW w:w="870"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7</w:t>
            </w:r>
          </w:p>
        </w:tc>
        <w:tc>
          <w:tcPr>
            <w:tcW w:w="4253" w:type="dxa"/>
            <w:vAlign w:val="center"/>
          </w:tcPr>
          <w:p>
            <w:pPr>
              <w:pStyle w:val="39"/>
              <w:rPr>
                <w:rFonts w:ascii="Times New Roman" w:hAnsi="Times New Roman"/>
              </w:rPr>
            </w:pPr>
            <w:r>
              <w:rPr>
                <w:rFonts w:ascii="Times New Roman" w:hAnsi="Times New Roman"/>
              </w:rPr>
              <w:t>在开发过程中，伴生气应回收利用，减少温室气体排放，不具备回收利用条件的，应充分燃烧，伴生气回收利用率应达到80%以上；站场放空天然气应充分燃烧。燃烧放空设施应避开鸟类迁徙通道。</w:t>
            </w:r>
          </w:p>
        </w:tc>
        <w:tc>
          <w:tcPr>
            <w:tcW w:w="2469" w:type="dxa"/>
            <w:vAlign w:val="center"/>
          </w:tcPr>
          <w:p>
            <w:pPr>
              <w:pStyle w:val="39"/>
              <w:rPr>
                <w:rFonts w:ascii="Times New Roman" w:hAnsi="Times New Roman"/>
              </w:rPr>
            </w:pPr>
            <w:r>
              <w:rPr>
                <w:rFonts w:ascii="Times New Roman" w:hAnsi="Times New Roman"/>
              </w:rPr>
              <w:t>本项目放空天然气充分燃烧，燃烧放空设施避开鸟类迁徙通道。</w:t>
            </w:r>
          </w:p>
        </w:tc>
        <w:tc>
          <w:tcPr>
            <w:tcW w:w="870"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4"/>
            <w:vAlign w:val="center"/>
          </w:tcPr>
          <w:p>
            <w:pPr>
              <w:pStyle w:val="39"/>
              <w:rPr>
                <w:rFonts w:ascii="Times New Roman" w:hAnsi="Times New Roman"/>
              </w:rPr>
            </w:pPr>
            <w:r>
              <w:rPr>
                <w:rFonts w:ascii="Times New Roman" w:hAnsi="Times New Roman"/>
              </w:rPr>
              <w:t>四、污染治理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8</w:t>
            </w:r>
          </w:p>
        </w:tc>
        <w:tc>
          <w:tcPr>
            <w:tcW w:w="4253" w:type="dxa"/>
            <w:vAlign w:val="center"/>
          </w:tcPr>
          <w:p>
            <w:pPr>
              <w:pStyle w:val="39"/>
              <w:rPr>
                <w:rFonts w:ascii="Times New Roman" w:hAnsi="Times New Roman"/>
              </w:rPr>
            </w:pPr>
            <w:r>
              <w:rPr>
                <w:rFonts w:ascii="Times New Roman" w:hAnsi="Times New Roman"/>
              </w:rPr>
              <w:t>在钻井和井下作业过程中，鼓励污油、污水进入生产流程循环利用，未进入生产流程的污油、污水应采用固液分离、废水处理一体化装置等处理后达标外排。在油气开发过程中，未回注的油气田采出水宜采用混凝气浮和生化处理相结合的方式。</w:t>
            </w:r>
          </w:p>
        </w:tc>
        <w:tc>
          <w:tcPr>
            <w:tcW w:w="2469" w:type="dxa"/>
            <w:vAlign w:val="center"/>
          </w:tcPr>
          <w:p>
            <w:pPr>
              <w:pStyle w:val="39"/>
              <w:rPr>
                <w:rFonts w:ascii="Times New Roman" w:hAnsi="Times New Roman"/>
              </w:rPr>
            </w:pPr>
            <w:r>
              <w:rPr>
                <w:rFonts w:ascii="Times New Roman" w:hAnsi="Times New Roman"/>
              </w:rPr>
              <w:t>本项目地面集输工程产生的气田水、放空分离液、检修废水用罐车拉运至渡口河净化厂处理后回注，不外排。生活污水依托当地污水处理系统处理。</w:t>
            </w:r>
          </w:p>
        </w:tc>
        <w:tc>
          <w:tcPr>
            <w:tcW w:w="870"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9</w:t>
            </w:r>
          </w:p>
        </w:tc>
        <w:tc>
          <w:tcPr>
            <w:tcW w:w="4253" w:type="dxa"/>
            <w:vAlign w:val="center"/>
          </w:tcPr>
          <w:p>
            <w:pPr>
              <w:pStyle w:val="39"/>
              <w:rPr>
                <w:rFonts w:ascii="Times New Roman" w:hAnsi="Times New Roman"/>
              </w:rPr>
            </w:pPr>
            <w:r>
              <w:rPr>
                <w:rFonts w:ascii="Times New Roman" w:hAnsi="Times New Roman"/>
              </w:rPr>
              <w:t>在天然气净化过程中，鼓励采用二氧化硫尾气处理技术，提高去除效率。</w:t>
            </w:r>
          </w:p>
        </w:tc>
        <w:tc>
          <w:tcPr>
            <w:tcW w:w="2469" w:type="dxa"/>
            <w:vAlign w:val="center"/>
          </w:tcPr>
          <w:p>
            <w:pPr>
              <w:pStyle w:val="39"/>
              <w:rPr>
                <w:rFonts w:ascii="Times New Roman" w:hAnsi="Times New Roman"/>
              </w:rPr>
            </w:pPr>
            <w:r>
              <w:rPr>
                <w:rFonts w:ascii="Times New Roman" w:hAnsi="Times New Roman"/>
              </w:rPr>
              <w:t>本项目为天然气地面集输工程，不涉及净化厂工程。</w:t>
            </w:r>
          </w:p>
        </w:tc>
        <w:tc>
          <w:tcPr>
            <w:tcW w:w="870"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10</w:t>
            </w:r>
          </w:p>
        </w:tc>
        <w:tc>
          <w:tcPr>
            <w:tcW w:w="4253" w:type="dxa"/>
            <w:vAlign w:val="center"/>
          </w:tcPr>
          <w:p>
            <w:pPr>
              <w:pStyle w:val="39"/>
              <w:rPr>
                <w:rFonts w:ascii="Times New Roman" w:hAnsi="Times New Roman"/>
              </w:rPr>
            </w:pPr>
            <w:r>
              <w:rPr>
                <w:rFonts w:ascii="Times New Roman" w:hAnsi="Times New Roman"/>
              </w:rPr>
              <w:t>固体废物收集、贮存、处理处置设施应按照标准要求采取防渗措施。试油（气）后应立即封闭废弃钻井液贮池。</w:t>
            </w:r>
          </w:p>
        </w:tc>
        <w:tc>
          <w:tcPr>
            <w:tcW w:w="2469" w:type="dxa"/>
            <w:vAlign w:val="center"/>
          </w:tcPr>
          <w:p>
            <w:pPr>
              <w:pStyle w:val="39"/>
              <w:rPr>
                <w:rFonts w:ascii="Times New Roman" w:hAnsi="Times New Roman"/>
              </w:rPr>
            </w:pPr>
            <w:r>
              <w:rPr>
                <w:rFonts w:ascii="Times New Roman" w:hAnsi="Times New Roman"/>
              </w:rPr>
              <w:t>本项目按照标准要求采取防渗措施。</w:t>
            </w:r>
          </w:p>
        </w:tc>
        <w:tc>
          <w:tcPr>
            <w:tcW w:w="870"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4"/>
            <w:vAlign w:val="center"/>
          </w:tcPr>
          <w:p>
            <w:pPr>
              <w:pStyle w:val="39"/>
              <w:rPr>
                <w:rFonts w:ascii="Times New Roman" w:hAnsi="Times New Roman"/>
              </w:rPr>
            </w:pPr>
            <w:r>
              <w:rPr>
                <w:rFonts w:ascii="Times New Roman" w:hAnsi="Times New Roman"/>
              </w:rPr>
              <w:t>五、运行管理与风险防范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11</w:t>
            </w:r>
          </w:p>
        </w:tc>
        <w:tc>
          <w:tcPr>
            <w:tcW w:w="4253" w:type="dxa"/>
            <w:vAlign w:val="center"/>
          </w:tcPr>
          <w:p>
            <w:pPr>
              <w:pStyle w:val="39"/>
              <w:rPr>
                <w:rFonts w:ascii="Times New Roman" w:hAnsi="Times New Roman"/>
              </w:rPr>
            </w:pPr>
            <w:r>
              <w:rPr>
                <w:rFonts w:ascii="Times New Roman" w:hAnsi="Times New Roman"/>
              </w:rPr>
              <w:t>油气田企业应制定环境保护管理规定，建立并运行健康、安全与环境管理体系。</w:t>
            </w:r>
          </w:p>
        </w:tc>
        <w:tc>
          <w:tcPr>
            <w:tcW w:w="2469" w:type="dxa"/>
            <w:vAlign w:val="center"/>
          </w:tcPr>
          <w:p>
            <w:pPr>
              <w:pStyle w:val="39"/>
              <w:rPr>
                <w:rFonts w:ascii="Times New Roman" w:hAnsi="Times New Roman"/>
              </w:rPr>
            </w:pPr>
            <w:r>
              <w:rPr>
                <w:rFonts w:ascii="Times New Roman" w:hAnsi="Times New Roman"/>
              </w:rPr>
              <w:t>建设单位已制定环境保护管理规定，建立了健康、安全与环境管理体系并运行。</w:t>
            </w:r>
          </w:p>
        </w:tc>
        <w:tc>
          <w:tcPr>
            <w:tcW w:w="870"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12</w:t>
            </w:r>
          </w:p>
        </w:tc>
        <w:tc>
          <w:tcPr>
            <w:tcW w:w="4253" w:type="dxa"/>
            <w:vAlign w:val="center"/>
          </w:tcPr>
          <w:p>
            <w:pPr>
              <w:pStyle w:val="39"/>
              <w:rPr>
                <w:rFonts w:ascii="Times New Roman" w:hAnsi="Times New Roman"/>
              </w:rPr>
            </w:pPr>
            <w:r>
              <w:rPr>
                <w:rFonts w:ascii="Times New Roman" w:hAnsi="Times New Roman"/>
              </w:rPr>
              <w:t>加强油气田建设、勘探开发过程的环境监督管理。油气田建设过程应开展工程环境监理。</w:t>
            </w:r>
          </w:p>
        </w:tc>
        <w:tc>
          <w:tcPr>
            <w:tcW w:w="2469" w:type="dxa"/>
            <w:vAlign w:val="center"/>
          </w:tcPr>
          <w:p>
            <w:pPr>
              <w:pStyle w:val="39"/>
              <w:rPr>
                <w:rFonts w:ascii="Times New Roman" w:hAnsi="Times New Roman"/>
              </w:rPr>
            </w:pPr>
            <w:r>
              <w:rPr>
                <w:rFonts w:ascii="Times New Roman" w:hAnsi="Times New Roman"/>
              </w:rPr>
              <w:t>建设单位在气田建设过程中开展工程环境监理。</w:t>
            </w:r>
          </w:p>
        </w:tc>
        <w:tc>
          <w:tcPr>
            <w:tcW w:w="870"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13</w:t>
            </w:r>
          </w:p>
        </w:tc>
        <w:tc>
          <w:tcPr>
            <w:tcW w:w="4253" w:type="dxa"/>
            <w:vAlign w:val="center"/>
          </w:tcPr>
          <w:p>
            <w:pPr>
              <w:pStyle w:val="39"/>
              <w:rPr>
                <w:rFonts w:ascii="Times New Roman" w:hAnsi="Times New Roman"/>
              </w:rPr>
            </w:pPr>
            <w:r>
              <w:rPr>
                <w:rFonts w:ascii="Times New Roman" w:hAnsi="Times New Roman"/>
              </w:rPr>
              <w:t>在开发过程中，企业应加强油气井套管的检测和维护，防止油气泄漏污染地下水。</w:t>
            </w:r>
          </w:p>
        </w:tc>
        <w:tc>
          <w:tcPr>
            <w:tcW w:w="2469" w:type="dxa"/>
            <w:vAlign w:val="center"/>
          </w:tcPr>
          <w:p>
            <w:pPr>
              <w:pStyle w:val="39"/>
              <w:rPr>
                <w:rFonts w:ascii="Times New Roman" w:hAnsi="Times New Roman"/>
              </w:rPr>
            </w:pPr>
            <w:r>
              <w:rPr>
                <w:rFonts w:ascii="Times New Roman" w:hAnsi="Times New Roman"/>
              </w:rPr>
              <w:t>建设单位制定了油气井套管的检测和维护制度，防止天然气泄漏污染地下水。</w:t>
            </w:r>
          </w:p>
        </w:tc>
        <w:tc>
          <w:tcPr>
            <w:tcW w:w="870"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14</w:t>
            </w:r>
          </w:p>
        </w:tc>
        <w:tc>
          <w:tcPr>
            <w:tcW w:w="4253" w:type="dxa"/>
            <w:vAlign w:val="center"/>
          </w:tcPr>
          <w:p>
            <w:pPr>
              <w:pStyle w:val="39"/>
              <w:rPr>
                <w:rFonts w:ascii="Times New Roman" w:hAnsi="Times New Roman"/>
              </w:rPr>
            </w:pPr>
            <w:r>
              <w:rPr>
                <w:rFonts w:ascii="Times New Roman" w:hAnsi="Times New Roman"/>
              </w:rPr>
              <w:t>油气田企业应建立环境保护人员培训制度，环境监测人员、统计人员、污染治理设施操作人员应经培训合格后上岗。</w:t>
            </w:r>
          </w:p>
        </w:tc>
        <w:tc>
          <w:tcPr>
            <w:tcW w:w="2469" w:type="dxa"/>
            <w:vAlign w:val="center"/>
          </w:tcPr>
          <w:p>
            <w:pPr>
              <w:pStyle w:val="39"/>
              <w:rPr>
                <w:rFonts w:ascii="Times New Roman" w:hAnsi="Times New Roman"/>
              </w:rPr>
            </w:pPr>
            <w:r>
              <w:rPr>
                <w:rFonts w:ascii="Times New Roman" w:hAnsi="Times New Roman"/>
              </w:rPr>
              <w:t>建设单位制定了环境保护人员培训制度，环境监测人员、统计人员、污染治理设施操作人员应经培训合格后上岗。</w:t>
            </w:r>
          </w:p>
        </w:tc>
        <w:tc>
          <w:tcPr>
            <w:tcW w:w="870"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39"/>
              <w:rPr>
                <w:rFonts w:ascii="Times New Roman" w:hAnsi="Times New Roman"/>
              </w:rPr>
            </w:pPr>
            <w:r>
              <w:rPr>
                <w:rFonts w:ascii="Times New Roman" w:hAnsi="Times New Roman"/>
              </w:rPr>
              <w:t>15</w:t>
            </w:r>
          </w:p>
        </w:tc>
        <w:tc>
          <w:tcPr>
            <w:tcW w:w="4253" w:type="dxa"/>
            <w:vAlign w:val="center"/>
          </w:tcPr>
          <w:p>
            <w:pPr>
              <w:pStyle w:val="39"/>
              <w:rPr>
                <w:rFonts w:ascii="Times New Roman" w:hAnsi="Times New Roman"/>
              </w:rPr>
            </w:pPr>
            <w:r>
              <w:rPr>
                <w:rFonts w:ascii="Times New Roman" w:hAnsi="Times New Roman"/>
              </w:rPr>
              <w:t>油气田企业应对勘探开发过程进行环境风险因素识别，制定突发环境事件应急预案并定期进行演练。应开展特征污染物监测工作，采取环境风险防范和应急措施，防止发生由突发性油气泄漏产生的环境事故。</w:t>
            </w:r>
          </w:p>
        </w:tc>
        <w:tc>
          <w:tcPr>
            <w:tcW w:w="2469" w:type="dxa"/>
            <w:vAlign w:val="center"/>
          </w:tcPr>
          <w:p>
            <w:pPr>
              <w:pStyle w:val="39"/>
              <w:rPr>
                <w:rFonts w:ascii="Times New Roman" w:hAnsi="Times New Roman"/>
              </w:rPr>
            </w:pPr>
            <w:r>
              <w:rPr>
                <w:rFonts w:ascii="Times New Roman" w:hAnsi="Times New Roman"/>
              </w:rPr>
              <w:t>建设单位对勘探开发过程，制定突发环境事件应急预案并定期进行演练，在井场周边设置了事故监测点，监测污染因子。</w:t>
            </w:r>
          </w:p>
        </w:tc>
        <w:tc>
          <w:tcPr>
            <w:tcW w:w="870" w:type="dxa"/>
            <w:vAlign w:val="center"/>
          </w:tcPr>
          <w:p>
            <w:pPr>
              <w:pStyle w:val="39"/>
              <w:rPr>
                <w:rFonts w:ascii="Times New Roman" w:hAnsi="Times New Roman"/>
              </w:rPr>
            </w:pPr>
            <w:r>
              <w:rPr>
                <w:rFonts w:ascii="Times New Roman" w:hAnsi="Times New Roman"/>
              </w:rPr>
              <w:t>符合</w:t>
            </w:r>
          </w:p>
        </w:tc>
      </w:tr>
    </w:tbl>
    <w:p>
      <w:pPr>
        <w:pStyle w:val="4"/>
        <w:rPr>
          <w:rFonts w:ascii="Times New Roman" w:hAnsi="Times New Roman" w:cs="Times New Roman"/>
        </w:rPr>
      </w:pPr>
      <w:r>
        <w:rPr>
          <w:rFonts w:ascii="Times New Roman" w:hAnsi="Times New Roman" w:cs="Times New Roman"/>
        </w:rPr>
        <w:t>与《关于进一步加强石油天然气行业环境影响评价管理的通知》（环办环评函〔2019〕910 号）符合性分析</w:t>
      </w:r>
    </w:p>
    <w:p>
      <w:pPr>
        <w:ind w:firstLine="480"/>
        <w:rPr>
          <w:rFonts w:ascii="Times New Roman" w:hAnsi="Times New Roman"/>
        </w:rPr>
      </w:pPr>
      <w:r>
        <w:rPr>
          <w:rFonts w:ascii="Times New Roman" w:hAnsi="Times New Roman"/>
        </w:rPr>
        <w:t>项目与环办环评函〔2019〕910 号文符合性分析见下表。由</w:t>
      </w:r>
      <w:r>
        <w:rPr>
          <w:rFonts w:ascii="Times New Roman" w:hAnsi="Times New Roman"/>
        </w:rPr>
        <w:fldChar w:fldCharType="begin"/>
      </w:r>
      <w:r>
        <w:rPr>
          <w:rFonts w:ascii="Times New Roman" w:hAnsi="Times New Roman"/>
        </w:rPr>
        <w:instrText xml:space="preserve"> REF _Ref154506752 \h  \* MERGEFORMAT </w:instrText>
      </w:r>
      <w:r>
        <w:rPr>
          <w:rFonts w:ascii="Times New Roman" w:hAnsi="Times New Roman"/>
        </w:rPr>
        <w:fldChar w:fldCharType="separate"/>
      </w:r>
      <w:r>
        <w:rPr>
          <w:rFonts w:ascii="Times New Roman" w:hAnsi="Times New Roman"/>
        </w:rPr>
        <w:t>表 11</w:t>
      </w:r>
      <w:r>
        <w:rPr>
          <w:rFonts w:ascii="Times New Roman" w:hAnsi="Times New Roman"/>
        </w:rPr>
        <w:noBreakHyphen/>
      </w:r>
      <w:r>
        <w:rPr>
          <w:rFonts w:ascii="Times New Roman" w:hAnsi="Times New Roman"/>
        </w:rPr>
        <w:t>3</w:t>
      </w:r>
      <w:r>
        <w:rPr>
          <w:rFonts w:ascii="Times New Roman" w:hAnsi="Times New Roman"/>
        </w:rPr>
        <w:fldChar w:fldCharType="end"/>
      </w:r>
      <w:r>
        <w:rPr>
          <w:rFonts w:ascii="Times New Roman" w:hAnsi="Times New Roman"/>
        </w:rPr>
        <w:t>可知，本项目符合《关于进一步加强石油天然气行业环境影响评价管理的通知》（环办环评函〔2019〕910号）的相关要求。</w:t>
      </w:r>
    </w:p>
    <w:p>
      <w:pPr>
        <w:pStyle w:val="37"/>
        <w:rPr>
          <w:rFonts w:ascii="Times New Roman" w:hAnsi="Times New Roman" w:cs="Times New Roman"/>
        </w:rPr>
      </w:pPr>
      <w:bookmarkStart w:id="427" w:name="_Ref154506752"/>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bookmarkEnd w:id="427"/>
      <w:r>
        <w:rPr>
          <w:rFonts w:ascii="Times New Roman" w:hAnsi="Times New Roman" w:cs="Times New Roman"/>
        </w:rPr>
        <w:t xml:space="preserve">  本项目与《关于进一步加强石油天然气行业环境影响评价管理的通知》符合性分析</w:t>
      </w:r>
    </w:p>
    <w:tbl>
      <w:tblPr>
        <w:tblStyle w:val="28"/>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1"/>
        <w:gridCol w:w="4975"/>
        <w:gridCol w:w="2666"/>
        <w:gridCol w:w="8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01" w:type="dxa"/>
            <w:vAlign w:val="center"/>
          </w:tcPr>
          <w:p>
            <w:pPr>
              <w:pStyle w:val="39"/>
              <w:rPr>
                <w:rFonts w:ascii="Times New Roman" w:hAnsi="Times New Roman"/>
              </w:rPr>
            </w:pPr>
            <w:r>
              <w:rPr>
                <w:rFonts w:ascii="Times New Roman" w:hAnsi="Times New Roman"/>
              </w:rPr>
              <w:t>序号</w:t>
            </w:r>
          </w:p>
        </w:tc>
        <w:tc>
          <w:tcPr>
            <w:tcW w:w="5100" w:type="dxa"/>
            <w:vAlign w:val="center"/>
          </w:tcPr>
          <w:p>
            <w:pPr>
              <w:pStyle w:val="39"/>
              <w:rPr>
                <w:rFonts w:ascii="Times New Roman" w:hAnsi="Times New Roman"/>
              </w:rPr>
            </w:pPr>
            <w:r>
              <w:rPr>
                <w:rFonts w:ascii="Times New Roman" w:hAnsi="Times New Roman"/>
              </w:rPr>
              <w:t>文件要求</w:t>
            </w:r>
          </w:p>
        </w:tc>
        <w:tc>
          <w:tcPr>
            <w:tcW w:w="2730" w:type="dxa"/>
            <w:vAlign w:val="center"/>
          </w:tcPr>
          <w:p>
            <w:pPr>
              <w:pStyle w:val="39"/>
              <w:rPr>
                <w:rFonts w:ascii="Times New Roman" w:hAnsi="Times New Roman"/>
              </w:rPr>
            </w:pPr>
            <w:r>
              <w:rPr>
                <w:rFonts w:ascii="Times New Roman" w:hAnsi="Times New Roman"/>
              </w:rPr>
              <w:t>本工程情况</w:t>
            </w:r>
          </w:p>
        </w:tc>
        <w:tc>
          <w:tcPr>
            <w:tcW w:w="855" w:type="dxa"/>
            <w:vAlign w:val="center"/>
          </w:tcPr>
          <w:p>
            <w:pPr>
              <w:pStyle w:val="39"/>
              <w:rPr>
                <w:rFonts w:ascii="Times New Roman" w:hAnsi="Times New Roman"/>
              </w:rPr>
            </w:pPr>
            <w:r>
              <w:rPr>
                <w:rFonts w:ascii="Times New Roman" w:hAnsi="Times New Roma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286" w:type="dxa"/>
            <w:gridSpan w:val="4"/>
            <w:vAlign w:val="center"/>
          </w:tcPr>
          <w:p>
            <w:pPr>
              <w:pStyle w:val="39"/>
              <w:rPr>
                <w:rFonts w:ascii="Times New Roman" w:hAnsi="Times New Roman"/>
              </w:rPr>
            </w:pPr>
            <w:r>
              <w:rPr>
                <w:rFonts w:ascii="Times New Roman" w:hAnsi="Times New Roman"/>
              </w:rPr>
              <w:t>一、深化项目环评“放管服”改革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1" w:type="dxa"/>
            <w:vAlign w:val="center"/>
          </w:tcPr>
          <w:p>
            <w:pPr>
              <w:pStyle w:val="39"/>
              <w:rPr>
                <w:rFonts w:ascii="Times New Roman" w:hAnsi="Times New Roman"/>
              </w:rPr>
            </w:pPr>
            <w:r>
              <w:rPr>
                <w:rFonts w:ascii="Times New Roman" w:hAnsi="Times New Roman"/>
              </w:rPr>
              <w:t>1</w:t>
            </w:r>
          </w:p>
        </w:tc>
        <w:tc>
          <w:tcPr>
            <w:tcW w:w="5100" w:type="dxa"/>
            <w:vAlign w:val="center"/>
          </w:tcPr>
          <w:p>
            <w:pPr>
              <w:pStyle w:val="39"/>
              <w:rPr>
                <w:rFonts w:ascii="Times New Roman" w:hAnsi="Times New Roman"/>
              </w:rPr>
            </w:pPr>
            <w:r>
              <w:rPr>
                <w:rFonts w:ascii="Times New Roman" w:hAnsi="Times New Roman"/>
              </w:rPr>
              <w:t>油气开采项目（含新开发和滚动开发项目）原则上应当以区块为单位开展环评（以下简称区块环评），一般包括区块内拟建的新井、加密井、调整井、站场、设备、管道和电缆及其更换工程、弃置工程及配套工程等。项目环评应当深入评价项目建设、运营带来的环境影响和环境风险，提出有效的生态环境保护和环境风险防范措施。滚动开发区块产能建设项目环评文件中还应对现有工程环境影响进行回顾性评价，对存在的生态环境问题和环境风险隐患提出有效防治措施。依托其他防治设施的或者委托第三方处置的，应当论证其可行性和有效性。</w:t>
            </w:r>
          </w:p>
        </w:tc>
        <w:tc>
          <w:tcPr>
            <w:tcW w:w="2730" w:type="dxa"/>
            <w:vAlign w:val="center"/>
          </w:tcPr>
          <w:p>
            <w:pPr>
              <w:pStyle w:val="39"/>
              <w:rPr>
                <w:rFonts w:ascii="Times New Roman" w:hAnsi="Times New Roman"/>
              </w:rPr>
            </w:pPr>
            <w:r>
              <w:rPr>
                <w:rFonts w:ascii="Times New Roman" w:hAnsi="Times New Roman"/>
              </w:rPr>
              <w:t>本项目为天然气地面集输工程，本项目已对项目建设、运营带来的环境影响和环境风险提出了相应的生态保护和环境风险防范措施。</w:t>
            </w:r>
          </w:p>
        </w:tc>
        <w:tc>
          <w:tcPr>
            <w:tcW w:w="855"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01" w:type="dxa"/>
            <w:vAlign w:val="center"/>
          </w:tcPr>
          <w:p>
            <w:pPr>
              <w:pStyle w:val="39"/>
              <w:rPr>
                <w:rFonts w:ascii="Times New Roman" w:hAnsi="Times New Roman"/>
              </w:rPr>
            </w:pPr>
            <w:r>
              <w:rPr>
                <w:rFonts w:ascii="Times New Roman" w:hAnsi="Times New Roman"/>
              </w:rPr>
              <w:t>2</w:t>
            </w:r>
          </w:p>
        </w:tc>
        <w:tc>
          <w:tcPr>
            <w:tcW w:w="5100" w:type="dxa"/>
            <w:vAlign w:val="center"/>
          </w:tcPr>
          <w:p>
            <w:pPr>
              <w:pStyle w:val="39"/>
              <w:rPr>
                <w:rFonts w:ascii="Times New Roman" w:hAnsi="Times New Roman"/>
              </w:rPr>
            </w:pPr>
            <w:r>
              <w:rPr>
                <w:rFonts w:ascii="Times New Roman" w:hAnsi="Times New Roman"/>
              </w:rPr>
              <w:t>未确定产能建设规模的陆地油气开采新区块，建设勘探井应当依法编制环境影响报告表。海洋油气勘探工程应当填报环境影响登记表并进行备案。确定产能建设规模后，原则上不得以勘探名义继续开展单井环评。勘探井转为生产井的，可以纳入区块环评。自2021年1月1日起，原则上不以单井形式开展环评。过渡期间，项目建设单位可以根据实际情况，报批区块环评或单井环评。在本通知印发前已经取得环评批复、不在海洋生态环境敏感区内、未纳入油气开采区块产能建设项目环评且排污量未超出原环评批复排放总量的海洋油气开发工程调整井项目，实施环境影响登记表备案管理。</w:t>
            </w:r>
          </w:p>
        </w:tc>
        <w:tc>
          <w:tcPr>
            <w:tcW w:w="2730" w:type="dxa"/>
            <w:vAlign w:val="center"/>
          </w:tcPr>
          <w:p>
            <w:pPr>
              <w:pStyle w:val="39"/>
              <w:rPr>
                <w:rFonts w:ascii="Times New Roman" w:hAnsi="Times New Roman"/>
              </w:rPr>
            </w:pPr>
            <w:r>
              <w:rPr>
                <w:rFonts w:ascii="Times New Roman" w:hAnsi="Times New Roman"/>
              </w:rPr>
              <w:t>本项目为天然气地面集输工程，不涉及产能建设。</w:t>
            </w:r>
          </w:p>
        </w:tc>
        <w:tc>
          <w:tcPr>
            <w:tcW w:w="855"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286" w:type="dxa"/>
            <w:gridSpan w:val="4"/>
            <w:vAlign w:val="center"/>
          </w:tcPr>
          <w:p>
            <w:pPr>
              <w:pStyle w:val="39"/>
              <w:rPr>
                <w:rFonts w:ascii="Times New Roman" w:hAnsi="Times New Roman"/>
              </w:rPr>
            </w:pPr>
            <w:r>
              <w:rPr>
                <w:rFonts w:ascii="Times New Roman" w:hAnsi="Times New Roman"/>
              </w:rPr>
              <w:t>二、强化生态环境保护措施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1" w:type="dxa"/>
            <w:vAlign w:val="center"/>
          </w:tcPr>
          <w:p>
            <w:pPr>
              <w:pStyle w:val="39"/>
              <w:rPr>
                <w:rFonts w:ascii="Times New Roman" w:hAnsi="Times New Roman"/>
              </w:rPr>
            </w:pPr>
            <w:r>
              <w:rPr>
                <w:rFonts w:ascii="Times New Roman" w:hAnsi="Times New Roman"/>
              </w:rPr>
              <w:t>3</w:t>
            </w:r>
          </w:p>
        </w:tc>
        <w:tc>
          <w:tcPr>
            <w:tcW w:w="5100" w:type="dxa"/>
            <w:vAlign w:val="center"/>
          </w:tcPr>
          <w:p>
            <w:pPr>
              <w:pStyle w:val="39"/>
              <w:rPr>
                <w:rFonts w:ascii="Times New Roman" w:hAnsi="Times New Roman"/>
              </w:rPr>
            </w:pPr>
            <w:r>
              <w:rPr>
                <w:rFonts w:ascii="Times New Roman" w:hAnsi="Times New Roman"/>
              </w:rPr>
              <w:t>涉及向地表水体排放污染物的陆地油气开采项目，应当符合国家和地方污染物排放标准，满足重点污染物排放总量控制要求。涉及污染物排放的海洋油气开发项目，应当符合《海洋石油勘探开发污染物排放浓度限值》（GB4914）等排放标准要求。</w:t>
            </w:r>
          </w:p>
        </w:tc>
        <w:tc>
          <w:tcPr>
            <w:tcW w:w="2730" w:type="dxa"/>
            <w:vAlign w:val="center"/>
          </w:tcPr>
          <w:p>
            <w:pPr>
              <w:pStyle w:val="39"/>
              <w:rPr>
                <w:rFonts w:ascii="Times New Roman" w:hAnsi="Times New Roman"/>
              </w:rPr>
            </w:pPr>
            <w:r>
              <w:rPr>
                <w:rFonts w:ascii="Times New Roman" w:hAnsi="Times New Roman"/>
              </w:rPr>
              <w:t>本项目地面集输工程产生的气田水、放空分离液、检修废水用罐车拉运至渡口河净化厂处理后回注，不外排。生活污水依托当地处理设施处理。</w:t>
            </w:r>
          </w:p>
        </w:tc>
        <w:tc>
          <w:tcPr>
            <w:tcW w:w="855"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01" w:type="dxa"/>
            <w:vAlign w:val="center"/>
          </w:tcPr>
          <w:p>
            <w:pPr>
              <w:pStyle w:val="39"/>
              <w:rPr>
                <w:rFonts w:ascii="Times New Roman" w:hAnsi="Times New Roman"/>
              </w:rPr>
            </w:pPr>
            <w:r>
              <w:rPr>
                <w:rFonts w:ascii="Times New Roman" w:hAnsi="Times New Roman"/>
              </w:rPr>
              <w:t>4</w:t>
            </w:r>
          </w:p>
        </w:tc>
        <w:tc>
          <w:tcPr>
            <w:tcW w:w="5100" w:type="dxa"/>
            <w:vAlign w:val="center"/>
          </w:tcPr>
          <w:p>
            <w:pPr>
              <w:pStyle w:val="39"/>
              <w:rPr>
                <w:rFonts w:ascii="Times New Roman" w:hAnsi="Times New Roman"/>
              </w:rPr>
            </w:pPr>
            <w:r>
              <w:rPr>
                <w:rFonts w:ascii="Times New Roman" w:hAnsi="Times New Roman"/>
              </w:rPr>
              <w:t>涉及废水回注的，应当论证回注的环境可行性，采取切实可行的地下水污染防治和监控措施，不得回注与油气开采无关的废水，严禁造成地下水污染。在相关行业污染控制标准发布前，回注的开采废水应当经处理并符合《碎屑岩油藏注水水质推荐指标及分析方法》（SY/T5329）等相关标准要求后回注，同步采取切实可行措施防治污染。回注目的层应当为地质构造封闭地层，一般应当回注到现役油气藏或枯竭废弃油气藏。相关部门及油气企业应当加强采出水等污水回注的研究，重点关注回注井井位合理性、过程控制有效性、风险防控系统性等，提出从源头到末端的全过程生态环境保护及风险防控措施、监控要求。建设项目环评文件中应当包含钻井液、压裂液中重金属等有毒有害物质的相关信息，涉及商业秘密、技术秘密等情形的除外。</w:t>
            </w:r>
          </w:p>
        </w:tc>
        <w:tc>
          <w:tcPr>
            <w:tcW w:w="2730" w:type="dxa"/>
            <w:vAlign w:val="center"/>
          </w:tcPr>
          <w:p>
            <w:pPr>
              <w:pStyle w:val="39"/>
              <w:rPr>
                <w:rFonts w:ascii="Times New Roman" w:hAnsi="Times New Roman"/>
              </w:rPr>
            </w:pPr>
            <w:r>
              <w:rPr>
                <w:rFonts w:ascii="Times New Roman" w:hAnsi="Times New Roman"/>
              </w:rPr>
              <w:t>本项目地面集输工程产生的气田水、放空分离液、检修废水用罐车拉运至渡口河处理后管输至黄龙5井回注，不外排。回注井环保手续齐全并已通过竣工环境保护验收。回注废水满足《气田水注入技术要求》（SY/T6596-2016）中的相关要求。回注地层为地质构造封闭地层，为枯竭废弃气井目前回注井运行状况，有足够的回注空间。</w:t>
            </w:r>
          </w:p>
        </w:tc>
        <w:tc>
          <w:tcPr>
            <w:tcW w:w="855"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01" w:type="dxa"/>
            <w:vAlign w:val="center"/>
          </w:tcPr>
          <w:p>
            <w:pPr>
              <w:pStyle w:val="39"/>
              <w:rPr>
                <w:rFonts w:ascii="Times New Roman" w:hAnsi="Times New Roman"/>
              </w:rPr>
            </w:pPr>
            <w:r>
              <w:rPr>
                <w:rFonts w:ascii="Times New Roman" w:hAnsi="Times New Roman"/>
              </w:rPr>
              <w:t>5</w:t>
            </w:r>
          </w:p>
        </w:tc>
        <w:tc>
          <w:tcPr>
            <w:tcW w:w="5100" w:type="dxa"/>
            <w:vAlign w:val="center"/>
          </w:tcPr>
          <w:p>
            <w:pPr>
              <w:pStyle w:val="39"/>
              <w:rPr>
                <w:rFonts w:ascii="Times New Roman" w:hAnsi="Times New Roman"/>
              </w:rPr>
            </w:pPr>
            <w:r>
              <w:rPr>
                <w:rFonts w:ascii="Times New Roman" w:hAnsi="Times New Roman"/>
              </w:rPr>
              <w:t>…油气开采项目产生的危险废物，应当按照《建设项目危险废物环境影响评价指南》要求评价。相关部门及油气企业应当加强固体废物处置的研究，重点关注固体废物产生类型、主要污染因子及潜在环境影响，分别提出减量化的源头控制措施、资源化的利用路径、无害化的处理要求，促进固体废物合理利用和妥善处置。</w:t>
            </w:r>
          </w:p>
        </w:tc>
        <w:tc>
          <w:tcPr>
            <w:tcW w:w="2730" w:type="dxa"/>
            <w:vAlign w:val="center"/>
          </w:tcPr>
          <w:p>
            <w:pPr>
              <w:pStyle w:val="39"/>
              <w:rPr>
                <w:rFonts w:ascii="Times New Roman" w:hAnsi="Times New Roman"/>
              </w:rPr>
            </w:pPr>
            <w:r>
              <w:rPr>
                <w:rFonts w:ascii="Times New Roman" w:hAnsi="Times New Roman"/>
              </w:rPr>
              <w:t>本项目天然气净化厂工程，产生的危险废物按照国家和地方有关固体废物的管理规定，</w:t>
            </w:r>
            <w:r>
              <w:rPr>
                <w:rFonts w:ascii="Times New Roman" w:hAnsi="Times New Roman"/>
                <w:lang w:bidi="ar"/>
              </w:rPr>
              <w:t>交由具有相应危险废物处理资质的单位进行拉运处理</w:t>
            </w:r>
            <w:r>
              <w:rPr>
                <w:rFonts w:ascii="Times New Roman" w:hAnsi="Times New Roman"/>
              </w:rPr>
              <w:t>。危险废物已按照《建设项目危险废物环境影响评价指南》要求评价。</w:t>
            </w:r>
          </w:p>
        </w:tc>
        <w:tc>
          <w:tcPr>
            <w:tcW w:w="855"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01" w:type="dxa"/>
            <w:vAlign w:val="center"/>
          </w:tcPr>
          <w:p>
            <w:pPr>
              <w:pStyle w:val="39"/>
              <w:rPr>
                <w:rFonts w:ascii="Times New Roman" w:hAnsi="Times New Roman"/>
              </w:rPr>
            </w:pPr>
            <w:r>
              <w:rPr>
                <w:rFonts w:ascii="Times New Roman" w:hAnsi="Times New Roman"/>
              </w:rPr>
              <w:t>6</w:t>
            </w:r>
          </w:p>
        </w:tc>
        <w:tc>
          <w:tcPr>
            <w:tcW w:w="5100" w:type="dxa"/>
            <w:vAlign w:val="center"/>
          </w:tcPr>
          <w:p>
            <w:pPr>
              <w:pStyle w:val="39"/>
              <w:rPr>
                <w:rFonts w:ascii="Times New Roman" w:hAnsi="Times New Roman"/>
              </w:rPr>
            </w:pPr>
            <w:r>
              <w:rPr>
                <w:rFonts w:ascii="Times New Roman" w:hAnsi="Times New Roman"/>
              </w:rPr>
              <w:t>陆地油气开采项目的建设单位应当对挥发性有机物液体储存和装载损失、废水液面逸散、设备与管线组件泄漏、非正常工况等挥发性有机物无组织排放源进行有效管控，通过采取设备密闭、废气有效收集及配套高效末端处理设施等措施，有效控制挥发性有机物和恶臭气体无组织排放。涉及高含硫天然气开采的，应当强化钻井、输送、净化等环节环境风险防范措施。含硫气田回注采出水，应当采取有效措施减少废水处理站和回注井场硫化氢的无组织排放。高含硫天然气净化厂应当采用先进高效硫磺回收工艺，减少二氧化硫排放。井场加热炉、锅炉、压缩机等排放大气污染物的设备，应当优先使用清洁燃料，废气排放应当满足国家和地方大气污染物排放标准要求。</w:t>
            </w:r>
          </w:p>
        </w:tc>
        <w:tc>
          <w:tcPr>
            <w:tcW w:w="2730" w:type="dxa"/>
            <w:vAlign w:val="center"/>
          </w:tcPr>
          <w:p>
            <w:pPr>
              <w:pStyle w:val="39"/>
              <w:rPr>
                <w:rFonts w:ascii="Times New Roman" w:hAnsi="Times New Roman"/>
              </w:rPr>
            </w:pPr>
            <w:r>
              <w:rPr>
                <w:rFonts w:ascii="Times New Roman" w:hAnsi="Times New Roman"/>
              </w:rPr>
              <w:t>本项目非正常工况不涉及挥发性有机物的排放；项目气田水采用设备密闭、罐车运输等方式控制挥发性有机物和恶臭气体无组织排放；气田水由罐车运至渡口河净化厂处理后管输至黄龙5井回注；</w:t>
            </w:r>
          </w:p>
          <w:p>
            <w:pPr>
              <w:pStyle w:val="39"/>
              <w:rPr>
                <w:rFonts w:ascii="Times New Roman" w:hAnsi="Times New Roman"/>
              </w:rPr>
            </w:pPr>
            <w:r>
              <w:rPr>
                <w:rFonts w:ascii="Times New Roman" w:hAnsi="Times New Roman"/>
              </w:rPr>
              <w:t>井场水套加热炉使用净化后的天然气作为燃料，废气排放满足国家标准要求。</w:t>
            </w:r>
          </w:p>
        </w:tc>
        <w:tc>
          <w:tcPr>
            <w:tcW w:w="855"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01" w:type="dxa"/>
            <w:vAlign w:val="center"/>
          </w:tcPr>
          <w:p>
            <w:pPr>
              <w:pStyle w:val="39"/>
              <w:rPr>
                <w:rFonts w:ascii="Times New Roman" w:hAnsi="Times New Roman"/>
              </w:rPr>
            </w:pPr>
            <w:r>
              <w:rPr>
                <w:rFonts w:ascii="Times New Roman" w:hAnsi="Times New Roman"/>
              </w:rPr>
              <w:t>7</w:t>
            </w:r>
          </w:p>
        </w:tc>
        <w:tc>
          <w:tcPr>
            <w:tcW w:w="5100" w:type="dxa"/>
            <w:vAlign w:val="center"/>
          </w:tcPr>
          <w:p>
            <w:pPr>
              <w:pStyle w:val="39"/>
              <w:rPr>
                <w:rFonts w:ascii="Times New Roman" w:hAnsi="Times New Roman"/>
              </w:rPr>
            </w:pPr>
            <w:r>
              <w:rPr>
                <w:rFonts w:ascii="Times New Roman" w:hAnsi="Times New Roman"/>
              </w:rPr>
              <w:t>施工期应当尽量减少施工占地、缩短施工时间、选择合理施工方式、落实环境敏感区管控要求以及其他生态环境保护措施，降低生态环境影响。</w:t>
            </w:r>
          </w:p>
          <w:p>
            <w:pPr>
              <w:pStyle w:val="39"/>
              <w:rPr>
                <w:rFonts w:ascii="Times New Roman" w:hAnsi="Times New Roman"/>
              </w:rPr>
            </w:pPr>
            <w:r>
              <w:rPr>
                <w:rFonts w:ascii="Times New Roman" w:hAnsi="Times New Roman"/>
              </w:rPr>
              <w:t>…。选用低噪声设备，避免噪声扰民。施工结束后，应当及时落实环评提出的生态保护措施。</w:t>
            </w:r>
          </w:p>
        </w:tc>
        <w:tc>
          <w:tcPr>
            <w:tcW w:w="2730" w:type="dxa"/>
            <w:vAlign w:val="center"/>
          </w:tcPr>
          <w:p>
            <w:pPr>
              <w:pStyle w:val="39"/>
              <w:rPr>
                <w:rFonts w:ascii="Times New Roman" w:hAnsi="Times New Roman"/>
              </w:rPr>
            </w:pPr>
            <w:r>
              <w:rPr>
                <w:rFonts w:ascii="Times New Roman" w:hAnsi="Times New Roman"/>
              </w:rPr>
              <w:t>项目按标准化井场进行建设，同时管道建设采取严格控制作业带宽度，减少了建设占地。本次评价已提出施工结束后，应当及时落实生态保护措施。</w:t>
            </w:r>
          </w:p>
        </w:tc>
        <w:tc>
          <w:tcPr>
            <w:tcW w:w="855"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01" w:type="dxa"/>
            <w:vAlign w:val="center"/>
          </w:tcPr>
          <w:p>
            <w:pPr>
              <w:pStyle w:val="39"/>
              <w:rPr>
                <w:rFonts w:ascii="Times New Roman" w:hAnsi="Times New Roman"/>
              </w:rPr>
            </w:pPr>
            <w:r>
              <w:rPr>
                <w:rFonts w:ascii="Times New Roman" w:hAnsi="Times New Roman"/>
              </w:rPr>
              <w:t>8</w:t>
            </w:r>
          </w:p>
        </w:tc>
        <w:tc>
          <w:tcPr>
            <w:tcW w:w="5100" w:type="dxa"/>
            <w:vAlign w:val="center"/>
          </w:tcPr>
          <w:p>
            <w:pPr>
              <w:pStyle w:val="39"/>
              <w:rPr>
                <w:rFonts w:ascii="Times New Roman" w:hAnsi="Times New Roman"/>
              </w:rPr>
            </w:pPr>
            <w:r>
              <w:rPr>
                <w:rFonts w:ascii="Times New Roman" w:hAnsi="Times New Roman"/>
              </w:rPr>
              <w:t>陆地油气长输管道项目，原则上应当单独编制环评文件。油气长输管道及油气田内部集输管道应当优先避让环境敏感区，并从穿越位置、穿越</w:t>
            </w:r>
          </w:p>
          <w:p>
            <w:pPr>
              <w:pStyle w:val="39"/>
              <w:rPr>
                <w:rFonts w:ascii="Times New Roman" w:hAnsi="Times New Roman"/>
              </w:rPr>
            </w:pPr>
            <w:r>
              <w:rPr>
                <w:rFonts w:ascii="Times New Roman" w:hAnsi="Times New Roman"/>
              </w:rPr>
              <w:t>方式、施工场地设置、管线工艺设计、环境风险防范等方面进行深入论证。高度关注项目安全事故带来的环境风险，尽量远离沿线居民。</w:t>
            </w:r>
          </w:p>
        </w:tc>
        <w:tc>
          <w:tcPr>
            <w:tcW w:w="2730" w:type="dxa"/>
            <w:vAlign w:val="center"/>
          </w:tcPr>
          <w:p>
            <w:pPr>
              <w:pStyle w:val="39"/>
              <w:rPr>
                <w:rFonts w:ascii="Times New Roman" w:hAnsi="Times New Roman"/>
              </w:rPr>
            </w:pPr>
            <w:r>
              <w:rPr>
                <w:rFonts w:ascii="Times New Roman" w:hAnsi="Times New Roman"/>
              </w:rPr>
              <w:t>本项目为天然气地面集输工程临时占地涉及永久基本农田，采取严格控制作业带宽度等措施减轻影响。本项目高度关注项目安全事故带来的环境风险，集输管道尽量远离沿线居民。</w:t>
            </w:r>
          </w:p>
        </w:tc>
        <w:tc>
          <w:tcPr>
            <w:tcW w:w="855"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01" w:type="dxa"/>
            <w:vAlign w:val="center"/>
          </w:tcPr>
          <w:p>
            <w:pPr>
              <w:pStyle w:val="39"/>
              <w:rPr>
                <w:rFonts w:ascii="Times New Roman" w:hAnsi="Times New Roman"/>
              </w:rPr>
            </w:pPr>
            <w:r>
              <w:rPr>
                <w:rFonts w:ascii="Times New Roman" w:hAnsi="Times New Roman"/>
              </w:rPr>
              <w:t>9</w:t>
            </w:r>
          </w:p>
        </w:tc>
        <w:tc>
          <w:tcPr>
            <w:tcW w:w="5100" w:type="dxa"/>
            <w:vAlign w:val="center"/>
          </w:tcPr>
          <w:p>
            <w:pPr>
              <w:pStyle w:val="39"/>
              <w:rPr>
                <w:rFonts w:ascii="Times New Roman" w:hAnsi="Times New Roman"/>
              </w:rPr>
            </w:pPr>
            <w:r>
              <w:rPr>
                <w:rFonts w:ascii="Times New Roman" w:hAnsi="Times New Roman"/>
              </w:rPr>
              <w:t>油气储存项目，选址尽量远离环境敏感区。加强甲烷及挥发性有机物的泄漏检测，落实地下水污染防治和跟踪监测要求，采取有效措施做好环境风险防范与环境应急管理；盐穴储气库项目还应当严格落实采卤造腔期和管道施工期的生态环境保护措施，妥善处理采出水。</w:t>
            </w:r>
          </w:p>
        </w:tc>
        <w:tc>
          <w:tcPr>
            <w:tcW w:w="2730" w:type="dxa"/>
            <w:vAlign w:val="center"/>
          </w:tcPr>
          <w:p>
            <w:pPr>
              <w:pStyle w:val="39"/>
              <w:rPr>
                <w:rFonts w:ascii="Times New Roman" w:hAnsi="Times New Roman"/>
              </w:rPr>
            </w:pPr>
            <w:r>
              <w:rPr>
                <w:rFonts w:ascii="Times New Roman" w:hAnsi="Times New Roman"/>
              </w:rPr>
              <w:t>本项目不涉及油气储存。本项目进行了非甲烷总烃和硫化氢监测，同时集气站内设置了</w:t>
            </w:r>
            <w:r>
              <w:rPr>
                <w:rFonts w:ascii="Times New Roman" w:hAnsi="Times New Roman"/>
                <w:snapToGrid w:val="0"/>
                <w:kern w:val="0"/>
              </w:rPr>
              <w:t>可燃气体报警仪、硫化氢检测仪、硫化氢报警仪。本次评价</w:t>
            </w:r>
            <w:r>
              <w:rPr>
                <w:rFonts w:ascii="Times New Roman" w:hAnsi="Times New Roman"/>
              </w:rPr>
              <w:t>落实了地下水污染防治和跟踪监测要求。</w:t>
            </w:r>
          </w:p>
        </w:tc>
        <w:tc>
          <w:tcPr>
            <w:tcW w:w="855"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01" w:type="dxa"/>
            <w:vAlign w:val="center"/>
          </w:tcPr>
          <w:p>
            <w:pPr>
              <w:pStyle w:val="39"/>
              <w:rPr>
                <w:rFonts w:ascii="Times New Roman" w:hAnsi="Times New Roman"/>
              </w:rPr>
            </w:pPr>
            <w:r>
              <w:rPr>
                <w:rFonts w:ascii="Times New Roman" w:hAnsi="Times New Roman"/>
              </w:rPr>
              <w:t>10</w:t>
            </w:r>
          </w:p>
        </w:tc>
        <w:tc>
          <w:tcPr>
            <w:tcW w:w="5100" w:type="dxa"/>
            <w:vAlign w:val="center"/>
          </w:tcPr>
          <w:p>
            <w:pPr>
              <w:pStyle w:val="39"/>
              <w:rPr>
                <w:rFonts w:ascii="Times New Roman" w:hAnsi="Times New Roman"/>
              </w:rPr>
            </w:pPr>
            <w:r>
              <w:rPr>
                <w:rFonts w:ascii="Times New Roman" w:hAnsi="Times New Roman"/>
              </w:rPr>
              <w:t>油气企业应当加强风险防控，按规定编制突发环境事件应急预案，报所在地生态环境主管部门备案。海洋油气勘探开发溢油应急计划报相关海域生态环境监督管理局备案。</w:t>
            </w:r>
          </w:p>
        </w:tc>
        <w:tc>
          <w:tcPr>
            <w:tcW w:w="2730" w:type="dxa"/>
            <w:vAlign w:val="center"/>
          </w:tcPr>
          <w:p>
            <w:pPr>
              <w:pStyle w:val="39"/>
              <w:rPr>
                <w:rFonts w:ascii="Times New Roman" w:hAnsi="Times New Roman"/>
              </w:rPr>
            </w:pPr>
            <w:r>
              <w:rPr>
                <w:rFonts w:ascii="Times New Roman" w:hAnsi="Times New Roman"/>
              </w:rPr>
              <w:t>建设单位制定了突发环境事件应急预案，项目建</w:t>
            </w:r>
          </w:p>
          <w:p>
            <w:pPr>
              <w:pStyle w:val="39"/>
              <w:rPr>
                <w:rFonts w:ascii="Times New Roman" w:hAnsi="Times New Roman"/>
              </w:rPr>
            </w:pPr>
            <w:r>
              <w:rPr>
                <w:rFonts w:ascii="Times New Roman" w:hAnsi="Times New Roman"/>
              </w:rPr>
              <w:t>成后，纳入预案进行统一管理，并根据项目情况对现有预案进行修订，报所在地生态环境主管部门备案。</w:t>
            </w:r>
          </w:p>
        </w:tc>
        <w:tc>
          <w:tcPr>
            <w:tcW w:w="855"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286" w:type="dxa"/>
            <w:gridSpan w:val="4"/>
            <w:vAlign w:val="center"/>
          </w:tcPr>
          <w:p>
            <w:pPr>
              <w:pStyle w:val="39"/>
              <w:rPr>
                <w:rFonts w:ascii="Times New Roman" w:hAnsi="Times New Roman"/>
              </w:rPr>
            </w:pPr>
            <w:r>
              <w:rPr>
                <w:rFonts w:ascii="Times New Roman" w:hAnsi="Times New Roman"/>
              </w:rPr>
              <w:t>三、加强事中事后监管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01" w:type="dxa"/>
            <w:vAlign w:val="center"/>
          </w:tcPr>
          <w:p>
            <w:pPr>
              <w:pStyle w:val="39"/>
              <w:rPr>
                <w:rFonts w:ascii="Times New Roman" w:hAnsi="Times New Roman"/>
              </w:rPr>
            </w:pPr>
            <w:r>
              <w:rPr>
                <w:rFonts w:ascii="Times New Roman" w:hAnsi="Times New Roman"/>
              </w:rPr>
              <w:t>11</w:t>
            </w:r>
          </w:p>
        </w:tc>
        <w:tc>
          <w:tcPr>
            <w:tcW w:w="5100" w:type="dxa"/>
            <w:vAlign w:val="center"/>
          </w:tcPr>
          <w:p>
            <w:pPr>
              <w:pStyle w:val="39"/>
              <w:rPr>
                <w:rFonts w:ascii="Times New Roman" w:hAnsi="Times New Roman"/>
              </w:rPr>
            </w:pPr>
            <w:r>
              <w:rPr>
                <w:rFonts w:ascii="Times New Roman" w:hAnsi="Times New Roman"/>
              </w:rPr>
              <w:t>油气企业应当切实落实生态环境保护主体责任，进一步健全生态环境保护管理体系和制度，充分发挥企业内部生态环境保护部门作用，健全健康、安全与环境（HSE）管理体系，加强督促检查，推动所属油气田落实规划、建设、运营、退役等环节生态环境保护措施。项目正式开工后，油气开采企业应当每年向具有管辖权的生态环境主管部门书面报告工程实施或变动情况、生态环境保护工作情况，涉及自然保护地和生态保护红线的，应当说明工程实施的合法合规性和对自然生态系统、主要保护对象等的实际影响，接受生态环境主管部门依法监管。</w:t>
            </w:r>
          </w:p>
        </w:tc>
        <w:tc>
          <w:tcPr>
            <w:tcW w:w="2730" w:type="dxa"/>
            <w:vAlign w:val="center"/>
          </w:tcPr>
          <w:p>
            <w:pPr>
              <w:pStyle w:val="39"/>
              <w:rPr>
                <w:rFonts w:ascii="Times New Roman" w:hAnsi="Times New Roman"/>
              </w:rPr>
            </w:pPr>
            <w:r>
              <w:rPr>
                <w:rFonts w:ascii="Times New Roman" w:hAnsi="Times New Roman"/>
              </w:rPr>
              <w:t>建设单位建立了完善的健康、安全与环境（HSE）</w:t>
            </w:r>
          </w:p>
          <w:p>
            <w:pPr>
              <w:pStyle w:val="39"/>
              <w:rPr>
                <w:rFonts w:ascii="Times New Roman" w:hAnsi="Times New Roman"/>
              </w:rPr>
            </w:pPr>
            <w:r>
              <w:rPr>
                <w:rFonts w:ascii="Times New Roman" w:hAnsi="Times New Roman"/>
              </w:rPr>
              <w:t>管理体系，加强督促检查，推动所属气田落实规划、建设、运营、退役等环节生态环境保护措施，定期向生态环境主管部门报告并接受主管部门依法监督。</w:t>
            </w:r>
          </w:p>
        </w:tc>
        <w:tc>
          <w:tcPr>
            <w:tcW w:w="855"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01" w:type="dxa"/>
            <w:vAlign w:val="center"/>
          </w:tcPr>
          <w:p>
            <w:pPr>
              <w:pStyle w:val="39"/>
              <w:rPr>
                <w:rFonts w:ascii="Times New Roman" w:hAnsi="Times New Roman"/>
              </w:rPr>
            </w:pPr>
            <w:r>
              <w:rPr>
                <w:rFonts w:ascii="Times New Roman" w:hAnsi="Times New Roman"/>
              </w:rPr>
              <w:t>12</w:t>
            </w:r>
          </w:p>
        </w:tc>
        <w:tc>
          <w:tcPr>
            <w:tcW w:w="5100" w:type="dxa"/>
            <w:vAlign w:val="center"/>
          </w:tcPr>
          <w:p>
            <w:pPr>
              <w:pStyle w:val="39"/>
              <w:rPr>
                <w:rFonts w:ascii="Times New Roman" w:hAnsi="Times New Roman"/>
              </w:rPr>
            </w:pPr>
            <w:r>
              <w:rPr>
                <w:rFonts w:ascii="Times New Roman" w:hAnsi="Times New Roman"/>
              </w:rPr>
              <w:t>陆地区块产能建设项目实施后，建设单位或生产经营单位应对地下水、生态、土壤等开展长期跟踪监测，发现问题应及时整改。项目正式投入生产或运营后，每3-5年开展一次环境影响后评价，依法报生态环境主管部门备案。按要求开展环评的现有滚动开发区块，可以不单独开展环境影响后评价，法律法规另有规定的除外。</w:t>
            </w:r>
          </w:p>
        </w:tc>
        <w:tc>
          <w:tcPr>
            <w:tcW w:w="2730" w:type="dxa"/>
            <w:vAlign w:val="center"/>
          </w:tcPr>
          <w:p>
            <w:pPr>
              <w:pStyle w:val="39"/>
              <w:rPr>
                <w:rFonts w:ascii="Times New Roman" w:hAnsi="Times New Roman"/>
              </w:rPr>
            </w:pPr>
            <w:r>
              <w:rPr>
                <w:rFonts w:ascii="Times New Roman" w:hAnsi="Times New Roman"/>
              </w:rPr>
              <w:t>本次评价已提出对项目地下水、生态、土壤等开展长期跟踪监测的要求</w:t>
            </w:r>
          </w:p>
        </w:tc>
        <w:tc>
          <w:tcPr>
            <w:tcW w:w="855"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01" w:type="dxa"/>
            <w:vAlign w:val="center"/>
          </w:tcPr>
          <w:p>
            <w:pPr>
              <w:pStyle w:val="39"/>
              <w:rPr>
                <w:rFonts w:ascii="Times New Roman" w:hAnsi="Times New Roman"/>
              </w:rPr>
            </w:pPr>
            <w:r>
              <w:rPr>
                <w:rFonts w:ascii="Times New Roman" w:hAnsi="Times New Roman"/>
              </w:rPr>
              <w:t>13</w:t>
            </w:r>
          </w:p>
        </w:tc>
        <w:tc>
          <w:tcPr>
            <w:tcW w:w="5100" w:type="dxa"/>
            <w:vAlign w:val="center"/>
          </w:tcPr>
          <w:p>
            <w:pPr>
              <w:pStyle w:val="39"/>
              <w:rPr>
                <w:rFonts w:ascii="Times New Roman" w:hAnsi="Times New Roman"/>
              </w:rPr>
            </w:pPr>
            <w:r>
              <w:rPr>
                <w:rFonts w:ascii="Times New Roman" w:hAnsi="Times New Roman"/>
              </w:rPr>
              <w:t>工程设施退役，建设单位或生产经营单位应当按照相关要求，采取有效生态环境保护措施。同时，按照《中华人民共和国土壤污染防治法》《土壤环境质量 建设用地土壤污染风险管控标准（试行）》（GB 36600）的要求，对永久停用、拆除或弃置的各类井、管道等工程设施落实封堵、土壤及地下水修复、生态修复等措施。</w:t>
            </w:r>
          </w:p>
        </w:tc>
        <w:tc>
          <w:tcPr>
            <w:tcW w:w="2730" w:type="dxa"/>
            <w:vAlign w:val="center"/>
          </w:tcPr>
          <w:p>
            <w:pPr>
              <w:pStyle w:val="39"/>
              <w:rPr>
                <w:rFonts w:ascii="Times New Roman" w:hAnsi="Times New Roman"/>
              </w:rPr>
            </w:pPr>
            <w:r>
              <w:rPr>
                <w:rFonts w:ascii="Times New Roman" w:hAnsi="Times New Roman"/>
              </w:rPr>
              <w:t>本次评价已提出工程设施退役后，相关生态环境保护措施。建设单位应严格按照相关法律法规规定执行</w:t>
            </w:r>
          </w:p>
        </w:tc>
        <w:tc>
          <w:tcPr>
            <w:tcW w:w="855"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01" w:type="dxa"/>
            <w:vAlign w:val="center"/>
          </w:tcPr>
          <w:p>
            <w:pPr>
              <w:pStyle w:val="39"/>
              <w:rPr>
                <w:rFonts w:ascii="Times New Roman" w:hAnsi="Times New Roman"/>
              </w:rPr>
            </w:pPr>
            <w:r>
              <w:rPr>
                <w:rFonts w:ascii="Times New Roman" w:hAnsi="Times New Roman"/>
              </w:rPr>
              <w:t>14</w:t>
            </w:r>
          </w:p>
        </w:tc>
        <w:tc>
          <w:tcPr>
            <w:tcW w:w="5100" w:type="dxa"/>
            <w:vAlign w:val="center"/>
          </w:tcPr>
          <w:p>
            <w:pPr>
              <w:pStyle w:val="39"/>
              <w:rPr>
                <w:rFonts w:ascii="Times New Roman" w:hAnsi="Times New Roman"/>
              </w:rPr>
            </w:pPr>
            <w:r>
              <w:rPr>
                <w:rFonts w:ascii="Times New Roman" w:hAnsi="Times New Roman"/>
              </w:rPr>
              <w:t>油气企业应按照企事业单位环境信息公开办法、环境影响评价公众参与办法等有关要求，主动公开油气开采项目环境信息，保障公众的知情权、参与权、表达权和监督权。各级生态环境主管部门应当按要求做好环评审批、监督执法等有关工作的信息公开。</w:t>
            </w:r>
          </w:p>
        </w:tc>
        <w:tc>
          <w:tcPr>
            <w:tcW w:w="2730" w:type="dxa"/>
            <w:vAlign w:val="center"/>
          </w:tcPr>
          <w:p>
            <w:pPr>
              <w:pStyle w:val="39"/>
              <w:rPr>
                <w:rFonts w:ascii="Times New Roman" w:hAnsi="Times New Roman"/>
              </w:rPr>
            </w:pPr>
            <w:r>
              <w:rPr>
                <w:rFonts w:ascii="Times New Roman" w:hAnsi="Times New Roman"/>
              </w:rPr>
              <w:t>建设单位按照企事业单位环境信息公开办法、环</w:t>
            </w:r>
          </w:p>
          <w:p>
            <w:pPr>
              <w:pStyle w:val="39"/>
              <w:rPr>
                <w:rFonts w:ascii="Times New Roman" w:hAnsi="Times New Roman"/>
              </w:rPr>
            </w:pPr>
            <w:r>
              <w:rPr>
                <w:rFonts w:ascii="Times New Roman" w:hAnsi="Times New Roman"/>
              </w:rPr>
              <w:t>境影响评价公众参与办法等有关要求，主动公开项目环境信息</w:t>
            </w:r>
          </w:p>
        </w:tc>
        <w:tc>
          <w:tcPr>
            <w:tcW w:w="855" w:type="dxa"/>
            <w:vAlign w:val="center"/>
          </w:tcPr>
          <w:p>
            <w:pPr>
              <w:pStyle w:val="39"/>
              <w:rPr>
                <w:rFonts w:ascii="Times New Roman" w:hAnsi="Times New Roman"/>
              </w:rPr>
            </w:pPr>
            <w:r>
              <w:rPr>
                <w:rFonts w:ascii="Times New Roman" w:hAnsi="Times New Roman"/>
              </w:rPr>
              <w:t>符合</w:t>
            </w:r>
          </w:p>
        </w:tc>
      </w:tr>
    </w:tbl>
    <w:p>
      <w:pPr>
        <w:pStyle w:val="37"/>
        <w:rPr>
          <w:rFonts w:ascii="Times New Roman" w:hAnsi="Times New Roman" w:cs="Times New Roman"/>
        </w:rPr>
      </w:pPr>
    </w:p>
    <w:p>
      <w:pPr>
        <w:pStyle w:val="3"/>
        <w:rPr>
          <w:rFonts w:ascii="Times New Roman" w:hAnsi="Times New Roman" w:cs="Times New Roman"/>
        </w:rPr>
      </w:pPr>
      <w:bookmarkStart w:id="428" w:name="_Toc162339468"/>
      <w:r>
        <w:rPr>
          <w:rFonts w:ascii="Times New Roman" w:hAnsi="Times New Roman" w:cs="Times New Roman"/>
        </w:rPr>
        <w:t>与“三线一单”符合性分析</w:t>
      </w:r>
      <w:bookmarkEnd w:id="428"/>
    </w:p>
    <w:p>
      <w:pPr>
        <w:ind w:firstLine="480"/>
        <w:rPr>
          <w:rFonts w:ascii="Times New Roman" w:hAnsi="Times New Roman"/>
        </w:rPr>
      </w:pPr>
      <w:r>
        <w:rPr>
          <w:rFonts w:ascii="Times New Roman" w:hAnsi="Times New Roman"/>
        </w:rPr>
        <w:t>根据《项目环评“三线一单”符合性分析技术要点（试行）》（川环办函〔2021〕469 号）开展本项目与“三线一单”的符合性分析。</w:t>
      </w:r>
    </w:p>
    <w:p>
      <w:pPr>
        <w:ind w:firstLine="480"/>
        <w:rPr>
          <w:rFonts w:ascii="Times New Roman" w:hAnsi="Times New Roman"/>
        </w:rPr>
      </w:pPr>
      <w:r>
        <w:rPr>
          <w:rFonts w:ascii="Times New Roman" w:hAnsi="Times New Roman"/>
        </w:rPr>
        <w:t>（1）与生态保护红线的符合性分析</w:t>
      </w:r>
    </w:p>
    <w:p>
      <w:pPr>
        <w:ind w:firstLine="480"/>
        <w:rPr>
          <w:rFonts w:ascii="Times New Roman" w:hAnsi="Times New Roman"/>
        </w:rPr>
      </w:pPr>
      <w:r>
        <w:rPr>
          <w:rFonts w:ascii="Times New Roman" w:hAnsi="Times New Roman"/>
        </w:rPr>
        <w:t>本项目位于四川省达州市宣汉县境内，根据《宣汉县国土空间总体规划（2021-2035年）》（公示稿），全县划定生态保护红线1202.98平方公里，宣汉县生态保护区内实行分类管控，生态保护红线内以严格保护、禁止开发区域进行管理，实行最严格的准入制度。</w:t>
      </w:r>
    </w:p>
    <w:p>
      <w:pPr>
        <w:ind w:firstLine="480"/>
        <w:rPr>
          <w:rFonts w:ascii="Times New Roman" w:hAnsi="Times New Roman"/>
        </w:rPr>
      </w:pPr>
      <w:r>
        <w:rPr>
          <w:rFonts w:ascii="Times New Roman" w:hAnsi="Times New Roman"/>
        </w:rPr>
        <w:t>根据四川省政务网三线一单系统查询，本项目不在生态保护红线范围内，且周边5km范围内不涉及生态保护红线，本项目与生态保护红线的位置关系示意图见</w:t>
      </w:r>
      <w:r>
        <w:rPr>
          <w:rFonts w:ascii="Times New Roman" w:hAnsi="Times New Roman"/>
        </w:rPr>
        <w:fldChar w:fldCharType="begin"/>
      </w:r>
      <w:r>
        <w:rPr>
          <w:rFonts w:ascii="Times New Roman" w:hAnsi="Times New Roman"/>
        </w:rPr>
        <w:instrText xml:space="preserve"> REF _Ref154581391 \h  \* MERGEFORMAT </w:instrText>
      </w:r>
      <w:r>
        <w:rPr>
          <w:rFonts w:ascii="Times New Roman" w:hAnsi="Times New Roman"/>
        </w:rPr>
        <w:fldChar w:fldCharType="separate"/>
      </w:r>
      <w:r>
        <w:rPr>
          <w:rFonts w:ascii="Times New Roman" w:hAnsi="Times New Roman"/>
        </w:rPr>
        <w:t>图 11</w:t>
      </w:r>
      <w:r>
        <w:rPr>
          <w:rFonts w:ascii="Times New Roman" w:hAnsi="Times New Roman"/>
        </w:rPr>
        <w:noBreakHyphen/>
      </w:r>
      <w:r>
        <w:rPr>
          <w:rFonts w:ascii="Times New Roman" w:hAnsi="Times New Roman"/>
        </w:rPr>
        <w:t>2</w:t>
      </w:r>
      <w:r>
        <w:rPr>
          <w:rFonts w:ascii="Times New Roman" w:hAnsi="Times New Roman"/>
        </w:rPr>
        <w:fldChar w:fldCharType="end"/>
      </w:r>
      <w:r>
        <w:rPr>
          <w:rFonts w:ascii="Times New Roman" w:hAnsi="Times New Roman"/>
        </w:rPr>
        <w:t>以及附图37。</w:t>
      </w:r>
    </w:p>
    <w:p>
      <w:pPr>
        <w:ind w:firstLine="480"/>
        <w:rPr>
          <w:rFonts w:ascii="Times New Roman" w:hAnsi="Times New Roman"/>
        </w:rPr>
      </w:pPr>
      <w:r>
        <w:rPr>
          <w:rFonts w:ascii="Times New Roman" w:hAnsi="Times New Roman"/>
        </w:rPr>
        <w:t>同时，本项目占地不涉及自然保护区、森林公园、风景名胜区、地质公园、湿地公园、水产种质资源保护区等生态敏感区。因此，本项目符合《自然资源部生态环境部国家林业和草原局关于加强生态保护红线管理的通知（试行）》（自然资发〔2022〕142号）相关要求。</w:t>
      </w:r>
    </w:p>
    <w:p>
      <w:pPr>
        <w:ind w:firstLine="0" w:firstLineChars="0"/>
        <w:rPr>
          <w:rFonts w:ascii="Times New Roman" w:hAnsi="Times New Roman"/>
        </w:rPr>
      </w:pPr>
      <w:r>
        <w:rPr>
          <w:rFonts w:ascii="Times New Roman" w:hAnsi="Times New Roman"/>
        </w:rPr>
        <w:drawing>
          <wp:inline distT="0" distB="0" distL="0" distR="0">
            <wp:extent cx="5274310" cy="4194175"/>
            <wp:effectExtent l="19050" t="19050" r="21590" b="15875"/>
            <wp:docPr id="21366812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681243" name="图片 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a:xfrm>
                      <a:off x="0" y="0"/>
                      <a:ext cx="5274310" cy="4194175"/>
                    </a:xfrm>
                    <a:prstGeom prst="rect">
                      <a:avLst/>
                    </a:prstGeom>
                    <a:noFill/>
                    <a:ln w="12700">
                      <a:solidFill>
                        <a:schemeClr val="tx1"/>
                      </a:solidFill>
                    </a:ln>
                  </pic:spPr>
                </pic:pic>
              </a:graphicData>
            </a:graphic>
          </wp:inline>
        </w:drawing>
      </w:r>
    </w:p>
    <w:p>
      <w:pPr>
        <w:pStyle w:val="37"/>
        <w:rPr>
          <w:rFonts w:ascii="Times New Roman" w:hAnsi="Times New Roman" w:cs="Times New Roman"/>
        </w:rPr>
      </w:pPr>
      <w:bookmarkStart w:id="429" w:name="_Ref154581391"/>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bookmarkEnd w:id="429"/>
      <w:r>
        <w:rPr>
          <w:rFonts w:ascii="Times New Roman" w:hAnsi="Times New Roman" w:cs="Times New Roman"/>
        </w:rPr>
        <w:t xml:space="preserve">  本项目与生态保护红线的位置关系示意图</w:t>
      </w:r>
    </w:p>
    <w:p>
      <w:pPr>
        <w:ind w:firstLine="480"/>
        <w:rPr>
          <w:rFonts w:ascii="Times New Roman" w:hAnsi="Times New Roman"/>
        </w:rPr>
      </w:pPr>
    </w:p>
    <w:p>
      <w:pPr>
        <w:ind w:firstLine="480"/>
        <w:rPr>
          <w:rFonts w:ascii="Times New Roman" w:hAnsi="Times New Roman"/>
        </w:rPr>
      </w:pPr>
      <w:r>
        <w:rPr>
          <w:rFonts w:ascii="Times New Roman" w:hAnsi="Times New Roman"/>
        </w:rPr>
        <w:t>（2）与环境质量底线的符合性分析</w:t>
      </w:r>
    </w:p>
    <w:p>
      <w:pPr>
        <w:ind w:firstLine="480"/>
        <w:rPr>
          <w:rFonts w:ascii="Times New Roman" w:hAnsi="Times New Roman"/>
        </w:rPr>
      </w:pPr>
      <w:r>
        <w:rPr>
          <w:rFonts w:ascii="Times New Roman" w:hAnsi="Times New Roman"/>
        </w:rPr>
        <w:t>项目所在区域的环境质量底线为：环境空气质量目标为《环境空气质量标准》（GB3095-2012）二级标准。水环境质量目标为《地表水环境质量标准》（GB3838-2002）III类标准和《地下水质量标准》（GB/T14848-2017）III类标准。声环境质量目标为《声环境质量标准》（GB3096-2008）2类标准。土壤环境质量标准为《土壤环境质量建设用地土壤污染风险管控标准（试行）》（GB36600-2018）、《四川省建设用地土壤污染风险管控标准》（DB51/ 2978-2023）中第二类用地筛选值和《土壤环境质量农用地土壤污染风险管控标准（试行）》（GB15618-2018）中风险筛选值。在严格执行环评提出的相关污染防治措施后，本项目对区域环境影响较小，环境质量可保持现有水平。</w:t>
      </w:r>
    </w:p>
    <w:p>
      <w:pPr>
        <w:ind w:firstLine="480"/>
        <w:rPr>
          <w:rFonts w:ascii="Times New Roman" w:hAnsi="Times New Roman"/>
        </w:rPr>
      </w:pPr>
      <w:r>
        <w:rPr>
          <w:rFonts w:ascii="Times New Roman" w:hAnsi="Times New Roman"/>
        </w:rPr>
        <w:t>（3）与资源利用上线的符合性分析</w:t>
      </w:r>
    </w:p>
    <w:p>
      <w:pPr>
        <w:ind w:firstLine="480"/>
        <w:rPr>
          <w:rFonts w:ascii="Times New Roman" w:hAnsi="Times New Roman"/>
        </w:rPr>
      </w:pPr>
      <w:r>
        <w:rPr>
          <w:rFonts w:ascii="Times New Roman" w:hAnsi="Times New Roman"/>
        </w:rPr>
        <w:t>本项目为天然气地面集输工程，主要为地区产业发展提供可靠的基础能源设施。本项目通过内部管理、设备选择、原辅材料的选用和管理、废物回收利用、污染治理等多方面采取合理可行的防治措施，以“节能、降耗、减污”为目标，有效地控制污染，资源消耗未达到区域资源利用上限。</w:t>
      </w:r>
    </w:p>
    <w:p>
      <w:pPr>
        <w:ind w:firstLine="480"/>
        <w:rPr>
          <w:rFonts w:ascii="Times New Roman" w:hAnsi="Times New Roman"/>
        </w:rPr>
      </w:pPr>
      <w:r>
        <w:rPr>
          <w:rFonts w:ascii="Times New Roman" w:hAnsi="Times New Roman"/>
        </w:rPr>
        <w:t>（4）与环境管控单元管控要求的符合性分析</w:t>
      </w:r>
    </w:p>
    <w:p>
      <w:pPr>
        <w:ind w:firstLine="480"/>
        <w:rPr>
          <w:rFonts w:ascii="Times New Roman" w:hAnsi="Times New Roman"/>
        </w:rPr>
      </w:pPr>
      <w:r>
        <w:rPr>
          <w:rFonts w:ascii="Times New Roman" w:hAnsi="Times New Roman"/>
        </w:rPr>
        <w:t>根据《达州市人民政府关于落实生态保护红线、环境质量底线、资源利用上线制定生态环境准入清单实施生态环境分区管控的通知》（达市府发〔2021〕17号），将全市行政区域从生态环境保护角度划分为优先保护、重点管控和一般管控三类环境管控单元。</w:t>
      </w:r>
    </w:p>
    <w:p>
      <w:pPr>
        <w:ind w:firstLine="480"/>
        <w:rPr>
          <w:rFonts w:ascii="Times New Roman" w:hAnsi="Times New Roman"/>
        </w:rPr>
      </w:pPr>
      <w:r>
        <w:rPr>
          <w:rFonts w:ascii="Times New Roman" w:hAnsi="Times New Roman"/>
        </w:rPr>
        <w:t>1）优先保护单元。以生态环境保护为主的区域，全市划分优先保护单元17个，主要包括生态保护红线、自然保护地、饮用水水源保护区等，应以生态环境保护优先为原则，严格执行相关法律、法规要求，严守生态环境质量底线，确保生态环境功能不降低。</w:t>
      </w:r>
    </w:p>
    <w:p>
      <w:pPr>
        <w:ind w:firstLine="480"/>
        <w:rPr>
          <w:rFonts w:ascii="Times New Roman" w:hAnsi="Times New Roman"/>
        </w:rPr>
      </w:pPr>
      <w:r>
        <w:rPr>
          <w:rFonts w:ascii="Times New Roman" w:hAnsi="Times New Roman"/>
        </w:rPr>
        <w:t>2）重点管控单元。涉及水、大气、土壤、自然资源等资源环境要素重点管控的区域，全市划分重点管控单元22个，主要包括人口密集的城镇规划区和产业集聚的工业园区（工业集聚区）等，应不断提升资源利用效率，有针对性地加强污染物排放控制和环境风险防控，解决生态环境质量不达标、生态环境风险突出等问题，制定差别化的生态环境准入要求。对环境质量不达标区域，提出污染物削减比例要求。对环境质量达标区域，提出允许排放量建议指标。</w:t>
      </w:r>
    </w:p>
    <w:p>
      <w:pPr>
        <w:ind w:firstLine="480"/>
        <w:rPr>
          <w:rFonts w:ascii="Times New Roman" w:hAnsi="Times New Roman"/>
        </w:rPr>
      </w:pPr>
      <w:r>
        <w:rPr>
          <w:rFonts w:ascii="Times New Roman" w:hAnsi="Times New Roman"/>
        </w:rPr>
        <w:t>3）一般管控单元。除优先保护单元和重点管控单元之外的其他区域，全市共划分一般管控单元7个。执行区域生态环境保护的基本要求，重点加强农业、生活等领域污染治理。</w:t>
      </w:r>
    </w:p>
    <w:p>
      <w:pPr>
        <w:ind w:firstLine="480"/>
        <w:rPr>
          <w:rFonts w:ascii="Times New Roman" w:hAnsi="Times New Roman"/>
        </w:rPr>
      </w:pPr>
      <w:r>
        <w:rPr>
          <w:rFonts w:ascii="Times New Roman" w:hAnsi="Times New Roman"/>
        </w:rPr>
        <w:t>通过本项目与环境综合管控单元的叠图（附图38），本项目位于一般管控单元。一般管控单元的生态环境管控要求为：执行区域生态环境保护的基本要求，重点加强农业、生活等领域污染治理。</w:t>
      </w:r>
    </w:p>
    <w:p>
      <w:pPr>
        <w:ind w:firstLine="480"/>
        <w:rPr>
          <w:rFonts w:ascii="Times New Roman" w:hAnsi="Times New Roman"/>
        </w:rPr>
      </w:pPr>
      <w:r>
        <w:rPr>
          <w:rFonts w:ascii="Times New Roman" w:hAnsi="Times New Roman"/>
        </w:rPr>
        <w:t>本项目与宣汉县的总体生态环境管控要求的符合性分析见下表。</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t xml:space="preserve">  本项目宣汉县的总体生态环境管控要求的符合性分析表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15"/>
        <w:gridCol w:w="2410"/>
        <w:gridCol w:w="1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5" w:type="dxa"/>
            <w:vAlign w:val="center"/>
          </w:tcPr>
          <w:p>
            <w:pPr>
              <w:pStyle w:val="39"/>
              <w:rPr>
                <w:rFonts w:ascii="Times New Roman" w:hAnsi="Times New Roman"/>
              </w:rPr>
            </w:pPr>
            <w:r>
              <w:rPr>
                <w:rFonts w:ascii="Times New Roman" w:hAnsi="Times New Roman"/>
              </w:rPr>
              <w:t>生态环境管控要求</w:t>
            </w:r>
          </w:p>
        </w:tc>
        <w:tc>
          <w:tcPr>
            <w:tcW w:w="2410" w:type="dxa"/>
            <w:vAlign w:val="center"/>
          </w:tcPr>
          <w:p>
            <w:pPr>
              <w:pStyle w:val="39"/>
              <w:rPr>
                <w:rFonts w:ascii="Times New Roman" w:hAnsi="Times New Roman"/>
              </w:rPr>
            </w:pPr>
            <w:r>
              <w:rPr>
                <w:rFonts w:ascii="Times New Roman" w:hAnsi="Times New Roman"/>
              </w:rPr>
              <w:t>本项目情况</w:t>
            </w:r>
          </w:p>
        </w:tc>
        <w:tc>
          <w:tcPr>
            <w:tcW w:w="1071" w:type="dxa"/>
            <w:vAlign w:val="center"/>
          </w:tcPr>
          <w:p>
            <w:pPr>
              <w:pStyle w:val="39"/>
              <w:rPr>
                <w:rFonts w:ascii="Times New Roman" w:hAnsi="Times New Roman"/>
              </w:rPr>
            </w:pPr>
            <w:r>
              <w:rPr>
                <w:rFonts w:ascii="Times New Roman" w:hAnsi="Times New Roma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5" w:type="dxa"/>
            <w:vAlign w:val="center"/>
          </w:tcPr>
          <w:p>
            <w:pPr>
              <w:pStyle w:val="39"/>
              <w:rPr>
                <w:rFonts w:ascii="Times New Roman" w:hAnsi="Times New Roman"/>
              </w:rPr>
            </w:pPr>
            <w:r>
              <w:rPr>
                <w:rFonts w:ascii="Times New Roman" w:hAnsi="Times New Roman"/>
              </w:rPr>
              <w:t>加强小流域水环境保护，推动农村环保基础设施建设，全面推进农村环境综合整治、生活污水处理项目。大力开展沿河畜禽养殖污染整治，大力推广生态种植，减少农药化肥使用量。</w:t>
            </w:r>
          </w:p>
        </w:tc>
        <w:tc>
          <w:tcPr>
            <w:tcW w:w="2410" w:type="dxa"/>
            <w:vAlign w:val="center"/>
          </w:tcPr>
          <w:p>
            <w:pPr>
              <w:pStyle w:val="39"/>
              <w:rPr>
                <w:rFonts w:ascii="Times New Roman" w:hAnsi="Times New Roman"/>
              </w:rPr>
            </w:pPr>
            <w:r>
              <w:rPr>
                <w:rFonts w:ascii="Times New Roman" w:hAnsi="Times New Roman"/>
              </w:rPr>
              <w:t>本项目产生的气田水密闭拉运至渡口河净化厂处理后回注，不外排；生活污水依托当地污水处理系统处理。</w:t>
            </w:r>
          </w:p>
        </w:tc>
        <w:tc>
          <w:tcPr>
            <w:tcW w:w="1071"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5" w:type="dxa"/>
            <w:vAlign w:val="center"/>
          </w:tcPr>
          <w:p>
            <w:pPr>
              <w:pStyle w:val="39"/>
              <w:rPr>
                <w:rFonts w:ascii="Times New Roman" w:hAnsi="Times New Roman"/>
              </w:rPr>
            </w:pPr>
            <w:r>
              <w:rPr>
                <w:rFonts w:ascii="Times New Roman" w:hAnsi="Times New Roman"/>
              </w:rPr>
              <w:t>打好升级版污染防治攻坚战。持续优化调整产业布局，以PM2.5和臭氧污染协同控制为重点，全面开展VOCs治理，实施移动源整治，持续推进空气质量精细化管理</w:t>
            </w:r>
          </w:p>
        </w:tc>
        <w:tc>
          <w:tcPr>
            <w:tcW w:w="2410" w:type="dxa"/>
            <w:vAlign w:val="center"/>
          </w:tcPr>
          <w:p>
            <w:pPr>
              <w:pStyle w:val="39"/>
              <w:rPr>
                <w:rFonts w:ascii="Times New Roman" w:hAnsi="Times New Roman"/>
              </w:rPr>
            </w:pPr>
            <w:r>
              <w:rPr>
                <w:rFonts w:ascii="Times New Roman" w:hAnsi="Times New Roman"/>
              </w:rPr>
              <w:t>本项目原料气和气田水中基本不含除甲烷以外的烃类物质，故不涉及VOCs的排放。</w:t>
            </w:r>
          </w:p>
        </w:tc>
        <w:tc>
          <w:tcPr>
            <w:tcW w:w="1071"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5" w:type="dxa"/>
            <w:vAlign w:val="center"/>
          </w:tcPr>
          <w:p>
            <w:pPr>
              <w:pStyle w:val="39"/>
              <w:rPr>
                <w:rFonts w:ascii="Times New Roman" w:hAnsi="Times New Roman"/>
              </w:rPr>
            </w:pPr>
            <w:r>
              <w:rPr>
                <w:rFonts w:ascii="Times New Roman" w:hAnsi="Times New Roman"/>
              </w:rPr>
              <w:t>优化天然气化工、硫化工、锂钾综合开发、冶金建材、新材料等产业布局，切实做好危险化学品生产、使用、贮运、废弃全过程的安全防范措施，妥善处理好锂钾综合开发产业副产物及“三废”的综合利用途径或处置去向。</w:t>
            </w:r>
          </w:p>
        </w:tc>
        <w:tc>
          <w:tcPr>
            <w:tcW w:w="2410" w:type="dxa"/>
            <w:vAlign w:val="center"/>
          </w:tcPr>
          <w:p>
            <w:pPr>
              <w:pStyle w:val="39"/>
              <w:rPr>
                <w:rFonts w:ascii="Times New Roman" w:hAnsi="Times New Roman"/>
              </w:rPr>
            </w:pPr>
            <w:r>
              <w:rPr>
                <w:rFonts w:ascii="Times New Roman" w:hAnsi="Times New Roman"/>
              </w:rPr>
              <w:t>本项目为天然气集输工程，污染物排放均满足相应的标准、规范要求。</w:t>
            </w:r>
          </w:p>
        </w:tc>
        <w:tc>
          <w:tcPr>
            <w:tcW w:w="1071" w:type="dxa"/>
            <w:vAlign w:val="center"/>
          </w:tcPr>
          <w:p>
            <w:pPr>
              <w:pStyle w:val="39"/>
              <w:rPr>
                <w:rFonts w:ascii="Times New Roman" w:hAnsi="Times New Roman"/>
              </w:rPr>
            </w:pPr>
            <w:r>
              <w:rPr>
                <w:rFonts w:ascii="Times New Roman" w:hAnsi="Times New Roman"/>
              </w:rPr>
              <w:t>符合</w:t>
            </w:r>
          </w:p>
        </w:tc>
      </w:tr>
    </w:tbl>
    <w:p>
      <w:pPr>
        <w:ind w:firstLine="480"/>
        <w:rPr>
          <w:rFonts w:ascii="Times New Roman" w:hAnsi="Times New Roman"/>
        </w:rPr>
      </w:pPr>
    </w:p>
    <w:p>
      <w:pPr>
        <w:ind w:firstLine="480"/>
        <w:rPr>
          <w:rFonts w:ascii="Times New Roman" w:hAnsi="Times New Roman"/>
        </w:rPr>
      </w:pPr>
      <w:r>
        <w:rPr>
          <w:rFonts w:ascii="Times New Roman" w:hAnsi="Times New Roman"/>
        </w:rPr>
        <w:t>根据项目行业类别，拟选址经纬度坐标，通过查询四川省政务服务网“三线一单符合性分析”在线系统，项目共涉及环境管控单元4个，详见下图。</w:t>
      </w:r>
    </w:p>
    <w:p>
      <w:pPr>
        <w:ind w:firstLine="0" w:firstLineChars="0"/>
        <w:rPr>
          <w:rFonts w:ascii="Times New Roman" w:hAnsi="Times New Roman"/>
        </w:rPr>
      </w:pPr>
      <w:r>
        <w:rPr>
          <w:rFonts w:ascii="Times New Roman" w:hAnsi="Times New Roman"/>
        </w:rPr>
        <w:drawing>
          <wp:inline distT="0" distB="0" distL="0" distR="0">
            <wp:extent cx="5274310" cy="3858895"/>
            <wp:effectExtent l="0" t="0" r="2540" b="8255"/>
            <wp:docPr id="8172502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250285" name="图片 1"/>
                    <pic:cNvPicPr>
                      <a:picLocks noChangeAspect="1"/>
                    </pic:cNvPicPr>
                  </pic:nvPicPr>
                  <pic:blipFill>
                    <a:blip r:embed="rId180"/>
                    <a:stretch>
                      <a:fillRect/>
                    </a:stretch>
                  </pic:blipFill>
                  <pic:spPr>
                    <a:xfrm>
                      <a:off x="0" y="0"/>
                      <a:ext cx="5274310" cy="3858895"/>
                    </a:xfrm>
                    <a:prstGeom prst="rect">
                      <a:avLst/>
                    </a:prstGeom>
                  </pic:spPr>
                </pic:pic>
              </a:graphicData>
            </a:graphic>
          </wp:inline>
        </w:drawing>
      </w:r>
    </w:p>
    <w:p>
      <w:pPr>
        <w:pStyle w:val="37"/>
        <w:rPr>
          <w:rFonts w:ascii="Times New Roman" w:hAnsi="Times New Roman" w:cs="Times New Roman"/>
        </w:rPr>
      </w:pPr>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t xml:space="preserve">  “三线一单”符合性分析查询结果</w:t>
      </w:r>
    </w:p>
    <w:p>
      <w:pPr>
        <w:ind w:firstLine="480"/>
        <w:rPr>
          <w:rFonts w:ascii="Times New Roman" w:hAnsi="Times New Roman"/>
        </w:rPr>
      </w:pPr>
      <w:r>
        <w:rPr>
          <w:rFonts w:ascii="Times New Roman" w:hAnsi="Times New Roman"/>
        </w:rPr>
        <w:t>对本项目与生态环境准入清单符合性分析如下表。</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t xml:space="preserve">  “三线一单”符合性分析一览表</w:t>
      </w:r>
    </w:p>
    <w:tbl>
      <w:tblPr>
        <w:tblStyle w:val="28"/>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9"/>
        <w:gridCol w:w="1257"/>
        <w:gridCol w:w="2920"/>
        <w:gridCol w:w="2089"/>
        <w:gridCol w:w="8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76" w:type="dxa"/>
            <w:gridSpan w:val="3"/>
            <w:vAlign w:val="center"/>
          </w:tcPr>
          <w:p>
            <w:pPr>
              <w:pStyle w:val="39"/>
              <w:rPr>
                <w:rFonts w:ascii="Times New Roman" w:hAnsi="Times New Roman"/>
              </w:rPr>
            </w:pPr>
            <w:r>
              <w:rPr>
                <w:rFonts w:ascii="Times New Roman" w:hAnsi="Times New Roman"/>
              </w:rPr>
              <w:t>“三线一单”的具体要求</w:t>
            </w:r>
          </w:p>
        </w:tc>
        <w:tc>
          <w:tcPr>
            <w:tcW w:w="2089" w:type="dxa"/>
            <w:vMerge w:val="restart"/>
            <w:vAlign w:val="center"/>
          </w:tcPr>
          <w:p>
            <w:pPr>
              <w:pStyle w:val="39"/>
              <w:rPr>
                <w:rFonts w:ascii="Times New Roman" w:hAnsi="Times New Roman"/>
              </w:rPr>
            </w:pPr>
            <w:r>
              <w:rPr>
                <w:rFonts w:ascii="Times New Roman" w:hAnsi="Times New Roman"/>
              </w:rPr>
              <w:t>项目对应情况介绍</w:t>
            </w:r>
          </w:p>
        </w:tc>
        <w:tc>
          <w:tcPr>
            <w:tcW w:w="802" w:type="dxa"/>
            <w:vMerge w:val="restart"/>
            <w:vAlign w:val="center"/>
          </w:tcPr>
          <w:p>
            <w:pPr>
              <w:pStyle w:val="39"/>
              <w:rPr>
                <w:rFonts w:ascii="Times New Roman" w:hAnsi="Times New Roman"/>
              </w:rPr>
            </w:pPr>
            <w:r>
              <w:rPr>
                <w:rFonts w:ascii="Times New Roman" w:hAnsi="Times New Roman"/>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6" w:type="dxa"/>
            <w:gridSpan w:val="2"/>
            <w:vAlign w:val="center"/>
          </w:tcPr>
          <w:p>
            <w:pPr>
              <w:pStyle w:val="39"/>
              <w:rPr>
                <w:rFonts w:ascii="Times New Roman" w:hAnsi="Times New Roman"/>
              </w:rPr>
            </w:pPr>
            <w:r>
              <w:rPr>
                <w:rFonts w:ascii="Times New Roman" w:hAnsi="Times New Roman"/>
              </w:rPr>
              <w:t>类别</w:t>
            </w:r>
          </w:p>
        </w:tc>
        <w:tc>
          <w:tcPr>
            <w:tcW w:w="2920" w:type="dxa"/>
            <w:vMerge w:val="restart"/>
            <w:vAlign w:val="center"/>
          </w:tcPr>
          <w:p>
            <w:pPr>
              <w:pStyle w:val="39"/>
              <w:rPr>
                <w:rFonts w:ascii="Times New Roman" w:hAnsi="Times New Roman"/>
              </w:rPr>
            </w:pPr>
            <w:r>
              <w:rPr>
                <w:rFonts w:ascii="Times New Roman" w:hAnsi="Times New Roman"/>
              </w:rPr>
              <w:t>对应管控要求</w:t>
            </w:r>
          </w:p>
        </w:tc>
        <w:tc>
          <w:tcPr>
            <w:tcW w:w="2089" w:type="dxa"/>
            <w:vMerge w:val="continue"/>
            <w:vAlign w:val="center"/>
          </w:tcPr>
          <w:p>
            <w:pPr>
              <w:pStyle w:val="39"/>
              <w:rPr>
                <w:rFonts w:ascii="Times New Roman" w:hAnsi="Times New Roman"/>
              </w:rPr>
            </w:pPr>
          </w:p>
        </w:tc>
        <w:tc>
          <w:tcPr>
            <w:tcW w:w="802"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9" w:type="dxa"/>
            <w:vAlign w:val="center"/>
          </w:tcPr>
          <w:p>
            <w:pPr>
              <w:pStyle w:val="39"/>
              <w:rPr>
                <w:rFonts w:ascii="Times New Roman" w:hAnsi="Times New Roman"/>
              </w:rPr>
            </w:pPr>
            <w:r>
              <w:rPr>
                <w:rFonts w:ascii="Times New Roman" w:hAnsi="Times New Roman"/>
              </w:rPr>
              <w:t>环境管控单元编码</w:t>
            </w:r>
          </w:p>
        </w:tc>
        <w:tc>
          <w:tcPr>
            <w:tcW w:w="1257" w:type="dxa"/>
            <w:vAlign w:val="center"/>
          </w:tcPr>
          <w:p>
            <w:pPr>
              <w:pStyle w:val="39"/>
              <w:rPr>
                <w:rFonts w:ascii="Times New Roman" w:hAnsi="Times New Roman"/>
              </w:rPr>
            </w:pPr>
            <w:r>
              <w:rPr>
                <w:rFonts w:ascii="Times New Roman" w:hAnsi="Times New Roman"/>
              </w:rPr>
              <w:t>环境管控单元名称</w:t>
            </w:r>
          </w:p>
        </w:tc>
        <w:tc>
          <w:tcPr>
            <w:tcW w:w="2920" w:type="dxa"/>
            <w:vMerge w:val="continue"/>
            <w:vAlign w:val="center"/>
          </w:tcPr>
          <w:p>
            <w:pPr>
              <w:pStyle w:val="39"/>
              <w:rPr>
                <w:rFonts w:ascii="Times New Roman" w:hAnsi="Times New Roman"/>
              </w:rPr>
            </w:pPr>
          </w:p>
        </w:tc>
        <w:tc>
          <w:tcPr>
            <w:tcW w:w="2089" w:type="dxa"/>
            <w:vMerge w:val="continue"/>
            <w:vAlign w:val="center"/>
          </w:tcPr>
          <w:p>
            <w:pPr>
              <w:pStyle w:val="39"/>
              <w:rPr>
                <w:rFonts w:ascii="Times New Roman" w:hAnsi="Times New Roman"/>
              </w:rPr>
            </w:pPr>
          </w:p>
        </w:tc>
        <w:tc>
          <w:tcPr>
            <w:tcW w:w="802" w:type="dxa"/>
            <w:vMerge w:val="continue"/>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9" w:type="dxa"/>
            <w:vMerge w:val="restart"/>
            <w:vAlign w:val="center"/>
          </w:tcPr>
          <w:p>
            <w:pPr>
              <w:pStyle w:val="39"/>
              <w:rPr>
                <w:rFonts w:ascii="Times New Roman" w:hAnsi="Times New Roman"/>
              </w:rPr>
            </w:pPr>
            <w:r>
              <w:rPr>
                <w:rFonts w:ascii="Times New Roman" w:hAnsi="Times New Roman"/>
              </w:rPr>
              <w:t>ZH51172230001</w:t>
            </w:r>
          </w:p>
        </w:tc>
        <w:tc>
          <w:tcPr>
            <w:tcW w:w="1257" w:type="dxa"/>
            <w:vMerge w:val="restart"/>
            <w:vAlign w:val="center"/>
          </w:tcPr>
          <w:p>
            <w:pPr>
              <w:pStyle w:val="39"/>
              <w:rPr>
                <w:rFonts w:ascii="Times New Roman" w:hAnsi="Times New Roman"/>
              </w:rPr>
            </w:pPr>
            <w:r>
              <w:rPr>
                <w:rFonts w:ascii="Times New Roman" w:hAnsi="Times New Roman"/>
              </w:rPr>
              <w:t>宣汉县一般管控单元</w:t>
            </w:r>
          </w:p>
        </w:tc>
        <w:tc>
          <w:tcPr>
            <w:tcW w:w="2920" w:type="dxa"/>
            <w:vAlign w:val="center"/>
          </w:tcPr>
          <w:p>
            <w:pPr>
              <w:pStyle w:val="39"/>
              <w:rPr>
                <w:rFonts w:ascii="Times New Roman" w:hAnsi="Times New Roman"/>
              </w:rPr>
            </w:pPr>
            <w:r>
              <w:rPr>
                <w:rFonts w:ascii="Times New Roman" w:hAnsi="Times New Roman"/>
              </w:rPr>
              <w:t>加强小流域水环境保护，推动农村环保基础设施建设，全面推进农村环境综合整治、生活污水处理项目。大力开展沿河畜禽养殖污染整治，大力推广生态种植，减少农药化肥使用量。</w:t>
            </w:r>
          </w:p>
        </w:tc>
        <w:tc>
          <w:tcPr>
            <w:tcW w:w="2089" w:type="dxa"/>
            <w:vAlign w:val="center"/>
          </w:tcPr>
          <w:p>
            <w:pPr>
              <w:pStyle w:val="39"/>
              <w:rPr>
                <w:rFonts w:ascii="Times New Roman" w:hAnsi="Times New Roman"/>
              </w:rPr>
            </w:pPr>
            <w:r>
              <w:rPr>
                <w:rFonts w:ascii="Times New Roman" w:hAnsi="Times New Roman"/>
              </w:rPr>
              <w:t>本项目产生的气田水密闭拉运至渡口河净化厂处理后回注，不外排；生活污水依托当地污水处理系统处理。</w:t>
            </w:r>
          </w:p>
        </w:tc>
        <w:tc>
          <w:tcPr>
            <w:tcW w:w="802"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9" w:type="dxa"/>
            <w:vMerge w:val="continue"/>
            <w:vAlign w:val="center"/>
          </w:tcPr>
          <w:p>
            <w:pPr>
              <w:pStyle w:val="39"/>
              <w:rPr>
                <w:rFonts w:ascii="Times New Roman" w:hAnsi="Times New Roman"/>
              </w:rPr>
            </w:pPr>
          </w:p>
        </w:tc>
        <w:tc>
          <w:tcPr>
            <w:tcW w:w="1257" w:type="dxa"/>
            <w:vMerge w:val="continue"/>
            <w:vAlign w:val="center"/>
          </w:tcPr>
          <w:p>
            <w:pPr>
              <w:pStyle w:val="39"/>
              <w:rPr>
                <w:rFonts w:ascii="Times New Roman" w:hAnsi="Times New Roman"/>
              </w:rPr>
            </w:pPr>
          </w:p>
        </w:tc>
        <w:tc>
          <w:tcPr>
            <w:tcW w:w="2920" w:type="dxa"/>
            <w:vAlign w:val="center"/>
          </w:tcPr>
          <w:p>
            <w:pPr>
              <w:pStyle w:val="39"/>
              <w:rPr>
                <w:rFonts w:ascii="Times New Roman" w:hAnsi="Times New Roman"/>
              </w:rPr>
            </w:pPr>
            <w:r>
              <w:rPr>
                <w:rFonts w:ascii="Times New Roman" w:hAnsi="Times New Roman"/>
              </w:rPr>
              <w:t>打好升级版污染防治攻坚战。持续优化调整产业布局，以PM2.5和臭氧污染协同控制为重点，全面开展VOCs治理，实施移动源整治，持续推进空气质量精细化管理。</w:t>
            </w:r>
          </w:p>
        </w:tc>
        <w:tc>
          <w:tcPr>
            <w:tcW w:w="2089" w:type="dxa"/>
            <w:vAlign w:val="center"/>
          </w:tcPr>
          <w:p>
            <w:pPr>
              <w:pStyle w:val="39"/>
              <w:rPr>
                <w:rFonts w:ascii="Times New Roman" w:hAnsi="Times New Roman"/>
              </w:rPr>
            </w:pPr>
            <w:r>
              <w:rPr>
                <w:rFonts w:ascii="Times New Roman" w:hAnsi="Times New Roman"/>
              </w:rPr>
              <w:t>本项目原料气和气田水中基本不含除甲烷以外的烃类物质，故不涉及VOCs的排放。</w:t>
            </w:r>
          </w:p>
        </w:tc>
        <w:tc>
          <w:tcPr>
            <w:tcW w:w="802" w:type="dxa"/>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9" w:type="dxa"/>
            <w:vMerge w:val="continue"/>
            <w:vAlign w:val="center"/>
          </w:tcPr>
          <w:p>
            <w:pPr>
              <w:pStyle w:val="39"/>
              <w:rPr>
                <w:rFonts w:ascii="Times New Roman" w:hAnsi="Times New Roman"/>
              </w:rPr>
            </w:pPr>
          </w:p>
        </w:tc>
        <w:tc>
          <w:tcPr>
            <w:tcW w:w="1257" w:type="dxa"/>
            <w:vMerge w:val="continue"/>
            <w:vAlign w:val="center"/>
          </w:tcPr>
          <w:p>
            <w:pPr>
              <w:pStyle w:val="39"/>
              <w:rPr>
                <w:rFonts w:ascii="Times New Roman" w:hAnsi="Times New Roman"/>
              </w:rPr>
            </w:pPr>
          </w:p>
        </w:tc>
        <w:tc>
          <w:tcPr>
            <w:tcW w:w="2920" w:type="dxa"/>
            <w:vAlign w:val="center"/>
          </w:tcPr>
          <w:p>
            <w:pPr>
              <w:pStyle w:val="39"/>
              <w:rPr>
                <w:rFonts w:ascii="Times New Roman" w:hAnsi="Times New Roman"/>
              </w:rPr>
            </w:pPr>
            <w:r>
              <w:rPr>
                <w:rFonts w:ascii="Times New Roman" w:hAnsi="Times New Roman"/>
              </w:rPr>
              <w:t>优化天然气化工、硫化工、锂钾综合开发、冶金建材、新材料等产业布局，切实做好危险化学品生产、使用、贮运、废弃全过程的安全防范措施，妥善处理好锂钾综合开发产业副产物及“三废”的综合利用途径或处置去向。</w:t>
            </w:r>
          </w:p>
        </w:tc>
        <w:tc>
          <w:tcPr>
            <w:tcW w:w="2089" w:type="dxa"/>
            <w:vAlign w:val="center"/>
          </w:tcPr>
          <w:p>
            <w:pPr>
              <w:pStyle w:val="39"/>
              <w:rPr>
                <w:rFonts w:ascii="Times New Roman" w:hAnsi="Times New Roman"/>
              </w:rPr>
            </w:pPr>
            <w:r>
              <w:rPr>
                <w:rFonts w:ascii="Times New Roman" w:hAnsi="Times New Roman"/>
              </w:rPr>
              <w:t>本项目为天然气集输工程，污染物排放均满足相应的标准、规范要求。</w:t>
            </w:r>
          </w:p>
        </w:tc>
        <w:tc>
          <w:tcPr>
            <w:tcW w:w="802" w:type="dxa"/>
            <w:vAlign w:val="center"/>
          </w:tcPr>
          <w:p>
            <w:pPr>
              <w:pStyle w:val="39"/>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9" w:type="dxa"/>
            <w:vAlign w:val="center"/>
          </w:tcPr>
          <w:p>
            <w:pPr>
              <w:pStyle w:val="39"/>
              <w:rPr>
                <w:rFonts w:ascii="Times New Roman" w:hAnsi="Times New Roman"/>
              </w:rPr>
            </w:pPr>
            <w:r>
              <w:rPr>
                <w:rFonts w:ascii="Times New Roman" w:hAnsi="Times New Roman"/>
              </w:rPr>
              <w:t>YS5117221410003</w:t>
            </w:r>
          </w:p>
        </w:tc>
        <w:tc>
          <w:tcPr>
            <w:tcW w:w="1257" w:type="dxa"/>
            <w:vAlign w:val="center"/>
          </w:tcPr>
          <w:p>
            <w:pPr>
              <w:pStyle w:val="39"/>
              <w:rPr>
                <w:rFonts w:ascii="Times New Roman" w:hAnsi="Times New Roman"/>
              </w:rPr>
            </w:pPr>
            <w:r>
              <w:rPr>
                <w:rFonts w:ascii="Times New Roman" w:hAnsi="Times New Roman"/>
              </w:rPr>
              <w:t>宣汉县土壤优先保护区</w:t>
            </w:r>
          </w:p>
        </w:tc>
        <w:tc>
          <w:tcPr>
            <w:tcW w:w="2920" w:type="dxa"/>
            <w:vAlign w:val="center"/>
          </w:tcPr>
          <w:p>
            <w:pPr>
              <w:pStyle w:val="39"/>
              <w:rPr>
                <w:rFonts w:ascii="Times New Roman" w:hAnsi="Times New Roman"/>
              </w:rPr>
            </w:pPr>
            <w:r>
              <w:rPr>
                <w:rFonts w:ascii="Times New Roman" w:hAnsi="Times New Roman"/>
              </w:rPr>
              <w:t>暂无</w:t>
            </w:r>
          </w:p>
        </w:tc>
        <w:tc>
          <w:tcPr>
            <w:tcW w:w="2089" w:type="dxa"/>
            <w:vAlign w:val="center"/>
          </w:tcPr>
          <w:p>
            <w:pPr>
              <w:pStyle w:val="39"/>
              <w:rPr>
                <w:rFonts w:ascii="Times New Roman" w:hAnsi="Times New Roman"/>
              </w:rPr>
            </w:pPr>
            <w:r>
              <w:rPr>
                <w:rFonts w:ascii="Times New Roman" w:hAnsi="Times New Roman"/>
              </w:rPr>
              <w:t>根据上文分析，本工程满足达州市城镇总体管控单元总体</w:t>
            </w:r>
            <w:r>
              <w:rPr>
                <w:rFonts w:ascii="Times New Roman" w:hAnsi="Times New Roman"/>
                <w:lang w:bidi="zh-CN"/>
              </w:rPr>
              <w:t>要求</w:t>
            </w:r>
          </w:p>
        </w:tc>
        <w:tc>
          <w:tcPr>
            <w:tcW w:w="802"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9" w:type="dxa"/>
            <w:vAlign w:val="center"/>
          </w:tcPr>
          <w:p>
            <w:pPr>
              <w:pStyle w:val="39"/>
              <w:rPr>
                <w:rFonts w:ascii="Times New Roman" w:hAnsi="Times New Roman"/>
              </w:rPr>
            </w:pPr>
            <w:r>
              <w:rPr>
                <w:rFonts w:ascii="Times New Roman" w:hAnsi="Times New Roman"/>
              </w:rPr>
              <w:t>YS5117223210001</w:t>
            </w:r>
          </w:p>
        </w:tc>
        <w:tc>
          <w:tcPr>
            <w:tcW w:w="1257" w:type="dxa"/>
            <w:vAlign w:val="center"/>
          </w:tcPr>
          <w:p>
            <w:pPr>
              <w:pStyle w:val="39"/>
              <w:rPr>
                <w:rFonts w:ascii="Times New Roman" w:hAnsi="Times New Roman"/>
              </w:rPr>
            </w:pPr>
            <w:r>
              <w:rPr>
                <w:rFonts w:ascii="Times New Roman" w:hAnsi="Times New Roman"/>
              </w:rPr>
              <w:t>州河宣汉县张鼓坪控制单元</w:t>
            </w:r>
          </w:p>
        </w:tc>
        <w:tc>
          <w:tcPr>
            <w:tcW w:w="2920" w:type="dxa"/>
            <w:vAlign w:val="center"/>
          </w:tcPr>
          <w:p>
            <w:pPr>
              <w:pStyle w:val="39"/>
              <w:rPr>
                <w:rFonts w:ascii="Times New Roman" w:hAnsi="Times New Roman"/>
              </w:rPr>
            </w:pPr>
            <w:r>
              <w:rPr>
                <w:rFonts w:ascii="Times New Roman" w:hAnsi="Times New Roman"/>
              </w:rPr>
              <w:t>暂无</w:t>
            </w:r>
          </w:p>
        </w:tc>
        <w:tc>
          <w:tcPr>
            <w:tcW w:w="2089" w:type="dxa"/>
            <w:vAlign w:val="center"/>
          </w:tcPr>
          <w:p>
            <w:pPr>
              <w:pStyle w:val="39"/>
              <w:rPr>
                <w:rFonts w:ascii="Times New Roman" w:hAnsi="Times New Roman"/>
              </w:rPr>
            </w:pPr>
            <w:r>
              <w:rPr>
                <w:rFonts w:ascii="Times New Roman" w:hAnsi="Times New Roman"/>
              </w:rPr>
              <w:t>根据上文分析，本工程满足达州市城镇总体管控单元总体</w:t>
            </w:r>
            <w:r>
              <w:rPr>
                <w:rFonts w:ascii="Times New Roman" w:hAnsi="Times New Roman"/>
                <w:lang w:bidi="zh-CN"/>
              </w:rPr>
              <w:t>要求</w:t>
            </w:r>
          </w:p>
        </w:tc>
        <w:tc>
          <w:tcPr>
            <w:tcW w:w="802"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9" w:type="dxa"/>
            <w:vAlign w:val="center"/>
          </w:tcPr>
          <w:p>
            <w:pPr>
              <w:pStyle w:val="39"/>
              <w:rPr>
                <w:rFonts w:ascii="Times New Roman" w:hAnsi="Times New Roman"/>
              </w:rPr>
            </w:pPr>
            <w:r>
              <w:rPr>
                <w:rFonts w:ascii="Times New Roman" w:hAnsi="Times New Roman"/>
              </w:rPr>
              <w:t>YS5117222320006</w:t>
            </w:r>
          </w:p>
        </w:tc>
        <w:tc>
          <w:tcPr>
            <w:tcW w:w="1257" w:type="dxa"/>
            <w:vAlign w:val="center"/>
          </w:tcPr>
          <w:p>
            <w:pPr>
              <w:pStyle w:val="39"/>
              <w:rPr>
                <w:rFonts w:ascii="Times New Roman" w:hAnsi="Times New Roman"/>
              </w:rPr>
            </w:pPr>
            <w:r>
              <w:rPr>
                <w:rFonts w:ascii="Times New Roman" w:hAnsi="Times New Roman"/>
              </w:rPr>
              <w:t>宣汉县大气环境布局敏感重点管</w:t>
            </w:r>
          </w:p>
        </w:tc>
        <w:tc>
          <w:tcPr>
            <w:tcW w:w="2920" w:type="dxa"/>
            <w:vAlign w:val="center"/>
          </w:tcPr>
          <w:p>
            <w:pPr>
              <w:pStyle w:val="39"/>
              <w:rPr>
                <w:rFonts w:ascii="Times New Roman" w:hAnsi="Times New Roman"/>
              </w:rPr>
            </w:pPr>
            <w:r>
              <w:rPr>
                <w:rFonts w:ascii="Times New Roman" w:hAnsi="Times New Roman"/>
              </w:rPr>
              <w:t>暂无</w:t>
            </w:r>
          </w:p>
        </w:tc>
        <w:tc>
          <w:tcPr>
            <w:tcW w:w="2089" w:type="dxa"/>
            <w:vAlign w:val="center"/>
          </w:tcPr>
          <w:p>
            <w:pPr>
              <w:pStyle w:val="39"/>
              <w:rPr>
                <w:rFonts w:ascii="Times New Roman" w:hAnsi="Times New Roman"/>
              </w:rPr>
            </w:pPr>
            <w:r>
              <w:rPr>
                <w:rFonts w:ascii="Times New Roman" w:hAnsi="Times New Roman"/>
              </w:rPr>
              <w:t>根据上文分析，本工程满足达州市城镇总体管控单元总体</w:t>
            </w:r>
            <w:r>
              <w:rPr>
                <w:rFonts w:ascii="Times New Roman" w:hAnsi="Times New Roman"/>
                <w:lang w:bidi="zh-CN"/>
              </w:rPr>
              <w:t>要求</w:t>
            </w:r>
          </w:p>
        </w:tc>
        <w:tc>
          <w:tcPr>
            <w:tcW w:w="802" w:type="dxa"/>
            <w:vAlign w:val="center"/>
          </w:tcPr>
          <w:p>
            <w:pPr>
              <w:pStyle w:val="39"/>
              <w:rPr>
                <w:rFonts w:ascii="Times New Roman" w:hAnsi="Times New Roman"/>
              </w:rPr>
            </w:pPr>
            <w:r>
              <w:rPr>
                <w:rFonts w:ascii="Times New Roman" w:hAnsi="Times New Roman"/>
              </w:rPr>
              <w:t>符合</w:t>
            </w:r>
          </w:p>
        </w:tc>
      </w:tr>
    </w:tbl>
    <w:p>
      <w:pPr>
        <w:ind w:firstLine="480"/>
        <w:rPr>
          <w:rFonts w:ascii="Times New Roman" w:hAnsi="Times New Roman"/>
        </w:rPr>
      </w:pPr>
    </w:p>
    <w:p>
      <w:pPr>
        <w:pStyle w:val="3"/>
        <w:rPr>
          <w:rFonts w:ascii="Times New Roman" w:hAnsi="Times New Roman" w:cs="Times New Roman"/>
        </w:rPr>
      </w:pPr>
      <w:bookmarkStart w:id="430" w:name="_Toc162339469"/>
      <w:r>
        <w:rPr>
          <w:rFonts w:ascii="Times New Roman" w:hAnsi="Times New Roman" w:cs="Times New Roman"/>
        </w:rPr>
        <w:t>与基本农田相关法律法规符合性分析</w:t>
      </w:r>
      <w:bookmarkEnd w:id="430"/>
    </w:p>
    <w:p>
      <w:pPr>
        <w:ind w:firstLine="480"/>
        <w:rPr>
          <w:rFonts w:ascii="Times New Roman" w:hAnsi="Times New Roman"/>
        </w:rPr>
      </w:pPr>
      <w:r>
        <w:rPr>
          <w:rFonts w:ascii="Times New Roman" w:hAnsi="Times New Roman"/>
        </w:rPr>
        <w:t>本项目永久占地目前涉及占用永久基本农田，面积为27.8亩，在前期钻井工程项目中已办理了临时占地手续，待临时占地期满后进行永久占地的占用手续；管道施工时临时占用永久基本农田，占用面积约6.34hm</w:t>
      </w:r>
      <w:r>
        <w:rPr>
          <w:rFonts w:ascii="Times New Roman" w:hAnsi="Times New Roman"/>
          <w:vertAlign w:val="superscript"/>
        </w:rPr>
        <w:t>2</w:t>
      </w:r>
      <w:r>
        <w:rPr>
          <w:rFonts w:ascii="Times New Roman" w:hAnsi="Times New Roman"/>
        </w:rPr>
        <w:t>，施工结束后及时对地表进行恢复原状。与相关法律法规符合性分析见下表。</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t xml:space="preserve">  与永久基本农田相关法律法规符合性分析表</w:t>
      </w:r>
    </w:p>
    <w:tbl>
      <w:tblPr>
        <w:tblStyle w:val="28"/>
        <w:tblW w:w="86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4"/>
        <w:gridCol w:w="3166"/>
        <w:gridCol w:w="2552"/>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vAlign w:val="center"/>
          </w:tcPr>
          <w:p>
            <w:pPr>
              <w:pStyle w:val="39"/>
              <w:rPr>
                <w:rFonts w:ascii="Times New Roman" w:hAnsi="Times New Roman"/>
              </w:rPr>
            </w:pPr>
            <w:r>
              <w:rPr>
                <w:rFonts w:ascii="Times New Roman" w:hAnsi="Times New Roman"/>
              </w:rPr>
              <w:t>法律法规</w:t>
            </w:r>
          </w:p>
        </w:tc>
        <w:tc>
          <w:tcPr>
            <w:tcW w:w="3166" w:type="dxa"/>
            <w:vAlign w:val="center"/>
          </w:tcPr>
          <w:p>
            <w:pPr>
              <w:pStyle w:val="39"/>
              <w:rPr>
                <w:rFonts w:ascii="Times New Roman" w:hAnsi="Times New Roman"/>
              </w:rPr>
            </w:pPr>
            <w:r>
              <w:rPr>
                <w:rFonts w:ascii="Times New Roman" w:hAnsi="Times New Roman"/>
              </w:rPr>
              <w:t>要求</w:t>
            </w:r>
          </w:p>
        </w:tc>
        <w:tc>
          <w:tcPr>
            <w:tcW w:w="2552" w:type="dxa"/>
            <w:vAlign w:val="center"/>
          </w:tcPr>
          <w:p>
            <w:pPr>
              <w:pStyle w:val="39"/>
              <w:rPr>
                <w:rFonts w:ascii="Times New Roman" w:hAnsi="Times New Roman"/>
              </w:rPr>
            </w:pPr>
            <w:r>
              <w:rPr>
                <w:rFonts w:ascii="Times New Roman" w:hAnsi="Times New Roman"/>
              </w:rPr>
              <w:t>本项目</w:t>
            </w:r>
          </w:p>
        </w:tc>
        <w:tc>
          <w:tcPr>
            <w:tcW w:w="850" w:type="dxa"/>
            <w:vAlign w:val="center"/>
          </w:tcPr>
          <w:p>
            <w:pPr>
              <w:pStyle w:val="39"/>
              <w:rPr>
                <w:rFonts w:ascii="Times New Roman" w:hAnsi="Times New Roman"/>
              </w:rPr>
            </w:pPr>
            <w:r>
              <w:rPr>
                <w:rFonts w:ascii="Times New Roman" w:hAnsi="Times New Roma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vAlign w:val="center"/>
          </w:tcPr>
          <w:p>
            <w:pPr>
              <w:pStyle w:val="39"/>
              <w:rPr>
                <w:rFonts w:ascii="Times New Roman" w:hAnsi="Times New Roman"/>
              </w:rPr>
            </w:pPr>
            <w:r>
              <w:rPr>
                <w:rFonts w:ascii="Times New Roman" w:hAnsi="Times New Roman"/>
              </w:rPr>
              <w:t>《中华人民共和国土地管理法》</w:t>
            </w:r>
          </w:p>
        </w:tc>
        <w:tc>
          <w:tcPr>
            <w:tcW w:w="3166" w:type="dxa"/>
            <w:vAlign w:val="center"/>
          </w:tcPr>
          <w:p>
            <w:pPr>
              <w:pStyle w:val="39"/>
              <w:rPr>
                <w:rFonts w:ascii="Times New Roman" w:hAnsi="Times New Roman"/>
              </w:rPr>
            </w:pPr>
            <w:r>
              <w:rPr>
                <w:rFonts w:ascii="Times New Roman" w:hAnsi="Times New Roman"/>
              </w:rPr>
              <w:t>国家能源、交通、水利、军事设施等重点建设项目选址确实难以避让永久基本农田，涉及农用地转用或者土地征收的，必须经国务院批准</w:t>
            </w:r>
          </w:p>
        </w:tc>
        <w:tc>
          <w:tcPr>
            <w:tcW w:w="2552" w:type="dxa"/>
            <w:vAlign w:val="center"/>
          </w:tcPr>
          <w:p>
            <w:pPr>
              <w:pStyle w:val="39"/>
              <w:rPr>
                <w:rFonts w:ascii="Times New Roman" w:hAnsi="Times New Roman"/>
              </w:rPr>
            </w:pPr>
            <w:r>
              <w:rPr>
                <w:rFonts w:ascii="Times New Roman" w:hAnsi="Times New Roman"/>
              </w:rPr>
              <w:t>属能源重点项目，宣探1井站和宣兴1井站占地均为永久基本农田，无法避让。前期钻井工程已办理了临时占地手续，</w:t>
            </w:r>
          </w:p>
        </w:tc>
        <w:tc>
          <w:tcPr>
            <w:tcW w:w="850"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vAlign w:val="center"/>
          </w:tcPr>
          <w:p>
            <w:pPr>
              <w:pStyle w:val="39"/>
              <w:rPr>
                <w:rFonts w:ascii="Times New Roman" w:hAnsi="Times New Roman"/>
              </w:rPr>
            </w:pPr>
            <w:r>
              <w:rPr>
                <w:rFonts w:ascii="Times New Roman" w:hAnsi="Times New Roman"/>
              </w:rPr>
              <w:t>《关于做好占用永久基本农田重大建设项目用地预审的通知》（自然资规〔2018〕3 号）</w:t>
            </w:r>
          </w:p>
        </w:tc>
        <w:tc>
          <w:tcPr>
            <w:tcW w:w="3166" w:type="dxa"/>
            <w:vAlign w:val="center"/>
          </w:tcPr>
          <w:p>
            <w:pPr>
              <w:pStyle w:val="39"/>
              <w:rPr>
                <w:rFonts w:ascii="Times New Roman" w:hAnsi="Times New Roman"/>
              </w:rPr>
            </w:pPr>
            <w:r>
              <w:rPr>
                <w:rFonts w:ascii="Times New Roman" w:hAnsi="Times New Roman"/>
              </w:rPr>
              <w:t>国家级规划明确的且符合国家产业政策的能源开采、油气管线、水电、核电项目，允许将以下占用永久基本农田的重大建设项目纳入用地预审受理范围。</w:t>
            </w:r>
          </w:p>
        </w:tc>
        <w:tc>
          <w:tcPr>
            <w:tcW w:w="2552" w:type="dxa"/>
            <w:vAlign w:val="center"/>
          </w:tcPr>
          <w:p>
            <w:pPr>
              <w:pStyle w:val="39"/>
              <w:rPr>
                <w:rFonts w:ascii="Times New Roman" w:hAnsi="Times New Roman"/>
              </w:rPr>
            </w:pPr>
            <w:r>
              <w:rPr>
                <w:rFonts w:ascii="Times New Roman" w:hAnsi="Times New Roman"/>
              </w:rPr>
              <w:t>属能源重点项目符合产业政策的能源开采、油气管线项目。</w:t>
            </w:r>
          </w:p>
        </w:tc>
        <w:tc>
          <w:tcPr>
            <w:tcW w:w="850"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74" w:type="dxa"/>
            <w:vAlign w:val="center"/>
          </w:tcPr>
          <w:p>
            <w:pPr>
              <w:pStyle w:val="39"/>
              <w:rPr>
                <w:rFonts w:ascii="Times New Roman" w:hAnsi="Times New Roman"/>
              </w:rPr>
            </w:pPr>
            <w:r>
              <w:rPr>
                <w:rFonts w:ascii="Times New Roman" w:hAnsi="Times New Roman"/>
              </w:rPr>
              <w:t>《关于加强和改进永久基本农田保护工作的通知》（自然资规〔2019〕1号）</w:t>
            </w:r>
          </w:p>
        </w:tc>
        <w:tc>
          <w:tcPr>
            <w:tcW w:w="3166" w:type="dxa"/>
            <w:vAlign w:val="center"/>
          </w:tcPr>
          <w:p>
            <w:pPr>
              <w:pStyle w:val="39"/>
              <w:rPr>
                <w:rFonts w:ascii="Times New Roman" w:hAnsi="Times New Roman"/>
              </w:rPr>
            </w:pPr>
            <w:r>
              <w:rPr>
                <w:rFonts w:ascii="Times New Roman" w:hAnsi="Times New Roman"/>
              </w:rPr>
              <w:t>三、严控建设占用永久基本农田中（七）严格占用和补划审查论证……重大建设项目选址确实难以避让永久基本农田的，在可行性研究阶段，省级自然资源主管部门负责组织对占用的必要性、合理性和补划方案的可行性进行严格论证，报自然资源部用地预审……临时用地一般不得占用永久基本农田，建设项目施工和地质勘查需要临时用地、选</w:t>
            </w:r>
          </w:p>
          <w:p>
            <w:pPr>
              <w:pStyle w:val="39"/>
              <w:rPr>
                <w:rFonts w:ascii="Times New Roman" w:hAnsi="Times New Roman"/>
              </w:rPr>
            </w:pPr>
            <w:r>
              <w:rPr>
                <w:rFonts w:ascii="Times New Roman" w:hAnsi="Times New Roman"/>
              </w:rPr>
              <w:t>址确实难以避让永久基本农田的，在不修建永久性建（构）筑物、经复垦能恢复原种植条件的前提下，土地使用者按法定程序申请临时用地并编制土地复垦方案，经县级自然资源主管部门批准可临时占用，并在市级自然资源主管部门备案，一般不超过两年….</w:t>
            </w:r>
          </w:p>
        </w:tc>
        <w:tc>
          <w:tcPr>
            <w:tcW w:w="2552" w:type="dxa"/>
            <w:vAlign w:val="center"/>
          </w:tcPr>
          <w:p>
            <w:pPr>
              <w:pStyle w:val="39"/>
              <w:rPr>
                <w:rFonts w:ascii="Times New Roman" w:hAnsi="Times New Roman"/>
              </w:rPr>
            </w:pPr>
            <w:r>
              <w:rPr>
                <w:rFonts w:ascii="Times New Roman" w:hAnsi="Times New Roman"/>
              </w:rPr>
              <w:t>本项目建设单位承诺在项目开工前依法合规办理建设项目的临时用地土地手续，待取得自然资源部门的相关意见和用地手续后方开工建设，不违背当地土地利用规划要求，满足永久基本农田和相关土地使用的政策要求。项目具有工业产能后期需要建站运营，建设单位则对临时占地转为开采井后永久占地严格按照自然资源部门规定依法办理农用地转用和土地征收审批手续，按规定补划永久基本农田。</w:t>
            </w:r>
          </w:p>
        </w:tc>
        <w:tc>
          <w:tcPr>
            <w:tcW w:w="850" w:type="dxa"/>
            <w:vAlign w:val="center"/>
          </w:tcPr>
          <w:p>
            <w:pPr>
              <w:pStyle w:val="39"/>
              <w:rPr>
                <w:rFonts w:ascii="Times New Roman" w:hAnsi="Times New Roman"/>
              </w:rPr>
            </w:pPr>
            <w:r>
              <w:rPr>
                <w:rFonts w:ascii="Times New Roman" w:hAnsi="Times New Roman"/>
              </w:rPr>
              <w:t>符合</w:t>
            </w:r>
          </w:p>
        </w:tc>
      </w:tr>
    </w:tbl>
    <w:p>
      <w:pPr>
        <w:ind w:firstLine="480"/>
        <w:rPr>
          <w:rFonts w:ascii="Times New Roman" w:hAnsi="Times New Roman"/>
        </w:rPr>
      </w:pPr>
      <w:r>
        <w:rPr>
          <w:rFonts w:ascii="Times New Roman" w:hAnsi="Times New Roman"/>
        </w:rPr>
        <w:t>综上，项目属能源重点项目，项目区无法避让永久基本农田，符合有关永久基本农田相关法律法规。</w:t>
      </w:r>
    </w:p>
    <w:p>
      <w:pPr>
        <w:pStyle w:val="3"/>
        <w:rPr>
          <w:rFonts w:ascii="Times New Roman" w:hAnsi="Times New Roman" w:cs="Times New Roman"/>
        </w:rPr>
      </w:pPr>
      <w:bookmarkStart w:id="431" w:name="_Toc162339470"/>
      <w:r>
        <w:rPr>
          <w:rFonts w:ascii="Times New Roman" w:hAnsi="Times New Roman" w:cs="Times New Roman"/>
        </w:rPr>
        <w:t>与天然林、公益林相关法律法规符合性分析</w:t>
      </w:r>
      <w:bookmarkEnd w:id="431"/>
    </w:p>
    <w:p>
      <w:pPr>
        <w:ind w:firstLine="480"/>
        <w:rPr>
          <w:rFonts w:ascii="Times New Roman" w:hAnsi="Times New Roman"/>
        </w:rPr>
      </w:pPr>
      <w:r>
        <w:rPr>
          <w:rFonts w:ascii="Times New Roman" w:hAnsi="Times New Roman"/>
        </w:rPr>
        <w:t>项目管线占用天然林和国家级公益林，与相关法律法规符合性分析见下表。</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t xml:space="preserve">  与天然林、公益林相关法律法规符合性分析表</w:t>
      </w:r>
    </w:p>
    <w:tbl>
      <w:tblPr>
        <w:tblStyle w:val="28"/>
        <w:tblW w:w="86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8"/>
        <w:gridCol w:w="3260"/>
        <w:gridCol w:w="2552"/>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Align w:val="center"/>
          </w:tcPr>
          <w:p>
            <w:pPr>
              <w:pStyle w:val="39"/>
              <w:rPr>
                <w:rFonts w:ascii="Times New Roman" w:hAnsi="Times New Roman"/>
              </w:rPr>
            </w:pPr>
            <w:r>
              <w:rPr>
                <w:rFonts w:ascii="Times New Roman" w:hAnsi="Times New Roman"/>
              </w:rPr>
              <w:t>法律法规</w:t>
            </w:r>
          </w:p>
        </w:tc>
        <w:tc>
          <w:tcPr>
            <w:tcW w:w="3260" w:type="dxa"/>
            <w:vAlign w:val="center"/>
          </w:tcPr>
          <w:p>
            <w:pPr>
              <w:pStyle w:val="39"/>
              <w:rPr>
                <w:rFonts w:ascii="Times New Roman" w:hAnsi="Times New Roman"/>
              </w:rPr>
            </w:pPr>
            <w:r>
              <w:rPr>
                <w:rFonts w:ascii="Times New Roman" w:hAnsi="Times New Roman"/>
              </w:rPr>
              <w:t>要求</w:t>
            </w:r>
          </w:p>
        </w:tc>
        <w:tc>
          <w:tcPr>
            <w:tcW w:w="2552" w:type="dxa"/>
            <w:vAlign w:val="center"/>
          </w:tcPr>
          <w:p>
            <w:pPr>
              <w:pStyle w:val="39"/>
              <w:rPr>
                <w:rFonts w:ascii="Times New Roman" w:hAnsi="Times New Roman"/>
              </w:rPr>
            </w:pPr>
            <w:r>
              <w:rPr>
                <w:rFonts w:ascii="Times New Roman" w:hAnsi="Times New Roman"/>
              </w:rPr>
              <w:t>本项目</w:t>
            </w:r>
          </w:p>
        </w:tc>
        <w:tc>
          <w:tcPr>
            <w:tcW w:w="992" w:type="dxa"/>
            <w:vAlign w:val="center"/>
          </w:tcPr>
          <w:p>
            <w:pPr>
              <w:pStyle w:val="39"/>
              <w:rPr>
                <w:rFonts w:ascii="Times New Roman" w:hAnsi="Times New Roman"/>
              </w:rPr>
            </w:pPr>
            <w:r>
              <w:rPr>
                <w:rFonts w:ascii="Times New Roman" w:hAnsi="Times New Roma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Align w:val="center"/>
          </w:tcPr>
          <w:p>
            <w:pPr>
              <w:pStyle w:val="39"/>
              <w:rPr>
                <w:rFonts w:ascii="Times New Roman" w:hAnsi="Times New Roman"/>
              </w:rPr>
            </w:pPr>
            <w:r>
              <w:rPr>
                <w:rFonts w:ascii="Times New Roman" w:hAnsi="Times New Roman"/>
              </w:rPr>
              <w:t>《国家级公益林管理办法》</w:t>
            </w:r>
          </w:p>
        </w:tc>
        <w:tc>
          <w:tcPr>
            <w:tcW w:w="3260" w:type="dxa"/>
            <w:vAlign w:val="center"/>
          </w:tcPr>
          <w:p>
            <w:pPr>
              <w:pStyle w:val="39"/>
              <w:rPr>
                <w:rFonts w:ascii="Times New Roman" w:hAnsi="Times New Roman"/>
              </w:rPr>
            </w:pPr>
            <w:r>
              <w:rPr>
                <w:rFonts w:ascii="Times New Roman" w:hAnsi="Times New Roman"/>
              </w:rPr>
              <w:t>严格控制勘查、开采矿藏和工程建设使用国家级公益林地。确需使用的，严格按照《建设项目使用林地审核审批管理办法》有关规定办理使用林地手续。涉及林木采伐的，按相关规定依法办理林木采伐手续。</w:t>
            </w:r>
          </w:p>
        </w:tc>
        <w:tc>
          <w:tcPr>
            <w:tcW w:w="2552" w:type="dxa"/>
            <w:vAlign w:val="center"/>
          </w:tcPr>
          <w:p>
            <w:pPr>
              <w:pStyle w:val="39"/>
              <w:rPr>
                <w:rFonts w:ascii="Times New Roman" w:hAnsi="Times New Roman"/>
              </w:rPr>
            </w:pPr>
            <w:r>
              <w:rPr>
                <w:rFonts w:ascii="Times New Roman" w:hAnsi="Times New Roman"/>
              </w:rPr>
              <w:t>建设单位承诺在施工前办理林地手续</w:t>
            </w:r>
          </w:p>
        </w:tc>
        <w:tc>
          <w:tcPr>
            <w:tcW w:w="992"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Align w:val="center"/>
          </w:tcPr>
          <w:p>
            <w:pPr>
              <w:pStyle w:val="39"/>
              <w:rPr>
                <w:rFonts w:ascii="Times New Roman" w:hAnsi="Times New Roman"/>
              </w:rPr>
            </w:pPr>
            <w:r>
              <w:rPr>
                <w:rFonts w:ascii="Times New Roman" w:hAnsi="Times New Roman"/>
              </w:rPr>
              <w:t>《四川省天然林保护条例》</w:t>
            </w:r>
          </w:p>
        </w:tc>
        <w:tc>
          <w:tcPr>
            <w:tcW w:w="3260" w:type="dxa"/>
            <w:vAlign w:val="center"/>
          </w:tcPr>
          <w:p>
            <w:pPr>
              <w:pStyle w:val="39"/>
              <w:rPr>
                <w:rFonts w:ascii="Times New Roman" w:hAnsi="Times New Roman"/>
              </w:rPr>
            </w:pPr>
            <w:r>
              <w:rPr>
                <w:rFonts w:ascii="Times New Roman" w:hAnsi="Times New Roman"/>
              </w:rPr>
              <w:t>勘查、开采矿藏和从事各项工程建设，确需征用、占用天然林林地的，应经省级以上林业主管部门审核同意，并依照有关法律法规的规定交纳林地补偿、安置补助等费用，办理用地手续。</w:t>
            </w:r>
          </w:p>
        </w:tc>
        <w:tc>
          <w:tcPr>
            <w:tcW w:w="2552" w:type="dxa"/>
            <w:vAlign w:val="center"/>
          </w:tcPr>
          <w:p>
            <w:pPr>
              <w:pStyle w:val="39"/>
              <w:rPr>
                <w:rFonts w:ascii="Times New Roman" w:hAnsi="Times New Roman"/>
              </w:rPr>
            </w:pPr>
            <w:r>
              <w:rPr>
                <w:rFonts w:ascii="Times New Roman" w:hAnsi="Times New Roman"/>
              </w:rPr>
              <w:t>建设单位承诺在施工前依照有关法律法规的规定交纳林地补偿等费用，办理用地手续。</w:t>
            </w:r>
          </w:p>
        </w:tc>
        <w:tc>
          <w:tcPr>
            <w:tcW w:w="992" w:type="dxa"/>
            <w:vAlign w:val="center"/>
          </w:tcPr>
          <w:p>
            <w:pPr>
              <w:pStyle w:val="39"/>
              <w:rPr>
                <w:rFonts w:ascii="Times New Roman" w:hAnsi="Times New Roman"/>
              </w:rPr>
            </w:pPr>
            <w:r>
              <w:rPr>
                <w:rFonts w:ascii="Times New Roman" w:hAnsi="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Align w:val="center"/>
          </w:tcPr>
          <w:p>
            <w:pPr>
              <w:pStyle w:val="39"/>
              <w:rPr>
                <w:rFonts w:ascii="Times New Roman" w:hAnsi="Times New Roman"/>
              </w:rPr>
            </w:pPr>
            <w:r>
              <w:rPr>
                <w:rFonts w:ascii="Times New Roman" w:hAnsi="Times New Roman"/>
              </w:rPr>
              <w:t>《四川省人民政</w:t>
            </w:r>
          </w:p>
          <w:p>
            <w:pPr>
              <w:pStyle w:val="39"/>
              <w:rPr>
                <w:rFonts w:ascii="Times New Roman" w:hAnsi="Times New Roman"/>
              </w:rPr>
            </w:pPr>
            <w:r>
              <w:rPr>
                <w:rFonts w:ascii="Times New Roman" w:hAnsi="Times New Roman"/>
              </w:rPr>
              <w:t>府办公厅关于进一步加强天然林保护的通知》（川办函〔2016〕91 号）</w:t>
            </w:r>
          </w:p>
        </w:tc>
        <w:tc>
          <w:tcPr>
            <w:tcW w:w="3260" w:type="dxa"/>
            <w:vAlign w:val="center"/>
          </w:tcPr>
          <w:p>
            <w:pPr>
              <w:pStyle w:val="39"/>
              <w:rPr>
                <w:rFonts w:ascii="Times New Roman" w:hAnsi="Times New Roman"/>
              </w:rPr>
            </w:pPr>
            <w:r>
              <w:rPr>
                <w:rFonts w:ascii="Times New Roman" w:hAnsi="Times New Roman"/>
              </w:rPr>
              <w:t>各类工程项目应不占或少占天然林林地、不砍或少砍天然林木，因基础设施、公共事业、民生建设项目以及省级及以上重点建设项目等确需占用的，必须依法办理使用林地审核审批手续。</w:t>
            </w:r>
          </w:p>
        </w:tc>
        <w:tc>
          <w:tcPr>
            <w:tcW w:w="2552" w:type="dxa"/>
            <w:vAlign w:val="center"/>
          </w:tcPr>
          <w:p>
            <w:pPr>
              <w:pStyle w:val="39"/>
              <w:rPr>
                <w:rFonts w:ascii="Times New Roman" w:hAnsi="Times New Roman"/>
              </w:rPr>
            </w:pPr>
            <w:r>
              <w:rPr>
                <w:rFonts w:ascii="Times New Roman" w:hAnsi="Times New Roman"/>
              </w:rPr>
              <w:t>项目已优化线路管线，尽量少占天然林，项目为省级重点建设项目，建设单位承诺在施工前依法办理使用林地审核审批手续。</w:t>
            </w:r>
          </w:p>
        </w:tc>
        <w:tc>
          <w:tcPr>
            <w:tcW w:w="992" w:type="dxa"/>
            <w:vAlign w:val="center"/>
          </w:tcPr>
          <w:p>
            <w:pPr>
              <w:pStyle w:val="39"/>
              <w:rPr>
                <w:rFonts w:ascii="Times New Roman" w:hAnsi="Times New Roman"/>
              </w:rPr>
            </w:pPr>
            <w:r>
              <w:rPr>
                <w:rFonts w:ascii="Times New Roman" w:hAnsi="Times New Roman"/>
              </w:rPr>
              <w:t>符合</w:t>
            </w:r>
          </w:p>
        </w:tc>
      </w:tr>
    </w:tbl>
    <w:p>
      <w:pPr>
        <w:ind w:firstLine="480"/>
        <w:rPr>
          <w:rFonts w:ascii="Times New Roman" w:hAnsi="Times New Roman"/>
        </w:rPr>
      </w:pPr>
      <w:r>
        <w:rPr>
          <w:rFonts w:ascii="Times New Roman" w:hAnsi="Times New Roman"/>
        </w:rPr>
        <w:t>综上，项目已优化线路管线，尽量少占天然林（二级国家级公益林），建设单位承诺在施工前依照办理林地审核审批手续，符合天然林、公益林相关法律法规。</w:t>
      </w:r>
    </w:p>
    <w:p>
      <w:pPr>
        <w:pStyle w:val="3"/>
        <w:rPr>
          <w:rFonts w:ascii="Times New Roman" w:hAnsi="Times New Roman" w:cs="Times New Roman"/>
        </w:rPr>
      </w:pPr>
      <w:bookmarkStart w:id="432" w:name="_Toc162339471"/>
      <w:r>
        <w:rPr>
          <w:rFonts w:ascii="Times New Roman" w:hAnsi="Times New Roman" w:cs="Times New Roman"/>
        </w:rPr>
        <w:t>选址选线合理性分析</w:t>
      </w:r>
      <w:bookmarkEnd w:id="432"/>
    </w:p>
    <w:p>
      <w:pPr>
        <w:pStyle w:val="4"/>
        <w:rPr>
          <w:rFonts w:ascii="Times New Roman" w:hAnsi="Times New Roman" w:cs="Times New Roman"/>
        </w:rPr>
      </w:pPr>
      <w:r>
        <w:rPr>
          <w:rFonts w:ascii="Times New Roman" w:hAnsi="Times New Roman" w:cs="Times New Roman"/>
        </w:rPr>
        <w:t>集输管线路由比选</w:t>
      </w:r>
    </w:p>
    <w:p>
      <w:pPr>
        <w:ind w:firstLine="480"/>
        <w:rPr>
          <w:rFonts w:ascii="Times New Roman" w:hAnsi="Times New Roman"/>
        </w:rPr>
      </w:pPr>
      <w:r>
        <w:rPr>
          <w:rFonts w:ascii="Times New Roman" w:hAnsi="Times New Roman"/>
        </w:rPr>
        <w:t>本工程宣探集气支线及宣探联络线线路路由较短，且山区段，可选路由较少，故不再对这两条管道路由进行比选，仅对宣探集气干线路由进行比选。</w:t>
      </w:r>
    </w:p>
    <w:p>
      <w:pPr>
        <w:ind w:firstLine="480"/>
        <w:rPr>
          <w:rFonts w:ascii="Times New Roman" w:hAnsi="Times New Roman"/>
        </w:rPr>
      </w:pPr>
      <w:r>
        <w:rPr>
          <w:rFonts w:ascii="Times New Roman" w:hAnsi="Times New Roman"/>
        </w:rPr>
        <w:t>（1）路由方案</w:t>
      </w:r>
    </w:p>
    <w:p>
      <w:pPr>
        <w:ind w:firstLine="480"/>
        <w:rPr>
          <w:rFonts w:ascii="Times New Roman" w:hAnsi="Times New Roman"/>
        </w:rPr>
      </w:pPr>
      <w:r>
        <w:rPr>
          <w:rFonts w:ascii="Times New Roman" w:hAnsi="Times New Roman"/>
        </w:rPr>
        <w:t>集气干线总体上存在西线、中线、东线3 条大路由比选方案，其中：西线方案：结合清管站A、B 两个比选站址和沿线施工困难段情况，可细分为3 个子方案；中线方案：结合1 号、2 号阀室之间施工困难段情况，可细分为2 个子方案；具体如下：</w:t>
      </w:r>
    </w:p>
    <w:p>
      <w:pPr>
        <w:ind w:firstLine="480"/>
        <w:rPr>
          <w:rFonts w:ascii="Times New Roman" w:hAnsi="Times New Roman"/>
        </w:rPr>
      </w:pPr>
      <w:r>
        <w:rPr>
          <w:rFonts w:ascii="Times New Roman" w:hAnsi="Times New Roman"/>
        </w:rPr>
        <w:t>西线方案1-1：沿中石化管线敷设，全长13.3km，清管站A+横切坡+起伏小+拆迁少；</w:t>
      </w:r>
    </w:p>
    <w:p>
      <w:pPr>
        <w:ind w:firstLine="480"/>
        <w:rPr>
          <w:rFonts w:ascii="Times New Roman" w:hAnsi="Times New Roman"/>
        </w:rPr>
      </w:pPr>
      <w:r>
        <w:rPr>
          <w:rFonts w:ascii="Times New Roman" w:hAnsi="Times New Roman"/>
        </w:rPr>
        <w:t>西线方案1-2：沿中石化管线敷设，全长15.3km，清管站B+横切坡+起伏大+拆迁少；</w:t>
      </w:r>
    </w:p>
    <w:p>
      <w:pPr>
        <w:ind w:firstLine="480"/>
        <w:rPr>
          <w:rFonts w:ascii="Times New Roman" w:hAnsi="Times New Roman"/>
        </w:rPr>
      </w:pPr>
      <w:r>
        <w:rPr>
          <w:rFonts w:ascii="Times New Roman" w:hAnsi="Times New Roman"/>
        </w:rPr>
        <w:t>西线方案1-3：沿中石化管线敷设，全长16.2km，清管站B+高陡坡+起伏大+拆迁少；</w:t>
      </w:r>
    </w:p>
    <w:p>
      <w:pPr>
        <w:ind w:firstLine="480"/>
        <w:rPr>
          <w:rFonts w:ascii="Times New Roman" w:hAnsi="Times New Roman"/>
        </w:rPr>
      </w:pPr>
      <w:r>
        <w:rPr>
          <w:rFonts w:ascii="Times New Roman" w:hAnsi="Times New Roman"/>
        </w:rPr>
        <w:t>中线方案2-1：沿山脊敷设，全长14.4km，清管站B+峡谷/高陡坡+起伏大+拆迁适中；</w:t>
      </w:r>
    </w:p>
    <w:p>
      <w:pPr>
        <w:ind w:firstLine="480"/>
        <w:rPr>
          <w:rFonts w:ascii="Times New Roman" w:hAnsi="Times New Roman"/>
        </w:rPr>
      </w:pPr>
      <w:r>
        <w:rPr>
          <w:rFonts w:ascii="Times New Roman" w:hAnsi="Times New Roman"/>
        </w:rPr>
        <w:t>中线方案2-2：沿山脊敷设，全长14.6km，清管站B+起伏小+拆迁较多；</w:t>
      </w:r>
    </w:p>
    <w:p>
      <w:pPr>
        <w:ind w:firstLine="480"/>
        <w:rPr>
          <w:rFonts w:ascii="Times New Roman" w:hAnsi="Times New Roman"/>
        </w:rPr>
      </w:pPr>
      <w:r>
        <w:rPr>
          <w:rFonts w:ascii="Times New Roman" w:hAnsi="Times New Roman"/>
        </w:rPr>
        <w:t>东线方案3：沿山顶平台敷设，全长13km，清管站B+起伏小+拆迁最多。</w:t>
      </w:r>
    </w:p>
    <w:p>
      <w:pPr>
        <w:ind w:firstLine="480"/>
        <w:rPr>
          <w:rFonts w:ascii="Times New Roman" w:hAnsi="Times New Roman"/>
        </w:rPr>
      </w:pPr>
      <w:r>
        <w:rPr>
          <w:rFonts w:ascii="Times New Roman" w:hAnsi="Times New Roman"/>
        </w:rPr>
        <w:t>五条路由方案的示意图见</w:t>
      </w:r>
      <w:r>
        <w:rPr>
          <w:rFonts w:ascii="Times New Roman" w:hAnsi="Times New Roman"/>
        </w:rPr>
        <w:fldChar w:fldCharType="begin"/>
      </w:r>
      <w:r>
        <w:rPr>
          <w:rFonts w:ascii="Times New Roman" w:hAnsi="Times New Roman"/>
        </w:rPr>
        <w:instrText xml:space="preserve"> REF _Ref154592151 \h  \* MERGEFORMAT </w:instrText>
      </w:r>
      <w:r>
        <w:rPr>
          <w:rFonts w:ascii="Times New Roman" w:hAnsi="Times New Roman"/>
        </w:rPr>
        <w:fldChar w:fldCharType="separate"/>
      </w:r>
      <w:r>
        <w:rPr>
          <w:rFonts w:ascii="Times New Roman" w:hAnsi="Times New Roman"/>
        </w:rPr>
        <w:t>图 11</w:t>
      </w:r>
      <w:r>
        <w:rPr>
          <w:rFonts w:ascii="Times New Roman" w:hAnsi="Times New Roman"/>
        </w:rPr>
        <w:noBreakHyphen/>
      </w:r>
      <w:r>
        <w:rPr>
          <w:rFonts w:ascii="Times New Roman" w:hAnsi="Times New Roman"/>
        </w:rPr>
        <w:t>4</w:t>
      </w:r>
      <w:r>
        <w:rPr>
          <w:rFonts w:ascii="Times New Roman" w:hAnsi="Times New Roman"/>
        </w:rPr>
        <w:fldChar w:fldCharType="end"/>
      </w:r>
      <w:r>
        <w:rPr>
          <w:rFonts w:ascii="Times New Roman" w:hAnsi="Times New Roman"/>
        </w:rPr>
        <w:t>。</w:t>
      </w:r>
    </w:p>
    <w:p>
      <w:pPr>
        <w:ind w:firstLine="0" w:firstLineChars="0"/>
        <w:rPr>
          <w:rFonts w:ascii="Times New Roman" w:hAnsi="Times New Roman"/>
        </w:rPr>
      </w:pPr>
      <w:r>
        <w:rPr>
          <w:rFonts w:ascii="Times New Roman" w:hAnsi="Times New Roman"/>
        </w:rPr>
        <w:drawing>
          <wp:inline distT="0" distB="0" distL="0" distR="0">
            <wp:extent cx="5274310" cy="5695315"/>
            <wp:effectExtent l="0" t="0" r="2540" b="635"/>
            <wp:docPr id="7367067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706761" name="图片 1"/>
                    <pic:cNvPicPr>
                      <a:picLocks noChangeAspect="1"/>
                    </pic:cNvPicPr>
                  </pic:nvPicPr>
                  <pic:blipFill>
                    <a:blip r:embed="rId181"/>
                    <a:stretch>
                      <a:fillRect/>
                    </a:stretch>
                  </pic:blipFill>
                  <pic:spPr>
                    <a:xfrm>
                      <a:off x="0" y="0"/>
                      <a:ext cx="5274310" cy="5695315"/>
                    </a:xfrm>
                    <a:prstGeom prst="rect">
                      <a:avLst/>
                    </a:prstGeom>
                  </pic:spPr>
                </pic:pic>
              </a:graphicData>
            </a:graphic>
          </wp:inline>
        </w:drawing>
      </w:r>
    </w:p>
    <w:p>
      <w:pPr>
        <w:pStyle w:val="37"/>
        <w:rPr>
          <w:rFonts w:ascii="Times New Roman" w:hAnsi="Times New Roman" w:cs="Times New Roman"/>
        </w:rPr>
      </w:pPr>
      <w:bookmarkStart w:id="433" w:name="_Ref154592151"/>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bookmarkEnd w:id="433"/>
      <w:r>
        <w:rPr>
          <w:rFonts w:ascii="Times New Roman" w:hAnsi="Times New Roman" w:cs="Times New Roman"/>
        </w:rPr>
        <w:t xml:space="preserve">  本项目路由比选图</w:t>
      </w:r>
    </w:p>
    <w:p>
      <w:pPr>
        <w:ind w:firstLine="480"/>
        <w:rPr>
          <w:rFonts w:ascii="Times New Roman" w:hAnsi="Times New Roman"/>
        </w:rPr>
      </w:pPr>
      <w:r>
        <w:rPr>
          <w:rFonts w:ascii="Times New Roman" w:hAnsi="Times New Roman"/>
        </w:rPr>
        <w:t>（2）路由方案比选分析</w:t>
      </w:r>
    </w:p>
    <w:p>
      <w:pPr>
        <w:ind w:firstLine="480"/>
        <w:rPr>
          <w:rFonts w:ascii="Times New Roman" w:hAnsi="Times New Roman"/>
        </w:rPr>
      </w:pPr>
      <w:r>
        <w:rPr>
          <w:rFonts w:ascii="Times New Roman" w:hAnsi="Times New Roman"/>
        </w:rPr>
        <w:t>鉴于宣探清管站的最终选址，西线方案1-2和1-3不作为本次评价的比选路由，即本次评价的比选路由为四条，即西线方案1-1，中线方案2-1、2-2和东线方案。</w:t>
      </w:r>
    </w:p>
    <w:p>
      <w:pPr>
        <w:ind w:firstLine="480"/>
        <w:rPr>
          <w:rFonts w:ascii="Times New Roman" w:hAnsi="Times New Roman"/>
        </w:rPr>
      </w:pPr>
      <w:r>
        <w:rPr>
          <w:rFonts w:ascii="Times New Roman" w:hAnsi="Times New Roman"/>
        </w:rPr>
        <w:t>四个方案的路由比选情况见</w:t>
      </w:r>
      <w:r>
        <w:rPr>
          <w:rFonts w:ascii="Times New Roman" w:hAnsi="Times New Roman"/>
        </w:rPr>
        <w:fldChar w:fldCharType="begin"/>
      </w:r>
      <w:r>
        <w:rPr>
          <w:rFonts w:ascii="Times New Roman" w:hAnsi="Times New Roman"/>
        </w:rPr>
        <w:instrText xml:space="preserve"> REF _Ref154593480 \h  \* MERGEFORMAT </w:instrText>
      </w:r>
      <w:r>
        <w:rPr>
          <w:rFonts w:ascii="Times New Roman" w:hAnsi="Times New Roman"/>
        </w:rPr>
        <w:fldChar w:fldCharType="separate"/>
      </w:r>
      <w:r>
        <w:rPr>
          <w:rFonts w:ascii="Times New Roman" w:hAnsi="Times New Roman"/>
        </w:rPr>
        <w:t>表 11</w:t>
      </w:r>
      <w:r>
        <w:rPr>
          <w:rFonts w:ascii="Times New Roman" w:hAnsi="Times New Roman"/>
        </w:rPr>
        <w:noBreakHyphen/>
      </w:r>
      <w:r>
        <w:rPr>
          <w:rFonts w:ascii="Times New Roman" w:hAnsi="Times New Roman"/>
        </w:rPr>
        <w:t>8</w:t>
      </w:r>
      <w:r>
        <w:rPr>
          <w:rFonts w:ascii="Times New Roman" w:hAnsi="Times New Roman"/>
        </w:rPr>
        <w:fldChar w:fldCharType="end"/>
      </w:r>
      <w:r>
        <w:rPr>
          <w:rFonts w:ascii="Times New Roman" w:hAnsi="Times New Roman"/>
        </w:rPr>
        <w:t>，由表可以看出：</w:t>
      </w:r>
    </w:p>
    <w:p>
      <w:pPr>
        <w:ind w:firstLine="480"/>
        <w:rPr>
          <w:rFonts w:ascii="Times New Roman" w:hAnsi="Times New Roman"/>
        </w:rPr>
      </w:pPr>
      <w:r>
        <w:rPr>
          <w:rFonts w:ascii="Times New Roman" w:hAnsi="Times New Roman"/>
        </w:rPr>
        <w:t>西线方案1-1线路约5km管线沿百里峡风景名胜区的边界，施工期对其环境影响较大，发生风险事故后对其环境影响也较大；另外因其与中石化管道并行敷设，距离较进，因此施工期发生环境事故的风险较大。因此不推荐。</w:t>
      </w:r>
    </w:p>
    <w:p>
      <w:pPr>
        <w:ind w:firstLine="480"/>
        <w:rPr>
          <w:rFonts w:ascii="Times New Roman" w:hAnsi="Times New Roman"/>
        </w:rPr>
      </w:pPr>
      <w:r>
        <w:rPr>
          <w:rFonts w:ascii="Times New Roman" w:hAnsi="Times New Roman"/>
        </w:rPr>
        <w:t>东线方案沿线居民较多，拆迁协调难度大，且由于沿线居民较密集，运营期发生环境风险事故后影响的人数较多，故不推荐。</w:t>
      </w:r>
    </w:p>
    <w:p>
      <w:pPr>
        <w:ind w:firstLine="480"/>
        <w:rPr>
          <w:rFonts w:ascii="Times New Roman" w:hAnsi="Times New Roman"/>
        </w:rPr>
      </w:pPr>
      <w:r>
        <w:rPr>
          <w:rFonts w:ascii="Times New Roman" w:hAnsi="Times New Roman"/>
        </w:rPr>
        <w:t>中线方案2-1和中线方案2-2较西线和东线方案基本不存在上述问题，因此综合比选来看中线方案是对环境影响相对较小的方案，另外由于中线方案2-1途径峡谷/高陡坡，起伏大等地形，存在施工难度较大，且施工难度大，安全运行风险大等问题，故推荐中线方案2-2。</w:t>
      </w:r>
    </w:p>
    <w:p>
      <w:pPr>
        <w:pStyle w:val="37"/>
        <w:rPr>
          <w:rFonts w:ascii="Times New Roman" w:hAnsi="Times New Roman" w:cs="Times New Roman"/>
        </w:rPr>
      </w:pPr>
      <w:bookmarkStart w:id="434" w:name="_Ref154593480"/>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bookmarkEnd w:id="434"/>
      <w:r>
        <w:rPr>
          <w:rFonts w:ascii="Times New Roman" w:hAnsi="Times New Roman" w:cs="Times New Roman"/>
        </w:rPr>
        <w:t xml:space="preserve">  路由方案比选表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1"/>
        <w:gridCol w:w="1721"/>
        <w:gridCol w:w="1721"/>
        <w:gridCol w:w="1515"/>
        <w:gridCol w:w="1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1" w:type="dxa"/>
            <w:vAlign w:val="center"/>
          </w:tcPr>
          <w:p>
            <w:pPr>
              <w:pStyle w:val="39"/>
              <w:rPr>
                <w:rFonts w:ascii="Times New Roman" w:hAnsi="Times New Roman"/>
              </w:rPr>
            </w:pPr>
            <w:r>
              <w:rPr>
                <w:rFonts w:ascii="Times New Roman" w:hAnsi="Times New Roman"/>
              </w:rPr>
              <w:t>路由方案</w:t>
            </w:r>
          </w:p>
        </w:tc>
        <w:tc>
          <w:tcPr>
            <w:tcW w:w="1721" w:type="dxa"/>
            <w:vAlign w:val="center"/>
          </w:tcPr>
          <w:p>
            <w:pPr>
              <w:pStyle w:val="39"/>
              <w:rPr>
                <w:rFonts w:ascii="Times New Roman" w:hAnsi="Times New Roman"/>
              </w:rPr>
            </w:pPr>
            <w:r>
              <w:rPr>
                <w:rFonts w:ascii="Times New Roman" w:hAnsi="Times New Roman"/>
              </w:rPr>
              <w:t>西线方案1-1</w:t>
            </w:r>
          </w:p>
        </w:tc>
        <w:tc>
          <w:tcPr>
            <w:tcW w:w="1721" w:type="dxa"/>
            <w:vAlign w:val="center"/>
          </w:tcPr>
          <w:p>
            <w:pPr>
              <w:pStyle w:val="39"/>
              <w:rPr>
                <w:rFonts w:ascii="Times New Roman" w:hAnsi="Times New Roman"/>
              </w:rPr>
            </w:pPr>
            <w:r>
              <w:rPr>
                <w:rFonts w:ascii="Times New Roman" w:hAnsi="Times New Roman"/>
              </w:rPr>
              <w:t>中线方案2-1</w:t>
            </w:r>
          </w:p>
        </w:tc>
        <w:tc>
          <w:tcPr>
            <w:tcW w:w="1515" w:type="dxa"/>
            <w:vAlign w:val="center"/>
          </w:tcPr>
          <w:p>
            <w:pPr>
              <w:pStyle w:val="39"/>
              <w:rPr>
                <w:rFonts w:ascii="Times New Roman" w:hAnsi="Times New Roman"/>
              </w:rPr>
            </w:pPr>
            <w:r>
              <w:rPr>
                <w:rFonts w:ascii="Times New Roman" w:hAnsi="Times New Roman"/>
              </w:rPr>
              <w:t>中线方案2-2</w:t>
            </w:r>
          </w:p>
        </w:tc>
        <w:tc>
          <w:tcPr>
            <w:tcW w:w="1668" w:type="dxa"/>
            <w:vAlign w:val="center"/>
          </w:tcPr>
          <w:p>
            <w:pPr>
              <w:pStyle w:val="39"/>
              <w:rPr>
                <w:rFonts w:ascii="Times New Roman" w:hAnsi="Times New Roman"/>
              </w:rPr>
            </w:pPr>
            <w:r>
              <w:rPr>
                <w:rFonts w:ascii="Times New Roman" w:hAnsi="Times New Roman"/>
              </w:rPr>
              <w:t>东线方案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1" w:type="dxa"/>
            <w:vAlign w:val="center"/>
          </w:tcPr>
          <w:p>
            <w:pPr>
              <w:pStyle w:val="39"/>
              <w:rPr>
                <w:rFonts w:ascii="Times New Roman" w:hAnsi="Times New Roman"/>
              </w:rPr>
            </w:pPr>
            <w:r>
              <w:rPr>
                <w:rFonts w:ascii="Times New Roman" w:hAnsi="Times New Roman"/>
              </w:rPr>
              <w:t>管线长度</w:t>
            </w:r>
          </w:p>
        </w:tc>
        <w:tc>
          <w:tcPr>
            <w:tcW w:w="1721" w:type="dxa"/>
            <w:vAlign w:val="center"/>
          </w:tcPr>
          <w:p>
            <w:pPr>
              <w:pStyle w:val="39"/>
              <w:rPr>
                <w:rFonts w:ascii="Times New Roman" w:hAnsi="Times New Roman"/>
              </w:rPr>
            </w:pPr>
            <w:r>
              <w:rPr>
                <w:rFonts w:ascii="Times New Roman" w:hAnsi="Times New Roman"/>
              </w:rPr>
              <w:t>13.3km</w:t>
            </w:r>
          </w:p>
        </w:tc>
        <w:tc>
          <w:tcPr>
            <w:tcW w:w="1721" w:type="dxa"/>
            <w:vAlign w:val="center"/>
          </w:tcPr>
          <w:p>
            <w:pPr>
              <w:pStyle w:val="39"/>
              <w:rPr>
                <w:rFonts w:ascii="Times New Roman" w:hAnsi="Times New Roman"/>
              </w:rPr>
            </w:pPr>
            <w:r>
              <w:rPr>
                <w:rFonts w:ascii="Times New Roman" w:hAnsi="Times New Roman"/>
              </w:rPr>
              <w:t>14.4km</w:t>
            </w:r>
          </w:p>
        </w:tc>
        <w:tc>
          <w:tcPr>
            <w:tcW w:w="1515" w:type="dxa"/>
            <w:vAlign w:val="center"/>
          </w:tcPr>
          <w:p>
            <w:pPr>
              <w:pStyle w:val="39"/>
              <w:rPr>
                <w:rFonts w:ascii="Times New Roman" w:hAnsi="Times New Roman"/>
              </w:rPr>
            </w:pPr>
            <w:r>
              <w:rPr>
                <w:rFonts w:ascii="Times New Roman" w:hAnsi="Times New Roman"/>
              </w:rPr>
              <w:t>14.6km</w:t>
            </w:r>
          </w:p>
        </w:tc>
        <w:tc>
          <w:tcPr>
            <w:tcW w:w="1668" w:type="dxa"/>
            <w:vAlign w:val="center"/>
          </w:tcPr>
          <w:p>
            <w:pPr>
              <w:pStyle w:val="39"/>
              <w:rPr>
                <w:rFonts w:ascii="Times New Roman" w:hAnsi="Times New Roman"/>
              </w:rPr>
            </w:pPr>
            <w:r>
              <w:rPr>
                <w:rFonts w:ascii="Times New Roman" w:hAnsi="Times New Roman"/>
              </w:rPr>
              <w:t>13km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1" w:type="dxa"/>
            <w:vAlign w:val="center"/>
          </w:tcPr>
          <w:p>
            <w:pPr>
              <w:pStyle w:val="39"/>
              <w:rPr>
                <w:rFonts w:ascii="Times New Roman" w:hAnsi="Times New Roman"/>
              </w:rPr>
            </w:pPr>
            <w:r>
              <w:rPr>
                <w:rFonts w:ascii="Times New Roman" w:hAnsi="Times New Roman"/>
              </w:rPr>
              <w:t>是否穿越生态保护红线</w:t>
            </w:r>
          </w:p>
        </w:tc>
        <w:tc>
          <w:tcPr>
            <w:tcW w:w="1721" w:type="dxa"/>
            <w:vAlign w:val="center"/>
          </w:tcPr>
          <w:p>
            <w:pPr>
              <w:pStyle w:val="39"/>
              <w:rPr>
                <w:rFonts w:ascii="Times New Roman" w:hAnsi="Times New Roman"/>
              </w:rPr>
            </w:pPr>
            <w:r>
              <w:rPr>
                <w:rFonts w:ascii="Times New Roman" w:hAnsi="Times New Roman"/>
              </w:rPr>
              <w:t>否</w:t>
            </w:r>
          </w:p>
        </w:tc>
        <w:tc>
          <w:tcPr>
            <w:tcW w:w="1721" w:type="dxa"/>
            <w:vAlign w:val="center"/>
          </w:tcPr>
          <w:p>
            <w:pPr>
              <w:pStyle w:val="39"/>
              <w:rPr>
                <w:rFonts w:ascii="Times New Roman" w:hAnsi="Times New Roman"/>
              </w:rPr>
            </w:pPr>
            <w:r>
              <w:rPr>
                <w:rFonts w:ascii="Times New Roman" w:hAnsi="Times New Roman"/>
              </w:rPr>
              <w:t>否</w:t>
            </w:r>
          </w:p>
        </w:tc>
        <w:tc>
          <w:tcPr>
            <w:tcW w:w="1515" w:type="dxa"/>
            <w:vAlign w:val="center"/>
          </w:tcPr>
          <w:p>
            <w:pPr>
              <w:pStyle w:val="39"/>
              <w:rPr>
                <w:rFonts w:ascii="Times New Roman" w:hAnsi="Times New Roman"/>
              </w:rPr>
            </w:pPr>
            <w:r>
              <w:rPr>
                <w:rFonts w:ascii="Times New Roman" w:hAnsi="Times New Roman"/>
              </w:rPr>
              <w:t>否</w:t>
            </w:r>
          </w:p>
        </w:tc>
        <w:tc>
          <w:tcPr>
            <w:tcW w:w="1668" w:type="dxa"/>
            <w:vAlign w:val="center"/>
          </w:tcPr>
          <w:p>
            <w:pPr>
              <w:pStyle w:val="39"/>
              <w:rPr>
                <w:rFonts w:ascii="Times New Roman" w:hAnsi="Times New Roman"/>
              </w:rPr>
            </w:pPr>
            <w:r>
              <w:rPr>
                <w:rFonts w:ascii="Times New Roman" w:hAnsi="Times New Roma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1" w:type="dxa"/>
            <w:vAlign w:val="center"/>
          </w:tcPr>
          <w:p>
            <w:pPr>
              <w:pStyle w:val="39"/>
              <w:rPr>
                <w:rFonts w:ascii="Times New Roman" w:hAnsi="Times New Roman"/>
              </w:rPr>
            </w:pPr>
            <w:r>
              <w:rPr>
                <w:rFonts w:ascii="Times New Roman" w:hAnsi="Times New Roman"/>
              </w:rPr>
              <w:t>100m拆迁户数</w:t>
            </w:r>
          </w:p>
        </w:tc>
        <w:tc>
          <w:tcPr>
            <w:tcW w:w="1721" w:type="dxa"/>
            <w:vAlign w:val="center"/>
          </w:tcPr>
          <w:p>
            <w:pPr>
              <w:pStyle w:val="39"/>
              <w:rPr>
                <w:rFonts w:ascii="Times New Roman" w:hAnsi="Times New Roman"/>
              </w:rPr>
            </w:pPr>
            <w:r>
              <w:rPr>
                <w:rFonts w:ascii="Times New Roman" w:hAnsi="Times New Roman"/>
              </w:rPr>
              <w:t>20</w:t>
            </w:r>
          </w:p>
        </w:tc>
        <w:tc>
          <w:tcPr>
            <w:tcW w:w="1721" w:type="dxa"/>
            <w:vAlign w:val="center"/>
          </w:tcPr>
          <w:p>
            <w:pPr>
              <w:pStyle w:val="39"/>
              <w:rPr>
                <w:rFonts w:ascii="Times New Roman" w:hAnsi="Times New Roman"/>
              </w:rPr>
            </w:pPr>
            <w:r>
              <w:rPr>
                <w:rFonts w:ascii="Times New Roman" w:hAnsi="Times New Roman"/>
              </w:rPr>
              <w:t>30</w:t>
            </w:r>
          </w:p>
        </w:tc>
        <w:tc>
          <w:tcPr>
            <w:tcW w:w="1515" w:type="dxa"/>
            <w:vAlign w:val="center"/>
          </w:tcPr>
          <w:p>
            <w:pPr>
              <w:pStyle w:val="39"/>
              <w:rPr>
                <w:rFonts w:ascii="Times New Roman" w:hAnsi="Times New Roman"/>
              </w:rPr>
            </w:pPr>
            <w:r>
              <w:rPr>
                <w:rFonts w:ascii="Times New Roman" w:hAnsi="Times New Roman"/>
              </w:rPr>
              <w:t>40</w:t>
            </w:r>
          </w:p>
        </w:tc>
        <w:tc>
          <w:tcPr>
            <w:tcW w:w="1668" w:type="dxa"/>
            <w:vAlign w:val="center"/>
          </w:tcPr>
          <w:p>
            <w:pPr>
              <w:pStyle w:val="39"/>
              <w:rPr>
                <w:rFonts w:ascii="Times New Roman" w:hAnsi="Times New Roman"/>
              </w:rPr>
            </w:pPr>
            <w:r>
              <w:rPr>
                <w:rFonts w:ascii="Times New Roman" w:hAnsi="Times New Roman"/>
              </w:rPr>
              <w:t>90，拆迁协调难度大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1" w:type="dxa"/>
            <w:vAlign w:val="center"/>
          </w:tcPr>
          <w:p>
            <w:pPr>
              <w:pStyle w:val="39"/>
              <w:rPr>
                <w:rFonts w:ascii="Times New Roman" w:hAnsi="Times New Roman"/>
              </w:rPr>
            </w:pPr>
            <w:r>
              <w:rPr>
                <w:rFonts w:ascii="Times New Roman" w:hAnsi="Times New Roman"/>
              </w:rPr>
              <w:t>200m范围内居民</w:t>
            </w:r>
          </w:p>
        </w:tc>
        <w:tc>
          <w:tcPr>
            <w:tcW w:w="1721" w:type="dxa"/>
            <w:vAlign w:val="center"/>
          </w:tcPr>
          <w:p>
            <w:pPr>
              <w:pStyle w:val="39"/>
              <w:rPr>
                <w:rFonts w:ascii="Times New Roman" w:hAnsi="Times New Roman"/>
              </w:rPr>
            </w:pPr>
            <w:r>
              <w:rPr>
                <w:rFonts w:ascii="Times New Roman" w:hAnsi="Times New Roman"/>
              </w:rPr>
              <w:t>和中线方案相当</w:t>
            </w:r>
          </w:p>
        </w:tc>
        <w:tc>
          <w:tcPr>
            <w:tcW w:w="1721" w:type="dxa"/>
            <w:vAlign w:val="center"/>
          </w:tcPr>
          <w:p>
            <w:pPr>
              <w:pStyle w:val="39"/>
              <w:rPr>
                <w:rFonts w:ascii="Times New Roman" w:hAnsi="Times New Roman"/>
              </w:rPr>
            </w:pPr>
            <w:r>
              <w:rPr>
                <w:rFonts w:ascii="Times New Roman" w:hAnsi="Times New Roman"/>
              </w:rPr>
              <w:t>和西线方案相当</w:t>
            </w:r>
          </w:p>
        </w:tc>
        <w:tc>
          <w:tcPr>
            <w:tcW w:w="1515" w:type="dxa"/>
            <w:vAlign w:val="center"/>
          </w:tcPr>
          <w:p>
            <w:pPr>
              <w:pStyle w:val="39"/>
              <w:rPr>
                <w:rFonts w:ascii="Times New Roman" w:hAnsi="Times New Roman"/>
              </w:rPr>
            </w:pPr>
            <w:r>
              <w:rPr>
                <w:rFonts w:ascii="Times New Roman" w:hAnsi="Times New Roman"/>
              </w:rPr>
              <w:t>较东线方案较少</w:t>
            </w:r>
          </w:p>
        </w:tc>
        <w:tc>
          <w:tcPr>
            <w:tcW w:w="1668" w:type="dxa"/>
            <w:vAlign w:val="center"/>
          </w:tcPr>
          <w:p>
            <w:pPr>
              <w:pStyle w:val="39"/>
              <w:rPr>
                <w:rFonts w:ascii="Times New Roman" w:hAnsi="Times New Roman"/>
              </w:rPr>
            </w:pPr>
            <w:r>
              <w:rPr>
                <w:rFonts w:ascii="Times New Roman" w:hAnsi="Times New Roman"/>
              </w:rPr>
              <w:t>沿线居民较多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1" w:type="dxa"/>
            <w:vAlign w:val="center"/>
          </w:tcPr>
          <w:p>
            <w:pPr>
              <w:pStyle w:val="39"/>
              <w:rPr>
                <w:rFonts w:ascii="Times New Roman" w:hAnsi="Times New Roman"/>
              </w:rPr>
            </w:pPr>
            <w:r>
              <w:rPr>
                <w:rFonts w:ascii="Times New Roman" w:hAnsi="Times New Roman"/>
              </w:rPr>
              <w:t>施工难易程度</w:t>
            </w:r>
          </w:p>
        </w:tc>
        <w:tc>
          <w:tcPr>
            <w:tcW w:w="1721" w:type="dxa"/>
            <w:vAlign w:val="center"/>
          </w:tcPr>
          <w:p>
            <w:pPr>
              <w:pStyle w:val="39"/>
              <w:rPr>
                <w:rFonts w:ascii="Times New Roman" w:hAnsi="Times New Roman"/>
              </w:rPr>
            </w:pPr>
            <w:r>
              <w:rPr>
                <w:rFonts w:ascii="Times New Roman" w:hAnsi="Times New Roman"/>
              </w:rPr>
              <w:t>深沟穿跨越2 处、约 2km 横切坡段特殊水保措施滑坡风险治理</w:t>
            </w:r>
          </w:p>
        </w:tc>
        <w:tc>
          <w:tcPr>
            <w:tcW w:w="1721" w:type="dxa"/>
            <w:vAlign w:val="center"/>
          </w:tcPr>
          <w:p>
            <w:pPr>
              <w:pStyle w:val="39"/>
              <w:rPr>
                <w:rFonts w:ascii="Times New Roman" w:hAnsi="Times New Roman"/>
              </w:rPr>
            </w:pPr>
            <w:r>
              <w:rPr>
                <w:rFonts w:ascii="Times New Roman" w:hAnsi="Times New Roman"/>
              </w:rPr>
              <w:t>2处500米高差长陡坡施工困难段</w:t>
            </w:r>
          </w:p>
        </w:tc>
        <w:tc>
          <w:tcPr>
            <w:tcW w:w="1515" w:type="dxa"/>
            <w:vAlign w:val="center"/>
          </w:tcPr>
          <w:p>
            <w:pPr>
              <w:pStyle w:val="39"/>
              <w:rPr>
                <w:rFonts w:ascii="Times New Roman" w:hAnsi="Times New Roman"/>
              </w:rPr>
            </w:pPr>
            <w:r>
              <w:rPr>
                <w:rFonts w:ascii="Times New Roman" w:hAnsi="Times New Roman"/>
              </w:rPr>
              <w:t>起伏小，施工难度较低</w:t>
            </w:r>
          </w:p>
        </w:tc>
        <w:tc>
          <w:tcPr>
            <w:tcW w:w="1668" w:type="dxa"/>
            <w:vAlign w:val="center"/>
          </w:tcPr>
          <w:p>
            <w:pPr>
              <w:pStyle w:val="39"/>
              <w:rPr>
                <w:rFonts w:ascii="Times New Roman" w:hAnsi="Times New Roman"/>
              </w:rPr>
            </w:pPr>
            <w:r>
              <w:rPr>
                <w:rFonts w:ascii="Times New Roman" w:hAnsi="Times New Roman"/>
              </w:rPr>
              <w:t>2处500米高差长陡坡施工困难段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1" w:type="dxa"/>
            <w:vAlign w:val="center"/>
          </w:tcPr>
          <w:p>
            <w:pPr>
              <w:pStyle w:val="39"/>
              <w:rPr>
                <w:rFonts w:ascii="Times New Roman" w:hAnsi="Times New Roman"/>
              </w:rPr>
            </w:pPr>
            <w:r>
              <w:rPr>
                <w:rFonts w:ascii="Times New Roman" w:hAnsi="Times New Roman"/>
              </w:rPr>
              <w:t>与百里峡风景名胜区的位置关系</w:t>
            </w:r>
          </w:p>
        </w:tc>
        <w:tc>
          <w:tcPr>
            <w:tcW w:w="1721" w:type="dxa"/>
            <w:vAlign w:val="center"/>
          </w:tcPr>
          <w:p>
            <w:pPr>
              <w:pStyle w:val="39"/>
              <w:rPr>
                <w:rFonts w:ascii="Times New Roman" w:hAnsi="Times New Roman"/>
              </w:rPr>
            </w:pPr>
            <w:r>
              <w:rPr>
                <w:rFonts w:ascii="Times New Roman" w:hAnsi="Times New Roman"/>
              </w:rPr>
              <w:t>约有5km管线沿百里峡风景名胜区的边界，发生风险事故后对其环境影响较大</w:t>
            </w:r>
          </w:p>
        </w:tc>
        <w:tc>
          <w:tcPr>
            <w:tcW w:w="1721" w:type="dxa"/>
            <w:vAlign w:val="center"/>
          </w:tcPr>
          <w:p>
            <w:pPr>
              <w:pStyle w:val="39"/>
              <w:rPr>
                <w:rFonts w:ascii="Times New Roman" w:hAnsi="Times New Roman"/>
              </w:rPr>
            </w:pPr>
            <w:r>
              <w:rPr>
                <w:rFonts w:ascii="Times New Roman" w:hAnsi="Times New Roman"/>
              </w:rPr>
              <w:t>和东线方案相当</w:t>
            </w:r>
          </w:p>
        </w:tc>
        <w:tc>
          <w:tcPr>
            <w:tcW w:w="1515" w:type="dxa"/>
            <w:vAlign w:val="center"/>
          </w:tcPr>
          <w:p>
            <w:pPr>
              <w:pStyle w:val="39"/>
              <w:rPr>
                <w:rFonts w:ascii="Times New Roman" w:hAnsi="Times New Roman"/>
              </w:rPr>
            </w:pPr>
            <w:r>
              <w:rPr>
                <w:rFonts w:ascii="Times New Roman" w:hAnsi="Times New Roman"/>
              </w:rPr>
              <w:t>和东线方案相当</w:t>
            </w:r>
          </w:p>
        </w:tc>
        <w:tc>
          <w:tcPr>
            <w:tcW w:w="1668" w:type="dxa"/>
            <w:vAlign w:val="center"/>
          </w:tcPr>
          <w:p>
            <w:pPr>
              <w:pStyle w:val="39"/>
              <w:rPr>
                <w:rFonts w:ascii="Times New Roman" w:hAnsi="Times New Roman"/>
              </w:rPr>
            </w:pPr>
            <w:r>
              <w:rPr>
                <w:rFonts w:ascii="Times New Roman" w:hAnsi="Times New Roman"/>
              </w:rPr>
              <w:t>和中线方案相当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1" w:type="dxa"/>
            <w:vAlign w:val="center"/>
          </w:tcPr>
          <w:p>
            <w:pPr>
              <w:pStyle w:val="39"/>
              <w:rPr>
                <w:rFonts w:ascii="Times New Roman" w:hAnsi="Times New Roman"/>
              </w:rPr>
            </w:pPr>
            <w:r>
              <w:rPr>
                <w:rFonts w:ascii="Times New Roman" w:hAnsi="Times New Roman"/>
              </w:rPr>
              <w:t>施工期生态影响</w:t>
            </w:r>
          </w:p>
        </w:tc>
        <w:tc>
          <w:tcPr>
            <w:tcW w:w="1721" w:type="dxa"/>
            <w:vAlign w:val="center"/>
          </w:tcPr>
          <w:p>
            <w:pPr>
              <w:pStyle w:val="39"/>
              <w:rPr>
                <w:rFonts w:ascii="Times New Roman" w:hAnsi="Times New Roman"/>
              </w:rPr>
            </w:pPr>
            <w:r>
              <w:rPr>
                <w:rFonts w:ascii="Times New Roman" w:hAnsi="Times New Roman"/>
              </w:rPr>
              <w:t>线路较长施工期临时占地较多，相对的对生态环境影响较大</w:t>
            </w:r>
          </w:p>
        </w:tc>
        <w:tc>
          <w:tcPr>
            <w:tcW w:w="1721" w:type="dxa"/>
            <w:vAlign w:val="center"/>
          </w:tcPr>
          <w:p>
            <w:pPr>
              <w:pStyle w:val="39"/>
              <w:rPr>
                <w:rFonts w:ascii="Times New Roman" w:hAnsi="Times New Roman"/>
              </w:rPr>
            </w:pPr>
            <w:r>
              <w:rPr>
                <w:rFonts w:ascii="Times New Roman" w:hAnsi="Times New Roman"/>
              </w:rPr>
              <w:t>和中线方案2-2相当</w:t>
            </w:r>
          </w:p>
        </w:tc>
        <w:tc>
          <w:tcPr>
            <w:tcW w:w="1515" w:type="dxa"/>
            <w:vAlign w:val="center"/>
          </w:tcPr>
          <w:p>
            <w:pPr>
              <w:pStyle w:val="39"/>
              <w:rPr>
                <w:rFonts w:ascii="Times New Roman" w:hAnsi="Times New Roman"/>
              </w:rPr>
            </w:pPr>
            <w:r>
              <w:rPr>
                <w:rFonts w:ascii="Times New Roman" w:hAnsi="Times New Roman"/>
              </w:rPr>
              <w:t>和中线方案2-1相当</w:t>
            </w:r>
          </w:p>
        </w:tc>
        <w:tc>
          <w:tcPr>
            <w:tcW w:w="1668" w:type="dxa"/>
            <w:vAlign w:val="center"/>
          </w:tcPr>
          <w:p>
            <w:pPr>
              <w:pStyle w:val="39"/>
              <w:rPr>
                <w:rFonts w:ascii="Times New Roman" w:hAnsi="Times New Roman"/>
              </w:rPr>
            </w:pPr>
            <w:r>
              <w:rPr>
                <w:rFonts w:ascii="Times New Roman" w:hAnsi="Times New Roman"/>
              </w:rPr>
              <w:t>和中线方案相当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1" w:type="dxa"/>
            <w:vAlign w:val="center"/>
          </w:tcPr>
          <w:p>
            <w:pPr>
              <w:pStyle w:val="39"/>
              <w:rPr>
                <w:rFonts w:ascii="Times New Roman" w:hAnsi="Times New Roman"/>
              </w:rPr>
            </w:pPr>
            <w:r>
              <w:rPr>
                <w:rFonts w:ascii="Times New Roman" w:hAnsi="Times New Roman"/>
              </w:rPr>
              <w:t>环境风险</w:t>
            </w:r>
          </w:p>
        </w:tc>
        <w:tc>
          <w:tcPr>
            <w:tcW w:w="1721" w:type="dxa"/>
            <w:vAlign w:val="center"/>
          </w:tcPr>
          <w:p>
            <w:pPr>
              <w:pStyle w:val="39"/>
              <w:rPr>
                <w:rFonts w:ascii="Times New Roman" w:hAnsi="Times New Roman"/>
              </w:rPr>
            </w:pPr>
            <w:r>
              <w:rPr>
                <w:rFonts w:ascii="Times New Roman" w:hAnsi="Times New Roman"/>
              </w:rPr>
              <w:t>与中石化在运行的管道距离较劲，施工期发生环境事故的风险较大</w:t>
            </w:r>
          </w:p>
        </w:tc>
        <w:tc>
          <w:tcPr>
            <w:tcW w:w="1721" w:type="dxa"/>
            <w:vAlign w:val="center"/>
          </w:tcPr>
          <w:p>
            <w:pPr>
              <w:pStyle w:val="39"/>
              <w:rPr>
                <w:rFonts w:ascii="Times New Roman" w:hAnsi="Times New Roman"/>
              </w:rPr>
            </w:pPr>
            <w:r>
              <w:rPr>
                <w:rFonts w:ascii="Times New Roman" w:hAnsi="Times New Roman"/>
              </w:rPr>
              <w:t>沿线居民较稀疏，运营期发生环境风险事故后影响的人数较少，但管线起伏大，施工难度大，安全运行风险大</w:t>
            </w:r>
          </w:p>
        </w:tc>
        <w:tc>
          <w:tcPr>
            <w:tcW w:w="1515" w:type="dxa"/>
            <w:vAlign w:val="center"/>
          </w:tcPr>
          <w:p>
            <w:pPr>
              <w:pStyle w:val="39"/>
              <w:rPr>
                <w:rFonts w:ascii="Times New Roman" w:hAnsi="Times New Roman"/>
              </w:rPr>
            </w:pPr>
            <w:r>
              <w:rPr>
                <w:rFonts w:ascii="Times New Roman" w:hAnsi="Times New Roman"/>
              </w:rPr>
              <w:t>沿线居民虽较中线方案2-1分布多一些，但是管线起伏较小，安全运行风险小，运维管理难度较小</w:t>
            </w:r>
          </w:p>
        </w:tc>
        <w:tc>
          <w:tcPr>
            <w:tcW w:w="1668" w:type="dxa"/>
            <w:vAlign w:val="center"/>
          </w:tcPr>
          <w:p>
            <w:pPr>
              <w:pStyle w:val="39"/>
              <w:rPr>
                <w:rFonts w:ascii="Times New Roman" w:hAnsi="Times New Roman"/>
              </w:rPr>
            </w:pPr>
            <w:r>
              <w:rPr>
                <w:rFonts w:ascii="Times New Roman" w:hAnsi="Times New Roman"/>
              </w:rPr>
              <w:t>沿线居民较密集，运营期发生环境风险事故后影响的人数较多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1" w:type="dxa"/>
            <w:vAlign w:val="center"/>
          </w:tcPr>
          <w:p>
            <w:pPr>
              <w:pStyle w:val="39"/>
              <w:rPr>
                <w:rFonts w:ascii="Times New Roman" w:hAnsi="Times New Roman"/>
              </w:rPr>
            </w:pPr>
            <w:r>
              <w:rPr>
                <w:rFonts w:ascii="Times New Roman" w:hAnsi="Times New Roman"/>
              </w:rPr>
              <w:t>推荐方案</w:t>
            </w:r>
          </w:p>
        </w:tc>
        <w:tc>
          <w:tcPr>
            <w:tcW w:w="1721" w:type="dxa"/>
            <w:vAlign w:val="center"/>
          </w:tcPr>
          <w:p>
            <w:pPr>
              <w:pStyle w:val="39"/>
              <w:rPr>
                <w:rFonts w:ascii="Times New Roman" w:hAnsi="Times New Roman"/>
              </w:rPr>
            </w:pPr>
          </w:p>
        </w:tc>
        <w:tc>
          <w:tcPr>
            <w:tcW w:w="4904" w:type="dxa"/>
            <w:gridSpan w:val="3"/>
            <w:vAlign w:val="center"/>
          </w:tcPr>
          <w:p>
            <w:pPr>
              <w:pStyle w:val="39"/>
              <w:rPr>
                <w:rFonts w:ascii="Times New Roman" w:hAnsi="Times New Roman"/>
              </w:rPr>
            </w:pPr>
            <w:r>
              <w:rPr>
                <w:rFonts w:ascii="Times New Roman" w:hAnsi="Times New Roman"/>
              </w:rPr>
              <w:t>中线方案2-2</w:t>
            </w:r>
          </w:p>
        </w:tc>
      </w:tr>
    </w:tbl>
    <w:p>
      <w:pPr>
        <w:pStyle w:val="4"/>
        <w:rPr>
          <w:rFonts w:ascii="Times New Roman" w:hAnsi="Times New Roman" w:cs="Times New Roman"/>
        </w:rPr>
      </w:pPr>
      <w:r>
        <w:rPr>
          <w:rFonts w:ascii="Times New Roman" w:hAnsi="Times New Roman" w:cs="Times New Roman"/>
        </w:rPr>
        <w:t>清溪河的不可避绕性和穿越方式唯一性分析</w:t>
      </w:r>
    </w:p>
    <w:p>
      <w:pPr>
        <w:ind w:firstLine="480"/>
        <w:rPr>
          <w:rFonts w:ascii="Times New Roman" w:hAnsi="Times New Roman"/>
        </w:rPr>
      </w:pPr>
      <w:r>
        <w:rPr>
          <w:rFonts w:ascii="Times New Roman" w:hAnsi="Times New Roman"/>
        </w:rPr>
        <w:t>本项目集输管道穿越清溪河1次，清溪河为东西走向的河流，宣探1井站和宣兴1井站分别位于该河的南北两侧，因此集气支线对该条河流无法避绕。</w:t>
      </w:r>
    </w:p>
    <w:p>
      <w:pPr>
        <w:ind w:firstLine="480"/>
        <w:rPr>
          <w:rFonts w:ascii="Times New Roman" w:hAnsi="Times New Roman"/>
        </w:rPr>
      </w:pPr>
      <w:r>
        <w:rPr>
          <w:rFonts w:ascii="Times New Roman" w:hAnsi="Times New Roman"/>
        </w:rPr>
        <w:t>本项目采用半围堰开挖的方式穿越清溪河，在枯水期进行施工，施工现场图见</w:t>
      </w:r>
      <w:r>
        <w:rPr>
          <w:rFonts w:ascii="Times New Roman" w:hAnsi="Times New Roman"/>
        </w:rPr>
        <w:fldChar w:fldCharType="begin"/>
      </w:r>
      <w:r>
        <w:rPr>
          <w:rFonts w:ascii="Times New Roman" w:hAnsi="Times New Roman"/>
        </w:rPr>
        <w:instrText xml:space="preserve"> REF _Ref161128167 \h  \* MERGEFORMAT </w:instrText>
      </w:r>
      <w:r>
        <w:rPr>
          <w:rFonts w:ascii="Times New Roman" w:hAnsi="Times New Roman"/>
        </w:rPr>
        <w:fldChar w:fldCharType="separate"/>
      </w:r>
      <w:r>
        <w:rPr>
          <w:rFonts w:ascii="Times New Roman" w:hAnsi="Times New Roman"/>
        </w:rPr>
        <w:t>图 6</w:t>
      </w:r>
      <w:r>
        <w:rPr>
          <w:rFonts w:ascii="Times New Roman" w:hAnsi="Times New Roman"/>
        </w:rPr>
        <w:noBreakHyphen/>
      </w:r>
      <w:r>
        <w:rPr>
          <w:rFonts w:ascii="Times New Roman" w:hAnsi="Times New Roman"/>
        </w:rPr>
        <w:t>19</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由于清溪河穿越处两岸均为陡坡，尤其是北岸为急陡坡（两岸高程详见</w:t>
      </w:r>
      <w:r>
        <w:rPr>
          <w:rFonts w:ascii="Times New Roman" w:hAnsi="Times New Roman"/>
        </w:rPr>
        <w:fldChar w:fldCharType="begin"/>
      </w:r>
      <w:r>
        <w:rPr>
          <w:rFonts w:ascii="Times New Roman" w:hAnsi="Times New Roman"/>
        </w:rPr>
        <w:instrText xml:space="preserve"> REF _Ref161842685 \h  \* MERGEFORMAT </w:instrText>
      </w:r>
      <w:r>
        <w:rPr>
          <w:rFonts w:ascii="Times New Roman" w:hAnsi="Times New Roman"/>
        </w:rPr>
        <w:fldChar w:fldCharType="separate"/>
      </w:r>
      <w:r>
        <w:rPr>
          <w:rFonts w:ascii="Times New Roman" w:hAnsi="Times New Roman"/>
        </w:rPr>
        <w:t>图 11</w:t>
      </w:r>
      <w:r>
        <w:rPr>
          <w:rFonts w:ascii="Times New Roman" w:hAnsi="Times New Roman"/>
        </w:rPr>
        <w:noBreakHyphen/>
      </w:r>
      <w:r>
        <w:rPr>
          <w:rFonts w:ascii="Times New Roman" w:hAnsi="Times New Roman"/>
        </w:rPr>
        <w:t>5</w:t>
      </w:r>
      <w:r>
        <w:rPr>
          <w:rFonts w:ascii="Times New Roman" w:hAnsi="Times New Roman"/>
        </w:rPr>
        <w:fldChar w:fldCharType="end"/>
      </w:r>
      <w:r>
        <w:rPr>
          <w:rFonts w:ascii="Times New Roman" w:hAnsi="Times New Roman"/>
        </w:rPr>
        <w:t>），无定向钻施工场地，也即现场无法进行定向钻出入土场及回拖管线场地的布置。因此只能采用开挖方式穿越。半围堰开挖方式较全围堰方式更能保证河水顺畅流通，因此对水生生态的影响较小；在围堰内进行管沟的开挖和填埋，因此大大减少了施工过程中对河流水质悬浮物的影响。</w:t>
      </w:r>
    </w:p>
    <w:p>
      <w:pPr>
        <w:ind w:firstLine="480"/>
        <w:rPr>
          <w:rFonts w:ascii="Times New Roman" w:hAnsi="Times New Roman"/>
        </w:rPr>
      </w:pPr>
      <w:r>
        <w:rPr>
          <w:rFonts w:ascii="Times New Roman" w:hAnsi="Times New Roman"/>
        </w:rPr>
        <w:t>根据历年观测，枯水期水面宽约6～7m，水深小于1m。施工采用半围堰方式施工，施工时长约15天，对清溪河水质及下游饮用水源保护区影响较小。</w:t>
      </w:r>
    </w:p>
    <w:p>
      <w:pPr>
        <w:ind w:firstLine="0" w:firstLineChars="0"/>
        <w:jc w:val="center"/>
        <w:rPr>
          <w:rFonts w:ascii="Times New Roman" w:hAnsi="Times New Roman"/>
        </w:rPr>
      </w:pPr>
      <w:r>
        <w:rPr>
          <w:rFonts w:ascii="Times New Roman" w:hAnsi="Times New Roman"/>
        </w:rPr>
        <w:drawing>
          <wp:inline distT="0" distB="0" distL="0" distR="0">
            <wp:extent cx="5274310" cy="4036695"/>
            <wp:effectExtent l="19050" t="19050" r="21590" b="20955"/>
            <wp:docPr id="1703790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90145" name="图片 1"/>
                    <pic:cNvPicPr>
                      <a:picLocks noChangeAspect="1"/>
                    </pic:cNvPicPr>
                  </pic:nvPicPr>
                  <pic:blipFill>
                    <a:blip r:embed="rId182"/>
                    <a:stretch>
                      <a:fillRect/>
                    </a:stretch>
                  </pic:blipFill>
                  <pic:spPr>
                    <a:xfrm>
                      <a:off x="0" y="0"/>
                      <a:ext cx="5274310" cy="4036695"/>
                    </a:xfrm>
                    <a:prstGeom prst="rect">
                      <a:avLst/>
                    </a:prstGeom>
                    <a:ln w="12700">
                      <a:solidFill>
                        <a:schemeClr val="tx1"/>
                      </a:solidFill>
                    </a:ln>
                  </pic:spPr>
                </pic:pic>
              </a:graphicData>
            </a:graphic>
          </wp:inline>
        </w:drawing>
      </w:r>
    </w:p>
    <w:p>
      <w:pPr>
        <w:pStyle w:val="37"/>
        <w:rPr>
          <w:rFonts w:ascii="Times New Roman" w:hAnsi="Times New Roman" w:cs="Times New Roman"/>
        </w:rPr>
      </w:pPr>
      <w:bookmarkStart w:id="435" w:name="_Ref161842685"/>
      <w:r>
        <w:rPr>
          <w:rFonts w:ascii="Times New Roman" w:hAnsi="Times New Roman" w:cs="Times New Roman"/>
        </w:rPr>
        <w:t xml:space="preserve">图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图 \* ARABIC \s 1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bookmarkEnd w:id="435"/>
      <w:r>
        <w:rPr>
          <w:rFonts w:ascii="Times New Roman" w:hAnsi="Times New Roman" w:cs="Times New Roman"/>
        </w:rPr>
        <w:t xml:space="preserve">  清溪河穿越处两岸高程示意图</w:t>
      </w:r>
    </w:p>
    <w:p>
      <w:pPr>
        <w:pStyle w:val="4"/>
        <w:rPr>
          <w:rFonts w:ascii="Times New Roman" w:hAnsi="Times New Roman" w:cs="Times New Roman"/>
        </w:rPr>
      </w:pPr>
      <w:r>
        <w:rPr>
          <w:rFonts w:ascii="Times New Roman" w:hAnsi="Times New Roman" w:cs="Times New Roman"/>
        </w:rPr>
        <w:t>井场、阀室等选址合理性分析</w:t>
      </w:r>
    </w:p>
    <w:p>
      <w:pPr>
        <w:ind w:firstLine="480"/>
        <w:rPr>
          <w:rFonts w:ascii="Times New Roman" w:hAnsi="Times New Roman"/>
        </w:rPr>
      </w:pPr>
      <w:r>
        <w:rPr>
          <w:rFonts w:ascii="Times New Roman" w:hAnsi="Times New Roman"/>
        </w:rPr>
        <w:t>宣探1井站和宣兴1井站均为现有井站，井站的占地不涉及自然保护区、森林公园、风景名胜区、地质公园、湿地公园、水产种质资源保护区等生态敏感区。井站占地为基本农田，2021年12月29日，宣汉县自然资源局分别出具了《宣汉县自然资源局关于对宣探1井钻井工程使用临时用地的批复》（宣自然资审临〔2021〕29号）（见附件4）；2023年5月12日，达州市自然资源和规划局出具了《达州市自然资源和规划局》关于宣兴1井钻前工程项目临时用地的批复》（达市自然资规函〔2023〕575号）（见附件5）。宣探1井站按照200m执行安全防护距离，宣兴1井站按照209m执行安全防护距离，对安全防护距离内的居民进行拆迁。</w:t>
      </w:r>
    </w:p>
    <w:p>
      <w:pPr>
        <w:ind w:firstLine="480"/>
        <w:rPr>
          <w:rFonts w:ascii="Times New Roman" w:hAnsi="Times New Roman"/>
        </w:rPr>
      </w:pPr>
      <w:r>
        <w:rPr>
          <w:rFonts w:ascii="Times New Roman" w:hAnsi="Times New Roman"/>
        </w:rPr>
        <w:t>阀室和清管站根据线路定线后的走向，就近选址，以避开基本农田和公益林等环境敏感区，符合土地使用政策，地质条件良好，公路依托条件良好为选址原则。阀室和清管站的占地不涉及自然保护区、森林公园、风景名胜区、地质公园、湿地公园、水产种质资源保护区等生态敏感区，也不占用基本农田。另外，宣探清管站按照200m执行安全防护距离对防护距离内的居民进行拆迁。2023年12月8日，宣汉县自然资源局出具了《宣汉县自然资源局关于确认西南油气田桃花气田宣探1井组飞仙关组气藏试采产能建设项目工程阀室、清管站、维抢修队选址事宜复函》（宣自然资函〔2023〕242号）（见附件6，原则同意该项目的选址方案。</w:t>
      </w:r>
    </w:p>
    <w:p>
      <w:pPr>
        <w:ind w:firstLine="480"/>
        <w:rPr>
          <w:rFonts w:ascii="Times New Roman" w:hAnsi="Times New Roman"/>
        </w:rPr>
      </w:pPr>
      <w:r>
        <w:rPr>
          <w:rFonts w:ascii="Times New Roman" w:hAnsi="Times New Roman"/>
        </w:rPr>
        <w:t>综上，本项目的站场选址考虑了气象、水文、地质、地震等危害因素，同时考虑了建设项目的环境影响，生产过程的卫生特征及有害因素危害状况，和保护人群健康需要。选址周围无密集的居民区及学校、医疗机构、娱乐场所，选址避免了环境敏感区、饮用水源地和固体废弃物堆放点等，选址可行。</w:t>
      </w:r>
    </w:p>
    <w:p>
      <w:pPr>
        <w:widowControl/>
        <w:spacing w:line="240" w:lineRule="auto"/>
        <w:ind w:firstLine="0" w:firstLineChars="0"/>
        <w:rPr>
          <w:rFonts w:ascii="Times New Roman" w:hAnsi="Times New Roman"/>
        </w:rPr>
      </w:pPr>
    </w:p>
    <w:p>
      <w:pPr>
        <w:widowControl/>
        <w:spacing w:line="240" w:lineRule="auto"/>
        <w:ind w:firstLine="0" w:firstLineChars="0"/>
        <w:rPr>
          <w:rFonts w:ascii="Times New Roman" w:hAnsi="Times New Roman"/>
        </w:rPr>
      </w:pPr>
    </w:p>
    <w:p>
      <w:pPr>
        <w:widowControl/>
        <w:spacing w:line="240" w:lineRule="auto"/>
        <w:ind w:firstLine="0" w:firstLineChars="0"/>
        <w:rPr>
          <w:rFonts w:ascii="Times New Roman" w:hAnsi="Times New Roman"/>
        </w:rPr>
      </w:pPr>
      <w:r>
        <w:rPr>
          <w:rFonts w:ascii="Times New Roman" w:hAnsi="Times New Roman"/>
        </w:rPr>
        <w:br w:type="page"/>
      </w:r>
    </w:p>
    <w:p>
      <w:pPr>
        <w:pStyle w:val="2"/>
        <w:rPr>
          <w:rFonts w:ascii="Times New Roman" w:hAnsi="Times New Roman" w:cs="Times New Roman"/>
        </w:rPr>
      </w:pPr>
      <w:bookmarkStart w:id="436" w:name="_Toc162339472"/>
      <w:r>
        <w:rPr>
          <w:rFonts w:ascii="Times New Roman" w:hAnsi="Times New Roman" w:cs="Times New Roman"/>
        </w:rPr>
        <w:t>环境管理与监测计划</w:t>
      </w:r>
      <w:bookmarkEnd w:id="436"/>
    </w:p>
    <w:p>
      <w:pPr>
        <w:pStyle w:val="3"/>
        <w:rPr>
          <w:rFonts w:ascii="Times New Roman" w:hAnsi="Times New Roman" w:cs="Times New Roman"/>
        </w:rPr>
      </w:pPr>
      <w:bookmarkStart w:id="437" w:name="_Toc162339473"/>
      <w:r>
        <w:rPr>
          <w:rFonts w:ascii="Times New Roman" w:hAnsi="Times New Roman" w:cs="Times New Roman"/>
        </w:rPr>
        <w:t>环境管理</w:t>
      </w:r>
      <w:bookmarkEnd w:id="437"/>
    </w:p>
    <w:p>
      <w:pPr>
        <w:pStyle w:val="4"/>
        <w:rPr>
          <w:rFonts w:ascii="Times New Roman" w:hAnsi="Times New Roman" w:cs="Times New Roman"/>
        </w:rPr>
      </w:pPr>
      <w:r>
        <w:rPr>
          <w:rFonts w:ascii="Times New Roman" w:hAnsi="Times New Roman" w:cs="Times New Roman"/>
        </w:rPr>
        <w:t>管理体系</w:t>
      </w:r>
    </w:p>
    <w:p>
      <w:pPr>
        <w:ind w:firstLine="480"/>
        <w:rPr>
          <w:rFonts w:ascii="Times New Roman" w:hAnsi="Times New Roman"/>
        </w:rPr>
      </w:pPr>
      <w:r>
        <w:rPr>
          <w:rFonts w:ascii="Times New Roman" w:hAnsi="Times New Roman"/>
        </w:rPr>
        <w:t>中国石油天然气集团有限公司的安全、环境与健康管理体系(简称HSE 体系)是按：规划(PLAN)—实施(DO)—验证(CHECK)—改进(ACTION)运行模式来建立的，即PDCA模式。HSE目标为追求零伤害、零污染、零事故，在健康、安全与环境管理方面达到国际同行业先进水平，HSE方针为以人为本，预防为主；全员参与，持续改进。</w:t>
      </w:r>
    </w:p>
    <w:p>
      <w:pPr>
        <w:ind w:firstLine="480"/>
        <w:rPr>
          <w:rFonts w:ascii="Times New Roman" w:hAnsi="Times New Roman"/>
        </w:rPr>
      </w:pPr>
      <w:r>
        <w:rPr>
          <w:rFonts w:ascii="Times New Roman" w:hAnsi="Times New Roman"/>
        </w:rPr>
        <w:t>HSE管理体系着眼于持续改进，采用PDCA模式，实现动态循环。通过持续改进，使体系得到不断完善。同时，按适当的时间间隔对HSE进行审核和评审，以确保其持续改进的适应性和有效性。</w:t>
      </w:r>
    </w:p>
    <w:p>
      <w:pPr>
        <w:ind w:firstLine="480"/>
        <w:rPr>
          <w:rFonts w:ascii="Times New Roman" w:hAnsi="Times New Roman"/>
        </w:rPr>
      </w:pPr>
      <w:r>
        <w:rPr>
          <w:rFonts w:ascii="Times New Roman" w:hAnsi="Times New Roman"/>
        </w:rPr>
        <w:t>目前，中国石油天然气集团有限公司正在大力推进HSE体系建设，进一步完善HSE政策和制度标准、深化HSE风险管理、加大HSE宣传和培训力度、加强HSE管理体系审核和指导、加强HSE管理国际合作，公司已经形成了适合中国石油的HSE管理体系。</w:t>
      </w:r>
    </w:p>
    <w:p>
      <w:pPr>
        <w:ind w:firstLine="480"/>
        <w:rPr>
          <w:rFonts w:ascii="Times New Roman" w:hAnsi="Times New Roman"/>
        </w:rPr>
      </w:pPr>
      <w:r>
        <w:rPr>
          <w:rFonts w:ascii="Times New Roman" w:hAnsi="Times New Roman"/>
        </w:rPr>
        <w:t>结合本项目实际，建设单位严格执行中国石油天然气集团有限公司《健康、安全与环境管理体系第1部分：规范</w:t>
      </w:r>
      <w:r>
        <w:rPr>
          <w:rFonts w:hint="eastAsia" w:ascii="Times New Roman" w:hAnsi="Times New Roman"/>
          <w:lang w:eastAsia="zh-CN"/>
        </w:rPr>
        <w:t>》《</w:t>
      </w:r>
      <w:r>
        <w:rPr>
          <w:rFonts w:ascii="Times New Roman" w:hAnsi="Times New Roman"/>
        </w:rPr>
        <w:t>健康、安全与环境管理体系第2部分：实施指南</w:t>
      </w:r>
      <w:r>
        <w:rPr>
          <w:rFonts w:hint="eastAsia" w:ascii="Times New Roman" w:hAnsi="Times New Roman"/>
          <w:lang w:eastAsia="zh-CN"/>
        </w:rPr>
        <w:t>》《</w:t>
      </w:r>
      <w:r>
        <w:rPr>
          <w:rFonts w:ascii="Times New Roman" w:hAnsi="Times New Roman"/>
        </w:rPr>
        <w:t>健康、安全与环境初始状态评审指南》等规范要求，建立HSE管理体系，包括员工健康管理、交通安全管理、IIF培训、应急管理、承包商安全管理、事故调查与分析、环境监督与控制等。</w:t>
      </w:r>
    </w:p>
    <w:p>
      <w:pPr>
        <w:ind w:firstLine="480"/>
        <w:rPr>
          <w:rFonts w:ascii="Times New Roman" w:hAnsi="Times New Roman"/>
        </w:rPr>
      </w:pPr>
      <w:r>
        <w:rPr>
          <w:rFonts w:ascii="Times New Roman" w:hAnsi="Times New Roman"/>
        </w:rPr>
        <w:t>在项目的建设和运行期间，所有雇用的承包商都应该采用HSE 管理体系，对项目执行过程中员工健康、安全及环境进行有效管理，并接受本项目HSE 管理体系，参与无事故无伤害(IIF)和优良作业(OE)的定期培训，达到相应的监督要求。</w:t>
      </w:r>
    </w:p>
    <w:p>
      <w:pPr>
        <w:pStyle w:val="4"/>
        <w:rPr>
          <w:rFonts w:ascii="Times New Roman" w:hAnsi="Times New Roman" w:cs="Times New Roman"/>
        </w:rPr>
      </w:pPr>
      <w:r>
        <w:rPr>
          <w:rFonts w:ascii="Times New Roman" w:hAnsi="Times New Roman" w:cs="Times New Roman"/>
        </w:rPr>
        <w:t>管理要求</w:t>
      </w:r>
    </w:p>
    <w:p>
      <w:pPr>
        <w:ind w:firstLine="480"/>
        <w:rPr>
          <w:rFonts w:ascii="Times New Roman" w:hAnsi="Times New Roman"/>
        </w:rPr>
      </w:pPr>
      <w:r>
        <w:rPr>
          <w:rFonts w:ascii="Times New Roman" w:hAnsi="Times New Roman"/>
        </w:rPr>
        <w:t>建设单位必须在现有的HSE管理体系及环境监控制度下，对建设项目进行HSE全面管理，保证工程在建设和运营过程中的各项工作都受到有效的环境管理和环境监控。</w:t>
      </w:r>
    </w:p>
    <w:p>
      <w:pPr>
        <w:ind w:firstLine="480"/>
        <w:rPr>
          <w:rFonts w:ascii="Times New Roman" w:hAnsi="Times New Roman"/>
        </w:rPr>
      </w:pPr>
      <w:r>
        <w:rPr>
          <w:rFonts w:ascii="Times New Roman" w:hAnsi="Times New Roman"/>
        </w:rPr>
        <w:t>本项目施工活动大多在野外，为最大限度地减少野外施工对自然生态环境和农业生态环境的破坏，建设单位必须制定严格的HSE管理体制，并加强HSE宣传，严格执行各项管理措施，实施各作业环节的HSE监督。</w:t>
      </w:r>
    </w:p>
    <w:p>
      <w:pPr>
        <w:ind w:firstLine="480"/>
        <w:rPr>
          <w:rFonts w:ascii="Times New Roman" w:hAnsi="Times New Roman"/>
        </w:rPr>
      </w:pPr>
      <w:r>
        <w:rPr>
          <w:rFonts w:ascii="Times New Roman" w:hAnsi="Times New Roman"/>
        </w:rPr>
        <w:t>（1）承包商管理</w:t>
      </w:r>
    </w:p>
    <w:p>
      <w:pPr>
        <w:ind w:firstLine="480"/>
        <w:rPr>
          <w:rFonts w:ascii="Times New Roman" w:hAnsi="Times New Roman"/>
        </w:rPr>
      </w:pPr>
      <w:r>
        <w:rPr>
          <w:rFonts w:ascii="Times New Roman" w:hAnsi="Times New Roman"/>
        </w:rPr>
        <w:t>在施工承包合同中，应该包括有关环境保护条款，如生态保护措施，水土保持措施，施工设备排放的废气、噪声控制措施和环境保护目标，环境监测和监控措施，环保专项资金的落实等。</w:t>
      </w:r>
    </w:p>
    <w:p>
      <w:pPr>
        <w:ind w:firstLine="480"/>
        <w:rPr>
          <w:rFonts w:ascii="Times New Roman" w:hAnsi="Times New Roman"/>
        </w:rPr>
      </w:pPr>
      <w:r>
        <w:rPr>
          <w:rFonts w:ascii="Times New Roman" w:hAnsi="Times New Roman"/>
        </w:rPr>
        <w:t>建设单位在与承包商签订经济合同的同时，应与承包商签订《HSE管理合同》，明确建设单位与承包商的HSE 管理权利、责任和义务；钻井工程开钻前，建设单位组织成立开钻验收小组进行开钻验收；项目负责人对现场作业各相关方的HSE职责进行明确分工，定期开展HSE检查或者审核，现场按要求严格进行设备的安全检查和防护、防火防爆、硫化氢防护、井控等安全管理，加强应急、环保、健康等管理。</w:t>
      </w:r>
    </w:p>
    <w:p>
      <w:pPr>
        <w:ind w:firstLine="480"/>
        <w:rPr>
          <w:rFonts w:ascii="Times New Roman" w:hAnsi="Times New Roman"/>
        </w:rPr>
      </w:pPr>
      <w:r>
        <w:rPr>
          <w:rFonts w:ascii="Times New Roman" w:hAnsi="Times New Roman"/>
        </w:rPr>
        <w:t>建设方应设专人负责施工作业HSE的贯彻执行，主要职责在于监督承包商履行承包合同，监督施工作业进程，制定施工作业的环境保护规定。在实施HSE管理中，建设单位应注意以下几个方面的措施：</w:t>
      </w:r>
    </w:p>
    <w:p>
      <w:pPr>
        <w:ind w:firstLine="480"/>
        <w:rPr>
          <w:rFonts w:ascii="Times New Roman" w:hAnsi="Times New Roman"/>
        </w:rPr>
      </w:pPr>
      <w:r>
        <w:rPr>
          <w:rFonts w:ascii="Times New Roman" w:hAnsi="Times New Roman"/>
        </w:rPr>
        <w:t>1）根据施工作业合同中有关环保要求和各作业特点，分别制定各项环保措施。如在施工线路的踏勘与清理中，要求在保证安全和顺利施工的情况下，尽量限制作业带的宽度，减少对土地的征用及植被、作物的人为破坏，禁止猎杀野生动物；挖掘出的土石方堆放要选择合适场所，不能堵塞自然排水沟，并修筑必要的挡拦设施以防止水土流失；在车辆运输中，要事先确定路线，防止车辆油料及物料装运的泄漏等。</w:t>
      </w:r>
    </w:p>
    <w:p>
      <w:pPr>
        <w:ind w:firstLine="480"/>
        <w:rPr>
          <w:rFonts w:ascii="Times New Roman" w:hAnsi="Times New Roman"/>
        </w:rPr>
      </w:pPr>
      <w:r>
        <w:rPr>
          <w:rFonts w:ascii="Times New Roman" w:hAnsi="Times New Roman"/>
        </w:rPr>
        <w:t>2）营运期的环保设施运转管理和节水措施。</w:t>
      </w:r>
    </w:p>
    <w:p>
      <w:pPr>
        <w:ind w:firstLine="480"/>
        <w:rPr>
          <w:rFonts w:ascii="Times New Roman" w:hAnsi="Times New Roman"/>
        </w:rPr>
      </w:pPr>
      <w:r>
        <w:rPr>
          <w:rFonts w:ascii="Times New Roman" w:hAnsi="Times New Roman"/>
        </w:rPr>
        <w:t>3）管线巡查和植被恢复情况监控。</w:t>
      </w:r>
    </w:p>
    <w:p>
      <w:pPr>
        <w:ind w:firstLine="480"/>
        <w:rPr>
          <w:rFonts w:ascii="Times New Roman" w:hAnsi="Times New Roman"/>
        </w:rPr>
      </w:pPr>
      <w:r>
        <w:rPr>
          <w:rFonts w:ascii="Times New Roman" w:hAnsi="Times New Roman"/>
        </w:rPr>
        <w:t>4）监督实施相应作业生产活动的环境监测。</w:t>
      </w:r>
    </w:p>
    <w:p>
      <w:pPr>
        <w:ind w:firstLine="480"/>
        <w:rPr>
          <w:rFonts w:ascii="Times New Roman" w:hAnsi="Times New Roman"/>
        </w:rPr>
      </w:pPr>
      <w:r>
        <w:rPr>
          <w:rFonts w:ascii="Times New Roman" w:hAnsi="Times New Roman"/>
        </w:rPr>
        <w:t>5）实施施工作业人员、企业员工的环保培训，加强环保意识。</w:t>
      </w:r>
    </w:p>
    <w:p>
      <w:pPr>
        <w:ind w:firstLine="480"/>
        <w:rPr>
          <w:rFonts w:ascii="Times New Roman" w:hAnsi="Times New Roman"/>
        </w:rPr>
      </w:pPr>
      <w:r>
        <w:rPr>
          <w:rFonts w:ascii="Times New Roman" w:hAnsi="Times New Roman"/>
        </w:rPr>
        <w:t>6）制定事故应急处理预案，实施应急方案演练。</w:t>
      </w:r>
    </w:p>
    <w:p>
      <w:pPr>
        <w:ind w:firstLine="480"/>
        <w:rPr>
          <w:rFonts w:ascii="Times New Roman" w:hAnsi="Times New Roman"/>
        </w:rPr>
      </w:pPr>
      <w:r>
        <w:rPr>
          <w:rFonts w:ascii="Times New Roman" w:hAnsi="Times New Roman"/>
        </w:rPr>
        <w:t>7）实行清洁生产管理，不断完善清洁生产措施。</w:t>
      </w:r>
    </w:p>
    <w:p>
      <w:pPr>
        <w:ind w:firstLine="480"/>
        <w:rPr>
          <w:rFonts w:ascii="Times New Roman" w:hAnsi="Times New Roman"/>
        </w:rPr>
      </w:pPr>
      <w:r>
        <w:rPr>
          <w:rFonts w:ascii="Times New Roman" w:hAnsi="Times New Roman"/>
        </w:rPr>
        <w:t>8）退役期的环境管理和环境监测。</w:t>
      </w:r>
    </w:p>
    <w:p>
      <w:pPr>
        <w:ind w:firstLine="480"/>
        <w:rPr>
          <w:rFonts w:ascii="Times New Roman" w:hAnsi="Times New Roman"/>
        </w:rPr>
      </w:pPr>
      <w:r>
        <w:rPr>
          <w:rFonts w:ascii="Times New Roman" w:hAnsi="Times New Roman"/>
        </w:rPr>
        <w:t>（2）管理计划</w:t>
      </w:r>
    </w:p>
    <w:p>
      <w:pPr>
        <w:ind w:firstLine="480"/>
        <w:rPr>
          <w:rFonts w:ascii="Times New Roman" w:hAnsi="Times New Roman"/>
        </w:rPr>
      </w:pPr>
      <w:r>
        <w:rPr>
          <w:rFonts w:ascii="Times New Roman" w:hAnsi="Times New Roman"/>
        </w:rPr>
        <w:t>1）根据项目施工期、运营期的特点、所在地区的自然生态环境、社会环境状况以及当地政府有关环境保护的法规等，分别制定相应的环保工作计划，计划中要考虑项目建设过程中可能出现的紧急情况，并明确处理紧急情况的协调及提交相关的恢复措施报告，要求制定并定期演练事故应急处理预案。</w:t>
      </w:r>
    </w:p>
    <w:p>
      <w:pPr>
        <w:ind w:firstLine="480"/>
        <w:rPr>
          <w:rFonts w:ascii="Times New Roman" w:hAnsi="Times New Roman"/>
        </w:rPr>
      </w:pPr>
      <w:r>
        <w:rPr>
          <w:rFonts w:ascii="Times New Roman" w:hAnsi="Times New Roman"/>
        </w:rPr>
        <w:t>2）施工结束后的恢复计划</w:t>
      </w:r>
    </w:p>
    <w:p>
      <w:pPr>
        <w:ind w:firstLine="480"/>
        <w:rPr>
          <w:rFonts w:ascii="Times New Roman" w:hAnsi="Times New Roman"/>
        </w:rPr>
      </w:pPr>
      <w:r>
        <w:rPr>
          <w:rFonts w:ascii="Times New Roman" w:hAnsi="Times New Roman"/>
        </w:rPr>
        <w:t>施工前必须制定恢复计划，主要包括：收集所有的施工材料废弃物和生活废弃物、填实污水坑并用土压实，尽量恢复工区内的自然排水通道，保护和恢复林地格局、植被、野生动植物，并对现场作业环境和营地环境恢复情况进行回访等。</w:t>
      </w:r>
    </w:p>
    <w:p>
      <w:pPr>
        <w:ind w:firstLine="480"/>
        <w:rPr>
          <w:rFonts w:ascii="Times New Roman" w:hAnsi="Times New Roman"/>
        </w:rPr>
      </w:pPr>
      <w:r>
        <w:rPr>
          <w:rFonts w:ascii="Times New Roman" w:hAnsi="Times New Roman"/>
        </w:rPr>
        <w:t>（3）监督与审查</w:t>
      </w:r>
    </w:p>
    <w:p>
      <w:pPr>
        <w:ind w:firstLine="480"/>
        <w:rPr>
          <w:rFonts w:ascii="Times New Roman" w:hAnsi="Times New Roman"/>
        </w:rPr>
      </w:pPr>
      <w:r>
        <w:rPr>
          <w:rFonts w:ascii="Times New Roman" w:hAnsi="Times New Roman"/>
        </w:rPr>
        <w:t>1）施工全过程的监督和审查施工过程中应经常对施工单位及施工状况进行监督核查，保证制定环保规划的实施和对潜在问题的预防，评估环境保护计划实施的效果。</w:t>
      </w:r>
    </w:p>
    <w:p>
      <w:pPr>
        <w:ind w:firstLine="480"/>
        <w:rPr>
          <w:rFonts w:ascii="Times New Roman" w:hAnsi="Times New Roman"/>
        </w:rPr>
      </w:pPr>
      <w:r>
        <w:rPr>
          <w:rFonts w:ascii="Times New Roman" w:hAnsi="Times New Roman"/>
        </w:rPr>
        <w:t>监督施工作业进程和施工作业合同中环保措施的落实。监督内容主要包括：修建施工便道和修建井场的水土保持措施和生态保护措施；管沟开挖(特别是河流、河沟穿越)的水土保持和生态保护措施；施工完毕后的植被恢复措施等。</w:t>
      </w:r>
    </w:p>
    <w:p>
      <w:pPr>
        <w:ind w:firstLine="480"/>
        <w:rPr>
          <w:rFonts w:ascii="Times New Roman" w:hAnsi="Times New Roman"/>
        </w:rPr>
      </w:pPr>
      <w:r>
        <w:rPr>
          <w:rFonts w:ascii="Times New Roman" w:hAnsi="Times New Roman"/>
        </w:rPr>
        <w:t>在施工完成后，对工程进行环境保护审查。</w:t>
      </w:r>
    </w:p>
    <w:p>
      <w:pPr>
        <w:ind w:firstLine="480"/>
        <w:rPr>
          <w:rFonts w:ascii="Times New Roman" w:hAnsi="Times New Roman"/>
        </w:rPr>
      </w:pPr>
      <w:r>
        <w:rPr>
          <w:rFonts w:ascii="Times New Roman" w:hAnsi="Times New Roman"/>
        </w:rPr>
        <w:t>2）营运期，对环保设施运转管理、节水措施、环境监测、环保措施的实施等进行全过程监督。</w:t>
      </w:r>
    </w:p>
    <w:p>
      <w:pPr>
        <w:pStyle w:val="3"/>
        <w:rPr>
          <w:rFonts w:ascii="Times New Roman" w:hAnsi="Times New Roman" w:cs="Times New Roman"/>
        </w:rPr>
      </w:pPr>
      <w:bookmarkStart w:id="438" w:name="_Toc162339474"/>
      <w:r>
        <w:rPr>
          <w:rFonts w:ascii="Times New Roman" w:hAnsi="Times New Roman" w:cs="Times New Roman"/>
        </w:rPr>
        <w:t>环境监测计划</w:t>
      </w:r>
      <w:bookmarkEnd w:id="438"/>
    </w:p>
    <w:p>
      <w:pPr>
        <w:pStyle w:val="4"/>
        <w:rPr>
          <w:rFonts w:ascii="Times New Roman" w:hAnsi="Times New Roman" w:cs="Times New Roman"/>
        </w:rPr>
      </w:pPr>
      <w:r>
        <w:rPr>
          <w:rFonts w:ascii="Times New Roman" w:hAnsi="Times New Roman" w:cs="Times New Roman"/>
        </w:rPr>
        <w:t>施工期</w:t>
      </w:r>
    </w:p>
    <w:p>
      <w:pPr>
        <w:ind w:firstLine="480"/>
        <w:rPr>
          <w:rFonts w:ascii="Times New Roman" w:hAnsi="Times New Roman"/>
        </w:rPr>
      </w:pPr>
      <w:r>
        <w:rPr>
          <w:rFonts w:ascii="Times New Roman" w:hAnsi="Times New Roman"/>
        </w:rPr>
        <w:t>施工期的环境监测主要是对作业场所的监测和事故发生后的影响监测，主要监测对象有土壤、植被、施工作业废气、废水和噪声等。对作业场所的监测可视当地具体情况及当地环保部门要求等情况而定，如：在人群密集区施工可进行适当噪声监测等。对事故监测可根据事故性质、事故影响的大小等，视具体情况监测大气、土壤、水等。本项目监督、监测计划见下表。</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t>施工期环境监督、监测计划</w:t>
      </w:r>
    </w:p>
    <w:tbl>
      <w:tblPr>
        <w:tblStyle w:val="28"/>
        <w:tblW w:w="516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12"/>
        <w:gridCol w:w="3932"/>
        <w:gridCol w:w="1527"/>
        <w:gridCol w:w="2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589" w:type="pct"/>
            <w:vAlign w:val="center"/>
          </w:tcPr>
          <w:p>
            <w:pPr>
              <w:pStyle w:val="39"/>
              <w:rPr>
                <w:rFonts w:ascii="Times New Roman" w:hAnsi="Times New Roman"/>
              </w:rPr>
            </w:pPr>
            <w:r>
              <w:rPr>
                <w:rFonts w:ascii="Times New Roman" w:hAnsi="Times New Roman"/>
              </w:rPr>
              <w:t>监测项目</w:t>
            </w:r>
          </w:p>
        </w:tc>
        <w:tc>
          <w:tcPr>
            <w:tcW w:w="2289" w:type="pct"/>
            <w:vAlign w:val="center"/>
          </w:tcPr>
          <w:p>
            <w:pPr>
              <w:pStyle w:val="39"/>
              <w:rPr>
                <w:rFonts w:ascii="Times New Roman" w:hAnsi="Times New Roman"/>
              </w:rPr>
            </w:pPr>
            <w:r>
              <w:rPr>
                <w:rFonts w:ascii="Times New Roman" w:hAnsi="Times New Roman"/>
              </w:rPr>
              <w:t>监督、监测内容</w:t>
            </w:r>
          </w:p>
        </w:tc>
        <w:tc>
          <w:tcPr>
            <w:tcW w:w="889" w:type="pct"/>
            <w:vAlign w:val="center"/>
          </w:tcPr>
          <w:p>
            <w:pPr>
              <w:pStyle w:val="39"/>
              <w:rPr>
                <w:rFonts w:ascii="Times New Roman" w:hAnsi="Times New Roman"/>
              </w:rPr>
            </w:pPr>
            <w:r>
              <w:rPr>
                <w:rFonts w:ascii="Times New Roman" w:hAnsi="Times New Roman"/>
              </w:rPr>
              <w:t>报告制度</w:t>
            </w:r>
          </w:p>
        </w:tc>
        <w:tc>
          <w:tcPr>
            <w:tcW w:w="1233" w:type="pct"/>
            <w:vAlign w:val="center"/>
          </w:tcPr>
          <w:p>
            <w:pPr>
              <w:pStyle w:val="39"/>
              <w:rPr>
                <w:rFonts w:ascii="Times New Roman" w:hAnsi="Times New Roman"/>
              </w:rPr>
            </w:pPr>
            <w:r>
              <w:rPr>
                <w:rFonts w:ascii="Times New Roman" w:hAnsi="Times New Roman"/>
              </w:rPr>
              <w:t>实施单位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589" w:type="pct"/>
            <w:vAlign w:val="center"/>
          </w:tcPr>
          <w:p>
            <w:pPr>
              <w:pStyle w:val="39"/>
              <w:rPr>
                <w:rFonts w:ascii="Times New Roman" w:hAnsi="Times New Roman"/>
              </w:rPr>
            </w:pPr>
            <w:r>
              <w:rPr>
                <w:rFonts w:ascii="Times New Roman" w:hAnsi="Times New Roman"/>
              </w:rPr>
              <w:t>施工现场清理</w:t>
            </w:r>
          </w:p>
        </w:tc>
        <w:tc>
          <w:tcPr>
            <w:tcW w:w="2289" w:type="pct"/>
            <w:vAlign w:val="center"/>
          </w:tcPr>
          <w:p>
            <w:pPr>
              <w:pStyle w:val="39"/>
              <w:rPr>
                <w:rFonts w:ascii="Times New Roman" w:hAnsi="Times New Roman"/>
              </w:rPr>
            </w:pPr>
            <w:r>
              <w:rPr>
                <w:rFonts w:ascii="Times New Roman" w:hAnsi="Times New Roman"/>
              </w:rPr>
              <w:t>施工结束后，施工现场的弃土、石、渣等垃圾和生态环境恢复情况；监督频率：施工结束后1次；监督点：各施工区段。</w:t>
            </w:r>
          </w:p>
        </w:tc>
        <w:tc>
          <w:tcPr>
            <w:tcW w:w="889" w:type="pct"/>
            <w:vAlign w:val="center"/>
          </w:tcPr>
          <w:p>
            <w:pPr>
              <w:pStyle w:val="39"/>
              <w:rPr>
                <w:rFonts w:ascii="Times New Roman" w:hAnsi="Times New Roman"/>
              </w:rPr>
            </w:pPr>
            <w:r>
              <w:rPr>
                <w:rFonts w:ascii="Times New Roman" w:hAnsi="Times New Roman"/>
              </w:rPr>
              <w:t>报建设单位</w:t>
            </w:r>
          </w:p>
        </w:tc>
        <w:tc>
          <w:tcPr>
            <w:tcW w:w="1233" w:type="pct"/>
            <w:vAlign w:val="center"/>
          </w:tcPr>
          <w:p>
            <w:pPr>
              <w:pStyle w:val="39"/>
              <w:rPr>
                <w:rFonts w:ascii="Times New Roman" w:hAnsi="Times New Roman"/>
              </w:rPr>
            </w:pPr>
            <w:r>
              <w:rPr>
                <w:rFonts w:ascii="Times New Roman" w:hAnsi="Times New Roman"/>
              </w:rPr>
              <w:t>建设单位和施工单位专、兼职环保人员。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589" w:type="pct"/>
            <w:vAlign w:val="center"/>
          </w:tcPr>
          <w:p>
            <w:pPr>
              <w:pStyle w:val="39"/>
              <w:rPr>
                <w:rFonts w:ascii="Times New Roman" w:hAnsi="Times New Roman"/>
              </w:rPr>
            </w:pPr>
            <w:r>
              <w:rPr>
                <w:rFonts w:ascii="Times New Roman" w:hAnsi="Times New Roman"/>
              </w:rPr>
              <w:t>施工噪声</w:t>
            </w:r>
          </w:p>
        </w:tc>
        <w:tc>
          <w:tcPr>
            <w:tcW w:w="2289" w:type="pct"/>
            <w:vAlign w:val="center"/>
          </w:tcPr>
          <w:p>
            <w:pPr>
              <w:pStyle w:val="39"/>
              <w:rPr>
                <w:rFonts w:ascii="Times New Roman" w:hAnsi="Times New Roman"/>
              </w:rPr>
            </w:pPr>
            <w:r>
              <w:rPr>
                <w:rFonts w:ascii="Times New Roman" w:hAnsi="Times New Roman"/>
              </w:rPr>
              <w:t>居民密集区厂界噪声；监测频率：施工中视情况而定；监测点：各环境敏感点段。</w:t>
            </w:r>
          </w:p>
        </w:tc>
        <w:tc>
          <w:tcPr>
            <w:tcW w:w="889" w:type="pct"/>
            <w:vAlign w:val="center"/>
          </w:tcPr>
          <w:p>
            <w:pPr>
              <w:pStyle w:val="39"/>
              <w:rPr>
                <w:rFonts w:ascii="Times New Roman" w:hAnsi="Times New Roman"/>
              </w:rPr>
            </w:pPr>
            <w:r>
              <w:rPr>
                <w:rFonts w:ascii="Times New Roman" w:hAnsi="Times New Roman"/>
              </w:rPr>
              <w:t>报建设单位</w:t>
            </w:r>
          </w:p>
        </w:tc>
        <w:tc>
          <w:tcPr>
            <w:tcW w:w="1233" w:type="pct"/>
            <w:vAlign w:val="center"/>
          </w:tcPr>
          <w:p>
            <w:pPr>
              <w:pStyle w:val="39"/>
              <w:rPr>
                <w:rFonts w:ascii="Times New Roman" w:hAnsi="Times New Roman"/>
              </w:rPr>
            </w:pPr>
            <w:r>
              <w:rPr>
                <w:rFonts w:ascii="Times New Roman" w:hAnsi="Times New Roman"/>
              </w:rPr>
              <w:t>业主和施工单位专、兼职环保人员。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589" w:type="pct"/>
            <w:vAlign w:val="center"/>
          </w:tcPr>
          <w:p>
            <w:pPr>
              <w:pStyle w:val="39"/>
              <w:rPr>
                <w:rFonts w:ascii="Times New Roman" w:hAnsi="Times New Roman"/>
              </w:rPr>
            </w:pPr>
            <w:r>
              <w:rPr>
                <w:rFonts w:ascii="Times New Roman" w:hAnsi="Times New Roman"/>
              </w:rPr>
              <w:t>事故监测</w:t>
            </w:r>
          </w:p>
        </w:tc>
        <w:tc>
          <w:tcPr>
            <w:tcW w:w="2289" w:type="pct"/>
            <w:vAlign w:val="center"/>
          </w:tcPr>
          <w:p>
            <w:pPr>
              <w:pStyle w:val="39"/>
              <w:rPr>
                <w:rFonts w:ascii="Times New Roman" w:hAnsi="Times New Roman"/>
              </w:rPr>
            </w:pPr>
            <w:r>
              <w:rPr>
                <w:rFonts w:ascii="Times New Roman" w:hAnsi="Times New Roman"/>
              </w:rPr>
              <w:t>根据事故性质、事故影响的大小，视具体情况监测大气、土壤、水等。</w:t>
            </w:r>
          </w:p>
        </w:tc>
        <w:tc>
          <w:tcPr>
            <w:tcW w:w="889" w:type="pct"/>
            <w:vAlign w:val="center"/>
          </w:tcPr>
          <w:p>
            <w:pPr>
              <w:pStyle w:val="39"/>
              <w:rPr>
                <w:rFonts w:ascii="Times New Roman" w:hAnsi="Times New Roman"/>
              </w:rPr>
            </w:pPr>
            <w:r>
              <w:rPr>
                <w:rFonts w:ascii="Times New Roman" w:hAnsi="Times New Roman"/>
              </w:rPr>
              <w:t>报建设单位和市生态环境部门</w:t>
            </w:r>
          </w:p>
        </w:tc>
        <w:tc>
          <w:tcPr>
            <w:tcW w:w="1233" w:type="pct"/>
            <w:vAlign w:val="center"/>
          </w:tcPr>
          <w:p>
            <w:pPr>
              <w:pStyle w:val="39"/>
              <w:rPr>
                <w:rFonts w:ascii="Times New Roman" w:hAnsi="Times New Roman"/>
              </w:rPr>
            </w:pPr>
            <w:r>
              <w:rPr>
                <w:rFonts w:ascii="Times New Roman" w:hAnsi="Times New Roman"/>
              </w:rPr>
              <w:t>当地环境监测站。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589" w:type="pct"/>
            <w:vAlign w:val="center"/>
          </w:tcPr>
          <w:p>
            <w:pPr>
              <w:pStyle w:val="39"/>
              <w:rPr>
                <w:rFonts w:ascii="Times New Roman" w:hAnsi="Times New Roman"/>
              </w:rPr>
            </w:pPr>
            <w:r>
              <w:rPr>
                <w:rFonts w:ascii="Times New Roman" w:hAnsi="Times New Roman"/>
              </w:rPr>
              <w:t>水土保持</w:t>
            </w:r>
          </w:p>
        </w:tc>
        <w:tc>
          <w:tcPr>
            <w:tcW w:w="2289" w:type="pct"/>
            <w:vAlign w:val="center"/>
          </w:tcPr>
          <w:p>
            <w:pPr>
              <w:pStyle w:val="39"/>
              <w:rPr>
                <w:rFonts w:ascii="Times New Roman" w:hAnsi="Times New Roman"/>
              </w:rPr>
            </w:pPr>
            <w:r>
              <w:rPr>
                <w:rFonts w:ascii="Times New Roman" w:hAnsi="Times New Roman"/>
              </w:rPr>
              <w:t>影响水土流失的因子；水土流失量；水土流失灾害；水土保持设施效益。</w:t>
            </w:r>
          </w:p>
        </w:tc>
        <w:tc>
          <w:tcPr>
            <w:tcW w:w="889" w:type="pct"/>
            <w:vAlign w:val="center"/>
          </w:tcPr>
          <w:p>
            <w:pPr>
              <w:pStyle w:val="39"/>
              <w:rPr>
                <w:rFonts w:ascii="Times New Roman" w:hAnsi="Times New Roman"/>
              </w:rPr>
            </w:pPr>
            <w:r>
              <w:rPr>
                <w:rFonts w:ascii="Times New Roman" w:hAnsi="Times New Roman"/>
              </w:rPr>
              <w:t>报建设单位</w:t>
            </w:r>
          </w:p>
        </w:tc>
        <w:tc>
          <w:tcPr>
            <w:tcW w:w="1233" w:type="pct"/>
            <w:vAlign w:val="center"/>
          </w:tcPr>
          <w:p>
            <w:pPr>
              <w:pStyle w:val="39"/>
              <w:rPr>
                <w:rFonts w:ascii="Times New Roman" w:hAnsi="Times New Roman"/>
              </w:rPr>
            </w:pPr>
            <w:r>
              <w:rPr>
                <w:rFonts w:ascii="Times New Roman" w:hAnsi="Times New Roman"/>
              </w:rPr>
              <w:t>在有关行政主管部门的协调指导下，委托当地水保监测单位完成。</w:t>
            </w:r>
          </w:p>
        </w:tc>
      </w:tr>
    </w:tbl>
    <w:p>
      <w:pPr>
        <w:ind w:firstLine="480"/>
        <w:rPr>
          <w:rFonts w:ascii="Times New Roman" w:hAnsi="Times New Roman"/>
        </w:rPr>
      </w:pPr>
    </w:p>
    <w:p>
      <w:pPr>
        <w:pStyle w:val="4"/>
        <w:rPr>
          <w:rFonts w:ascii="Times New Roman" w:hAnsi="Times New Roman" w:cs="Times New Roman"/>
        </w:rPr>
      </w:pPr>
      <w:r>
        <w:rPr>
          <w:rFonts w:ascii="Times New Roman" w:hAnsi="Times New Roman" w:cs="Times New Roman"/>
        </w:rPr>
        <w:t>运营期</w:t>
      </w:r>
    </w:p>
    <w:p>
      <w:pPr>
        <w:ind w:firstLine="480"/>
        <w:rPr>
          <w:rFonts w:ascii="Times New Roman" w:hAnsi="Times New Roman"/>
        </w:rPr>
      </w:pPr>
      <w:r>
        <w:rPr>
          <w:rFonts w:ascii="Times New Roman" w:hAnsi="Times New Roman"/>
        </w:rPr>
        <w:t>企业应按照《排污单位自行监测技术指南 陆上石油天然气开采工业》（HJ1248-2022）、《环境影响评价技术导则 大气环境》（HJ2.2-2018）、《环境影响评价技术导则 地下水环境》（HJ610-2016）、《环境影响评价技术导则 生态影响》（HJ19-2022）、《环境影响评价技术导则 陆地石油天然气开发建设项目》（HJ349-2023）、《环境影响评价技术导则 土壤环境（试行）》（HJ 964-018）等文件要求，开展本项目的自行监测，做好日常污染源（废水、废气、噪声）和环境质量（土壤、地下水）的采样额监测分析工作。</w:t>
      </w:r>
    </w:p>
    <w:p>
      <w:pPr>
        <w:ind w:firstLine="480"/>
        <w:rPr>
          <w:rFonts w:ascii="Times New Roman" w:hAnsi="Times New Roman"/>
        </w:rPr>
      </w:pPr>
      <w:r>
        <w:rPr>
          <w:rFonts w:ascii="Times New Roman" w:hAnsi="Times New Roman"/>
        </w:rPr>
        <w:t>本项目运营期污染物具体的监测技术如下表所示。</w:t>
      </w:r>
    </w:p>
    <w:p>
      <w:pPr>
        <w:ind w:firstLine="480"/>
        <w:rPr>
          <w:rFonts w:ascii="Times New Roman" w:hAnsi="Times New Roman"/>
        </w:rPr>
        <w:sectPr>
          <w:headerReference r:id="rId39" w:type="first"/>
          <w:footerReference r:id="rId41" w:type="first"/>
          <w:headerReference r:id="rId38" w:type="even"/>
          <w:footerReference r:id="rId40" w:type="even"/>
          <w:pgSz w:w="11906" w:h="16838"/>
          <w:pgMar w:top="1440" w:right="1800" w:bottom="1440" w:left="1800" w:header="851" w:footer="992" w:gutter="0"/>
          <w:cols w:space="425" w:num="1"/>
          <w:docGrid w:type="lines" w:linePitch="312" w:charSpace="0"/>
        </w:sectPr>
      </w:pP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t xml:space="preserve">  本项目运营期正常工况环境监测方案</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276"/>
        <w:gridCol w:w="3685"/>
        <w:gridCol w:w="2410"/>
        <w:gridCol w:w="1843"/>
        <w:gridCol w:w="33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Align w:val="center"/>
          </w:tcPr>
          <w:p>
            <w:pPr>
              <w:pStyle w:val="39"/>
              <w:rPr>
                <w:rFonts w:ascii="Times New Roman" w:hAnsi="Times New Roman"/>
              </w:rPr>
            </w:pPr>
            <w:r>
              <w:rPr>
                <w:rFonts w:ascii="Times New Roman" w:hAnsi="Times New Roman"/>
              </w:rPr>
              <w:t>类别</w:t>
            </w:r>
          </w:p>
        </w:tc>
        <w:tc>
          <w:tcPr>
            <w:tcW w:w="1276" w:type="dxa"/>
            <w:vAlign w:val="center"/>
          </w:tcPr>
          <w:p>
            <w:pPr>
              <w:pStyle w:val="39"/>
              <w:rPr>
                <w:rFonts w:ascii="Times New Roman" w:hAnsi="Times New Roman"/>
              </w:rPr>
            </w:pPr>
            <w:r>
              <w:rPr>
                <w:rFonts w:ascii="Times New Roman" w:hAnsi="Times New Roman"/>
              </w:rPr>
              <w:t>项目</w:t>
            </w:r>
          </w:p>
        </w:tc>
        <w:tc>
          <w:tcPr>
            <w:tcW w:w="3685" w:type="dxa"/>
            <w:vAlign w:val="center"/>
          </w:tcPr>
          <w:p>
            <w:pPr>
              <w:pStyle w:val="39"/>
              <w:rPr>
                <w:rFonts w:ascii="Times New Roman" w:hAnsi="Times New Roman"/>
              </w:rPr>
            </w:pPr>
            <w:r>
              <w:rPr>
                <w:rFonts w:ascii="Times New Roman" w:hAnsi="Times New Roman"/>
              </w:rPr>
              <w:t>监测点位</w:t>
            </w:r>
          </w:p>
        </w:tc>
        <w:tc>
          <w:tcPr>
            <w:tcW w:w="2410" w:type="dxa"/>
            <w:vAlign w:val="center"/>
          </w:tcPr>
          <w:p>
            <w:pPr>
              <w:pStyle w:val="39"/>
              <w:rPr>
                <w:rFonts w:ascii="Times New Roman" w:hAnsi="Times New Roman"/>
              </w:rPr>
            </w:pPr>
            <w:r>
              <w:rPr>
                <w:rFonts w:ascii="Times New Roman" w:hAnsi="Times New Roman"/>
              </w:rPr>
              <w:t>监测指标</w:t>
            </w:r>
          </w:p>
        </w:tc>
        <w:tc>
          <w:tcPr>
            <w:tcW w:w="1843" w:type="dxa"/>
            <w:vAlign w:val="center"/>
          </w:tcPr>
          <w:p>
            <w:pPr>
              <w:pStyle w:val="39"/>
              <w:rPr>
                <w:rFonts w:ascii="Times New Roman" w:hAnsi="Times New Roman"/>
              </w:rPr>
            </w:pPr>
            <w:r>
              <w:rPr>
                <w:rFonts w:ascii="Times New Roman" w:hAnsi="Times New Roman"/>
              </w:rPr>
              <w:t>监测频次</w:t>
            </w:r>
          </w:p>
        </w:tc>
        <w:tc>
          <w:tcPr>
            <w:tcW w:w="3321" w:type="dxa"/>
            <w:vAlign w:val="center"/>
          </w:tcPr>
          <w:p>
            <w:pPr>
              <w:pStyle w:val="39"/>
              <w:rPr>
                <w:rFonts w:ascii="Times New Roman" w:hAnsi="Times New Roman"/>
              </w:rPr>
            </w:pPr>
            <w:r>
              <w:rPr>
                <w:rFonts w:ascii="Times New Roman" w:hAnsi="Times New Roma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restart"/>
            <w:vAlign w:val="center"/>
          </w:tcPr>
          <w:p>
            <w:pPr>
              <w:pStyle w:val="39"/>
              <w:rPr>
                <w:rFonts w:ascii="Times New Roman" w:hAnsi="Times New Roman"/>
              </w:rPr>
            </w:pPr>
            <w:r>
              <w:rPr>
                <w:rFonts w:ascii="Times New Roman" w:hAnsi="Times New Roman"/>
              </w:rPr>
              <w:t>污染源监测</w:t>
            </w:r>
          </w:p>
        </w:tc>
        <w:tc>
          <w:tcPr>
            <w:tcW w:w="1276" w:type="dxa"/>
            <w:vMerge w:val="restart"/>
            <w:vAlign w:val="center"/>
          </w:tcPr>
          <w:p>
            <w:pPr>
              <w:pStyle w:val="39"/>
              <w:rPr>
                <w:rFonts w:ascii="Times New Roman" w:hAnsi="Times New Roman"/>
              </w:rPr>
            </w:pPr>
            <w:r>
              <w:rPr>
                <w:rFonts w:ascii="Times New Roman" w:hAnsi="Times New Roman"/>
              </w:rPr>
              <w:t>有组织废气</w:t>
            </w:r>
          </w:p>
        </w:tc>
        <w:tc>
          <w:tcPr>
            <w:tcW w:w="3685" w:type="dxa"/>
            <w:vAlign w:val="center"/>
          </w:tcPr>
          <w:p>
            <w:pPr>
              <w:pStyle w:val="39"/>
              <w:rPr>
                <w:rFonts w:ascii="Times New Roman" w:hAnsi="Times New Roman"/>
              </w:rPr>
            </w:pPr>
            <w:r>
              <w:rPr>
                <w:rFonts w:ascii="Times New Roman" w:hAnsi="Times New Roman"/>
              </w:rPr>
              <w:t>宣探1井站水套炉排气筒</w:t>
            </w:r>
          </w:p>
        </w:tc>
        <w:tc>
          <w:tcPr>
            <w:tcW w:w="2410" w:type="dxa"/>
            <w:vAlign w:val="center"/>
          </w:tcPr>
          <w:p>
            <w:pPr>
              <w:pStyle w:val="39"/>
              <w:rPr>
                <w:rFonts w:ascii="Times New Roman" w:hAnsi="Times New Roman"/>
              </w:rPr>
            </w:pPr>
            <w:r>
              <w:rPr>
                <w:rFonts w:ascii="Times New Roman" w:hAnsi="Times New Roman"/>
              </w:rPr>
              <w:t>颗粒物、二氧化硫、氮氧化物、林格曼黑度</w:t>
            </w:r>
          </w:p>
        </w:tc>
        <w:tc>
          <w:tcPr>
            <w:tcW w:w="1843" w:type="dxa"/>
            <w:vAlign w:val="center"/>
          </w:tcPr>
          <w:p>
            <w:pPr>
              <w:pStyle w:val="39"/>
              <w:rPr>
                <w:rFonts w:ascii="Times New Roman" w:hAnsi="Times New Roman"/>
              </w:rPr>
            </w:pPr>
            <w:r>
              <w:rPr>
                <w:rFonts w:ascii="Times New Roman" w:hAnsi="Times New Roman"/>
              </w:rPr>
              <w:t xml:space="preserve">1次/年 </w:t>
            </w:r>
          </w:p>
        </w:tc>
        <w:tc>
          <w:tcPr>
            <w:tcW w:w="3321" w:type="dxa"/>
            <w:vAlign w:val="center"/>
          </w:tcPr>
          <w:p>
            <w:pPr>
              <w:pStyle w:val="39"/>
              <w:rPr>
                <w:rFonts w:ascii="Times New Roman" w:hAnsi="Times New Roman"/>
              </w:rPr>
            </w:pPr>
            <w:r>
              <w:rPr>
                <w:rFonts w:ascii="Times New Roman" w:hAnsi="Times New Roman"/>
              </w:rPr>
              <w:t>《锅炉大气污染物排放标准》（GB 13271-2014）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vAlign w:val="center"/>
          </w:tcPr>
          <w:p>
            <w:pPr>
              <w:pStyle w:val="39"/>
              <w:rPr>
                <w:rFonts w:ascii="Times New Roman" w:hAnsi="Times New Roman"/>
              </w:rPr>
            </w:pPr>
          </w:p>
        </w:tc>
        <w:tc>
          <w:tcPr>
            <w:tcW w:w="1276" w:type="dxa"/>
            <w:vMerge w:val="continue"/>
            <w:vAlign w:val="center"/>
          </w:tcPr>
          <w:p>
            <w:pPr>
              <w:pStyle w:val="39"/>
              <w:rPr>
                <w:rFonts w:ascii="Times New Roman" w:hAnsi="Times New Roman"/>
              </w:rPr>
            </w:pPr>
          </w:p>
        </w:tc>
        <w:tc>
          <w:tcPr>
            <w:tcW w:w="3685" w:type="dxa"/>
            <w:vAlign w:val="center"/>
          </w:tcPr>
          <w:p>
            <w:pPr>
              <w:pStyle w:val="39"/>
              <w:rPr>
                <w:rFonts w:ascii="Times New Roman" w:hAnsi="Times New Roman"/>
              </w:rPr>
            </w:pPr>
            <w:r>
              <w:rPr>
                <w:rFonts w:ascii="Times New Roman" w:hAnsi="Times New Roman"/>
              </w:rPr>
              <w:t>宣兴1井站水套炉排气筒</w:t>
            </w:r>
          </w:p>
        </w:tc>
        <w:tc>
          <w:tcPr>
            <w:tcW w:w="2410" w:type="dxa"/>
            <w:vAlign w:val="center"/>
          </w:tcPr>
          <w:p>
            <w:pPr>
              <w:pStyle w:val="39"/>
              <w:rPr>
                <w:rFonts w:ascii="Times New Roman" w:hAnsi="Times New Roman"/>
              </w:rPr>
            </w:pPr>
            <w:r>
              <w:rPr>
                <w:rFonts w:ascii="Times New Roman" w:hAnsi="Times New Roman"/>
              </w:rPr>
              <w:t>颗粒物、二氧化硫、氮氧化物、林格曼黑度</w:t>
            </w:r>
          </w:p>
        </w:tc>
        <w:tc>
          <w:tcPr>
            <w:tcW w:w="1843" w:type="dxa"/>
            <w:vAlign w:val="center"/>
          </w:tcPr>
          <w:p>
            <w:pPr>
              <w:pStyle w:val="39"/>
              <w:rPr>
                <w:rFonts w:ascii="Times New Roman" w:hAnsi="Times New Roman"/>
              </w:rPr>
            </w:pPr>
            <w:r>
              <w:rPr>
                <w:rFonts w:ascii="Times New Roman" w:hAnsi="Times New Roman"/>
              </w:rPr>
              <w:t xml:space="preserve">1次/年 </w:t>
            </w:r>
          </w:p>
        </w:tc>
        <w:tc>
          <w:tcPr>
            <w:tcW w:w="3321" w:type="dxa"/>
            <w:vAlign w:val="center"/>
          </w:tcPr>
          <w:p>
            <w:pPr>
              <w:pStyle w:val="39"/>
              <w:rPr>
                <w:rFonts w:ascii="Times New Roman" w:hAnsi="Times New Roman"/>
              </w:rPr>
            </w:pPr>
            <w:r>
              <w:rPr>
                <w:rFonts w:ascii="Times New Roman" w:hAnsi="Times New Roman"/>
              </w:rPr>
              <w:t>《锅炉大气污染物排放标准》（GB 13271-2014）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vAlign w:val="center"/>
          </w:tcPr>
          <w:p>
            <w:pPr>
              <w:pStyle w:val="39"/>
              <w:rPr>
                <w:rFonts w:ascii="Times New Roman" w:hAnsi="Times New Roman"/>
              </w:rPr>
            </w:pPr>
          </w:p>
        </w:tc>
        <w:tc>
          <w:tcPr>
            <w:tcW w:w="1276" w:type="dxa"/>
            <w:vMerge w:val="restart"/>
            <w:vAlign w:val="center"/>
          </w:tcPr>
          <w:p>
            <w:pPr>
              <w:pStyle w:val="39"/>
              <w:rPr>
                <w:rFonts w:ascii="Times New Roman" w:hAnsi="Times New Roman"/>
              </w:rPr>
            </w:pPr>
            <w:r>
              <w:rPr>
                <w:rFonts w:ascii="Times New Roman" w:hAnsi="Times New Roman"/>
              </w:rPr>
              <w:t>雨水排放口</w:t>
            </w:r>
          </w:p>
        </w:tc>
        <w:tc>
          <w:tcPr>
            <w:tcW w:w="3685" w:type="dxa"/>
            <w:vAlign w:val="center"/>
          </w:tcPr>
          <w:p>
            <w:pPr>
              <w:pStyle w:val="39"/>
              <w:rPr>
                <w:rFonts w:ascii="Times New Roman" w:hAnsi="Times New Roman"/>
              </w:rPr>
            </w:pPr>
            <w:r>
              <w:rPr>
                <w:rFonts w:ascii="Times New Roman" w:hAnsi="Times New Roman"/>
              </w:rPr>
              <w:t>宣探1井站雨水排放口</w:t>
            </w:r>
          </w:p>
        </w:tc>
        <w:tc>
          <w:tcPr>
            <w:tcW w:w="2410" w:type="dxa"/>
            <w:vAlign w:val="center"/>
          </w:tcPr>
          <w:p>
            <w:pPr>
              <w:pStyle w:val="39"/>
              <w:rPr>
                <w:rFonts w:ascii="Times New Roman" w:hAnsi="Times New Roman"/>
              </w:rPr>
            </w:pPr>
            <w:r>
              <w:rPr>
                <w:rFonts w:ascii="Times New Roman" w:hAnsi="Times New Roman"/>
              </w:rPr>
              <w:t>化学需氧量、石油类</w:t>
            </w:r>
          </w:p>
        </w:tc>
        <w:tc>
          <w:tcPr>
            <w:tcW w:w="1843" w:type="dxa"/>
            <w:vMerge w:val="restart"/>
            <w:vAlign w:val="center"/>
          </w:tcPr>
          <w:p>
            <w:pPr>
              <w:pStyle w:val="39"/>
              <w:rPr>
                <w:rFonts w:ascii="Times New Roman" w:hAnsi="Times New Roman"/>
              </w:rPr>
            </w:pPr>
            <w:r>
              <w:rPr>
                <w:rFonts w:ascii="Times New Roman" w:hAnsi="Times New Roman"/>
              </w:rPr>
              <w:t>有流动水排放时按季度监测，如监测一年无异常情况，可放宽至每年一次</w:t>
            </w:r>
          </w:p>
        </w:tc>
        <w:tc>
          <w:tcPr>
            <w:tcW w:w="3321"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vAlign w:val="center"/>
          </w:tcPr>
          <w:p>
            <w:pPr>
              <w:pStyle w:val="39"/>
              <w:rPr>
                <w:rFonts w:ascii="Times New Roman" w:hAnsi="Times New Roman"/>
              </w:rPr>
            </w:pPr>
          </w:p>
        </w:tc>
        <w:tc>
          <w:tcPr>
            <w:tcW w:w="1276" w:type="dxa"/>
            <w:vMerge w:val="continue"/>
            <w:vAlign w:val="center"/>
          </w:tcPr>
          <w:p>
            <w:pPr>
              <w:pStyle w:val="39"/>
              <w:rPr>
                <w:rFonts w:ascii="Times New Roman" w:hAnsi="Times New Roman"/>
              </w:rPr>
            </w:pPr>
          </w:p>
        </w:tc>
        <w:tc>
          <w:tcPr>
            <w:tcW w:w="3685" w:type="dxa"/>
            <w:vAlign w:val="center"/>
          </w:tcPr>
          <w:p>
            <w:pPr>
              <w:pStyle w:val="39"/>
              <w:rPr>
                <w:rFonts w:ascii="Times New Roman" w:hAnsi="Times New Roman"/>
              </w:rPr>
            </w:pPr>
            <w:r>
              <w:rPr>
                <w:rFonts w:ascii="Times New Roman" w:hAnsi="Times New Roman"/>
              </w:rPr>
              <w:t>宣兴1井站雨水排放口</w:t>
            </w:r>
          </w:p>
        </w:tc>
        <w:tc>
          <w:tcPr>
            <w:tcW w:w="2410" w:type="dxa"/>
            <w:vAlign w:val="center"/>
          </w:tcPr>
          <w:p>
            <w:pPr>
              <w:pStyle w:val="39"/>
              <w:rPr>
                <w:rFonts w:ascii="Times New Roman" w:hAnsi="Times New Roman"/>
              </w:rPr>
            </w:pPr>
            <w:r>
              <w:rPr>
                <w:rFonts w:ascii="Times New Roman" w:hAnsi="Times New Roman"/>
              </w:rPr>
              <w:t>化学需氧量、石油类</w:t>
            </w:r>
          </w:p>
        </w:tc>
        <w:tc>
          <w:tcPr>
            <w:tcW w:w="1843" w:type="dxa"/>
            <w:vMerge w:val="continue"/>
            <w:vAlign w:val="center"/>
          </w:tcPr>
          <w:p>
            <w:pPr>
              <w:pStyle w:val="39"/>
              <w:rPr>
                <w:rFonts w:ascii="Times New Roman" w:hAnsi="Times New Roman"/>
              </w:rPr>
            </w:pPr>
          </w:p>
        </w:tc>
        <w:tc>
          <w:tcPr>
            <w:tcW w:w="3321"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vAlign w:val="center"/>
          </w:tcPr>
          <w:p>
            <w:pPr>
              <w:pStyle w:val="39"/>
              <w:rPr>
                <w:rFonts w:ascii="Times New Roman" w:hAnsi="Times New Roman"/>
              </w:rPr>
            </w:pPr>
          </w:p>
        </w:tc>
        <w:tc>
          <w:tcPr>
            <w:tcW w:w="1276" w:type="dxa"/>
            <w:vMerge w:val="restart"/>
            <w:vAlign w:val="center"/>
          </w:tcPr>
          <w:p>
            <w:pPr>
              <w:pStyle w:val="39"/>
              <w:rPr>
                <w:rFonts w:ascii="Times New Roman" w:hAnsi="Times New Roman"/>
              </w:rPr>
            </w:pPr>
            <w:r>
              <w:rPr>
                <w:rFonts w:ascii="Times New Roman" w:hAnsi="Times New Roman"/>
              </w:rPr>
              <w:t>噪声</w:t>
            </w:r>
          </w:p>
        </w:tc>
        <w:tc>
          <w:tcPr>
            <w:tcW w:w="3685" w:type="dxa"/>
            <w:vAlign w:val="center"/>
          </w:tcPr>
          <w:p>
            <w:pPr>
              <w:pStyle w:val="39"/>
              <w:rPr>
                <w:rFonts w:ascii="Times New Roman" w:hAnsi="Times New Roman"/>
              </w:rPr>
            </w:pPr>
            <w:r>
              <w:rPr>
                <w:rFonts w:ascii="Times New Roman" w:hAnsi="Times New Roman"/>
              </w:rPr>
              <w:t>宣探1井站厂界（厂界四周各1个点）</w:t>
            </w:r>
          </w:p>
        </w:tc>
        <w:tc>
          <w:tcPr>
            <w:tcW w:w="2410" w:type="dxa"/>
            <w:vAlign w:val="center"/>
          </w:tcPr>
          <w:p>
            <w:pPr>
              <w:pStyle w:val="39"/>
              <w:rPr>
                <w:rFonts w:ascii="Times New Roman" w:hAnsi="Times New Roman"/>
              </w:rPr>
            </w:pPr>
            <w:r>
              <w:rPr>
                <w:rFonts w:ascii="Times New Roman" w:hAnsi="Times New Roman"/>
              </w:rPr>
              <w:t>昼、夜等效连续A声级</w:t>
            </w:r>
          </w:p>
        </w:tc>
        <w:tc>
          <w:tcPr>
            <w:tcW w:w="1843" w:type="dxa"/>
            <w:vMerge w:val="restart"/>
            <w:vAlign w:val="center"/>
          </w:tcPr>
          <w:p>
            <w:pPr>
              <w:pStyle w:val="39"/>
              <w:rPr>
                <w:rFonts w:ascii="Times New Roman" w:hAnsi="Times New Roman"/>
              </w:rPr>
            </w:pPr>
            <w:r>
              <w:rPr>
                <w:rFonts w:ascii="Times New Roman" w:hAnsi="Times New Roman"/>
              </w:rPr>
              <w:t>1次/季度（如果监测满一年均不超标，监测频率放宽至1年/次）</w:t>
            </w:r>
          </w:p>
        </w:tc>
        <w:tc>
          <w:tcPr>
            <w:tcW w:w="3321" w:type="dxa"/>
            <w:vAlign w:val="center"/>
          </w:tcPr>
          <w:p>
            <w:pPr>
              <w:pStyle w:val="39"/>
              <w:rPr>
                <w:rFonts w:ascii="Times New Roman" w:hAnsi="Times New Roman"/>
              </w:rPr>
            </w:pPr>
            <w:r>
              <w:rPr>
                <w:rFonts w:ascii="Times New Roman" w:hAnsi="Times New Roman"/>
              </w:rPr>
              <w:t>《工业企业厂界环境噪声排放标准》（GB12348-2008）2类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vAlign w:val="center"/>
          </w:tcPr>
          <w:p>
            <w:pPr>
              <w:pStyle w:val="39"/>
              <w:rPr>
                <w:rFonts w:ascii="Times New Roman" w:hAnsi="Times New Roman"/>
              </w:rPr>
            </w:pPr>
          </w:p>
        </w:tc>
        <w:tc>
          <w:tcPr>
            <w:tcW w:w="1276" w:type="dxa"/>
            <w:vMerge w:val="continue"/>
            <w:vAlign w:val="center"/>
          </w:tcPr>
          <w:p>
            <w:pPr>
              <w:pStyle w:val="39"/>
              <w:rPr>
                <w:rFonts w:ascii="Times New Roman" w:hAnsi="Times New Roman"/>
              </w:rPr>
            </w:pPr>
          </w:p>
        </w:tc>
        <w:tc>
          <w:tcPr>
            <w:tcW w:w="3685" w:type="dxa"/>
            <w:vAlign w:val="center"/>
          </w:tcPr>
          <w:p>
            <w:pPr>
              <w:pStyle w:val="39"/>
              <w:rPr>
                <w:rFonts w:ascii="Times New Roman" w:hAnsi="Times New Roman"/>
              </w:rPr>
            </w:pPr>
            <w:r>
              <w:rPr>
                <w:rFonts w:ascii="Times New Roman" w:hAnsi="Times New Roman"/>
              </w:rPr>
              <w:t>宣兴1井站厂界（厂界四周各1个点）</w:t>
            </w:r>
          </w:p>
        </w:tc>
        <w:tc>
          <w:tcPr>
            <w:tcW w:w="2410" w:type="dxa"/>
            <w:vAlign w:val="center"/>
          </w:tcPr>
          <w:p>
            <w:pPr>
              <w:pStyle w:val="39"/>
              <w:rPr>
                <w:rFonts w:ascii="Times New Roman" w:hAnsi="Times New Roman"/>
              </w:rPr>
            </w:pPr>
            <w:r>
              <w:rPr>
                <w:rFonts w:ascii="Times New Roman" w:hAnsi="Times New Roman"/>
              </w:rPr>
              <w:t>昼、夜等效连续A声级</w:t>
            </w:r>
          </w:p>
        </w:tc>
        <w:tc>
          <w:tcPr>
            <w:tcW w:w="1843" w:type="dxa"/>
            <w:vMerge w:val="continue"/>
            <w:vAlign w:val="center"/>
          </w:tcPr>
          <w:p>
            <w:pPr>
              <w:pStyle w:val="39"/>
              <w:rPr>
                <w:rFonts w:ascii="Times New Roman" w:hAnsi="Times New Roman"/>
              </w:rPr>
            </w:pPr>
          </w:p>
        </w:tc>
        <w:tc>
          <w:tcPr>
            <w:tcW w:w="3321" w:type="dxa"/>
            <w:vAlign w:val="center"/>
          </w:tcPr>
          <w:p>
            <w:pPr>
              <w:pStyle w:val="39"/>
              <w:rPr>
                <w:rFonts w:ascii="Times New Roman" w:hAnsi="Times New Roman"/>
              </w:rPr>
            </w:pPr>
            <w:r>
              <w:rPr>
                <w:rFonts w:ascii="Times New Roman" w:hAnsi="Times New Roman"/>
              </w:rPr>
              <w:t>《工业企业厂界环境噪声排放标准》（GB12348-2008）2类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restart"/>
            <w:vAlign w:val="center"/>
          </w:tcPr>
          <w:p>
            <w:pPr>
              <w:pStyle w:val="39"/>
              <w:rPr>
                <w:rFonts w:ascii="Times New Roman" w:hAnsi="Times New Roman"/>
              </w:rPr>
            </w:pPr>
            <w:r>
              <w:rPr>
                <w:rFonts w:ascii="Times New Roman" w:hAnsi="Times New Roman"/>
              </w:rPr>
              <w:t>环境质量监测</w:t>
            </w:r>
          </w:p>
        </w:tc>
        <w:tc>
          <w:tcPr>
            <w:tcW w:w="1276" w:type="dxa"/>
            <w:vAlign w:val="center"/>
          </w:tcPr>
          <w:p>
            <w:pPr>
              <w:pStyle w:val="39"/>
              <w:rPr>
                <w:rFonts w:ascii="Times New Roman" w:hAnsi="Times New Roman"/>
              </w:rPr>
            </w:pPr>
            <w:r>
              <w:rPr>
                <w:rFonts w:ascii="Times New Roman" w:hAnsi="Times New Roman"/>
              </w:rPr>
              <w:t>环境空气</w:t>
            </w:r>
          </w:p>
        </w:tc>
        <w:tc>
          <w:tcPr>
            <w:tcW w:w="3685" w:type="dxa"/>
            <w:vAlign w:val="center"/>
          </w:tcPr>
          <w:p>
            <w:pPr>
              <w:pStyle w:val="39"/>
              <w:rPr>
                <w:rFonts w:ascii="Times New Roman" w:hAnsi="Times New Roman"/>
              </w:rPr>
            </w:pPr>
            <w:r>
              <w:rPr>
                <w:rFonts w:ascii="Times New Roman" w:hAnsi="Times New Roman"/>
              </w:rPr>
              <w:t>两井站厂界外各设1个点</w:t>
            </w:r>
          </w:p>
        </w:tc>
        <w:tc>
          <w:tcPr>
            <w:tcW w:w="2410" w:type="dxa"/>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1843" w:type="dxa"/>
            <w:vAlign w:val="center"/>
          </w:tcPr>
          <w:p>
            <w:pPr>
              <w:pStyle w:val="39"/>
              <w:rPr>
                <w:rFonts w:ascii="Times New Roman" w:hAnsi="Times New Roman"/>
              </w:rPr>
            </w:pPr>
            <w:r>
              <w:rPr>
                <w:rFonts w:ascii="Times New Roman" w:hAnsi="Times New Roman"/>
              </w:rPr>
              <w:t>1次/年</w:t>
            </w:r>
          </w:p>
        </w:tc>
        <w:tc>
          <w:tcPr>
            <w:tcW w:w="3321" w:type="dxa"/>
            <w:vAlign w:val="center"/>
          </w:tcPr>
          <w:p>
            <w:pPr>
              <w:pStyle w:val="39"/>
              <w:rPr>
                <w:rFonts w:ascii="Times New Roman" w:hAnsi="Times New Roman"/>
              </w:rPr>
            </w:pPr>
            <w:r>
              <w:rPr>
                <w:rFonts w:ascii="Times New Roman" w:hAnsi="Times New Roman"/>
              </w:rPr>
              <w:t>《环境影响评价技术导则 大气环境》（HJ2.2-2018）附录D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vAlign w:val="center"/>
          </w:tcPr>
          <w:p>
            <w:pPr>
              <w:pStyle w:val="39"/>
              <w:rPr>
                <w:rFonts w:ascii="Times New Roman" w:hAnsi="Times New Roman"/>
              </w:rPr>
            </w:pPr>
          </w:p>
        </w:tc>
        <w:tc>
          <w:tcPr>
            <w:tcW w:w="1276" w:type="dxa"/>
            <w:vAlign w:val="center"/>
          </w:tcPr>
          <w:p>
            <w:pPr>
              <w:pStyle w:val="39"/>
              <w:rPr>
                <w:rFonts w:ascii="Times New Roman" w:hAnsi="Times New Roman"/>
              </w:rPr>
            </w:pPr>
            <w:r>
              <w:rPr>
                <w:rFonts w:ascii="Times New Roman" w:hAnsi="Times New Roman"/>
              </w:rPr>
              <w:t>土壤</w:t>
            </w:r>
          </w:p>
        </w:tc>
        <w:tc>
          <w:tcPr>
            <w:tcW w:w="3685" w:type="dxa"/>
            <w:vAlign w:val="center"/>
          </w:tcPr>
          <w:p>
            <w:pPr>
              <w:pStyle w:val="39"/>
              <w:rPr>
                <w:rFonts w:ascii="Times New Roman" w:hAnsi="Times New Roman"/>
              </w:rPr>
            </w:pPr>
            <w:r>
              <w:rPr>
                <w:rFonts w:ascii="Times New Roman" w:hAnsi="Times New Roman"/>
              </w:rPr>
              <w:t>两井站内各监测设一个点</w:t>
            </w:r>
          </w:p>
        </w:tc>
        <w:tc>
          <w:tcPr>
            <w:tcW w:w="2410" w:type="dxa"/>
            <w:vAlign w:val="center"/>
          </w:tcPr>
          <w:p>
            <w:pPr>
              <w:pStyle w:val="39"/>
              <w:rPr>
                <w:rFonts w:ascii="Times New Roman" w:hAnsi="Times New Roman"/>
              </w:rPr>
            </w:pPr>
            <w:r>
              <w:rPr>
                <w:rFonts w:ascii="Times New Roman" w:hAnsi="Times New Roman"/>
              </w:rPr>
              <w:t>石油烃（C</w:t>
            </w:r>
            <w:r>
              <w:rPr>
                <w:rFonts w:ascii="Times New Roman" w:hAnsi="Times New Roman"/>
                <w:vertAlign w:val="subscript"/>
              </w:rPr>
              <w:t>10</w:t>
            </w:r>
            <w:r>
              <w:rPr>
                <w:rFonts w:ascii="Times New Roman" w:hAnsi="Times New Roman"/>
              </w:rPr>
              <w:t>- C</w:t>
            </w:r>
            <w:r>
              <w:rPr>
                <w:rFonts w:ascii="Times New Roman" w:hAnsi="Times New Roman"/>
                <w:vertAlign w:val="subscript"/>
              </w:rPr>
              <w:t>40</w:t>
            </w:r>
            <w:r>
              <w:rPr>
                <w:rFonts w:ascii="Times New Roman" w:hAnsi="Times New Roman"/>
              </w:rPr>
              <w:t>）</w:t>
            </w:r>
          </w:p>
        </w:tc>
        <w:tc>
          <w:tcPr>
            <w:tcW w:w="1843" w:type="dxa"/>
            <w:vAlign w:val="center"/>
          </w:tcPr>
          <w:p>
            <w:pPr>
              <w:pStyle w:val="39"/>
              <w:rPr>
                <w:rFonts w:ascii="Times New Roman" w:hAnsi="Times New Roman"/>
              </w:rPr>
            </w:pPr>
            <w:r>
              <w:rPr>
                <w:rFonts w:ascii="Times New Roman" w:hAnsi="Times New Roman"/>
              </w:rPr>
              <w:t>1次/5年</w:t>
            </w:r>
          </w:p>
        </w:tc>
        <w:tc>
          <w:tcPr>
            <w:tcW w:w="3321" w:type="dxa"/>
            <w:vAlign w:val="center"/>
          </w:tcPr>
          <w:p>
            <w:pPr>
              <w:pStyle w:val="39"/>
              <w:rPr>
                <w:rFonts w:ascii="Times New Roman" w:hAnsi="Times New Roman"/>
              </w:rPr>
            </w:pPr>
            <w:r>
              <w:rPr>
                <w:rFonts w:ascii="Times New Roman" w:hAnsi="Times New Roman"/>
              </w:rPr>
              <w:t>《土壤环境质量 建设用地土壤污染风险管控标准（试行）》（GB36600-2018）第二类用地风险筛选值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vAlign w:val="center"/>
          </w:tcPr>
          <w:p>
            <w:pPr>
              <w:pStyle w:val="39"/>
              <w:rPr>
                <w:rFonts w:ascii="Times New Roman" w:hAnsi="Times New Roman"/>
              </w:rPr>
            </w:pPr>
          </w:p>
        </w:tc>
        <w:tc>
          <w:tcPr>
            <w:tcW w:w="1276" w:type="dxa"/>
            <w:vAlign w:val="center"/>
          </w:tcPr>
          <w:p>
            <w:pPr>
              <w:pStyle w:val="39"/>
              <w:rPr>
                <w:rFonts w:ascii="Times New Roman" w:hAnsi="Times New Roman"/>
              </w:rPr>
            </w:pPr>
            <w:r>
              <w:rPr>
                <w:rFonts w:ascii="Times New Roman" w:hAnsi="Times New Roman"/>
              </w:rPr>
              <w:t>地下水</w:t>
            </w:r>
          </w:p>
        </w:tc>
        <w:tc>
          <w:tcPr>
            <w:tcW w:w="3685" w:type="dxa"/>
            <w:vAlign w:val="center"/>
          </w:tcPr>
          <w:p>
            <w:pPr>
              <w:pStyle w:val="39"/>
              <w:rPr>
                <w:rFonts w:ascii="Times New Roman" w:hAnsi="Times New Roman"/>
              </w:rPr>
            </w:pPr>
            <w:r>
              <w:rPr>
                <w:rFonts w:ascii="Times New Roman" w:hAnsi="Times New Roman"/>
              </w:rPr>
              <w:t>宣探1井站1个点，宣兴1井站3个点</w:t>
            </w:r>
          </w:p>
        </w:tc>
        <w:tc>
          <w:tcPr>
            <w:tcW w:w="2410" w:type="dxa"/>
            <w:vAlign w:val="center"/>
          </w:tcPr>
          <w:p>
            <w:pPr>
              <w:pStyle w:val="39"/>
              <w:rPr>
                <w:rFonts w:ascii="Times New Roman" w:hAnsi="Times New Roman"/>
              </w:rPr>
            </w:pPr>
            <w:r>
              <w:rPr>
                <w:rFonts w:ascii="Times New Roman" w:hAnsi="Times New Roman"/>
              </w:rPr>
              <w:t>石油类、汞、砷、六价铬</w:t>
            </w:r>
          </w:p>
        </w:tc>
        <w:tc>
          <w:tcPr>
            <w:tcW w:w="1843" w:type="dxa"/>
            <w:vAlign w:val="center"/>
          </w:tcPr>
          <w:p>
            <w:pPr>
              <w:pStyle w:val="39"/>
              <w:rPr>
                <w:rFonts w:ascii="Times New Roman" w:hAnsi="Times New Roman"/>
              </w:rPr>
            </w:pPr>
            <w:r>
              <w:rPr>
                <w:rFonts w:ascii="Times New Roman" w:hAnsi="Times New Roman"/>
              </w:rPr>
              <w:t>1次/年</w:t>
            </w:r>
          </w:p>
        </w:tc>
        <w:tc>
          <w:tcPr>
            <w:tcW w:w="3321" w:type="dxa"/>
            <w:vAlign w:val="center"/>
          </w:tcPr>
          <w:p>
            <w:pPr>
              <w:pStyle w:val="39"/>
              <w:rPr>
                <w:rFonts w:ascii="Times New Roman" w:hAnsi="Times New Roman"/>
              </w:rPr>
            </w:pPr>
            <w:r>
              <w:rPr>
                <w:rFonts w:ascii="Times New Roman" w:hAnsi="Times New Roman"/>
              </w:rPr>
              <w:t>《地下水质量标准》（GB/T14848-2017）中III类标准，石油类参照执行《地表水环境质量标准》（GB 3838-2002）</w:t>
            </w:r>
          </w:p>
        </w:tc>
      </w:tr>
    </w:tbl>
    <w:p>
      <w:pPr>
        <w:ind w:firstLine="480"/>
        <w:rPr>
          <w:rFonts w:ascii="Times New Roman" w:hAnsi="Times New Roman"/>
        </w:rPr>
        <w:sectPr>
          <w:pgSz w:w="16838" w:h="11906" w:orient="landscape"/>
          <w:pgMar w:top="1797" w:right="1440" w:bottom="1797" w:left="1440" w:header="851" w:footer="992" w:gutter="0"/>
          <w:cols w:space="425" w:num="1"/>
          <w:docGrid w:type="linesAndChars" w:linePitch="312" w:charSpace="0"/>
        </w:sectPr>
      </w:pPr>
    </w:p>
    <w:p>
      <w:pPr>
        <w:pStyle w:val="3"/>
        <w:rPr>
          <w:rFonts w:ascii="Times New Roman" w:hAnsi="Times New Roman" w:cs="Times New Roman"/>
        </w:rPr>
      </w:pPr>
      <w:bookmarkStart w:id="439" w:name="_Toc162339475"/>
      <w:r>
        <w:rPr>
          <w:rFonts w:ascii="Times New Roman" w:hAnsi="Times New Roman" w:cs="Times New Roman"/>
        </w:rPr>
        <w:t>与排污许可制度衔接</w:t>
      </w:r>
      <w:bookmarkEnd w:id="439"/>
    </w:p>
    <w:p>
      <w:pPr>
        <w:ind w:firstLine="480"/>
        <w:rPr>
          <w:rFonts w:ascii="Times New Roman" w:hAnsi="Times New Roman"/>
        </w:rPr>
      </w:pPr>
      <w:r>
        <w:rPr>
          <w:rFonts w:ascii="Times New Roman" w:hAnsi="Times New Roman"/>
        </w:rPr>
        <w:t>根据《排污许可证管理暂行办法》可知：排污单位应当在环境保护主管部门规定的期限内提交排污许可证申请材料，申请领取排污许可证。建设项目所在单位应当在建设项目环境影响评价批复或备案文件要求配套建设的环境保护设施，按期完成并投入运行后三十个工作日内，向环境保护主管部门提交申请。</w:t>
      </w:r>
    </w:p>
    <w:p>
      <w:pPr>
        <w:ind w:firstLine="480"/>
        <w:rPr>
          <w:rFonts w:ascii="Times New Roman" w:hAnsi="Times New Roman"/>
        </w:rPr>
      </w:pPr>
      <w:r>
        <w:rPr>
          <w:rFonts w:ascii="Times New Roman" w:hAnsi="Times New Roman"/>
        </w:rPr>
        <w:t>排污单位应当严格执行排污许可证的规定，根据《排污许可证申请与核发技术规范 总则》(HJ942-2018)、《排污许可证申请与核发技术规范 工业噪声》（HJ 1301-2023）、《排污许可证申请与核发技术规范 工业固体废物（试行）》（HJ1200-2021）等相关文件，遵守下列要求：</w:t>
      </w:r>
    </w:p>
    <w:p>
      <w:pPr>
        <w:ind w:firstLine="480"/>
        <w:rPr>
          <w:rFonts w:ascii="Times New Roman" w:hAnsi="Times New Roman"/>
        </w:rPr>
      </w:pPr>
      <w:r>
        <w:rPr>
          <w:rFonts w:ascii="Times New Roman" w:hAnsi="Times New Roman"/>
        </w:rPr>
        <w:t>（一）排污口位置和数量、排放方式、排放去向、排放污染物种类、排放浓度和排放量、执行的排放标准等符合排污许可证的规定，不得私设暗管或以其他方式逃避监管。</w:t>
      </w:r>
    </w:p>
    <w:p>
      <w:pPr>
        <w:ind w:firstLine="480"/>
        <w:rPr>
          <w:rFonts w:ascii="Times New Roman" w:hAnsi="Times New Roman"/>
        </w:rPr>
      </w:pPr>
      <w:r>
        <w:rPr>
          <w:rFonts w:ascii="Times New Roman" w:hAnsi="Times New Roman"/>
        </w:rPr>
        <w:t>（二）落实重污染天气应急管控措施、遵守法律规定的最新环境保护要求等。</w:t>
      </w:r>
    </w:p>
    <w:p>
      <w:pPr>
        <w:ind w:firstLine="480"/>
        <w:rPr>
          <w:rFonts w:ascii="Times New Roman" w:hAnsi="Times New Roman"/>
        </w:rPr>
      </w:pPr>
      <w:r>
        <w:rPr>
          <w:rFonts w:ascii="Times New Roman" w:hAnsi="Times New Roman"/>
        </w:rPr>
        <w:t>（三）按排污许可证规定的监测点位、监测因子、监测频次和相关监测技术规范开展自行监测并公开。</w:t>
      </w:r>
    </w:p>
    <w:p>
      <w:pPr>
        <w:ind w:firstLine="480"/>
        <w:rPr>
          <w:rFonts w:ascii="Times New Roman" w:hAnsi="Times New Roman"/>
        </w:rPr>
      </w:pPr>
      <w:r>
        <w:rPr>
          <w:rFonts w:ascii="Times New Roman" w:hAnsi="Times New Roman"/>
        </w:rPr>
        <w:t>（四）按规范进行台账记录，主要内容包括生产信息、燃料、原辅材料使用情况、污染防治设施运行记录、监测数据等。</w:t>
      </w:r>
    </w:p>
    <w:p>
      <w:pPr>
        <w:ind w:firstLine="480"/>
        <w:rPr>
          <w:rFonts w:ascii="Times New Roman" w:hAnsi="Times New Roman"/>
        </w:rPr>
      </w:pPr>
      <w:r>
        <w:rPr>
          <w:rFonts w:ascii="Times New Roman" w:hAnsi="Times New Roman"/>
        </w:rPr>
        <w:t>（五）按排污许可证规定，定期在国家排污许可证管理信息平台填报信息，编制排污许可证执行报告，及时报送有核发权的环境保护主管部门并公开，执行报告主要内容包括生产信息、污染防治设施运行情况、污染物按证排放情况等。</w:t>
      </w:r>
    </w:p>
    <w:p>
      <w:pPr>
        <w:ind w:firstLine="480"/>
        <w:rPr>
          <w:rFonts w:ascii="Times New Roman" w:hAnsi="Times New Roman"/>
        </w:rPr>
      </w:pPr>
      <w:r>
        <w:rPr>
          <w:rFonts w:ascii="Times New Roman" w:hAnsi="Times New Roman"/>
        </w:rPr>
        <w:t>《国务院办公厅关于印发控制污染物排放许可制实施方案的通知》（国办发〔2016〕8号）明确将排污许可制建设成为固体污染源环境管理的核心制度，作为企业守法、部门执法、社会监督的依据，为提高环境管理效能和改善环境质量奠定坚实基础。</w:t>
      </w:r>
    </w:p>
    <w:p>
      <w:pPr>
        <w:ind w:firstLine="480"/>
        <w:rPr>
          <w:rFonts w:ascii="Times New Roman" w:hAnsi="Times New Roman"/>
        </w:rPr>
      </w:pPr>
      <w:r>
        <w:rPr>
          <w:rFonts w:ascii="Times New Roman" w:hAnsi="Times New Roman"/>
        </w:rPr>
        <w:t>根据《关于做好环境影响评价制度与排污许可制衔接相关工作的通知》（环办环评〔2017〕84号）提出：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p>
      <w:pPr>
        <w:pStyle w:val="3"/>
        <w:rPr>
          <w:rFonts w:ascii="Times New Roman" w:hAnsi="Times New Roman" w:cs="Times New Roman"/>
        </w:rPr>
      </w:pPr>
      <w:bookmarkStart w:id="440" w:name="_Toc162339476"/>
      <w:bookmarkStart w:id="441" w:name="_Toc137043952"/>
      <w:r>
        <w:rPr>
          <w:rFonts w:ascii="Times New Roman" w:hAnsi="Times New Roman" w:cs="Times New Roman"/>
        </w:rPr>
        <w:t>排污口规范化管理</w:t>
      </w:r>
      <w:bookmarkEnd w:id="440"/>
      <w:bookmarkEnd w:id="441"/>
    </w:p>
    <w:p>
      <w:pPr>
        <w:ind w:firstLine="480"/>
        <w:rPr>
          <w:rFonts w:ascii="Times New Roman" w:hAnsi="Times New Roman"/>
        </w:rPr>
      </w:pPr>
      <w:r>
        <w:rPr>
          <w:rFonts w:ascii="Times New Roman" w:hAnsi="Times New Roman"/>
        </w:rPr>
        <w:t>根据原国家环境保护总局（环发〔1999〕24号）《关于开展排放口规范化整治工作的通知》中的规定：一切新建、扩建、改建的排污单位必须在建设污染治理设施的同时建设规范化排污口，作为落实环境保护“三同时”制度的必要组成和项目验收内容之一。</w:t>
      </w:r>
    </w:p>
    <w:p>
      <w:pPr>
        <w:ind w:firstLine="480"/>
        <w:rPr>
          <w:rFonts w:ascii="Times New Roman" w:hAnsi="Times New Roman"/>
        </w:rPr>
      </w:pPr>
      <w:r>
        <w:rPr>
          <w:rFonts w:ascii="Times New Roman" w:hAnsi="Times New Roman"/>
        </w:rPr>
        <w:t>因此，本项目要对污染物排放口进行规范化管理。各污染源排放口应设置专项图标，执行《环境保护图形标志—排放口（源）》（GB15562.1-1995）的规定。环境保护图形符号如</w:t>
      </w:r>
      <w:r>
        <w:rPr>
          <w:rFonts w:ascii="Times New Roman" w:hAnsi="Times New Roman"/>
        </w:rPr>
        <w:fldChar w:fldCharType="begin"/>
      </w:r>
      <w:r>
        <w:rPr>
          <w:rFonts w:ascii="Times New Roman" w:hAnsi="Times New Roman"/>
        </w:rPr>
        <w:instrText xml:space="preserve"> REF _Ref130476710 \h  \* MERGEFORMAT </w:instrText>
      </w:r>
      <w:r>
        <w:rPr>
          <w:rFonts w:ascii="Times New Roman" w:hAnsi="Times New Roman"/>
        </w:rPr>
        <w:fldChar w:fldCharType="separate"/>
      </w:r>
      <w:r>
        <w:rPr>
          <w:rFonts w:ascii="Times New Roman" w:hAnsi="Times New Roman"/>
        </w:rPr>
        <w:t>表 12</w:t>
      </w:r>
      <w:r>
        <w:rPr>
          <w:rFonts w:ascii="Times New Roman" w:hAnsi="Times New Roman"/>
        </w:rPr>
        <w:noBreakHyphen/>
      </w:r>
      <w:r>
        <w:rPr>
          <w:rFonts w:ascii="Times New Roman" w:hAnsi="Times New Roman"/>
        </w:rPr>
        <w:t>3</w:t>
      </w:r>
      <w:r>
        <w:rPr>
          <w:rFonts w:ascii="Times New Roman" w:hAnsi="Times New Roman"/>
        </w:rPr>
        <w:fldChar w:fldCharType="end"/>
      </w:r>
      <w:r>
        <w:rPr>
          <w:rFonts w:ascii="Times New Roman" w:hAnsi="Times New Roman"/>
        </w:rPr>
        <w:t>。</w:t>
      </w:r>
    </w:p>
    <w:p>
      <w:pPr>
        <w:ind w:firstLine="480"/>
        <w:rPr>
          <w:rFonts w:ascii="Times New Roman" w:hAnsi="Times New Roman"/>
        </w:rPr>
      </w:pPr>
      <w:r>
        <w:rPr>
          <w:rFonts w:ascii="Times New Roman" w:hAnsi="Times New Roman"/>
        </w:rPr>
        <w:t>（1）废气排放口</w:t>
      </w:r>
    </w:p>
    <w:p>
      <w:pPr>
        <w:ind w:firstLine="480"/>
        <w:rPr>
          <w:rFonts w:ascii="Times New Roman" w:hAnsi="Times New Roman"/>
        </w:rPr>
      </w:pPr>
      <w:r>
        <w:rPr>
          <w:rFonts w:ascii="Times New Roman" w:hAnsi="Times New Roman"/>
        </w:rPr>
        <w:t>废气排放口必须根据《污染源监测技术规范》设置便于采样、监测的采样口。排放口按照《环境保护图形标志─排放口（源）》（GB15562.1-1995）的规定设置环境保护图形标志牌。</w:t>
      </w:r>
    </w:p>
    <w:p>
      <w:pPr>
        <w:ind w:firstLine="480"/>
        <w:rPr>
          <w:rFonts w:ascii="Times New Roman" w:hAnsi="Times New Roman"/>
        </w:rPr>
      </w:pPr>
      <w:r>
        <w:rPr>
          <w:rFonts w:ascii="Times New Roman" w:hAnsi="Times New Roman"/>
        </w:rPr>
        <w:t>（2）废水排放口</w:t>
      </w:r>
    </w:p>
    <w:p>
      <w:pPr>
        <w:ind w:firstLine="480"/>
        <w:rPr>
          <w:rFonts w:ascii="Times New Roman" w:hAnsi="Times New Roman"/>
        </w:rPr>
      </w:pPr>
      <w:r>
        <w:rPr>
          <w:rFonts w:ascii="Times New Roman" w:hAnsi="Times New Roman"/>
        </w:rPr>
        <w:t>排放口应设置规范的、便于测量流量混合流速的测流段，并安装流量计。排放口按照《环境保护图形标志─排放口（源）》（GB15562.1-1995）的规定设置环境保护图形标志牌。</w:t>
      </w:r>
    </w:p>
    <w:p>
      <w:pPr>
        <w:ind w:firstLine="480"/>
        <w:rPr>
          <w:rFonts w:ascii="Times New Roman" w:hAnsi="Times New Roman"/>
        </w:rPr>
      </w:pPr>
      <w:r>
        <w:rPr>
          <w:rFonts w:ascii="Times New Roman" w:hAnsi="Times New Roman"/>
        </w:rPr>
        <w:t>（3）危废标识</w:t>
      </w:r>
    </w:p>
    <w:p>
      <w:pPr>
        <w:ind w:firstLine="480"/>
        <w:rPr>
          <w:rFonts w:ascii="Times New Roman" w:hAnsi="Times New Roman"/>
        </w:rPr>
      </w:pPr>
      <w:r>
        <w:rPr>
          <w:rFonts w:ascii="Times New Roman" w:hAnsi="Times New Roman"/>
        </w:rPr>
        <w:t>危废废物贮存点的相关标识设置应符合《环境保护图形标志─固体废物贮存（处置）场》（GB15562.2-1995）和《危险废物识别标志设置技术规范》（HJ1276-2022）的相关要求。</w:t>
      </w:r>
    </w:p>
    <w:p>
      <w:pPr>
        <w:ind w:firstLine="480"/>
        <w:rPr>
          <w:rFonts w:ascii="Times New Roman" w:hAnsi="Times New Roman"/>
        </w:rPr>
      </w:pPr>
      <w:r>
        <w:rPr>
          <w:rFonts w:ascii="Times New Roman" w:hAnsi="Times New Roman"/>
        </w:rPr>
        <w:t>（4）环境保护图形标志牌应设置在排放口及危险废物暂存设施或采样点较近且醒目处，高度为标志牌上缘离地面2米。排污口的有关设置（如立式标志牌、计量装置、监控装置等）属环保设施，排污单位必须负责日常的维护保养，任何单位和个人不得擅自拆除，如需要变更的须报环境管理部门同意并办理变更手续。</w:t>
      </w:r>
    </w:p>
    <w:p>
      <w:pPr>
        <w:ind w:firstLine="480"/>
        <w:rPr>
          <w:rFonts w:ascii="Times New Roman" w:hAnsi="Times New Roman"/>
        </w:rPr>
      </w:pPr>
      <w:r>
        <w:rPr>
          <w:rFonts w:ascii="Times New Roman" w:hAnsi="Times New Roman"/>
        </w:rPr>
        <w:t>（5）规范化整治排污口有关设施属于环境保护设施，公司应将其纳入其设备管理，并选派责任心强、有专业知识和技能的专、兼职人员对排污口进行管理。</w:t>
      </w:r>
    </w:p>
    <w:p>
      <w:pPr>
        <w:pStyle w:val="37"/>
        <w:rPr>
          <w:rFonts w:ascii="Times New Roman" w:hAnsi="Times New Roman" w:cs="Times New Roman"/>
        </w:rPr>
      </w:pPr>
      <w:bookmarkStart w:id="442" w:name="_Ref130476710"/>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bookmarkEnd w:id="442"/>
      <w:r>
        <w:rPr>
          <w:rFonts w:ascii="Times New Roman" w:hAnsi="Times New Roman" w:cs="Times New Roman"/>
        </w:rPr>
        <w:t xml:space="preserve"> 环境保护图形符号一览表</w:t>
      </w:r>
    </w:p>
    <w:tbl>
      <w:tblPr>
        <w:tblStyle w:val="28"/>
        <w:tblW w:w="503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9"/>
        <w:gridCol w:w="2096"/>
        <w:gridCol w:w="2614"/>
        <w:gridCol w:w="23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879" w:type="pct"/>
            <w:vAlign w:val="center"/>
          </w:tcPr>
          <w:p>
            <w:pPr>
              <w:spacing w:line="240" w:lineRule="auto"/>
              <w:ind w:firstLine="0" w:firstLineChars="0"/>
              <w:jc w:val="center"/>
              <w:rPr>
                <w:rFonts w:ascii="Times New Roman" w:hAnsi="Times New Roman"/>
                <w:b/>
                <w:sz w:val="21"/>
                <w:szCs w:val="21"/>
              </w:rPr>
            </w:pPr>
            <w:r>
              <w:rPr>
                <w:rFonts w:ascii="Times New Roman" w:hAnsi="Times New Roman"/>
                <w:b/>
                <w:sz w:val="21"/>
                <w:szCs w:val="21"/>
              </w:rPr>
              <w:t>排放口</w:t>
            </w:r>
          </w:p>
        </w:tc>
        <w:tc>
          <w:tcPr>
            <w:tcW w:w="1221" w:type="pct"/>
            <w:vAlign w:val="center"/>
          </w:tcPr>
          <w:p>
            <w:pPr>
              <w:spacing w:line="240" w:lineRule="auto"/>
              <w:ind w:firstLine="0" w:firstLineChars="0"/>
              <w:jc w:val="center"/>
              <w:rPr>
                <w:rFonts w:ascii="Times New Roman" w:hAnsi="Times New Roman"/>
                <w:b/>
                <w:sz w:val="21"/>
                <w:szCs w:val="21"/>
              </w:rPr>
            </w:pPr>
            <w:r>
              <w:rPr>
                <w:rFonts w:ascii="Times New Roman" w:hAnsi="Times New Roman"/>
                <w:b/>
                <w:sz w:val="21"/>
                <w:szCs w:val="21"/>
              </w:rPr>
              <w:t>提示图形符号</w:t>
            </w:r>
          </w:p>
        </w:tc>
        <w:tc>
          <w:tcPr>
            <w:tcW w:w="1523" w:type="pct"/>
            <w:vAlign w:val="center"/>
          </w:tcPr>
          <w:p>
            <w:pPr>
              <w:spacing w:line="240" w:lineRule="auto"/>
              <w:ind w:firstLine="0" w:firstLineChars="0"/>
              <w:jc w:val="center"/>
              <w:rPr>
                <w:rFonts w:ascii="Times New Roman" w:hAnsi="Times New Roman"/>
                <w:b/>
                <w:sz w:val="21"/>
                <w:szCs w:val="21"/>
              </w:rPr>
            </w:pPr>
            <w:r>
              <w:rPr>
                <w:rFonts w:ascii="Times New Roman" w:hAnsi="Times New Roman"/>
                <w:b/>
                <w:sz w:val="21"/>
                <w:szCs w:val="21"/>
              </w:rPr>
              <w:t>警告图形符号</w:t>
            </w:r>
          </w:p>
        </w:tc>
        <w:tc>
          <w:tcPr>
            <w:tcW w:w="1377" w:type="pct"/>
            <w:vAlign w:val="center"/>
          </w:tcPr>
          <w:p>
            <w:pPr>
              <w:spacing w:line="240" w:lineRule="auto"/>
              <w:ind w:firstLine="0" w:firstLineChars="0"/>
              <w:jc w:val="center"/>
              <w:rPr>
                <w:rFonts w:ascii="Times New Roman" w:hAnsi="Times New Roman"/>
                <w:b/>
                <w:sz w:val="21"/>
                <w:szCs w:val="21"/>
              </w:rPr>
            </w:pPr>
            <w:r>
              <w:rPr>
                <w:rFonts w:ascii="Times New Roman" w:hAnsi="Times New Roman"/>
                <w:b/>
                <w:sz w:val="21"/>
                <w:szCs w:val="21"/>
              </w:rPr>
              <w:t>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879"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废气</w:t>
            </w:r>
          </w:p>
        </w:tc>
        <w:tc>
          <w:tcPr>
            <w:tcW w:w="1221"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drawing>
                <wp:inline distT="0" distB="0" distL="0" distR="0">
                  <wp:extent cx="1109980" cy="1115695"/>
                  <wp:effectExtent l="0" t="0" r="4445" b="8255"/>
                  <wp:docPr id="232" name="图片 232" descr="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图标&#10;&#10;描述已自动生成"/>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0" y="0"/>
                            <a:ext cx="1110090" cy="1116000"/>
                          </a:xfrm>
                          <a:prstGeom prst="rect">
                            <a:avLst/>
                          </a:prstGeom>
                          <a:noFill/>
                          <a:ln>
                            <a:noFill/>
                          </a:ln>
                        </pic:spPr>
                      </pic:pic>
                    </a:graphicData>
                  </a:graphic>
                </wp:inline>
              </w:drawing>
            </w:r>
          </w:p>
        </w:tc>
        <w:tc>
          <w:tcPr>
            <w:tcW w:w="1523"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drawing>
                <wp:inline distT="0" distB="0" distL="0" distR="0">
                  <wp:extent cx="1231900" cy="1109345"/>
                  <wp:effectExtent l="0" t="0" r="6350" b="508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a:xfrm>
                            <a:off x="0" y="0"/>
                            <a:ext cx="1238887" cy="1115344"/>
                          </a:xfrm>
                          <a:prstGeom prst="rect">
                            <a:avLst/>
                          </a:prstGeom>
                          <a:noFill/>
                          <a:ln>
                            <a:noFill/>
                          </a:ln>
                        </pic:spPr>
                      </pic:pic>
                    </a:graphicData>
                  </a:graphic>
                </wp:inline>
              </w:drawing>
            </w:r>
          </w:p>
        </w:tc>
        <w:tc>
          <w:tcPr>
            <w:tcW w:w="1377"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 xml:space="preserve">表示废气向大气环境排放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879"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废水</w:t>
            </w:r>
          </w:p>
        </w:tc>
        <w:tc>
          <w:tcPr>
            <w:tcW w:w="1221"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drawing>
                <wp:inline distT="0" distB="0" distL="0" distR="0">
                  <wp:extent cx="1109980" cy="1115695"/>
                  <wp:effectExtent l="0" t="0" r="4445" b="8255"/>
                  <wp:docPr id="234" name="图片 234"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image00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a:xfrm>
                            <a:off x="0" y="0"/>
                            <a:ext cx="1110311" cy="1116000"/>
                          </a:xfrm>
                          <a:prstGeom prst="rect">
                            <a:avLst/>
                          </a:prstGeom>
                          <a:noFill/>
                          <a:ln>
                            <a:noFill/>
                          </a:ln>
                        </pic:spPr>
                      </pic:pic>
                    </a:graphicData>
                  </a:graphic>
                </wp:inline>
              </w:drawing>
            </w:r>
          </w:p>
        </w:tc>
        <w:tc>
          <w:tcPr>
            <w:tcW w:w="1523"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drawing>
                <wp:inline distT="0" distB="0" distL="0" distR="0">
                  <wp:extent cx="1287780" cy="1151890"/>
                  <wp:effectExtent l="0" t="0" r="7620" b="635"/>
                  <wp:docPr id="235" name="图片 235"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未标题-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a:xfrm>
                            <a:off x="0" y="0"/>
                            <a:ext cx="1297524" cy="1161177"/>
                          </a:xfrm>
                          <a:prstGeom prst="rect">
                            <a:avLst/>
                          </a:prstGeom>
                          <a:noFill/>
                          <a:ln>
                            <a:noFill/>
                          </a:ln>
                        </pic:spPr>
                      </pic:pic>
                    </a:graphicData>
                  </a:graphic>
                </wp:inline>
              </w:drawing>
            </w:r>
          </w:p>
        </w:tc>
        <w:tc>
          <w:tcPr>
            <w:tcW w:w="1377"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表示污水向水体排放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879"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噪声</w:t>
            </w:r>
          </w:p>
        </w:tc>
        <w:tc>
          <w:tcPr>
            <w:tcW w:w="1221"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drawing>
                <wp:inline distT="0" distB="0" distL="0" distR="0">
                  <wp:extent cx="1122045" cy="1115695"/>
                  <wp:effectExtent l="0" t="0" r="1905" b="825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0" y="0"/>
                            <a:ext cx="1122403" cy="1116000"/>
                          </a:xfrm>
                          <a:prstGeom prst="rect">
                            <a:avLst/>
                          </a:prstGeom>
                          <a:noFill/>
                          <a:ln>
                            <a:noFill/>
                          </a:ln>
                        </pic:spPr>
                      </pic:pic>
                    </a:graphicData>
                  </a:graphic>
                </wp:inline>
              </w:drawing>
            </w:r>
          </w:p>
        </w:tc>
        <w:tc>
          <w:tcPr>
            <w:tcW w:w="1523"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drawing>
                <wp:inline distT="0" distB="0" distL="0" distR="0">
                  <wp:extent cx="1350645" cy="1198245"/>
                  <wp:effectExtent l="0" t="0" r="1905" b="1905"/>
                  <wp:docPr id="238" name="图片 238" descr="黑白色的标志&#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黑白色的标志&#10;&#10;中度可信度描述已自动生成"/>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a:xfrm>
                            <a:off x="0" y="0"/>
                            <a:ext cx="1361465" cy="1207941"/>
                          </a:xfrm>
                          <a:prstGeom prst="rect">
                            <a:avLst/>
                          </a:prstGeom>
                          <a:noFill/>
                          <a:ln>
                            <a:noFill/>
                          </a:ln>
                        </pic:spPr>
                      </pic:pic>
                    </a:graphicData>
                  </a:graphic>
                </wp:inline>
              </w:drawing>
            </w:r>
          </w:p>
        </w:tc>
        <w:tc>
          <w:tcPr>
            <w:tcW w:w="1377"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表示噪声向外环境排放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879"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一般固体废物</w:t>
            </w:r>
          </w:p>
        </w:tc>
        <w:tc>
          <w:tcPr>
            <w:tcW w:w="1221"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drawing>
                <wp:inline distT="0" distB="0" distL="0" distR="0">
                  <wp:extent cx="1160780" cy="1115695"/>
                  <wp:effectExtent l="0" t="0" r="1270" b="825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a:xfrm>
                            <a:off x="0" y="0"/>
                            <a:ext cx="1160824" cy="1116000"/>
                          </a:xfrm>
                          <a:prstGeom prst="rect">
                            <a:avLst/>
                          </a:prstGeom>
                          <a:noFill/>
                          <a:ln>
                            <a:noFill/>
                          </a:ln>
                        </pic:spPr>
                      </pic:pic>
                    </a:graphicData>
                  </a:graphic>
                </wp:inline>
              </w:drawing>
            </w:r>
          </w:p>
        </w:tc>
        <w:tc>
          <w:tcPr>
            <w:tcW w:w="1523"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drawing>
                <wp:inline distT="0" distB="0" distL="0" distR="0">
                  <wp:extent cx="1319530" cy="1199515"/>
                  <wp:effectExtent l="0" t="0" r="4445" b="63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1325629" cy="1205406"/>
                          </a:xfrm>
                          <a:prstGeom prst="rect">
                            <a:avLst/>
                          </a:prstGeom>
                          <a:noFill/>
                          <a:ln>
                            <a:noFill/>
                          </a:ln>
                        </pic:spPr>
                      </pic:pic>
                    </a:graphicData>
                  </a:graphic>
                </wp:inline>
              </w:drawing>
            </w:r>
          </w:p>
        </w:tc>
        <w:tc>
          <w:tcPr>
            <w:tcW w:w="1377"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表示一般固体废物贮存、处置场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879"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危险废物</w:t>
            </w:r>
          </w:p>
        </w:tc>
        <w:tc>
          <w:tcPr>
            <w:tcW w:w="1221"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w:t>
            </w:r>
          </w:p>
        </w:tc>
        <w:tc>
          <w:tcPr>
            <w:tcW w:w="1523" w:type="pct"/>
            <w:vAlign w:val="center"/>
          </w:tcPr>
          <w:p>
            <w:pPr>
              <w:spacing w:line="240" w:lineRule="auto"/>
              <w:ind w:firstLine="0" w:firstLineChars="0"/>
              <w:jc w:val="center"/>
              <w:rPr>
                <w:rFonts w:ascii="Times New Roman" w:hAnsi="Times New Roman"/>
                <w:sz w:val="21"/>
                <w:szCs w:val="21"/>
              </w:rPr>
            </w:pPr>
            <w:r>
              <w:rPr>
                <w:rFonts w:ascii="Times New Roman" w:hAnsi="Times New Roman"/>
              </w:rPr>
              <w:drawing>
                <wp:inline distT="0" distB="0" distL="0" distR="0">
                  <wp:extent cx="1517650" cy="1244600"/>
                  <wp:effectExtent l="0" t="0" r="0" b="0"/>
                  <wp:docPr id="539821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821108" name="图片 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a:xfrm>
                            <a:off x="0" y="0"/>
                            <a:ext cx="1517650" cy="1244600"/>
                          </a:xfrm>
                          <a:prstGeom prst="rect">
                            <a:avLst/>
                          </a:prstGeom>
                          <a:noFill/>
                          <a:ln>
                            <a:noFill/>
                          </a:ln>
                        </pic:spPr>
                      </pic:pic>
                    </a:graphicData>
                  </a:graphic>
                </wp:inline>
              </w:drawing>
            </w:r>
          </w:p>
        </w:tc>
        <w:tc>
          <w:tcPr>
            <w:tcW w:w="1377" w:type="pct"/>
            <w:vAlign w:val="center"/>
          </w:tcPr>
          <w:p>
            <w:pPr>
              <w:spacing w:line="240" w:lineRule="auto"/>
              <w:ind w:firstLine="0" w:firstLineChars="0"/>
              <w:jc w:val="center"/>
              <w:rPr>
                <w:rFonts w:ascii="Times New Roman" w:hAnsi="Times New Roman"/>
                <w:sz w:val="21"/>
                <w:szCs w:val="21"/>
              </w:rPr>
            </w:pPr>
            <w:r>
              <w:rPr>
                <w:rFonts w:ascii="Times New Roman" w:hAnsi="Times New Roman"/>
                <w:sz w:val="21"/>
                <w:szCs w:val="21"/>
              </w:rPr>
              <w:t>表示危险废物贮存、处置场</w:t>
            </w:r>
          </w:p>
        </w:tc>
      </w:tr>
    </w:tbl>
    <w:p>
      <w:pPr>
        <w:pStyle w:val="3"/>
        <w:rPr>
          <w:rFonts w:ascii="Times New Roman" w:hAnsi="Times New Roman" w:cs="Times New Roman"/>
        </w:rPr>
      </w:pPr>
      <w:bookmarkStart w:id="443" w:name="_Toc162339477"/>
      <w:r>
        <w:rPr>
          <w:rFonts w:ascii="Times New Roman" w:hAnsi="Times New Roman" w:cs="Times New Roman"/>
        </w:rPr>
        <w:t>信息公开方案</w:t>
      </w:r>
      <w:bookmarkEnd w:id="443"/>
    </w:p>
    <w:p>
      <w:pPr>
        <w:ind w:firstLine="480"/>
        <w:rPr>
          <w:rFonts w:ascii="Times New Roman" w:hAnsi="Times New Roman"/>
        </w:rPr>
      </w:pPr>
      <w:r>
        <w:rPr>
          <w:rFonts w:ascii="Times New Roman" w:hAnsi="Times New Roman"/>
        </w:rPr>
        <w:t>企业应按照《建设项目环境影响评价信息公开机制方案》（环发〔2015〕162号）、《企业事业单位环境信息公开办法》（</w:t>
      </w:r>
      <w:r>
        <w:rPr>
          <w:rFonts w:hint="eastAsia" w:ascii="Times New Roman" w:hAnsi="Times New Roman"/>
        </w:rPr>
        <w:t>生态环境部</w:t>
      </w:r>
      <w:r>
        <w:rPr>
          <w:rFonts w:ascii="Times New Roman" w:hAnsi="Times New Roman"/>
        </w:rPr>
        <w:t>令第31号）及《国家重点监控企业自行监测及信息公开办法（试行）》（环发〔2013〕81号）等政策规范要求，通过当地网站、企业事业单位环境信息公开平台、当地报刊、本单位的信息公开栏或信息亭等一种或多种便于公众知晓的方式公开下列信息。</w:t>
      </w:r>
    </w:p>
    <w:p>
      <w:pPr>
        <w:pStyle w:val="4"/>
        <w:rPr>
          <w:rFonts w:ascii="Times New Roman" w:hAnsi="Times New Roman" w:cs="Times New Roman"/>
        </w:rPr>
      </w:pPr>
      <w:r>
        <w:rPr>
          <w:rFonts w:ascii="Times New Roman" w:hAnsi="Times New Roman" w:cs="Times New Roman"/>
        </w:rPr>
        <w:t>建设项目开工前的信息</w:t>
      </w:r>
    </w:p>
    <w:p>
      <w:pPr>
        <w:ind w:firstLine="480"/>
        <w:rPr>
          <w:rFonts w:ascii="Times New Roman" w:hAnsi="Times New Roman"/>
        </w:rPr>
      </w:pPr>
      <w:r>
        <w:rPr>
          <w:rFonts w:ascii="Times New Roman" w:hAnsi="Times New Roman"/>
        </w:rPr>
        <w:t xml:space="preserve">建设项目开工建设前，建设单位应当向社会公开建设项目开工日期、设计单位、施工单位和环境监理单位、工程基本情况、拟采取的环境保护措施清单和实施计划、由地方政府或相关部门负责配套的环境保护措施清单和实施计划等，并确保上述信息在整个施工期内均处于公开状态。 </w:t>
      </w:r>
    </w:p>
    <w:p>
      <w:pPr>
        <w:pStyle w:val="4"/>
        <w:rPr>
          <w:rFonts w:ascii="Times New Roman" w:hAnsi="Times New Roman" w:cs="Times New Roman"/>
        </w:rPr>
      </w:pPr>
      <w:r>
        <w:rPr>
          <w:rFonts w:ascii="Times New Roman" w:hAnsi="Times New Roman" w:cs="Times New Roman"/>
        </w:rPr>
        <w:t>建设项目施工过程中的信息</w:t>
      </w:r>
    </w:p>
    <w:p>
      <w:pPr>
        <w:ind w:firstLine="480"/>
        <w:rPr>
          <w:rFonts w:ascii="Times New Roman" w:hAnsi="Times New Roman"/>
        </w:rPr>
      </w:pPr>
      <w:r>
        <w:rPr>
          <w:rFonts w:ascii="Times New Roman" w:hAnsi="Times New Roman"/>
        </w:rPr>
        <w:t xml:space="preserve">项目建设过程中，建设单位应当在施工中期向社会公开建设项目环境保护措施进展情况、施工期的环境保护措施落实情况、施工期环境监理情况、施工期环境监测结果等。 </w:t>
      </w:r>
    </w:p>
    <w:p>
      <w:pPr>
        <w:pStyle w:val="4"/>
        <w:rPr>
          <w:rFonts w:ascii="Times New Roman" w:hAnsi="Times New Roman" w:cs="Times New Roman"/>
        </w:rPr>
      </w:pPr>
      <w:r>
        <w:rPr>
          <w:rFonts w:ascii="Times New Roman" w:hAnsi="Times New Roman" w:cs="Times New Roman"/>
        </w:rPr>
        <w:t xml:space="preserve">建设项目建成后的信息 </w:t>
      </w:r>
    </w:p>
    <w:p>
      <w:pPr>
        <w:ind w:firstLine="480"/>
        <w:rPr>
          <w:rFonts w:ascii="Times New Roman" w:hAnsi="Times New Roman"/>
        </w:rPr>
      </w:pPr>
      <w:r>
        <w:rPr>
          <w:rFonts w:ascii="Times New Roman" w:hAnsi="Times New Roman"/>
        </w:rPr>
        <w:t>建设项目建成后，建设单位应当向社会公开建设项目环评提出的各项环境保护设施和措施执行情况、竣工环境保护验收监测和调查结果。对主要因排放污染物对环境产生影响的建设项目，投入生产或使用后，应当定期向社会特别是周边社区公开主要污染物排放情况。</w:t>
      </w:r>
    </w:p>
    <w:p>
      <w:pPr>
        <w:pStyle w:val="4"/>
        <w:rPr>
          <w:rFonts w:ascii="Times New Roman" w:hAnsi="Times New Roman" w:cs="Times New Roman"/>
        </w:rPr>
      </w:pPr>
      <w:r>
        <w:rPr>
          <w:rFonts w:ascii="Times New Roman" w:hAnsi="Times New Roman" w:cs="Times New Roman"/>
        </w:rPr>
        <w:t>其它信息</w:t>
      </w:r>
    </w:p>
    <w:p>
      <w:pPr>
        <w:ind w:firstLine="480"/>
        <w:rPr>
          <w:rFonts w:ascii="Times New Roman" w:hAnsi="Times New Roman"/>
        </w:rPr>
      </w:pPr>
      <w:r>
        <w:rPr>
          <w:rFonts w:ascii="Times New Roman" w:hAnsi="Times New Roman"/>
        </w:rPr>
        <w:t>建设单位应当公开其基础信息，包括单位名称、组织机构代码、法定代表人、生产地址、联系方式，以及生产经营和管理服务的主要内容、产品及规模；建设项目环境影响评价及其他环境保护行政许可情况；突发环境事件应急预案；环境自行监测方案等。</w:t>
      </w:r>
    </w:p>
    <w:p>
      <w:pPr>
        <w:pStyle w:val="3"/>
        <w:rPr>
          <w:rFonts w:ascii="Times New Roman" w:hAnsi="Times New Roman" w:cs="Times New Roman"/>
        </w:rPr>
      </w:pPr>
      <w:bookmarkStart w:id="444" w:name="_Toc162339478"/>
      <w:r>
        <w:rPr>
          <w:rFonts w:ascii="Times New Roman" w:hAnsi="Times New Roman" w:cs="Times New Roman"/>
        </w:rPr>
        <w:t>污染物排放清单</w:t>
      </w:r>
      <w:bookmarkEnd w:id="444"/>
    </w:p>
    <w:p>
      <w:pPr>
        <w:ind w:firstLine="480"/>
        <w:rPr>
          <w:rFonts w:ascii="Times New Roman" w:hAnsi="Times New Roman"/>
        </w:rPr>
      </w:pPr>
      <w:r>
        <w:rPr>
          <w:rFonts w:ascii="Times New Roman" w:hAnsi="Times New Roman"/>
        </w:rPr>
        <w:t>本项目运营期污染物排放清单如下表所示。</w:t>
      </w:r>
    </w:p>
    <w:p>
      <w:pPr>
        <w:pStyle w:val="37"/>
        <w:rPr>
          <w:rFonts w:ascii="Times New Roman" w:hAnsi="Times New Roman" w:cs="Times New Roman"/>
        </w:rPr>
      </w:pPr>
      <w:r>
        <w:rPr>
          <w:rFonts w:ascii="Times New Roman" w:hAnsi="Times New Roman" w:cs="Times New Roman"/>
        </w:rPr>
        <w:t xml:space="preserve">表 </w:t>
      </w:r>
      <w:r>
        <w:rPr>
          <w:rFonts w:ascii="Times New Roman" w:hAnsi="Times New Roman" w:cs="Times New Roman"/>
        </w:rPr>
        <w:fldChar w:fldCharType="begin"/>
      </w:r>
      <w:r>
        <w:rPr>
          <w:rFonts w:ascii="Times New Roman" w:hAnsi="Times New Roman" w:cs="Times New Roman"/>
        </w:rPr>
        <w:instrText xml:space="preserve"> STYLEREF 1 \s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r>
        <w:rPr>
          <w:rFonts w:ascii="Times New Roman" w:hAnsi="Times New Roman" w:cs="Times New Roman"/>
        </w:rPr>
        <w:noBreakHyphen/>
      </w:r>
      <w:r>
        <w:rPr>
          <w:rFonts w:ascii="Times New Roman" w:hAnsi="Times New Roman" w:cs="Times New Roman"/>
        </w:rPr>
        <w:fldChar w:fldCharType="begin"/>
      </w:r>
      <w:r>
        <w:rPr>
          <w:rFonts w:ascii="Times New Roman" w:hAnsi="Times New Roman" w:cs="Times New Roman"/>
        </w:rPr>
        <w:instrText xml:space="preserve"> SEQ 表 \* ARABIC \s 1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t xml:space="preserve">  本项目污染物排放清单</w:t>
      </w:r>
    </w:p>
    <w:tbl>
      <w:tblPr>
        <w:tblStyle w:val="28"/>
        <w:tblW w:w="87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7"/>
        <w:gridCol w:w="1352"/>
        <w:gridCol w:w="1196"/>
        <w:gridCol w:w="1192"/>
        <w:gridCol w:w="1149"/>
        <w:gridCol w:w="859"/>
        <w:gridCol w:w="740"/>
        <w:gridCol w:w="1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1" w:type="dxa"/>
            <w:gridSpan w:val="8"/>
          </w:tcPr>
          <w:p>
            <w:pPr>
              <w:pStyle w:val="39"/>
              <w:jc w:val="left"/>
              <w:rPr>
                <w:rFonts w:ascii="Times New Roman" w:hAnsi="Times New Roman"/>
                <w:b/>
                <w:bCs/>
              </w:rPr>
            </w:pPr>
            <w:r>
              <w:rPr>
                <w:rFonts w:ascii="Times New Roman" w:hAnsi="Times New Roman"/>
                <w:b/>
                <w:bCs/>
              </w:rPr>
              <w:t>一、工程组成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9" w:type="dxa"/>
            <w:gridSpan w:val="2"/>
          </w:tcPr>
          <w:p>
            <w:pPr>
              <w:pStyle w:val="39"/>
              <w:rPr>
                <w:rFonts w:ascii="Times New Roman" w:hAnsi="Times New Roman"/>
              </w:rPr>
            </w:pPr>
            <w:r>
              <w:rPr>
                <w:rFonts w:ascii="Times New Roman" w:hAnsi="Times New Roman"/>
              </w:rPr>
              <w:t>类别</w:t>
            </w:r>
          </w:p>
        </w:tc>
        <w:tc>
          <w:tcPr>
            <w:tcW w:w="6302" w:type="dxa"/>
            <w:gridSpan w:val="6"/>
          </w:tcPr>
          <w:p>
            <w:pPr>
              <w:pStyle w:val="39"/>
              <w:rPr>
                <w:rFonts w:ascii="Times New Roman" w:hAnsi="Times New Roman"/>
              </w:rPr>
            </w:pPr>
            <w:r>
              <w:rPr>
                <w:rFonts w:ascii="Times New Roman" w:hAnsi="Times New Roman"/>
              </w:rPr>
              <w:t>主要内容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restart"/>
            <w:vAlign w:val="center"/>
          </w:tcPr>
          <w:p>
            <w:pPr>
              <w:pStyle w:val="39"/>
              <w:rPr>
                <w:rFonts w:ascii="Times New Roman" w:hAnsi="Times New Roman"/>
              </w:rPr>
            </w:pPr>
            <w:r>
              <w:rPr>
                <w:rFonts w:ascii="Times New Roman" w:hAnsi="Times New Roman"/>
              </w:rPr>
              <w:t>主体工程</w:t>
            </w:r>
          </w:p>
        </w:tc>
        <w:tc>
          <w:tcPr>
            <w:tcW w:w="1352" w:type="dxa"/>
            <w:vAlign w:val="center"/>
          </w:tcPr>
          <w:p>
            <w:pPr>
              <w:pStyle w:val="39"/>
              <w:rPr>
                <w:rFonts w:ascii="Times New Roman" w:hAnsi="Times New Roman"/>
              </w:rPr>
            </w:pPr>
            <w:r>
              <w:rPr>
                <w:rFonts w:ascii="Times New Roman" w:hAnsi="Times New Roman"/>
              </w:rPr>
              <w:t>井站</w:t>
            </w:r>
          </w:p>
        </w:tc>
        <w:tc>
          <w:tcPr>
            <w:tcW w:w="6302" w:type="dxa"/>
            <w:gridSpan w:val="6"/>
          </w:tcPr>
          <w:p>
            <w:pPr>
              <w:pStyle w:val="39"/>
              <w:rPr>
                <w:rFonts w:ascii="Times New Roman" w:hAnsi="Times New Roman"/>
                <w:highlight w:val="black"/>
              </w:rPr>
            </w:pPr>
            <w:r>
              <w:rPr>
                <w:rFonts w:ascii="Times New Roman" w:hAnsi="Times New Roman"/>
                <w:highlight w:val="black"/>
              </w:rPr>
              <w:t>宣探1井站：1口井，规模：60×10</w:t>
            </w:r>
            <w:r>
              <w:rPr>
                <w:rFonts w:ascii="Times New Roman" w:hAnsi="Times New Roman"/>
                <w:highlight w:val="black"/>
                <w:vertAlign w:val="superscript"/>
              </w:rPr>
              <w:t>4</w:t>
            </w:r>
            <w:r>
              <w:rPr>
                <w:rFonts w:ascii="Times New Roman" w:hAnsi="Times New Roman"/>
                <w:highlight w:val="black"/>
              </w:rPr>
              <w:t>m</w:t>
            </w:r>
            <w:r>
              <w:rPr>
                <w:rFonts w:ascii="Times New Roman" w:hAnsi="Times New Roman"/>
                <w:highlight w:val="black"/>
                <w:vertAlign w:val="superscript"/>
              </w:rPr>
              <w:t>3</w:t>
            </w:r>
            <w:r>
              <w:rPr>
                <w:rFonts w:ascii="Times New Roman" w:hAnsi="Times New Roman"/>
                <w:highlight w:val="black"/>
              </w:rPr>
              <w:t>/d，操作弹性120%；</w:t>
            </w:r>
          </w:p>
          <w:p>
            <w:pPr>
              <w:pStyle w:val="39"/>
              <w:rPr>
                <w:rFonts w:ascii="Times New Roman" w:hAnsi="Times New Roman"/>
              </w:rPr>
            </w:pPr>
            <w:r>
              <w:rPr>
                <w:rFonts w:ascii="Times New Roman" w:hAnsi="Times New Roman"/>
                <w:highlight w:val="black"/>
              </w:rPr>
              <w:t>宣兴1井站：1口井，规模：40×10</w:t>
            </w:r>
            <w:r>
              <w:rPr>
                <w:rFonts w:ascii="Times New Roman" w:hAnsi="Times New Roman"/>
                <w:highlight w:val="black"/>
                <w:vertAlign w:val="superscript"/>
              </w:rPr>
              <w:t>4</w:t>
            </w:r>
            <w:r>
              <w:rPr>
                <w:rFonts w:ascii="Times New Roman" w:hAnsi="Times New Roman"/>
                <w:highlight w:val="black"/>
              </w:rPr>
              <w:t>m</w:t>
            </w:r>
            <w:r>
              <w:rPr>
                <w:rFonts w:ascii="Times New Roman" w:hAnsi="Times New Roman"/>
                <w:highlight w:val="black"/>
                <w:vertAlign w:val="superscript"/>
              </w:rPr>
              <w:t>3</w:t>
            </w:r>
            <w:r>
              <w:rPr>
                <w:rFonts w:ascii="Times New Roman" w:hAnsi="Times New Roman"/>
                <w:highlight w:val="black"/>
              </w:rPr>
              <w:t>/d，操作弹性120%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continue"/>
            <w:vAlign w:val="center"/>
          </w:tcPr>
          <w:p>
            <w:pPr>
              <w:pStyle w:val="39"/>
              <w:rPr>
                <w:rFonts w:ascii="Times New Roman" w:hAnsi="Times New Roman"/>
              </w:rPr>
            </w:pPr>
          </w:p>
        </w:tc>
        <w:tc>
          <w:tcPr>
            <w:tcW w:w="1352" w:type="dxa"/>
            <w:vAlign w:val="center"/>
          </w:tcPr>
          <w:p>
            <w:pPr>
              <w:pStyle w:val="39"/>
              <w:rPr>
                <w:rFonts w:ascii="Times New Roman" w:hAnsi="Times New Roman"/>
              </w:rPr>
            </w:pPr>
            <w:r>
              <w:rPr>
                <w:rFonts w:ascii="Times New Roman" w:hAnsi="Times New Roman"/>
              </w:rPr>
              <w:t>集气管道</w:t>
            </w:r>
          </w:p>
        </w:tc>
        <w:tc>
          <w:tcPr>
            <w:tcW w:w="6302" w:type="dxa"/>
            <w:gridSpan w:val="6"/>
          </w:tcPr>
          <w:p>
            <w:pPr>
              <w:pStyle w:val="39"/>
              <w:rPr>
                <w:rFonts w:ascii="Times New Roman" w:hAnsi="Times New Roman"/>
              </w:rPr>
            </w:pPr>
            <w:r>
              <w:rPr>
                <w:rFonts w:ascii="Times New Roman" w:hAnsi="Times New Roman"/>
              </w:rPr>
              <w:t>集气干线：15.8km，DN 200，</w:t>
            </w:r>
          </w:p>
          <w:p>
            <w:pPr>
              <w:pStyle w:val="39"/>
              <w:rPr>
                <w:rFonts w:ascii="Times New Roman" w:hAnsi="Times New Roman"/>
              </w:rPr>
            </w:pPr>
            <w:r>
              <w:rPr>
                <w:rFonts w:ascii="Times New Roman" w:hAnsi="Times New Roman"/>
              </w:rPr>
              <w:t>集气支线：3.5km，DN150，</w:t>
            </w:r>
          </w:p>
          <w:p>
            <w:pPr>
              <w:pStyle w:val="39"/>
              <w:rPr>
                <w:rFonts w:ascii="Times New Roman" w:hAnsi="Times New Roman"/>
              </w:rPr>
            </w:pPr>
            <w:r>
              <w:rPr>
                <w:rFonts w:ascii="Times New Roman" w:hAnsi="Times New Roman"/>
              </w:rPr>
              <w:t>联络线：1.2km，DN 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continue"/>
            <w:vAlign w:val="center"/>
          </w:tcPr>
          <w:p>
            <w:pPr>
              <w:pStyle w:val="39"/>
              <w:rPr>
                <w:rFonts w:ascii="Times New Roman" w:hAnsi="Times New Roman"/>
              </w:rPr>
            </w:pPr>
          </w:p>
        </w:tc>
        <w:tc>
          <w:tcPr>
            <w:tcW w:w="1352" w:type="dxa"/>
            <w:vAlign w:val="center"/>
          </w:tcPr>
          <w:p>
            <w:pPr>
              <w:pStyle w:val="39"/>
              <w:rPr>
                <w:rFonts w:ascii="Times New Roman" w:hAnsi="Times New Roman"/>
              </w:rPr>
            </w:pPr>
            <w:r>
              <w:rPr>
                <w:rFonts w:ascii="Times New Roman" w:hAnsi="Times New Roman"/>
              </w:rPr>
              <w:t>阀室</w:t>
            </w:r>
          </w:p>
        </w:tc>
        <w:tc>
          <w:tcPr>
            <w:tcW w:w="6302" w:type="dxa"/>
            <w:gridSpan w:val="6"/>
          </w:tcPr>
          <w:p>
            <w:pPr>
              <w:pStyle w:val="39"/>
              <w:rPr>
                <w:rFonts w:ascii="Times New Roman" w:hAnsi="Times New Roman"/>
              </w:rPr>
            </w:pPr>
            <w:r>
              <w:rPr>
                <w:rFonts w:ascii="Times New Roman" w:hAnsi="Times New Roman"/>
              </w:rPr>
              <w:t>宣探阀室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continue"/>
            <w:vAlign w:val="center"/>
          </w:tcPr>
          <w:p>
            <w:pPr>
              <w:pStyle w:val="39"/>
              <w:rPr>
                <w:rFonts w:ascii="Times New Roman" w:hAnsi="Times New Roman"/>
              </w:rPr>
            </w:pPr>
          </w:p>
        </w:tc>
        <w:tc>
          <w:tcPr>
            <w:tcW w:w="1352" w:type="dxa"/>
            <w:vAlign w:val="center"/>
          </w:tcPr>
          <w:p>
            <w:pPr>
              <w:pStyle w:val="39"/>
              <w:rPr>
                <w:rFonts w:ascii="Times New Roman" w:hAnsi="Times New Roman"/>
              </w:rPr>
            </w:pPr>
            <w:r>
              <w:rPr>
                <w:rFonts w:ascii="Times New Roman" w:hAnsi="Times New Roman"/>
              </w:rPr>
              <w:t>清管站</w:t>
            </w:r>
          </w:p>
        </w:tc>
        <w:tc>
          <w:tcPr>
            <w:tcW w:w="6302" w:type="dxa"/>
            <w:gridSpan w:val="6"/>
          </w:tcPr>
          <w:p>
            <w:pPr>
              <w:pStyle w:val="39"/>
              <w:rPr>
                <w:rFonts w:ascii="Times New Roman" w:hAnsi="Times New Roman"/>
              </w:rPr>
            </w:pPr>
            <w:r>
              <w:rPr>
                <w:rFonts w:ascii="Times New Roman" w:hAnsi="Times New Roman"/>
              </w:rPr>
              <w:t>宣探清管站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Align w:val="center"/>
          </w:tcPr>
          <w:p>
            <w:pPr>
              <w:pStyle w:val="39"/>
              <w:rPr>
                <w:rFonts w:ascii="Times New Roman" w:hAnsi="Times New Roman"/>
              </w:rPr>
            </w:pPr>
            <w:r>
              <w:rPr>
                <w:rFonts w:ascii="Times New Roman" w:hAnsi="Times New Roman"/>
              </w:rPr>
              <w:t>辅助工程</w:t>
            </w:r>
          </w:p>
        </w:tc>
        <w:tc>
          <w:tcPr>
            <w:tcW w:w="7654" w:type="dxa"/>
            <w:gridSpan w:val="7"/>
          </w:tcPr>
          <w:p>
            <w:pPr>
              <w:pStyle w:val="39"/>
              <w:rPr>
                <w:rFonts w:ascii="Times New Roman" w:hAnsi="Times New Roman"/>
              </w:rPr>
            </w:pPr>
            <w:r>
              <w:rPr>
                <w:rFonts w:ascii="Times New Roman" w:hAnsi="Times New Roman"/>
              </w:rPr>
              <w:t>防腐工程、自控系统、火炬及放空系统、气液分离系统、施工便道、维抢修队等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Align w:val="center"/>
          </w:tcPr>
          <w:p>
            <w:pPr>
              <w:pStyle w:val="39"/>
              <w:rPr>
                <w:rFonts w:ascii="Times New Roman" w:hAnsi="Times New Roman"/>
              </w:rPr>
            </w:pPr>
            <w:r>
              <w:rPr>
                <w:rFonts w:ascii="Times New Roman" w:hAnsi="Times New Roman"/>
              </w:rPr>
              <w:t>公用工程</w:t>
            </w:r>
          </w:p>
        </w:tc>
        <w:tc>
          <w:tcPr>
            <w:tcW w:w="7654" w:type="dxa"/>
            <w:gridSpan w:val="7"/>
          </w:tcPr>
          <w:p>
            <w:pPr>
              <w:pStyle w:val="39"/>
              <w:rPr>
                <w:rFonts w:ascii="Times New Roman" w:hAnsi="Times New Roman"/>
              </w:rPr>
            </w:pPr>
            <w:r>
              <w:rPr>
                <w:rFonts w:ascii="Times New Roman" w:hAnsi="Times New Roman"/>
              </w:rPr>
              <w:t>给水、供热、供气、供配电、通信、消防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Align w:val="center"/>
          </w:tcPr>
          <w:p>
            <w:pPr>
              <w:pStyle w:val="39"/>
              <w:rPr>
                <w:rFonts w:ascii="Times New Roman" w:hAnsi="Times New Roman"/>
              </w:rPr>
            </w:pPr>
            <w:r>
              <w:rPr>
                <w:rFonts w:ascii="Times New Roman" w:hAnsi="Times New Roman"/>
              </w:rPr>
              <w:t>环保工程</w:t>
            </w:r>
          </w:p>
        </w:tc>
        <w:tc>
          <w:tcPr>
            <w:tcW w:w="7654" w:type="dxa"/>
            <w:gridSpan w:val="7"/>
          </w:tcPr>
          <w:p>
            <w:pPr>
              <w:pStyle w:val="39"/>
              <w:rPr>
                <w:rFonts w:ascii="Times New Roman" w:hAnsi="Times New Roman"/>
              </w:rPr>
            </w:pPr>
            <w:r>
              <w:rPr>
                <w:rFonts w:ascii="Times New Roman" w:hAnsi="Times New Roman"/>
              </w:rPr>
              <w:t>排水系统、化粪池等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1" w:type="dxa"/>
            <w:gridSpan w:val="8"/>
          </w:tcPr>
          <w:p>
            <w:pPr>
              <w:pStyle w:val="39"/>
              <w:jc w:val="left"/>
              <w:rPr>
                <w:rFonts w:ascii="Times New Roman" w:hAnsi="Times New Roman"/>
                <w:b/>
                <w:bCs/>
              </w:rPr>
            </w:pPr>
            <w:r>
              <w:rPr>
                <w:rFonts w:ascii="Times New Roman" w:hAnsi="Times New Roman"/>
                <w:b/>
                <w:bCs/>
              </w:rPr>
              <w:t>二、污染物排放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restart"/>
            <w:vAlign w:val="center"/>
          </w:tcPr>
          <w:p>
            <w:pPr>
              <w:pStyle w:val="39"/>
              <w:rPr>
                <w:rFonts w:ascii="Times New Roman" w:hAnsi="Times New Roman"/>
              </w:rPr>
            </w:pPr>
            <w:r>
              <w:rPr>
                <w:rFonts w:ascii="Times New Roman" w:hAnsi="Times New Roman"/>
              </w:rPr>
              <w:t>大气污染物</w:t>
            </w:r>
          </w:p>
        </w:tc>
        <w:tc>
          <w:tcPr>
            <w:tcW w:w="1352" w:type="dxa"/>
            <w:vAlign w:val="center"/>
          </w:tcPr>
          <w:p>
            <w:pPr>
              <w:pStyle w:val="39"/>
              <w:rPr>
                <w:rFonts w:ascii="Times New Roman" w:hAnsi="Times New Roman"/>
              </w:rPr>
            </w:pPr>
            <w:r>
              <w:rPr>
                <w:rFonts w:ascii="Times New Roman" w:hAnsi="Times New Roman"/>
              </w:rPr>
              <w:t>污染物种类</w:t>
            </w:r>
          </w:p>
        </w:tc>
        <w:tc>
          <w:tcPr>
            <w:tcW w:w="1196" w:type="dxa"/>
            <w:vAlign w:val="center"/>
          </w:tcPr>
          <w:p>
            <w:pPr>
              <w:pStyle w:val="39"/>
              <w:rPr>
                <w:rFonts w:ascii="Times New Roman" w:hAnsi="Times New Roman"/>
              </w:rPr>
            </w:pPr>
            <w:r>
              <w:rPr>
                <w:rFonts w:ascii="Times New Roman" w:hAnsi="Times New Roman"/>
              </w:rPr>
              <w:t>SO</w:t>
            </w:r>
            <w:r>
              <w:rPr>
                <w:rFonts w:ascii="Times New Roman" w:hAnsi="Times New Roman"/>
                <w:vertAlign w:val="subscript"/>
              </w:rPr>
              <w:t>2</w:t>
            </w:r>
          </w:p>
        </w:tc>
        <w:tc>
          <w:tcPr>
            <w:tcW w:w="1192" w:type="dxa"/>
            <w:vAlign w:val="center"/>
          </w:tcPr>
          <w:p>
            <w:pPr>
              <w:pStyle w:val="39"/>
              <w:rPr>
                <w:rFonts w:ascii="Times New Roman" w:hAnsi="Times New Roman"/>
              </w:rPr>
            </w:pPr>
            <w:r>
              <w:rPr>
                <w:rFonts w:ascii="Times New Roman" w:hAnsi="Times New Roman"/>
              </w:rPr>
              <w:t>NOx</w:t>
            </w:r>
          </w:p>
        </w:tc>
        <w:tc>
          <w:tcPr>
            <w:tcW w:w="1149" w:type="dxa"/>
            <w:vAlign w:val="center"/>
          </w:tcPr>
          <w:p>
            <w:pPr>
              <w:pStyle w:val="39"/>
              <w:rPr>
                <w:rFonts w:ascii="Times New Roman" w:hAnsi="Times New Roman"/>
              </w:rPr>
            </w:pPr>
            <w:r>
              <w:rPr>
                <w:rFonts w:ascii="Times New Roman" w:hAnsi="Times New Roman"/>
              </w:rPr>
              <w:t>颗粒物</w:t>
            </w:r>
          </w:p>
        </w:tc>
        <w:tc>
          <w:tcPr>
            <w:tcW w:w="1599" w:type="dxa"/>
            <w:gridSpan w:val="2"/>
            <w:vAlign w:val="center"/>
          </w:tcPr>
          <w:p>
            <w:pPr>
              <w:pStyle w:val="39"/>
              <w:rPr>
                <w:rFonts w:ascii="Times New Roman" w:hAnsi="Times New Roman"/>
              </w:rPr>
            </w:pPr>
            <w:r>
              <w:rPr>
                <w:rFonts w:ascii="Times New Roman" w:hAnsi="Times New Roman"/>
              </w:rPr>
              <w:t>H</w:t>
            </w:r>
            <w:r>
              <w:rPr>
                <w:rFonts w:ascii="Times New Roman" w:hAnsi="Times New Roman"/>
                <w:vertAlign w:val="subscript"/>
              </w:rPr>
              <w:t>2</w:t>
            </w:r>
            <w:r>
              <w:rPr>
                <w:rFonts w:ascii="Times New Roman" w:hAnsi="Times New Roman"/>
              </w:rPr>
              <w:t>S</w:t>
            </w:r>
          </w:p>
        </w:tc>
        <w:tc>
          <w:tcPr>
            <w:tcW w:w="1166" w:type="dxa"/>
            <w:vAlign w:val="center"/>
          </w:tcPr>
          <w:p>
            <w:pPr>
              <w:pStyle w:val="39"/>
              <w:rPr>
                <w:rFonts w:ascii="Times New Roman" w:hAnsi="Times New Roman"/>
              </w:rPr>
            </w:pPr>
            <w:r>
              <w:rPr>
                <w:rFonts w:ascii="Times New Roman" w:hAnsi="Times New Roman"/>
              </w:rPr>
              <w:t>VOCs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continue"/>
            <w:vAlign w:val="center"/>
          </w:tcPr>
          <w:p>
            <w:pPr>
              <w:pStyle w:val="39"/>
              <w:rPr>
                <w:rFonts w:ascii="Times New Roman" w:hAnsi="Times New Roman"/>
              </w:rPr>
            </w:pPr>
          </w:p>
        </w:tc>
        <w:tc>
          <w:tcPr>
            <w:tcW w:w="1352" w:type="dxa"/>
            <w:vAlign w:val="center"/>
          </w:tcPr>
          <w:p>
            <w:pPr>
              <w:pStyle w:val="39"/>
              <w:rPr>
                <w:rFonts w:ascii="Times New Roman" w:hAnsi="Times New Roman"/>
              </w:rPr>
            </w:pPr>
            <w:r>
              <w:rPr>
                <w:rFonts w:ascii="Times New Roman" w:hAnsi="Times New Roman"/>
              </w:rPr>
              <w:t>有组织废气排放量</w:t>
            </w:r>
          </w:p>
        </w:tc>
        <w:tc>
          <w:tcPr>
            <w:tcW w:w="1196" w:type="dxa"/>
            <w:vAlign w:val="center"/>
          </w:tcPr>
          <w:p>
            <w:pPr>
              <w:pStyle w:val="39"/>
              <w:rPr>
                <w:rFonts w:ascii="Times New Roman" w:hAnsi="Times New Roman"/>
              </w:rPr>
            </w:pPr>
            <w:r>
              <w:rPr>
                <w:rFonts w:ascii="Times New Roman" w:hAnsi="Times New Roman"/>
              </w:rPr>
              <w:t>0.058 t/a</w:t>
            </w:r>
          </w:p>
        </w:tc>
        <w:tc>
          <w:tcPr>
            <w:tcW w:w="1192" w:type="dxa"/>
            <w:vAlign w:val="center"/>
          </w:tcPr>
          <w:p>
            <w:pPr>
              <w:pStyle w:val="39"/>
              <w:rPr>
                <w:rFonts w:ascii="Times New Roman" w:hAnsi="Times New Roman"/>
              </w:rPr>
            </w:pPr>
            <w:r>
              <w:rPr>
                <w:rFonts w:ascii="Times New Roman" w:hAnsi="Times New Roman"/>
              </w:rPr>
              <w:t>2.298 t/a</w:t>
            </w:r>
          </w:p>
        </w:tc>
        <w:tc>
          <w:tcPr>
            <w:tcW w:w="1149" w:type="dxa"/>
            <w:vAlign w:val="center"/>
          </w:tcPr>
          <w:p>
            <w:pPr>
              <w:pStyle w:val="39"/>
              <w:rPr>
                <w:rFonts w:ascii="Times New Roman" w:hAnsi="Times New Roman"/>
              </w:rPr>
            </w:pPr>
            <w:r>
              <w:rPr>
                <w:rFonts w:ascii="Times New Roman" w:hAnsi="Times New Roman"/>
              </w:rPr>
              <w:t>0.232 t/a</w:t>
            </w:r>
          </w:p>
        </w:tc>
        <w:tc>
          <w:tcPr>
            <w:tcW w:w="1599" w:type="dxa"/>
            <w:gridSpan w:val="2"/>
            <w:vAlign w:val="center"/>
          </w:tcPr>
          <w:p>
            <w:pPr>
              <w:pStyle w:val="39"/>
              <w:rPr>
                <w:rFonts w:ascii="Times New Roman" w:hAnsi="Times New Roman"/>
              </w:rPr>
            </w:pPr>
            <w:r>
              <w:rPr>
                <w:rFonts w:ascii="Times New Roman" w:hAnsi="Times New Roman"/>
              </w:rPr>
              <w:t>/</w:t>
            </w:r>
          </w:p>
        </w:tc>
        <w:tc>
          <w:tcPr>
            <w:tcW w:w="1166" w:type="dxa"/>
            <w:vAlign w:val="center"/>
          </w:tcPr>
          <w:p>
            <w:pPr>
              <w:pStyle w:val="39"/>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continue"/>
            <w:vAlign w:val="center"/>
          </w:tcPr>
          <w:p>
            <w:pPr>
              <w:pStyle w:val="39"/>
              <w:rPr>
                <w:rFonts w:ascii="Times New Roman" w:hAnsi="Times New Roman"/>
              </w:rPr>
            </w:pPr>
          </w:p>
        </w:tc>
        <w:tc>
          <w:tcPr>
            <w:tcW w:w="1352" w:type="dxa"/>
            <w:vAlign w:val="center"/>
          </w:tcPr>
          <w:p>
            <w:pPr>
              <w:pStyle w:val="39"/>
              <w:rPr>
                <w:rFonts w:ascii="Times New Roman" w:hAnsi="Times New Roman"/>
              </w:rPr>
            </w:pPr>
            <w:r>
              <w:rPr>
                <w:rFonts w:ascii="Times New Roman" w:hAnsi="Times New Roman"/>
              </w:rPr>
              <w:t>无组织废气排放量</w:t>
            </w:r>
          </w:p>
        </w:tc>
        <w:tc>
          <w:tcPr>
            <w:tcW w:w="1196" w:type="dxa"/>
            <w:vAlign w:val="center"/>
          </w:tcPr>
          <w:p>
            <w:pPr>
              <w:pStyle w:val="39"/>
              <w:rPr>
                <w:rFonts w:ascii="Times New Roman" w:hAnsi="Times New Roman"/>
              </w:rPr>
            </w:pPr>
            <w:r>
              <w:rPr>
                <w:rFonts w:ascii="Times New Roman" w:hAnsi="Times New Roman"/>
              </w:rPr>
              <w:t>/</w:t>
            </w:r>
          </w:p>
        </w:tc>
        <w:tc>
          <w:tcPr>
            <w:tcW w:w="1192" w:type="dxa"/>
            <w:vAlign w:val="center"/>
          </w:tcPr>
          <w:p>
            <w:pPr>
              <w:pStyle w:val="39"/>
              <w:rPr>
                <w:rFonts w:ascii="Times New Roman" w:hAnsi="Times New Roman"/>
              </w:rPr>
            </w:pPr>
            <w:r>
              <w:rPr>
                <w:rFonts w:ascii="Times New Roman" w:hAnsi="Times New Roman"/>
              </w:rPr>
              <w:t>/</w:t>
            </w:r>
          </w:p>
        </w:tc>
        <w:tc>
          <w:tcPr>
            <w:tcW w:w="1149" w:type="dxa"/>
            <w:vAlign w:val="center"/>
          </w:tcPr>
          <w:p>
            <w:pPr>
              <w:pStyle w:val="39"/>
              <w:rPr>
                <w:rFonts w:ascii="Times New Roman" w:hAnsi="Times New Roman"/>
              </w:rPr>
            </w:pPr>
            <w:r>
              <w:rPr>
                <w:rFonts w:ascii="Times New Roman" w:hAnsi="Times New Roman"/>
              </w:rPr>
              <w:t>/</w:t>
            </w:r>
          </w:p>
        </w:tc>
        <w:tc>
          <w:tcPr>
            <w:tcW w:w="1599" w:type="dxa"/>
            <w:gridSpan w:val="2"/>
            <w:vAlign w:val="center"/>
          </w:tcPr>
          <w:p>
            <w:pPr>
              <w:pStyle w:val="39"/>
              <w:rPr>
                <w:rFonts w:ascii="Times New Roman" w:hAnsi="Times New Roman"/>
              </w:rPr>
            </w:pPr>
            <w:r>
              <w:rPr>
                <w:rFonts w:ascii="Times New Roman" w:hAnsi="Times New Roman"/>
              </w:rPr>
              <w:t>0.1283t/a</w:t>
            </w:r>
          </w:p>
        </w:tc>
        <w:tc>
          <w:tcPr>
            <w:tcW w:w="1166" w:type="dxa"/>
            <w:vAlign w:val="center"/>
          </w:tcPr>
          <w:p>
            <w:pPr>
              <w:pStyle w:val="39"/>
              <w:rPr>
                <w:rFonts w:ascii="Times New Roman" w:hAnsi="Times New Roman"/>
              </w:rPr>
            </w:pPr>
            <w:r>
              <w:rPr>
                <w:rFonts w:ascii="Times New Roman" w:hAnsi="Times New Roman"/>
              </w:rPr>
              <w:t>0.6472 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restart"/>
            <w:vAlign w:val="center"/>
          </w:tcPr>
          <w:p>
            <w:pPr>
              <w:pStyle w:val="39"/>
              <w:rPr>
                <w:rFonts w:ascii="Times New Roman" w:hAnsi="Times New Roman"/>
              </w:rPr>
            </w:pPr>
            <w:r>
              <w:rPr>
                <w:rFonts w:ascii="Times New Roman" w:hAnsi="Times New Roman"/>
              </w:rPr>
              <w:t>废水污染物</w:t>
            </w:r>
          </w:p>
        </w:tc>
        <w:tc>
          <w:tcPr>
            <w:tcW w:w="1352" w:type="dxa"/>
            <w:vAlign w:val="center"/>
          </w:tcPr>
          <w:p>
            <w:pPr>
              <w:pStyle w:val="39"/>
              <w:rPr>
                <w:rFonts w:ascii="Times New Roman" w:hAnsi="Times New Roman"/>
              </w:rPr>
            </w:pPr>
            <w:r>
              <w:rPr>
                <w:rFonts w:ascii="Times New Roman" w:hAnsi="Times New Roman"/>
              </w:rPr>
              <w:t>废水排放量</w:t>
            </w:r>
          </w:p>
        </w:tc>
        <w:tc>
          <w:tcPr>
            <w:tcW w:w="6302" w:type="dxa"/>
            <w:gridSpan w:val="6"/>
            <w:vAlign w:val="center"/>
          </w:tcPr>
          <w:p>
            <w:pPr>
              <w:pStyle w:val="39"/>
              <w:rPr>
                <w:rFonts w:ascii="Times New Roman" w:hAnsi="Times New Roman"/>
              </w:rPr>
            </w:pPr>
            <w:r>
              <w:rPr>
                <w:rFonts w:ascii="Times New Roman" w:hAnsi="Times New Roman"/>
              </w:rPr>
              <w:t>7625.28t/a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continue"/>
            <w:vAlign w:val="center"/>
          </w:tcPr>
          <w:p>
            <w:pPr>
              <w:pStyle w:val="39"/>
              <w:rPr>
                <w:rFonts w:ascii="Times New Roman" w:hAnsi="Times New Roman"/>
              </w:rPr>
            </w:pPr>
          </w:p>
        </w:tc>
        <w:tc>
          <w:tcPr>
            <w:tcW w:w="1352" w:type="dxa"/>
            <w:vAlign w:val="center"/>
          </w:tcPr>
          <w:p>
            <w:pPr>
              <w:pStyle w:val="39"/>
              <w:rPr>
                <w:rFonts w:ascii="Times New Roman" w:hAnsi="Times New Roman"/>
              </w:rPr>
            </w:pPr>
            <w:r>
              <w:rPr>
                <w:rFonts w:ascii="Times New Roman" w:hAnsi="Times New Roman"/>
              </w:rPr>
              <w:t>污染物种类</w:t>
            </w:r>
          </w:p>
        </w:tc>
        <w:tc>
          <w:tcPr>
            <w:tcW w:w="1196" w:type="dxa"/>
            <w:vAlign w:val="center"/>
          </w:tcPr>
          <w:p>
            <w:pPr>
              <w:pStyle w:val="39"/>
              <w:rPr>
                <w:rFonts w:ascii="Times New Roman" w:hAnsi="Times New Roman"/>
              </w:rPr>
            </w:pPr>
            <w:r>
              <w:rPr>
                <w:rFonts w:ascii="Times New Roman" w:hAnsi="Times New Roman"/>
              </w:rPr>
              <w:t>COD</w:t>
            </w:r>
          </w:p>
        </w:tc>
        <w:tc>
          <w:tcPr>
            <w:tcW w:w="1192" w:type="dxa"/>
            <w:vAlign w:val="center"/>
          </w:tcPr>
          <w:p>
            <w:pPr>
              <w:pStyle w:val="39"/>
              <w:rPr>
                <w:rFonts w:ascii="Times New Roman" w:hAnsi="Times New Roman"/>
              </w:rPr>
            </w:pPr>
            <w:r>
              <w:rPr>
                <w:rFonts w:ascii="Times New Roman" w:hAnsi="Times New Roman"/>
              </w:rPr>
              <w:t>氨氮</w:t>
            </w:r>
          </w:p>
        </w:tc>
        <w:tc>
          <w:tcPr>
            <w:tcW w:w="1149" w:type="dxa"/>
            <w:vAlign w:val="center"/>
          </w:tcPr>
          <w:p>
            <w:pPr>
              <w:pStyle w:val="39"/>
              <w:rPr>
                <w:rFonts w:ascii="Times New Roman" w:hAnsi="Times New Roman"/>
              </w:rPr>
            </w:pPr>
            <w:r>
              <w:rPr>
                <w:rFonts w:ascii="Times New Roman" w:hAnsi="Times New Roman"/>
              </w:rPr>
              <w:t>硫化物</w:t>
            </w:r>
          </w:p>
        </w:tc>
        <w:tc>
          <w:tcPr>
            <w:tcW w:w="859" w:type="dxa"/>
            <w:vAlign w:val="center"/>
          </w:tcPr>
          <w:p>
            <w:pPr>
              <w:pStyle w:val="39"/>
              <w:rPr>
                <w:rFonts w:ascii="Times New Roman" w:hAnsi="Times New Roman"/>
              </w:rPr>
            </w:pPr>
            <w:r>
              <w:rPr>
                <w:rFonts w:ascii="Times New Roman" w:hAnsi="Times New Roman"/>
              </w:rPr>
              <w:t>氯化物</w:t>
            </w:r>
          </w:p>
        </w:tc>
        <w:tc>
          <w:tcPr>
            <w:tcW w:w="740" w:type="dxa"/>
            <w:vAlign w:val="center"/>
          </w:tcPr>
          <w:p>
            <w:pPr>
              <w:pStyle w:val="39"/>
              <w:rPr>
                <w:rFonts w:ascii="Times New Roman" w:hAnsi="Times New Roman"/>
              </w:rPr>
            </w:pPr>
            <w:r>
              <w:rPr>
                <w:rFonts w:ascii="Times New Roman" w:hAnsi="Times New Roman"/>
              </w:rPr>
              <w:t>石油类</w:t>
            </w:r>
          </w:p>
        </w:tc>
        <w:tc>
          <w:tcPr>
            <w:tcW w:w="1166" w:type="dxa"/>
            <w:vAlign w:val="center"/>
          </w:tcPr>
          <w:p>
            <w:pPr>
              <w:pStyle w:val="39"/>
              <w:rPr>
                <w:rFonts w:ascii="Times New Roman" w:hAnsi="Times New Roman"/>
              </w:rPr>
            </w:pPr>
            <w:r>
              <w:rPr>
                <w:rFonts w:ascii="Times New Roman" w:hAnsi="Times New Roman"/>
              </w:rPr>
              <w:t>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continue"/>
            <w:vAlign w:val="center"/>
          </w:tcPr>
          <w:p>
            <w:pPr>
              <w:pStyle w:val="39"/>
              <w:rPr>
                <w:rFonts w:ascii="Times New Roman" w:hAnsi="Times New Roman"/>
              </w:rPr>
            </w:pPr>
          </w:p>
        </w:tc>
        <w:tc>
          <w:tcPr>
            <w:tcW w:w="1352" w:type="dxa"/>
            <w:vAlign w:val="center"/>
          </w:tcPr>
          <w:p>
            <w:pPr>
              <w:pStyle w:val="39"/>
              <w:rPr>
                <w:rFonts w:ascii="Times New Roman" w:hAnsi="Times New Roman"/>
              </w:rPr>
            </w:pPr>
            <w:r>
              <w:rPr>
                <w:rFonts w:ascii="Times New Roman" w:hAnsi="Times New Roman"/>
              </w:rPr>
              <w:t>污染物产生量</w:t>
            </w:r>
          </w:p>
        </w:tc>
        <w:tc>
          <w:tcPr>
            <w:tcW w:w="1196" w:type="dxa"/>
            <w:vAlign w:val="center"/>
          </w:tcPr>
          <w:p>
            <w:pPr>
              <w:pStyle w:val="39"/>
              <w:rPr>
                <w:rFonts w:ascii="Times New Roman" w:hAnsi="Times New Roman"/>
              </w:rPr>
            </w:pPr>
            <w:r>
              <w:rPr>
                <w:rFonts w:ascii="Times New Roman" w:hAnsi="Times New Roman"/>
              </w:rPr>
              <w:t>28.90t/a</w:t>
            </w:r>
          </w:p>
        </w:tc>
        <w:tc>
          <w:tcPr>
            <w:tcW w:w="1192" w:type="dxa"/>
            <w:vAlign w:val="center"/>
          </w:tcPr>
          <w:p>
            <w:pPr>
              <w:pStyle w:val="39"/>
              <w:rPr>
                <w:rFonts w:ascii="Times New Roman" w:hAnsi="Times New Roman"/>
              </w:rPr>
            </w:pPr>
            <w:r>
              <w:rPr>
                <w:rFonts w:ascii="Times New Roman" w:hAnsi="Times New Roman"/>
              </w:rPr>
              <w:t>0.01 t/a</w:t>
            </w:r>
          </w:p>
        </w:tc>
        <w:tc>
          <w:tcPr>
            <w:tcW w:w="1149" w:type="dxa"/>
            <w:vAlign w:val="center"/>
          </w:tcPr>
          <w:p>
            <w:pPr>
              <w:pStyle w:val="39"/>
              <w:rPr>
                <w:rFonts w:ascii="Times New Roman" w:hAnsi="Times New Roman"/>
              </w:rPr>
            </w:pPr>
            <w:r>
              <w:rPr>
                <w:rFonts w:ascii="Times New Roman" w:hAnsi="Times New Roman"/>
              </w:rPr>
              <w:t>12.96 t/a</w:t>
            </w:r>
          </w:p>
        </w:tc>
        <w:tc>
          <w:tcPr>
            <w:tcW w:w="859" w:type="dxa"/>
            <w:vAlign w:val="center"/>
          </w:tcPr>
          <w:p>
            <w:pPr>
              <w:pStyle w:val="39"/>
              <w:rPr>
                <w:rFonts w:ascii="Times New Roman" w:hAnsi="Times New Roman"/>
              </w:rPr>
            </w:pPr>
            <w:r>
              <w:rPr>
                <w:rFonts w:ascii="Times New Roman" w:hAnsi="Times New Roman"/>
              </w:rPr>
              <w:t>792.00 t/a</w:t>
            </w:r>
          </w:p>
        </w:tc>
        <w:tc>
          <w:tcPr>
            <w:tcW w:w="740" w:type="dxa"/>
            <w:vAlign w:val="center"/>
          </w:tcPr>
          <w:p>
            <w:pPr>
              <w:pStyle w:val="39"/>
              <w:rPr>
                <w:rFonts w:ascii="Times New Roman" w:hAnsi="Times New Roman"/>
              </w:rPr>
            </w:pPr>
            <w:r>
              <w:rPr>
                <w:rFonts w:ascii="Times New Roman" w:hAnsi="Times New Roman"/>
              </w:rPr>
              <w:t>0.14t/a</w:t>
            </w:r>
          </w:p>
        </w:tc>
        <w:tc>
          <w:tcPr>
            <w:tcW w:w="1166" w:type="dxa"/>
            <w:vAlign w:val="center"/>
          </w:tcPr>
          <w:p>
            <w:pPr>
              <w:pStyle w:val="39"/>
              <w:rPr>
                <w:rFonts w:ascii="Times New Roman" w:hAnsi="Times New Roman"/>
              </w:rPr>
            </w:pPr>
            <w:r>
              <w:rPr>
                <w:rFonts w:ascii="Times New Roman" w:hAnsi="Times New Roman"/>
              </w:rPr>
              <w:t>2.93 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continue"/>
          </w:tcPr>
          <w:p>
            <w:pPr>
              <w:pStyle w:val="39"/>
              <w:rPr>
                <w:rFonts w:ascii="Times New Roman" w:hAnsi="Times New Roman"/>
              </w:rPr>
            </w:pPr>
          </w:p>
        </w:tc>
        <w:tc>
          <w:tcPr>
            <w:tcW w:w="1352" w:type="dxa"/>
            <w:vAlign w:val="center"/>
          </w:tcPr>
          <w:p>
            <w:pPr>
              <w:pStyle w:val="39"/>
              <w:rPr>
                <w:rFonts w:ascii="Times New Roman" w:hAnsi="Times New Roman"/>
              </w:rPr>
            </w:pPr>
            <w:r>
              <w:rPr>
                <w:rFonts w:ascii="Times New Roman" w:hAnsi="Times New Roman"/>
              </w:rPr>
              <w:t>排放去向</w:t>
            </w:r>
          </w:p>
        </w:tc>
        <w:tc>
          <w:tcPr>
            <w:tcW w:w="6302" w:type="dxa"/>
            <w:gridSpan w:val="6"/>
          </w:tcPr>
          <w:p>
            <w:pPr>
              <w:pStyle w:val="39"/>
              <w:rPr>
                <w:rFonts w:ascii="Times New Roman" w:hAnsi="Times New Roman"/>
              </w:rPr>
            </w:pPr>
            <w:r>
              <w:rPr>
                <w:rFonts w:ascii="Times New Roman" w:hAnsi="Times New Roman"/>
              </w:rPr>
              <w:t>气田水等生产废水拉运至渡口河净化厂处理达标后管输至黄龙5井回注；生活污水当地污水处理系统处理后还田，外壁擦洗水外排。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restart"/>
            <w:vAlign w:val="center"/>
          </w:tcPr>
          <w:p>
            <w:pPr>
              <w:pStyle w:val="39"/>
              <w:rPr>
                <w:rFonts w:ascii="Times New Roman" w:hAnsi="Times New Roman"/>
              </w:rPr>
            </w:pPr>
            <w:r>
              <w:rPr>
                <w:rFonts w:ascii="Times New Roman" w:hAnsi="Times New Roman"/>
              </w:rPr>
              <w:t>固体废物</w:t>
            </w:r>
          </w:p>
        </w:tc>
        <w:tc>
          <w:tcPr>
            <w:tcW w:w="2548" w:type="dxa"/>
            <w:gridSpan w:val="2"/>
            <w:vAlign w:val="center"/>
          </w:tcPr>
          <w:p>
            <w:pPr>
              <w:pStyle w:val="39"/>
              <w:rPr>
                <w:rFonts w:ascii="Times New Roman" w:hAnsi="Times New Roman"/>
              </w:rPr>
            </w:pPr>
            <w:r>
              <w:rPr>
                <w:rFonts w:ascii="Times New Roman" w:hAnsi="Times New Roman"/>
              </w:rPr>
              <w:t>固废种类</w:t>
            </w:r>
          </w:p>
        </w:tc>
        <w:tc>
          <w:tcPr>
            <w:tcW w:w="1192" w:type="dxa"/>
            <w:vAlign w:val="center"/>
          </w:tcPr>
          <w:p>
            <w:pPr>
              <w:pStyle w:val="39"/>
              <w:rPr>
                <w:rFonts w:ascii="Times New Roman" w:hAnsi="Times New Roman"/>
              </w:rPr>
            </w:pPr>
            <w:r>
              <w:rPr>
                <w:rFonts w:ascii="Times New Roman" w:hAnsi="Times New Roman"/>
              </w:rPr>
              <w:t>产生量（t/a）</w:t>
            </w:r>
          </w:p>
        </w:tc>
        <w:tc>
          <w:tcPr>
            <w:tcW w:w="1149" w:type="dxa"/>
            <w:vAlign w:val="center"/>
          </w:tcPr>
          <w:p>
            <w:pPr>
              <w:pStyle w:val="39"/>
              <w:rPr>
                <w:rFonts w:ascii="Times New Roman" w:hAnsi="Times New Roman"/>
              </w:rPr>
            </w:pPr>
            <w:r>
              <w:rPr>
                <w:rFonts w:ascii="Times New Roman" w:hAnsi="Times New Roman"/>
              </w:rPr>
              <w:t>处置量（t/a）</w:t>
            </w:r>
          </w:p>
        </w:tc>
        <w:tc>
          <w:tcPr>
            <w:tcW w:w="2765" w:type="dxa"/>
            <w:gridSpan w:val="3"/>
            <w:vAlign w:val="center"/>
          </w:tcPr>
          <w:p>
            <w:pPr>
              <w:pStyle w:val="39"/>
              <w:rPr>
                <w:rFonts w:ascii="Times New Roman" w:hAnsi="Times New Roman"/>
              </w:rPr>
            </w:pPr>
            <w:r>
              <w:rPr>
                <w:rFonts w:ascii="Times New Roman" w:hAnsi="Times New Roman"/>
              </w:rPr>
              <w:t>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continue"/>
            <w:vAlign w:val="center"/>
          </w:tcPr>
          <w:p>
            <w:pPr>
              <w:pStyle w:val="39"/>
              <w:rPr>
                <w:rFonts w:ascii="Times New Roman" w:hAnsi="Times New Roman"/>
              </w:rPr>
            </w:pPr>
          </w:p>
        </w:tc>
        <w:tc>
          <w:tcPr>
            <w:tcW w:w="1352" w:type="dxa"/>
            <w:vMerge w:val="restart"/>
            <w:vAlign w:val="center"/>
          </w:tcPr>
          <w:p>
            <w:pPr>
              <w:pStyle w:val="39"/>
              <w:rPr>
                <w:rFonts w:ascii="Times New Roman" w:hAnsi="Times New Roman"/>
              </w:rPr>
            </w:pPr>
            <w:r>
              <w:rPr>
                <w:rFonts w:ascii="Times New Roman" w:hAnsi="Times New Roman"/>
              </w:rPr>
              <w:t>危险废物</w:t>
            </w:r>
          </w:p>
        </w:tc>
        <w:tc>
          <w:tcPr>
            <w:tcW w:w="1196" w:type="dxa"/>
            <w:vAlign w:val="center"/>
          </w:tcPr>
          <w:p>
            <w:pPr>
              <w:pStyle w:val="39"/>
              <w:rPr>
                <w:rFonts w:ascii="Times New Roman" w:hAnsi="Times New Roman"/>
              </w:rPr>
            </w:pPr>
            <w:r>
              <w:rPr>
                <w:rFonts w:ascii="Times New Roman" w:hAnsi="Times New Roman"/>
              </w:rPr>
              <w:t>化学品空桶</w:t>
            </w:r>
          </w:p>
        </w:tc>
        <w:tc>
          <w:tcPr>
            <w:tcW w:w="1192" w:type="dxa"/>
            <w:vAlign w:val="center"/>
          </w:tcPr>
          <w:p>
            <w:pPr>
              <w:pStyle w:val="39"/>
              <w:rPr>
                <w:rFonts w:ascii="Times New Roman" w:hAnsi="Times New Roman"/>
              </w:rPr>
            </w:pPr>
            <w:r>
              <w:rPr>
                <w:rFonts w:ascii="Times New Roman" w:hAnsi="Times New Roman"/>
              </w:rPr>
              <w:t>0.96</w:t>
            </w:r>
          </w:p>
        </w:tc>
        <w:tc>
          <w:tcPr>
            <w:tcW w:w="1149" w:type="dxa"/>
            <w:vAlign w:val="center"/>
          </w:tcPr>
          <w:p>
            <w:pPr>
              <w:pStyle w:val="39"/>
              <w:rPr>
                <w:rFonts w:ascii="Times New Roman" w:hAnsi="Times New Roman"/>
              </w:rPr>
            </w:pPr>
            <w:r>
              <w:rPr>
                <w:rFonts w:ascii="Times New Roman" w:hAnsi="Times New Roman"/>
              </w:rPr>
              <w:t>0.96</w:t>
            </w:r>
          </w:p>
        </w:tc>
        <w:tc>
          <w:tcPr>
            <w:tcW w:w="2765" w:type="dxa"/>
            <w:gridSpan w:val="3"/>
            <w:vAlign w:val="center"/>
          </w:tcPr>
          <w:p>
            <w:pPr>
              <w:pStyle w:val="39"/>
              <w:rPr>
                <w:rFonts w:ascii="Times New Roman" w:hAnsi="Times New Roman"/>
              </w:rPr>
            </w:pPr>
            <w:r>
              <w:rPr>
                <w:rFonts w:ascii="Times New Roman" w:hAnsi="Times New Roman"/>
              </w:rPr>
              <w:t>厂家回收利用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continue"/>
            <w:vAlign w:val="center"/>
          </w:tcPr>
          <w:p>
            <w:pPr>
              <w:pStyle w:val="39"/>
              <w:rPr>
                <w:rFonts w:ascii="Times New Roman" w:hAnsi="Times New Roman"/>
              </w:rPr>
            </w:pPr>
          </w:p>
        </w:tc>
        <w:tc>
          <w:tcPr>
            <w:tcW w:w="1352" w:type="dxa"/>
            <w:vMerge w:val="continue"/>
            <w:vAlign w:val="center"/>
          </w:tcPr>
          <w:p>
            <w:pPr>
              <w:pStyle w:val="39"/>
              <w:rPr>
                <w:rFonts w:ascii="Times New Roman" w:hAnsi="Times New Roman"/>
              </w:rPr>
            </w:pPr>
          </w:p>
        </w:tc>
        <w:tc>
          <w:tcPr>
            <w:tcW w:w="1196" w:type="dxa"/>
            <w:vAlign w:val="center"/>
          </w:tcPr>
          <w:p>
            <w:pPr>
              <w:pStyle w:val="39"/>
              <w:rPr>
                <w:rFonts w:ascii="Times New Roman" w:hAnsi="Times New Roman"/>
              </w:rPr>
            </w:pPr>
            <w:r>
              <w:rPr>
                <w:rFonts w:ascii="Times New Roman" w:hAnsi="Times New Roman"/>
              </w:rPr>
              <w:t>废油废抹布等</w:t>
            </w:r>
          </w:p>
        </w:tc>
        <w:tc>
          <w:tcPr>
            <w:tcW w:w="1192" w:type="dxa"/>
            <w:vAlign w:val="center"/>
          </w:tcPr>
          <w:p>
            <w:pPr>
              <w:pStyle w:val="39"/>
              <w:rPr>
                <w:rFonts w:ascii="Times New Roman" w:hAnsi="Times New Roman"/>
              </w:rPr>
            </w:pPr>
            <w:r>
              <w:rPr>
                <w:rFonts w:ascii="Times New Roman" w:hAnsi="Times New Roman"/>
              </w:rPr>
              <w:t>0.1</w:t>
            </w:r>
          </w:p>
        </w:tc>
        <w:tc>
          <w:tcPr>
            <w:tcW w:w="1149" w:type="dxa"/>
            <w:vAlign w:val="center"/>
          </w:tcPr>
          <w:p>
            <w:pPr>
              <w:pStyle w:val="39"/>
              <w:rPr>
                <w:rFonts w:ascii="Times New Roman" w:hAnsi="Times New Roman"/>
              </w:rPr>
            </w:pPr>
            <w:r>
              <w:rPr>
                <w:rFonts w:ascii="Times New Roman" w:hAnsi="Times New Roman"/>
              </w:rPr>
              <w:t>0.1</w:t>
            </w:r>
          </w:p>
        </w:tc>
        <w:tc>
          <w:tcPr>
            <w:tcW w:w="2765" w:type="dxa"/>
            <w:gridSpan w:val="3"/>
            <w:vAlign w:val="center"/>
          </w:tcPr>
          <w:p>
            <w:pPr>
              <w:pStyle w:val="39"/>
              <w:rPr>
                <w:rFonts w:ascii="Times New Roman" w:hAnsi="Times New Roman"/>
              </w:rPr>
            </w:pPr>
            <w:r>
              <w:rPr>
                <w:rFonts w:ascii="Times New Roman" w:hAnsi="Times New Roman"/>
              </w:rPr>
              <w:t>委托危废处置单位处置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continue"/>
            <w:vAlign w:val="center"/>
          </w:tcPr>
          <w:p>
            <w:pPr>
              <w:pStyle w:val="39"/>
              <w:rPr>
                <w:rFonts w:ascii="Times New Roman" w:hAnsi="Times New Roman"/>
              </w:rPr>
            </w:pPr>
          </w:p>
        </w:tc>
        <w:tc>
          <w:tcPr>
            <w:tcW w:w="2548" w:type="dxa"/>
            <w:gridSpan w:val="2"/>
            <w:vAlign w:val="center"/>
          </w:tcPr>
          <w:p>
            <w:pPr>
              <w:pStyle w:val="39"/>
              <w:rPr>
                <w:rFonts w:ascii="Times New Roman" w:hAnsi="Times New Roman"/>
              </w:rPr>
            </w:pPr>
            <w:r>
              <w:rPr>
                <w:rFonts w:ascii="Times New Roman" w:hAnsi="Times New Roman"/>
              </w:rPr>
              <w:t>清管废渣</w:t>
            </w:r>
          </w:p>
        </w:tc>
        <w:tc>
          <w:tcPr>
            <w:tcW w:w="1192" w:type="dxa"/>
            <w:vAlign w:val="center"/>
          </w:tcPr>
          <w:p>
            <w:pPr>
              <w:pStyle w:val="39"/>
              <w:rPr>
                <w:rFonts w:ascii="Times New Roman" w:hAnsi="Times New Roman"/>
              </w:rPr>
            </w:pPr>
            <w:r>
              <w:rPr>
                <w:rFonts w:ascii="Times New Roman" w:hAnsi="Times New Roman"/>
              </w:rPr>
              <w:t>0.12</w:t>
            </w:r>
          </w:p>
        </w:tc>
        <w:tc>
          <w:tcPr>
            <w:tcW w:w="1149" w:type="dxa"/>
            <w:vAlign w:val="center"/>
          </w:tcPr>
          <w:p>
            <w:pPr>
              <w:pStyle w:val="39"/>
              <w:rPr>
                <w:rFonts w:ascii="Times New Roman" w:hAnsi="Times New Roman"/>
              </w:rPr>
            </w:pPr>
            <w:r>
              <w:rPr>
                <w:rFonts w:ascii="Times New Roman" w:hAnsi="Times New Roman"/>
              </w:rPr>
              <w:t>0.12</w:t>
            </w:r>
          </w:p>
        </w:tc>
        <w:tc>
          <w:tcPr>
            <w:tcW w:w="2765" w:type="dxa"/>
            <w:gridSpan w:val="3"/>
            <w:vAlign w:val="center"/>
          </w:tcPr>
          <w:p>
            <w:pPr>
              <w:pStyle w:val="39"/>
              <w:rPr>
                <w:rFonts w:ascii="Times New Roman" w:hAnsi="Times New Roman"/>
              </w:rPr>
            </w:pPr>
            <w:r>
              <w:rPr>
                <w:rFonts w:ascii="Times New Roman" w:hAnsi="Times New Roman"/>
              </w:rPr>
              <w:t>委托第三方处置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continue"/>
            <w:vAlign w:val="center"/>
          </w:tcPr>
          <w:p>
            <w:pPr>
              <w:pStyle w:val="39"/>
              <w:rPr>
                <w:rFonts w:ascii="Times New Roman" w:hAnsi="Times New Roman"/>
              </w:rPr>
            </w:pPr>
          </w:p>
        </w:tc>
        <w:tc>
          <w:tcPr>
            <w:tcW w:w="2548" w:type="dxa"/>
            <w:gridSpan w:val="2"/>
            <w:vAlign w:val="center"/>
          </w:tcPr>
          <w:p>
            <w:pPr>
              <w:pStyle w:val="39"/>
              <w:rPr>
                <w:rFonts w:ascii="Times New Roman" w:hAnsi="Times New Roman"/>
              </w:rPr>
            </w:pPr>
            <w:r>
              <w:rPr>
                <w:rFonts w:ascii="Times New Roman" w:hAnsi="Times New Roman"/>
              </w:rPr>
              <w:t>生活垃圾</w:t>
            </w:r>
          </w:p>
        </w:tc>
        <w:tc>
          <w:tcPr>
            <w:tcW w:w="1192" w:type="dxa"/>
            <w:vAlign w:val="center"/>
          </w:tcPr>
          <w:p>
            <w:pPr>
              <w:pStyle w:val="39"/>
              <w:rPr>
                <w:rFonts w:ascii="Times New Roman" w:hAnsi="Times New Roman"/>
              </w:rPr>
            </w:pPr>
            <w:r>
              <w:rPr>
                <w:rFonts w:ascii="Times New Roman" w:hAnsi="Times New Roman"/>
              </w:rPr>
              <w:t>1.28</w:t>
            </w:r>
          </w:p>
        </w:tc>
        <w:tc>
          <w:tcPr>
            <w:tcW w:w="1149" w:type="dxa"/>
            <w:vAlign w:val="center"/>
          </w:tcPr>
          <w:p>
            <w:pPr>
              <w:pStyle w:val="39"/>
              <w:rPr>
                <w:rFonts w:ascii="Times New Roman" w:hAnsi="Times New Roman"/>
              </w:rPr>
            </w:pPr>
            <w:r>
              <w:rPr>
                <w:rFonts w:ascii="Times New Roman" w:hAnsi="Times New Roman"/>
              </w:rPr>
              <w:t>1.28</w:t>
            </w:r>
          </w:p>
        </w:tc>
        <w:tc>
          <w:tcPr>
            <w:tcW w:w="2765" w:type="dxa"/>
            <w:gridSpan w:val="3"/>
            <w:vAlign w:val="center"/>
          </w:tcPr>
          <w:p>
            <w:pPr>
              <w:pStyle w:val="39"/>
              <w:rPr>
                <w:rFonts w:ascii="Times New Roman" w:hAnsi="Times New Roman"/>
              </w:rPr>
            </w:pPr>
            <w:r>
              <w:rPr>
                <w:rFonts w:ascii="Times New Roman" w:hAnsi="Times New Roman"/>
              </w:rPr>
              <w:t>分类收集，委托环卫部门助理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1" w:type="dxa"/>
            <w:gridSpan w:val="8"/>
          </w:tcPr>
          <w:p>
            <w:pPr>
              <w:pStyle w:val="39"/>
              <w:jc w:val="left"/>
              <w:rPr>
                <w:rFonts w:ascii="Times New Roman" w:hAnsi="Times New Roman"/>
                <w:b/>
                <w:bCs/>
              </w:rPr>
            </w:pPr>
            <w:r>
              <w:rPr>
                <w:rFonts w:ascii="Times New Roman" w:hAnsi="Times New Roman"/>
                <w:b/>
                <w:bCs/>
              </w:rPr>
              <w:t>三、污染物排放标准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Align w:val="center"/>
          </w:tcPr>
          <w:p>
            <w:pPr>
              <w:pStyle w:val="39"/>
              <w:rPr>
                <w:rFonts w:ascii="Times New Roman" w:hAnsi="Times New Roman"/>
              </w:rPr>
            </w:pPr>
            <w:r>
              <w:rPr>
                <w:rFonts w:ascii="Times New Roman" w:hAnsi="Times New Roman"/>
              </w:rPr>
              <w:t>废气</w:t>
            </w:r>
          </w:p>
        </w:tc>
        <w:tc>
          <w:tcPr>
            <w:tcW w:w="7654" w:type="dxa"/>
            <w:gridSpan w:val="7"/>
          </w:tcPr>
          <w:p>
            <w:pPr>
              <w:pStyle w:val="39"/>
              <w:jc w:val="left"/>
              <w:rPr>
                <w:rFonts w:ascii="Times New Roman" w:hAnsi="Times New Roman"/>
              </w:rPr>
            </w:pPr>
            <w:r>
              <w:rPr>
                <w:rFonts w:ascii="Times New Roman" w:hAnsi="Times New Roman"/>
              </w:rPr>
              <w:t>水套加热炉废气排放筒执行《锅炉大气污染物排放标准》（GB 13271-2014）；</w:t>
            </w:r>
          </w:p>
          <w:p>
            <w:pPr>
              <w:pStyle w:val="39"/>
              <w:jc w:val="left"/>
              <w:rPr>
                <w:rFonts w:ascii="Times New Roman" w:hAnsi="Times New Roman"/>
              </w:rPr>
            </w:pPr>
            <w:r>
              <w:rPr>
                <w:rFonts w:ascii="Times New Roman" w:hAnsi="Times New Roman"/>
              </w:rPr>
              <w:t>厂界废气VOCs执行《陆上石油天然气开采工业大气污染物排放标准》（GB39728-2020）；</w:t>
            </w:r>
          </w:p>
          <w:p>
            <w:pPr>
              <w:pStyle w:val="39"/>
              <w:jc w:val="left"/>
              <w:rPr>
                <w:rFonts w:ascii="Times New Roman" w:hAnsi="Times New Roman"/>
              </w:rPr>
            </w:pPr>
            <w:r>
              <w:rPr>
                <w:rFonts w:ascii="Times New Roman" w:hAnsi="Times New Roman"/>
              </w:rPr>
              <w:t>厂界废气H</w:t>
            </w:r>
            <w:r>
              <w:rPr>
                <w:rFonts w:ascii="Times New Roman" w:hAnsi="Times New Roman"/>
                <w:vertAlign w:val="subscript"/>
              </w:rPr>
              <w:t>2</w:t>
            </w:r>
            <w:r>
              <w:rPr>
                <w:rFonts w:ascii="Times New Roman" w:hAnsi="Times New Roman"/>
              </w:rPr>
              <w:t>S执行《恶臭污染物排放标准》（GB14554-1993）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Align w:val="center"/>
          </w:tcPr>
          <w:p>
            <w:pPr>
              <w:pStyle w:val="39"/>
              <w:rPr>
                <w:rFonts w:ascii="Times New Roman" w:hAnsi="Times New Roman"/>
              </w:rPr>
            </w:pPr>
            <w:r>
              <w:rPr>
                <w:rFonts w:ascii="Times New Roman" w:hAnsi="Times New Roman"/>
              </w:rPr>
              <w:t>废水</w:t>
            </w:r>
          </w:p>
        </w:tc>
        <w:tc>
          <w:tcPr>
            <w:tcW w:w="7654" w:type="dxa"/>
            <w:gridSpan w:val="7"/>
          </w:tcPr>
          <w:p>
            <w:pPr>
              <w:pStyle w:val="39"/>
              <w:jc w:val="left"/>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Align w:val="center"/>
          </w:tcPr>
          <w:p>
            <w:pPr>
              <w:pStyle w:val="39"/>
              <w:rPr>
                <w:rFonts w:ascii="Times New Roman" w:hAnsi="Times New Roman"/>
              </w:rPr>
            </w:pPr>
            <w:r>
              <w:rPr>
                <w:rFonts w:ascii="Times New Roman" w:hAnsi="Times New Roman"/>
              </w:rPr>
              <w:t>噪声</w:t>
            </w:r>
          </w:p>
        </w:tc>
        <w:tc>
          <w:tcPr>
            <w:tcW w:w="7654" w:type="dxa"/>
            <w:gridSpan w:val="7"/>
          </w:tcPr>
          <w:p>
            <w:pPr>
              <w:pStyle w:val="39"/>
              <w:jc w:val="left"/>
              <w:rPr>
                <w:rFonts w:ascii="Times New Roman" w:hAnsi="Times New Roman"/>
              </w:rPr>
            </w:pPr>
            <w:r>
              <w:rPr>
                <w:rFonts w:ascii="Times New Roman" w:hAnsi="Times New Roman"/>
              </w:rPr>
              <w:t>《工业企业厂界环境噪声排放标准》（GB12348-2008）2类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Align w:val="center"/>
          </w:tcPr>
          <w:p>
            <w:pPr>
              <w:pStyle w:val="39"/>
              <w:rPr>
                <w:rFonts w:ascii="Times New Roman" w:hAnsi="Times New Roman"/>
              </w:rPr>
            </w:pPr>
            <w:r>
              <w:rPr>
                <w:rFonts w:ascii="Times New Roman" w:hAnsi="Times New Roman"/>
              </w:rPr>
              <w:t>固体废物</w:t>
            </w:r>
          </w:p>
        </w:tc>
        <w:tc>
          <w:tcPr>
            <w:tcW w:w="7654" w:type="dxa"/>
            <w:gridSpan w:val="7"/>
          </w:tcPr>
          <w:p>
            <w:pPr>
              <w:pStyle w:val="39"/>
              <w:jc w:val="left"/>
              <w:rPr>
                <w:rFonts w:ascii="Times New Roman" w:hAnsi="Times New Roman"/>
              </w:rPr>
            </w:pPr>
            <w:r>
              <w:rPr>
                <w:rFonts w:ascii="Times New Roman" w:hAnsi="Times New Roman"/>
              </w:rPr>
              <w:t>《危险废物贮存污染控制标准》（GB18597-2023）、《危险废物收集 贮存 运输技术规范》（HJ2025-2012）</w:t>
            </w:r>
          </w:p>
        </w:tc>
      </w:tr>
    </w:tbl>
    <w:p>
      <w:pPr>
        <w:pStyle w:val="2"/>
        <w:rPr>
          <w:rFonts w:ascii="Times New Roman" w:hAnsi="Times New Roman" w:cs="Times New Roman"/>
        </w:rPr>
      </w:pPr>
      <w:bookmarkStart w:id="445" w:name="_Toc162339479"/>
      <w:r>
        <w:rPr>
          <w:rFonts w:ascii="Times New Roman" w:hAnsi="Times New Roman" w:cs="Times New Roman"/>
        </w:rPr>
        <w:t>环境影响评价结论</w:t>
      </w:r>
      <w:bookmarkEnd w:id="445"/>
    </w:p>
    <w:p>
      <w:pPr>
        <w:pStyle w:val="3"/>
        <w:rPr>
          <w:rFonts w:ascii="Times New Roman" w:hAnsi="Times New Roman" w:cs="Times New Roman"/>
        </w:rPr>
      </w:pPr>
      <w:bookmarkStart w:id="446" w:name="_Toc162339480"/>
      <w:r>
        <w:rPr>
          <w:rFonts w:ascii="Times New Roman" w:hAnsi="Times New Roman" w:cs="Times New Roman"/>
        </w:rPr>
        <w:t>项目概况</w:t>
      </w:r>
      <w:bookmarkEnd w:id="446"/>
    </w:p>
    <w:p>
      <w:pPr>
        <w:ind w:firstLine="480"/>
        <w:rPr>
          <w:rFonts w:ascii="Times New Roman" w:hAnsi="Times New Roman"/>
        </w:rPr>
      </w:pPr>
      <w:r>
        <w:rPr>
          <w:rFonts w:ascii="Times New Roman" w:hAnsi="Times New Roman"/>
        </w:rPr>
        <w:t>本项目为天然气地面集输工程，新建井站2座（宣兴1井、宣探1井，均为原有井，本项目新建地面设施），宣探清管站1座、阀室1座，公用工程配套及辅助设施等。新建1条DN150宣探集气支线3.5km，1条DN200宣探集气干线14.6km，1条DN 200宣探清管站至P304集气站联络线1.2km，DN80燃料气管道2条共6.4km，DN50燃料气管道1条，1.2km，线路部分共计29.6km。</w:t>
      </w:r>
    </w:p>
    <w:p>
      <w:pPr>
        <w:ind w:firstLine="480"/>
        <w:rPr>
          <w:rFonts w:ascii="Times New Roman" w:hAnsi="Times New Roman"/>
        </w:rPr>
      </w:pPr>
      <w:r>
        <w:rPr>
          <w:rFonts w:ascii="Times New Roman" w:hAnsi="Times New Roman"/>
        </w:rPr>
        <w:t>宣兴1井站产气规模为</w:t>
      </w:r>
      <w:r>
        <w:rPr>
          <w:rFonts w:ascii="Times New Roman" w:hAnsi="Times New Roman"/>
          <w:highlight w:val="black"/>
        </w:rPr>
        <w:t>（20～40）×10</w:t>
      </w:r>
      <w:r>
        <w:rPr>
          <w:rFonts w:ascii="Times New Roman" w:hAnsi="Times New Roman"/>
          <w:highlight w:val="black"/>
          <w:vertAlign w:val="superscript"/>
        </w:rPr>
        <w:t>4</w:t>
      </w:r>
      <w:r>
        <w:rPr>
          <w:rFonts w:ascii="Times New Roman" w:hAnsi="Times New Roman"/>
          <w:highlight w:val="black"/>
        </w:rPr>
        <w:t>Nm</w:t>
      </w:r>
      <w:r>
        <w:rPr>
          <w:rFonts w:ascii="Times New Roman" w:hAnsi="Times New Roman"/>
          <w:highlight w:val="black"/>
          <w:vertAlign w:val="superscript"/>
        </w:rPr>
        <w:t>3</w:t>
      </w:r>
      <w:r>
        <w:rPr>
          <w:rFonts w:ascii="Times New Roman" w:hAnsi="Times New Roman"/>
          <w:highlight w:val="black"/>
        </w:rPr>
        <w:t>/d</w:t>
      </w:r>
      <w:r>
        <w:rPr>
          <w:rFonts w:ascii="Times New Roman" w:hAnsi="Times New Roman"/>
        </w:rPr>
        <w:t>；宣探1井站产气规模为</w:t>
      </w:r>
      <w:r>
        <w:rPr>
          <w:rFonts w:ascii="Times New Roman" w:hAnsi="Times New Roman"/>
          <w:highlight w:val="black"/>
        </w:rPr>
        <w:t>（40～60）×10</w:t>
      </w:r>
      <w:r>
        <w:rPr>
          <w:rFonts w:ascii="Times New Roman" w:hAnsi="Times New Roman"/>
          <w:highlight w:val="black"/>
          <w:vertAlign w:val="superscript"/>
        </w:rPr>
        <w:t>4</w:t>
      </w:r>
      <w:r>
        <w:rPr>
          <w:rFonts w:ascii="Times New Roman" w:hAnsi="Times New Roman"/>
          <w:highlight w:val="black"/>
        </w:rPr>
        <w:t>Nm</w:t>
      </w:r>
      <w:r>
        <w:rPr>
          <w:rFonts w:ascii="Times New Roman" w:hAnsi="Times New Roman"/>
          <w:highlight w:val="black"/>
          <w:vertAlign w:val="superscript"/>
        </w:rPr>
        <w:t>3</w:t>
      </w:r>
      <w:r>
        <w:rPr>
          <w:rFonts w:ascii="Times New Roman" w:hAnsi="Times New Roman"/>
          <w:highlight w:val="black"/>
        </w:rPr>
        <w:t>/d；</w:t>
      </w:r>
      <w:r>
        <w:rPr>
          <w:rFonts w:ascii="Times New Roman" w:hAnsi="Times New Roman"/>
        </w:rPr>
        <w:t>操作时间：8000h；项目占地：永久占地</w:t>
      </w:r>
      <w:r>
        <w:rPr>
          <w:rFonts w:hint="eastAsia" w:ascii="Times New Roman" w:hAnsi="Times New Roman"/>
        </w:rPr>
        <w:t>26940</w:t>
      </w:r>
      <w:r>
        <w:rPr>
          <w:rFonts w:ascii="Times New Roman" w:hAnsi="Times New Roman"/>
        </w:rPr>
        <w:t>m</w:t>
      </w:r>
      <w:r>
        <w:rPr>
          <w:rFonts w:ascii="Times New Roman" w:hAnsi="Times New Roman"/>
          <w:vertAlign w:val="superscript"/>
        </w:rPr>
        <w:t>2</w:t>
      </w:r>
      <w:r>
        <w:rPr>
          <w:rFonts w:ascii="Times New Roman" w:hAnsi="Times New Roman"/>
        </w:rPr>
        <w:t>。</w:t>
      </w:r>
    </w:p>
    <w:p>
      <w:pPr>
        <w:ind w:firstLine="480"/>
        <w:rPr>
          <w:rFonts w:ascii="Times New Roman" w:hAnsi="Times New Roman"/>
        </w:rPr>
      </w:pPr>
      <w:r>
        <w:rPr>
          <w:rFonts w:ascii="Times New Roman" w:hAnsi="Times New Roman"/>
        </w:rPr>
        <w:t>项目工程投资为</w:t>
      </w:r>
      <w:r>
        <w:rPr>
          <w:rFonts w:ascii="Times New Roman" w:hAnsi="Times New Roman"/>
          <w:highlight w:val="black"/>
        </w:rPr>
        <w:t>33172.9万元，其中环保投资为840万元，占总投资的2.53%</w:t>
      </w:r>
      <w:r>
        <w:rPr>
          <w:rFonts w:ascii="Times New Roman" w:hAnsi="Times New Roman"/>
        </w:rPr>
        <w:t>。计划于2024年3月开始施工。</w:t>
      </w:r>
    </w:p>
    <w:p>
      <w:pPr>
        <w:pStyle w:val="3"/>
        <w:rPr>
          <w:rFonts w:ascii="Times New Roman" w:hAnsi="Times New Roman" w:cs="Times New Roman"/>
        </w:rPr>
      </w:pPr>
      <w:bookmarkStart w:id="447" w:name="_Toc162339481"/>
      <w:r>
        <w:rPr>
          <w:rFonts w:ascii="Times New Roman" w:hAnsi="Times New Roman" w:cs="Times New Roman"/>
        </w:rPr>
        <w:t>工程分析</w:t>
      </w:r>
      <w:bookmarkEnd w:id="447"/>
    </w:p>
    <w:p>
      <w:pPr>
        <w:pStyle w:val="4"/>
        <w:rPr>
          <w:rFonts w:ascii="Times New Roman" w:hAnsi="Times New Roman" w:cs="Times New Roman"/>
        </w:rPr>
      </w:pPr>
      <w:r>
        <w:rPr>
          <w:rFonts w:ascii="Times New Roman" w:hAnsi="Times New Roman" w:cs="Times New Roman"/>
        </w:rPr>
        <w:t>废水</w:t>
      </w:r>
    </w:p>
    <w:p>
      <w:pPr>
        <w:ind w:firstLine="480"/>
        <w:rPr>
          <w:rFonts w:ascii="Times New Roman" w:hAnsi="Times New Roman"/>
        </w:rPr>
      </w:pPr>
      <w:r>
        <w:rPr>
          <w:rFonts w:ascii="Times New Roman" w:hAnsi="Times New Roman"/>
        </w:rPr>
        <w:t>本项目运营期产生的废水主要包括气田水、工作人员产生的生活污水、设备外壁擦洗水和少量的设备检修废水。</w:t>
      </w:r>
    </w:p>
    <w:p>
      <w:pPr>
        <w:ind w:firstLine="480"/>
        <w:rPr>
          <w:rFonts w:ascii="Times New Roman" w:hAnsi="Times New Roman"/>
        </w:rPr>
      </w:pPr>
      <w:r>
        <w:rPr>
          <w:rFonts w:ascii="Times New Roman" w:hAnsi="Times New Roman"/>
        </w:rPr>
        <w:t>气田水：每天产水量约为21.6 m</w:t>
      </w:r>
      <w:r>
        <w:rPr>
          <w:rFonts w:ascii="Times New Roman" w:hAnsi="Times New Roman"/>
          <w:vertAlign w:val="superscript"/>
        </w:rPr>
        <w:t>3</w:t>
      </w:r>
      <w:r>
        <w:rPr>
          <w:rFonts w:ascii="Times New Roman" w:hAnsi="Times New Roman"/>
        </w:rPr>
        <w:t>，每年产生量为7200 m</w:t>
      </w:r>
      <w:r>
        <w:rPr>
          <w:rFonts w:ascii="Times New Roman" w:hAnsi="Times New Roman"/>
          <w:vertAlign w:val="superscript"/>
        </w:rPr>
        <w:t>3</w:t>
      </w:r>
      <w:r>
        <w:rPr>
          <w:rFonts w:ascii="Times New Roman" w:hAnsi="Times New Roman"/>
        </w:rPr>
        <w:t>。气田水主要污染包含COD、氯化物，硫化物，SS，石油类。污染物的浓度分别为：COD为3000～4000mg/L，氯化物为50000～110000mg/L，硫化物为500～1800mg/L，SS为50～400mg/L，石油类为50 mg/L。</w:t>
      </w:r>
    </w:p>
    <w:p>
      <w:pPr>
        <w:ind w:firstLine="480"/>
        <w:rPr>
          <w:rFonts w:ascii="Times New Roman" w:hAnsi="Times New Roman"/>
        </w:rPr>
      </w:pPr>
      <w:r>
        <w:rPr>
          <w:rFonts w:ascii="Times New Roman" w:hAnsi="Times New Roman"/>
        </w:rPr>
        <w:t>生活污水：主要为维抢修队工作人员产生，维抢修队运营期生活污水产生量约0.67m</w:t>
      </w:r>
      <w:r>
        <w:rPr>
          <w:rFonts w:ascii="Times New Roman" w:hAnsi="Times New Roman"/>
          <w:vertAlign w:val="superscript"/>
        </w:rPr>
        <w:t>3</w:t>
      </w:r>
      <w:r>
        <w:rPr>
          <w:rFonts w:ascii="Times New Roman" w:hAnsi="Times New Roman"/>
        </w:rPr>
        <w:t>/d，总计生活污水产生量约245.28m</w:t>
      </w:r>
      <w:r>
        <w:rPr>
          <w:rFonts w:ascii="Times New Roman" w:hAnsi="Times New Roman"/>
          <w:vertAlign w:val="superscript"/>
        </w:rPr>
        <w:t>3</w:t>
      </w:r>
      <w:r>
        <w:rPr>
          <w:rFonts w:ascii="Times New Roman" w:hAnsi="Times New Roman"/>
        </w:rPr>
        <w:t>/a。主要污染物为COD、BOD</w:t>
      </w:r>
      <w:r>
        <w:rPr>
          <w:rFonts w:ascii="Times New Roman" w:hAnsi="Times New Roman"/>
          <w:vertAlign w:val="subscript"/>
        </w:rPr>
        <w:t>5</w:t>
      </w:r>
      <w:r>
        <w:rPr>
          <w:rFonts w:ascii="Times New Roman" w:hAnsi="Times New Roman"/>
        </w:rPr>
        <w:t>、SS、NH</w:t>
      </w:r>
      <w:r>
        <w:rPr>
          <w:rFonts w:ascii="Times New Roman" w:hAnsi="Times New Roman"/>
          <w:vertAlign w:val="subscript"/>
        </w:rPr>
        <w:t>3</w:t>
      </w:r>
      <w:r>
        <w:rPr>
          <w:rFonts w:ascii="Times New Roman" w:hAnsi="Times New Roman"/>
        </w:rPr>
        <w:t>-N，浓度分别约为400mg/L、200mg/L、300mg/L、25mg/L。</w:t>
      </w:r>
    </w:p>
    <w:p>
      <w:pPr>
        <w:ind w:firstLine="480"/>
        <w:rPr>
          <w:rFonts w:ascii="Times New Roman" w:hAnsi="Times New Roman"/>
        </w:rPr>
      </w:pPr>
      <w:r>
        <w:rPr>
          <w:rFonts w:ascii="Times New Roman" w:hAnsi="Times New Roman"/>
        </w:rPr>
        <w:t>检修废水、开停工废水：该类废水产生量为24m</w:t>
      </w:r>
      <w:r>
        <w:rPr>
          <w:rFonts w:ascii="Times New Roman" w:hAnsi="Times New Roman"/>
          <w:vertAlign w:val="superscript"/>
        </w:rPr>
        <w:t>3</w:t>
      </w:r>
      <w:r>
        <w:rPr>
          <w:rFonts w:ascii="Times New Roman" w:hAnsi="Times New Roman"/>
        </w:rPr>
        <w:t>/a，主要污染物为石油类，浓度约为20 mg/L。</w:t>
      </w:r>
    </w:p>
    <w:p>
      <w:pPr>
        <w:ind w:firstLine="480"/>
        <w:rPr>
          <w:rFonts w:ascii="Times New Roman" w:hAnsi="Times New Roman"/>
        </w:rPr>
      </w:pPr>
      <w:r>
        <w:rPr>
          <w:rFonts w:ascii="Times New Roman" w:hAnsi="Times New Roman"/>
        </w:rPr>
        <w:t>外壁擦洗废水：两井站每两周对设备外壁进行擦洗一次，每年的废水产生量为1566m</w:t>
      </w:r>
      <w:r>
        <w:rPr>
          <w:rFonts w:ascii="Times New Roman" w:hAnsi="Times New Roman"/>
          <w:vertAlign w:val="superscript"/>
        </w:rPr>
        <w:t>3</w:t>
      </w:r>
      <w:r>
        <w:rPr>
          <w:rFonts w:ascii="Times New Roman" w:hAnsi="Times New Roman"/>
        </w:rPr>
        <w:t>，主要污染物为SS，浓度约为300mg/L。</w:t>
      </w:r>
    </w:p>
    <w:p>
      <w:pPr>
        <w:pStyle w:val="4"/>
        <w:rPr>
          <w:rFonts w:ascii="Times New Roman" w:hAnsi="Times New Roman" w:cs="Times New Roman"/>
        </w:rPr>
      </w:pPr>
      <w:r>
        <w:rPr>
          <w:rFonts w:ascii="Times New Roman" w:hAnsi="Times New Roman" w:cs="Times New Roman"/>
        </w:rPr>
        <w:t>废气</w:t>
      </w:r>
    </w:p>
    <w:p>
      <w:pPr>
        <w:ind w:firstLine="480"/>
        <w:rPr>
          <w:rFonts w:ascii="Times New Roman" w:hAnsi="Times New Roman"/>
        </w:rPr>
      </w:pPr>
      <w:r>
        <w:rPr>
          <w:rFonts w:ascii="Times New Roman" w:hAnsi="Times New Roman"/>
        </w:rPr>
        <w:t>本项目输气管道采用密闭方式输送原料气和天然气，正常情况下废气主要来自两井站的水套加热炉废气，主要污染因子为SO</w:t>
      </w:r>
      <w:r>
        <w:rPr>
          <w:rFonts w:ascii="Times New Roman" w:hAnsi="Times New Roman"/>
          <w:vertAlign w:val="subscript"/>
        </w:rPr>
        <w:t>2</w:t>
      </w:r>
      <w:r>
        <w:rPr>
          <w:rFonts w:ascii="Times New Roman" w:hAnsi="Times New Roman"/>
        </w:rPr>
        <w:t>、NO</w:t>
      </w:r>
      <w:r>
        <w:rPr>
          <w:rFonts w:ascii="Times New Roman" w:hAnsi="Times New Roman"/>
          <w:vertAlign w:val="subscript"/>
        </w:rPr>
        <w:t>X</w:t>
      </w:r>
      <w:r>
        <w:rPr>
          <w:rFonts w:ascii="Times New Roman" w:hAnsi="Times New Roman"/>
        </w:rPr>
        <w:t>、PM</w:t>
      </w:r>
      <w:r>
        <w:rPr>
          <w:rFonts w:ascii="Times New Roman" w:hAnsi="Times New Roman"/>
          <w:vertAlign w:val="subscript"/>
        </w:rPr>
        <w:t>10</w:t>
      </w:r>
      <w:r>
        <w:rPr>
          <w:rFonts w:ascii="Times New Roman" w:hAnsi="Times New Roman"/>
        </w:rPr>
        <w:t>、PM</w:t>
      </w:r>
      <w:r>
        <w:rPr>
          <w:rFonts w:ascii="Times New Roman" w:hAnsi="Times New Roman"/>
          <w:vertAlign w:val="subscript"/>
        </w:rPr>
        <w:t>2.5</w:t>
      </w:r>
      <w:r>
        <w:rPr>
          <w:rFonts w:ascii="Times New Roman" w:hAnsi="Times New Roman"/>
        </w:rPr>
        <w:t>；主以及两井站法兰、阀门等动静密封点设备泄漏的无组织挥发性有机物和硫化氢。</w:t>
      </w:r>
    </w:p>
    <w:p>
      <w:pPr>
        <w:ind w:firstLine="480"/>
        <w:rPr>
          <w:rFonts w:ascii="Times New Roman" w:hAnsi="Times New Roman"/>
        </w:rPr>
      </w:pPr>
      <w:r>
        <w:rPr>
          <w:rFonts w:ascii="Times New Roman" w:hAnsi="Times New Roman"/>
        </w:rPr>
        <w:t>（1）正常工况</w:t>
      </w:r>
    </w:p>
    <w:p>
      <w:pPr>
        <w:ind w:firstLine="480"/>
        <w:rPr>
          <w:rFonts w:ascii="Times New Roman" w:hAnsi="Times New Roman"/>
        </w:rPr>
      </w:pPr>
      <w:r>
        <w:rPr>
          <w:rFonts w:ascii="Times New Roman" w:hAnsi="Times New Roman"/>
        </w:rPr>
        <w:t>1）两座井站各配置一台水套炉，采用宣汉净化厂的天然气作为燃料。燃烧后的废气经8m高的排气筒排放。宣探1井站水套加热炉排气筒的SO</w:t>
      </w:r>
      <w:r>
        <w:rPr>
          <w:rFonts w:ascii="Times New Roman" w:hAnsi="Times New Roman"/>
          <w:vertAlign w:val="subscript"/>
        </w:rPr>
        <w:t>2</w:t>
      </w:r>
      <w:r>
        <w:rPr>
          <w:rFonts w:ascii="Times New Roman" w:hAnsi="Times New Roman"/>
        </w:rPr>
        <w:t>、NOx、颗粒物的排放浓度分别为3.71mg/m</w:t>
      </w:r>
      <w:r>
        <w:rPr>
          <w:rFonts w:ascii="Times New Roman" w:hAnsi="Times New Roman"/>
          <w:vertAlign w:val="superscript"/>
        </w:rPr>
        <w:t>3</w:t>
      </w:r>
      <w:r>
        <w:rPr>
          <w:rFonts w:ascii="Times New Roman" w:hAnsi="Times New Roman"/>
        </w:rPr>
        <w:t>、147.28 mg/m</w:t>
      </w:r>
      <w:r>
        <w:rPr>
          <w:rFonts w:ascii="Times New Roman" w:hAnsi="Times New Roman"/>
          <w:vertAlign w:val="superscript"/>
        </w:rPr>
        <w:t>3</w:t>
      </w:r>
      <w:r>
        <w:rPr>
          <w:rFonts w:ascii="Times New Roman" w:hAnsi="Times New Roman"/>
        </w:rPr>
        <w:t>、14.85 mg/m</w:t>
      </w:r>
      <w:r>
        <w:rPr>
          <w:rFonts w:ascii="Times New Roman" w:hAnsi="Times New Roman"/>
          <w:vertAlign w:val="superscript"/>
        </w:rPr>
        <w:t>3</w:t>
      </w:r>
      <w:r>
        <w:rPr>
          <w:rFonts w:ascii="Times New Roman" w:hAnsi="Times New Roman"/>
        </w:rPr>
        <w:t>；宣兴1井站水套加热炉排气筒的SO</w:t>
      </w:r>
      <w:r>
        <w:rPr>
          <w:rFonts w:ascii="Times New Roman" w:hAnsi="Times New Roman"/>
          <w:vertAlign w:val="subscript"/>
        </w:rPr>
        <w:t>2</w:t>
      </w:r>
      <w:r>
        <w:rPr>
          <w:rFonts w:ascii="Times New Roman" w:hAnsi="Times New Roman"/>
        </w:rPr>
        <w:t>、NOx、颗粒物的排放浓度分别为3.71mg/m</w:t>
      </w:r>
      <w:r>
        <w:rPr>
          <w:rFonts w:ascii="Times New Roman" w:hAnsi="Times New Roman"/>
          <w:vertAlign w:val="superscript"/>
        </w:rPr>
        <w:t>3</w:t>
      </w:r>
      <w:r>
        <w:rPr>
          <w:rFonts w:ascii="Times New Roman" w:hAnsi="Times New Roman"/>
        </w:rPr>
        <w:t>、147.28 mg/m</w:t>
      </w:r>
      <w:r>
        <w:rPr>
          <w:rFonts w:ascii="Times New Roman" w:hAnsi="Times New Roman"/>
          <w:vertAlign w:val="superscript"/>
        </w:rPr>
        <w:t>3</w:t>
      </w:r>
      <w:r>
        <w:rPr>
          <w:rFonts w:ascii="Times New Roman" w:hAnsi="Times New Roman"/>
        </w:rPr>
        <w:t>、14.85 mg/m。排放浓度均低于《锅炉大气污染物排放标准》（GB 13271-2014）的限值要求。</w:t>
      </w:r>
    </w:p>
    <w:p>
      <w:pPr>
        <w:ind w:firstLine="480"/>
        <w:rPr>
          <w:rFonts w:ascii="Times New Roman" w:hAnsi="Times New Roman"/>
        </w:rPr>
      </w:pPr>
      <w:r>
        <w:rPr>
          <w:rFonts w:ascii="Times New Roman" w:hAnsi="Times New Roman"/>
        </w:rPr>
        <w:t>2）采用排污许可方法核算的本项目设备与管线组件密封点泄漏的无组织挥发性有机物（VOCs）排放量为0.6472t/a，根据原料气中硫化氢和甲烷的摩尔比可得硫化氢的排放量为0.1283 t/a。</w:t>
      </w:r>
    </w:p>
    <w:p>
      <w:pPr>
        <w:ind w:firstLine="480"/>
        <w:rPr>
          <w:rFonts w:ascii="Times New Roman" w:hAnsi="Times New Roman"/>
        </w:rPr>
      </w:pPr>
      <w:r>
        <w:rPr>
          <w:rFonts w:ascii="Times New Roman" w:hAnsi="Times New Roman"/>
        </w:rPr>
        <w:t>（2）非正常工况</w:t>
      </w:r>
    </w:p>
    <w:p>
      <w:pPr>
        <w:ind w:firstLine="480"/>
        <w:rPr>
          <w:rFonts w:ascii="Times New Roman" w:hAnsi="Times New Roman"/>
        </w:rPr>
      </w:pPr>
      <w:r>
        <w:rPr>
          <w:rFonts w:ascii="Times New Roman" w:hAnsi="Times New Roman"/>
        </w:rPr>
        <w:t>设备检修前为保证检修过程的安全，需排空设备及管道内的残留天然气，将待检设备中残留原料天然气通过放空火炬燃烧排放，污染物主要为SO</w:t>
      </w:r>
      <w:r>
        <w:rPr>
          <w:rFonts w:ascii="Times New Roman" w:hAnsi="Times New Roman"/>
          <w:vertAlign w:val="subscript"/>
        </w:rPr>
        <w:t>2</w:t>
      </w:r>
      <w:r>
        <w:rPr>
          <w:rFonts w:ascii="Times New Roman" w:hAnsi="Times New Roman"/>
        </w:rPr>
        <w:t>，检修频率一般为2次/年，1次排放24h。</w:t>
      </w:r>
    </w:p>
    <w:p>
      <w:pPr>
        <w:pStyle w:val="4"/>
        <w:rPr>
          <w:rFonts w:ascii="Times New Roman" w:hAnsi="Times New Roman" w:cs="Times New Roman"/>
        </w:rPr>
      </w:pPr>
      <w:r>
        <w:rPr>
          <w:rFonts w:ascii="Times New Roman" w:hAnsi="Times New Roman" w:cs="Times New Roman"/>
        </w:rPr>
        <w:t>固体废物</w:t>
      </w:r>
    </w:p>
    <w:p>
      <w:pPr>
        <w:ind w:firstLine="480"/>
        <w:rPr>
          <w:rFonts w:ascii="Times New Roman" w:hAnsi="Times New Roman"/>
        </w:rPr>
      </w:pPr>
      <w:r>
        <w:rPr>
          <w:rFonts w:ascii="Times New Roman" w:hAnsi="Times New Roman"/>
        </w:rPr>
        <w:t>运营期固体废物主要为清管废渣、日常检修产生废油废抹布等、以及工作人员的生活垃圾等。</w:t>
      </w:r>
    </w:p>
    <w:p>
      <w:pPr>
        <w:ind w:firstLine="480"/>
        <w:rPr>
          <w:rFonts w:ascii="Times New Roman" w:hAnsi="Times New Roman"/>
        </w:rPr>
      </w:pPr>
      <w:r>
        <w:rPr>
          <w:rFonts w:ascii="Times New Roman" w:hAnsi="Times New Roman"/>
        </w:rPr>
        <w:t>清管废渣：运营期采气井站、采气管线无固废产生，清管器接收装置产生的清管废渣，</w:t>
      </w:r>
      <w:r>
        <w:rPr>
          <w:rFonts w:hint="eastAsia" w:ascii="Times New Roman" w:hAnsi="Times New Roman"/>
          <w:lang w:eastAsia="zh-CN"/>
        </w:rPr>
        <w:t>主要成分</w:t>
      </w:r>
      <w:r>
        <w:rPr>
          <w:rFonts w:ascii="Times New Roman" w:hAnsi="Times New Roman"/>
        </w:rPr>
        <w:t>有烃水混合物、少量氧化硫、井内杂屑、机械杂质等，属于危险废物（类别为HW09，代码为900-007-09）。每年产生量为0.12t。</w:t>
      </w:r>
    </w:p>
    <w:p>
      <w:pPr>
        <w:ind w:firstLine="480"/>
        <w:rPr>
          <w:rFonts w:ascii="Times New Roman" w:hAnsi="Times New Roman"/>
        </w:rPr>
      </w:pPr>
      <w:r>
        <w:rPr>
          <w:rFonts w:ascii="Times New Roman" w:hAnsi="Times New Roman"/>
        </w:rPr>
        <w:t>含油废抹布等：本项目产生的油类主要为保养空气压缩机等设备更换产生的含油废抹布等，产生量约为0.1t/a，含油废抹布属于危险废物（类别为HW49，代码900-041-49）。</w:t>
      </w:r>
    </w:p>
    <w:p>
      <w:pPr>
        <w:ind w:firstLine="480"/>
        <w:rPr>
          <w:rFonts w:ascii="Times New Roman" w:hAnsi="Times New Roman"/>
        </w:rPr>
      </w:pPr>
      <w:r>
        <w:rPr>
          <w:rFonts w:ascii="Times New Roman" w:hAnsi="Times New Roman"/>
        </w:rPr>
        <w:t>化学品空桶：本项目井站需要投加缓蚀剂和抑制剂，缓蚀剂为连续加注工艺，抑制剂为开井工况或极端低温天气条件下应急加注，会产生药剂空桶。根据站场药剂投加速率，每年产生量为0.96t，属于危险废物（类别为HW49，代码900-041-49）。</w:t>
      </w:r>
    </w:p>
    <w:p>
      <w:pPr>
        <w:ind w:firstLine="480"/>
        <w:rPr>
          <w:rFonts w:ascii="Times New Roman" w:hAnsi="Times New Roman"/>
        </w:rPr>
      </w:pPr>
      <w:r>
        <w:rPr>
          <w:rFonts w:ascii="Times New Roman" w:hAnsi="Times New Roman"/>
        </w:rPr>
        <w:t>生活垃圾：本项目维抢修队的劳动定员为14人，实行轮换制，实际在岗7人。项目生活垃圾产生量约1.28t/a。</w:t>
      </w:r>
    </w:p>
    <w:p>
      <w:pPr>
        <w:pStyle w:val="4"/>
        <w:rPr>
          <w:rFonts w:ascii="Times New Roman" w:hAnsi="Times New Roman" w:cs="Times New Roman"/>
        </w:rPr>
      </w:pPr>
      <w:r>
        <w:rPr>
          <w:rFonts w:ascii="Times New Roman" w:hAnsi="Times New Roman" w:cs="Times New Roman"/>
        </w:rPr>
        <w:t>噪声</w:t>
      </w:r>
    </w:p>
    <w:p>
      <w:pPr>
        <w:ind w:firstLine="480"/>
        <w:rPr>
          <w:rFonts w:ascii="Times New Roman" w:hAnsi="Times New Roman"/>
        </w:rPr>
      </w:pPr>
      <w:r>
        <w:rPr>
          <w:rFonts w:ascii="Times New Roman" w:hAnsi="Times New Roman"/>
        </w:rPr>
        <w:t>本项目各站场的噪声主要来源于机泵、节流阀、分离器、放空火炬等设备产生的气流噪声，噪声大小与天然气产量有关，一般天然气产量越大，噪声也越大。声级一般为62～110dB（A）。</w:t>
      </w:r>
    </w:p>
    <w:p>
      <w:pPr>
        <w:pStyle w:val="3"/>
        <w:rPr>
          <w:rFonts w:ascii="Times New Roman" w:hAnsi="Times New Roman" w:cs="Times New Roman"/>
        </w:rPr>
      </w:pPr>
      <w:bookmarkStart w:id="448" w:name="_Toc162339482"/>
      <w:r>
        <w:rPr>
          <w:rFonts w:ascii="Times New Roman" w:hAnsi="Times New Roman" w:cs="Times New Roman"/>
        </w:rPr>
        <w:t>产业政策及规划符合性分析</w:t>
      </w:r>
      <w:bookmarkEnd w:id="448"/>
    </w:p>
    <w:p>
      <w:pPr>
        <w:ind w:firstLine="480"/>
        <w:rPr>
          <w:rFonts w:ascii="Times New Roman" w:hAnsi="Times New Roman"/>
        </w:rPr>
      </w:pPr>
      <w:r>
        <w:rPr>
          <w:rFonts w:ascii="Times New Roman" w:hAnsi="Times New Roman"/>
        </w:rPr>
        <w:t>本项目为地面集输工程，属于《产业结构调整指导目录（2024年本）》规定鼓励发展类产业项目第七条“石油天然气”第一款“石油天然气开采”，符合国家产业政策。</w:t>
      </w:r>
    </w:p>
    <w:p>
      <w:pPr>
        <w:ind w:firstLine="480"/>
        <w:rPr>
          <w:rFonts w:ascii="Times New Roman" w:hAnsi="Times New Roman"/>
        </w:rPr>
      </w:pPr>
      <w:r>
        <w:rPr>
          <w:rFonts w:ascii="Times New Roman" w:hAnsi="Times New Roman"/>
        </w:rPr>
        <w:t>项目的建设符合《四川省主体功能区划</w:t>
      </w:r>
      <w:r>
        <w:rPr>
          <w:rFonts w:hint="eastAsia" w:ascii="Times New Roman" w:hAnsi="Times New Roman"/>
          <w:lang w:eastAsia="zh-CN"/>
        </w:rPr>
        <w:t>》《</w:t>
      </w:r>
      <w:r>
        <w:rPr>
          <w:rFonts w:ascii="Times New Roman" w:hAnsi="Times New Roman"/>
        </w:rPr>
        <w:t>四川省矿产资源总体规划（2021-2025年）</w:t>
      </w:r>
      <w:r>
        <w:rPr>
          <w:rFonts w:hint="eastAsia" w:ascii="Times New Roman" w:hAnsi="Times New Roman"/>
          <w:lang w:eastAsia="zh-CN"/>
        </w:rPr>
        <w:t>》《</w:t>
      </w:r>
      <w:r>
        <w:rPr>
          <w:rFonts w:ascii="Times New Roman" w:hAnsi="Times New Roman"/>
        </w:rPr>
        <w:t>四川省矿产资源总体规划（2021-2025年）环境影响报告书》及其批复、《宣汉县国土空间总体规划（2021-2034）》等相关规划的要求；符合《石油天然气开采业污染防治技术政策</w:t>
      </w:r>
      <w:r>
        <w:rPr>
          <w:rFonts w:hint="eastAsia" w:ascii="Times New Roman" w:hAnsi="Times New Roman"/>
          <w:lang w:eastAsia="zh-CN"/>
        </w:rPr>
        <w:t>》《</w:t>
      </w:r>
      <w:r>
        <w:rPr>
          <w:rFonts w:ascii="Times New Roman" w:hAnsi="Times New Roman"/>
        </w:rPr>
        <w:t>关于进一步加强石油天然气行业环境影响评价管理的通知》等相关政策的要求；符合达州市“三线一单”的管控要求；符合基本农田、公益林相关法律法规的要求。</w:t>
      </w:r>
    </w:p>
    <w:p>
      <w:pPr>
        <w:ind w:firstLine="480"/>
        <w:rPr>
          <w:rFonts w:ascii="Times New Roman" w:hAnsi="Times New Roman"/>
        </w:rPr>
      </w:pPr>
      <w:r>
        <w:rPr>
          <w:rFonts w:ascii="Times New Roman" w:hAnsi="Times New Roman"/>
        </w:rPr>
        <w:t>项目选址取得了宣汉县自然资源局的批复，选址合理。</w:t>
      </w:r>
    </w:p>
    <w:p>
      <w:pPr>
        <w:ind w:firstLine="480"/>
        <w:rPr>
          <w:rFonts w:ascii="Times New Roman" w:hAnsi="Times New Roman"/>
        </w:rPr>
      </w:pPr>
      <w:r>
        <w:rPr>
          <w:rFonts w:ascii="Times New Roman" w:hAnsi="Times New Roman"/>
        </w:rPr>
        <w:t>综上，本项目符合产业政策及规划的要求，项目选址合理。</w:t>
      </w:r>
    </w:p>
    <w:p>
      <w:pPr>
        <w:pStyle w:val="3"/>
        <w:rPr>
          <w:rFonts w:ascii="Times New Roman" w:hAnsi="Times New Roman" w:cs="Times New Roman"/>
        </w:rPr>
      </w:pPr>
      <w:bookmarkStart w:id="449" w:name="_Toc162339483"/>
      <w:r>
        <w:rPr>
          <w:rFonts w:ascii="Times New Roman" w:hAnsi="Times New Roman" w:cs="Times New Roman"/>
        </w:rPr>
        <w:t>环境质量现状</w:t>
      </w:r>
      <w:bookmarkEnd w:id="449"/>
    </w:p>
    <w:p>
      <w:pPr>
        <w:pStyle w:val="4"/>
        <w:rPr>
          <w:rFonts w:ascii="Times New Roman" w:hAnsi="Times New Roman" w:cs="Times New Roman"/>
        </w:rPr>
      </w:pPr>
      <w:r>
        <w:rPr>
          <w:rFonts w:ascii="Times New Roman" w:hAnsi="Times New Roman" w:cs="Times New Roman"/>
        </w:rPr>
        <w:t>环境空气</w:t>
      </w:r>
    </w:p>
    <w:p>
      <w:pPr>
        <w:ind w:firstLine="480"/>
        <w:rPr>
          <w:rFonts w:ascii="Times New Roman" w:hAnsi="Times New Roman"/>
        </w:rPr>
      </w:pPr>
      <w:r>
        <w:rPr>
          <w:rFonts w:ascii="Times New Roman" w:hAnsi="Times New Roman"/>
        </w:rPr>
        <w:t>项目所在区域为达标区域。根据《达州市2022年环境空气质量状况》，距离本项目约为17.4km的宣汉县第二中学子站空气质量数据，六项基本污染物均达标。</w:t>
      </w:r>
    </w:p>
    <w:p>
      <w:pPr>
        <w:ind w:firstLine="480"/>
        <w:rPr>
          <w:rFonts w:ascii="Times New Roman" w:hAnsi="Times New Roman"/>
        </w:rPr>
      </w:pPr>
      <w:r>
        <w:rPr>
          <w:rFonts w:ascii="Times New Roman" w:hAnsi="Times New Roman"/>
        </w:rPr>
        <w:t>本次评价对宣探1井站和宣兴1井站两个站场的特征因子NMHC和H</w:t>
      </w:r>
      <w:r>
        <w:rPr>
          <w:rFonts w:ascii="Times New Roman" w:hAnsi="Times New Roman"/>
          <w:vertAlign w:val="subscript"/>
        </w:rPr>
        <w:t>2</w:t>
      </w:r>
      <w:r>
        <w:rPr>
          <w:rFonts w:ascii="Times New Roman" w:hAnsi="Times New Roman"/>
        </w:rPr>
        <w:t>S进行了现场采样监测，监测期间区域特征污染物NMHC和H</w:t>
      </w:r>
      <w:r>
        <w:rPr>
          <w:rFonts w:ascii="Times New Roman" w:hAnsi="Times New Roman"/>
          <w:vertAlign w:val="subscript"/>
        </w:rPr>
        <w:t>2</w:t>
      </w:r>
      <w:r>
        <w:rPr>
          <w:rFonts w:ascii="Times New Roman" w:hAnsi="Times New Roman"/>
        </w:rPr>
        <w:t>S的浓度值均未超过相应的标准限值。</w:t>
      </w:r>
    </w:p>
    <w:p>
      <w:pPr>
        <w:pStyle w:val="4"/>
        <w:rPr>
          <w:rFonts w:ascii="Times New Roman" w:hAnsi="Times New Roman" w:cs="Times New Roman"/>
        </w:rPr>
      </w:pPr>
      <w:r>
        <w:rPr>
          <w:rFonts w:ascii="Times New Roman" w:hAnsi="Times New Roman" w:cs="Times New Roman"/>
        </w:rPr>
        <w:t>地表水环境</w:t>
      </w:r>
    </w:p>
    <w:p>
      <w:pPr>
        <w:ind w:firstLine="480"/>
        <w:rPr>
          <w:rFonts w:ascii="Times New Roman" w:hAnsi="Times New Roman"/>
        </w:rPr>
      </w:pPr>
      <w:r>
        <w:rPr>
          <w:rFonts w:ascii="Times New Roman" w:hAnsi="Times New Roman"/>
        </w:rPr>
        <w:t>本次评价对本项目管线穿越的清溪河上游和下游的三个断面进行了水质监测，各断面的水质监测结果表明，监测因子均符合《地表水环境质量标准》（GB3838-2002）中Ⅲ类标准限值要求。</w:t>
      </w:r>
    </w:p>
    <w:p>
      <w:pPr>
        <w:pStyle w:val="4"/>
        <w:rPr>
          <w:rFonts w:ascii="Times New Roman" w:hAnsi="Times New Roman" w:cs="Times New Roman"/>
        </w:rPr>
      </w:pPr>
      <w:r>
        <w:rPr>
          <w:rFonts w:ascii="Times New Roman" w:hAnsi="Times New Roman" w:cs="Times New Roman"/>
        </w:rPr>
        <w:t>地下水环境</w:t>
      </w:r>
    </w:p>
    <w:p>
      <w:pPr>
        <w:ind w:firstLine="480"/>
        <w:rPr>
          <w:rFonts w:ascii="Times New Roman" w:hAnsi="Times New Roman"/>
        </w:rPr>
      </w:pPr>
      <w:r>
        <w:rPr>
          <w:rFonts w:ascii="Times New Roman" w:hAnsi="Times New Roman"/>
        </w:rPr>
        <w:t>对评价区内16个地下水监测点进行了水位和水质监测，监测结果表明：项目附近GW1监测点总大肠菌群超标；监测点总大肠菌群、菌落总数超标；GW4监测点锰、总大肠菌群、菌落总数超标；GW5监测点锰；GW10监测点总大肠菌群超标。其余各项监测指标均满足《地下水质量标准》（GB/T14848-2017）Ⅲ类标准要求。GW4、GW5监测点锰超标可能因铁质井管及水泵生锈导致该监测点位锰偏高；GW1、GW3、GW4、GW5、GW10总大肠菌群、细菌总数超标，可能是因为生活垃圾淋滤入渗或生活污水漫流入渗所致。</w:t>
      </w:r>
    </w:p>
    <w:p>
      <w:pPr>
        <w:ind w:firstLine="480"/>
        <w:rPr>
          <w:rFonts w:ascii="Times New Roman" w:hAnsi="Times New Roman"/>
        </w:rPr>
      </w:pPr>
      <w:r>
        <w:rPr>
          <w:rFonts w:ascii="Times New Roman" w:hAnsi="Times New Roman"/>
        </w:rPr>
        <w:t>根据地下水八种主要离子——K</w:t>
      </w:r>
      <w:r>
        <w:rPr>
          <w:rFonts w:ascii="Times New Roman" w:hAnsi="Times New Roman"/>
          <w:vertAlign w:val="superscript"/>
        </w:rPr>
        <w:t>+</w:t>
      </w:r>
      <w:r>
        <w:rPr>
          <w:rFonts w:ascii="Times New Roman" w:hAnsi="Times New Roman"/>
        </w:rPr>
        <w:t>+Na</w:t>
      </w:r>
      <w:r>
        <w:rPr>
          <w:rFonts w:ascii="Times New Roman" w:hAnsi="Times New Roman"/>
          <w:vertAlign w:val="superscript"/>
        </w:rPr>
        <w:t>+</w:t>
      </w:r>
      <w:r>
        <w:rPr>
          <w:rFonts w:ascii="Times New Roman" w:hAnsi="Times New Roman"/>
        </w:rPr>
        <w:t>（K</w:t>
      </w:r>
      <w:r>
        <w:rPr>
          <w:rFonts w:ascii="Times New Roman" w:hAnsi="Times New Roman"/>
          <w:vertAlign w:val="superscript"/>
        </w:rPr>
        <w:t>+</w:t>
      </w:r>
      <w:r>
        <w:rPr>
          <w:rFonts w:ascii="Times New Roman" w:hAnsi="Times New Roman"/>
        </w:rPr>
        <w:t>合并到Na</w:t>
      </w:r>
      <w:r>
        <w:rPr>
          <w:rFonts w:ascii="Times New Roman" w:hAnsi="Times New Roman"/>
          <w:vertAlign w:val="superscript"/>
        </w:rPr>
        <w:t>+</w:t>
      </w:r>
      <w:r>
        <w:rPr>
          <w:rFonts w:ascii="Times New Roman" w:hAnsi="Times New Roman"/>
        </w:rPr>
        <w:t>中）、Ca</w:t>
      </w:r>
      <w:r>
        <w:rPr>
          <w:rFonts w:ascii="Times New Roman" w:hAnsi="Times New Roman"/>
          <w:vertAlign w:val="superscript"/>
        </w:rPr>
        <w:t>2+</w:t>
      </w:r>
      <w:r>
        <w:rPr>
          <w:rFonts w:ascii="Times New Roman" w:hAnsi="Times New Roman"/>
        </w:rPr>
        <w:t>、Mg</w:t>
      </w:r>
      <w:r>
        <w:rPr>
          <w:rFonts w:ascii="Times New Roman" w:hAnsi="Times New Roman"/>
          <w:vertAlign w:val="superscript"/>
        </w:rPr>
        <w:t>2+</w:t>
      </w:r>
      <w:r>
        <w:rPr>
          <w:rFonts w:ascii="Times New Roman" w:hAnsi="Times New Roman"/>
        </w:rPr>
        <w:t>、HCO</w:t>
      </w:r>
      <w:r>
        <w:rPr>
          <w:rFonts w:ascii="Times New Roman" w:hAnsi="Times New Roman"/>
          <w:vertAlign w:val="subscript"/>
        </w:rPr>
        <w:t>3</w:t>
      </w:r>
      <w:r>
        <w:rPr>
          <w:rFonts w:ascii="Times New Roman" w:hAnsi="Times New Roman"/>
          <w:vertAlign w:val="superscript"/>
        </w:rPr>
        <w:t>-</w:t>
      </w:r>
      <w:r>
        <w:rPr>
          <w:rFonts w:ascii="Times New Roman" w:hAnsi="Times New Roman"/>
        </w:rPr>
        <w:t>、CO</w:t>
      </w:r>
      <w:r>
        <w:rPr>
          <w:rFonts w:ascii="Times New Roman" w:hAnsi="Times New Roman"/>
          <w:vertAlign w:val="subscript"/>
        </w:rPr>
        <w:t>3</w:t>
      </w:r>
      <w:r>
        <w:rPr>
          <w:rFonts w:ascii="Times New Roman" w:hAnsi="Times New Roman"/>
          <w:vertAlign w:val="superscript"/>
        </w:rPr>
        <w:t>2-</w:t>
      </w:r>
      <w:r>
        <w:rPr>
          <w:rFonts w:ascii="Times New Roman" w:hAnsi="Times New Roman"/>
        </w:rPr>
        <w:t>、Cl</w:t>
      </w:r>
      <w:r>
        <w:rPr>
          <w:rFonts w:ascii="Times New Roman" w:hAnsi="Times New Roman"/>
          <w:vertAlign w:val="superscript"/>
        </w:rPr>
        <w:t>-</w:t>
      </w:r>
      <w:r>
        <w:rPr>
          <w:rFonts w:ascii="Times New Roman" w:hAnsi="Times New Roman"/>
        </w:rPr>
        <w:t>、SO</w:t>
      </w:r>
      <w:r>
        <w:rPr>
          <w:rFonts w:ascii="Times New Roman" w:hAnsi="Times New Roman"/>
          <w:vertAlign w:val="subscript"/>
        </w:rPr>
        <w:t>4</w:t>
      </w:r>
      <w:r>
        <w:rPr>
          <w:rFonts w:ascii="Times New Roman" w:hAnsi="Times New Roman"/>
          <w:vertAlign w:val="superscript"/>
        </w:rPr>
        <w:t>2-</w:t>
      </w:r>
      <w:r>
        <w:rPr>
          <w:rFonts w:ascii="Times New Roman" w:hAnsi="Times New Roman"/>
        </w:rPr>
        <w:t>的检测可以看出，本项目评价区地下水类型为基岩裂隙水，地下水水化学类型主要为HCO</w:t>
      </w:r>
      <w:r>
        <w:rPr>
          <w:rFonts w:ascii="Times New Roman" w:hAnsi="Times New Roman"/>
          <w:vertAlign w:val="subscript"/>
        </w:rPr>
        <w:t>3</w:t>
      </w:r>
      <w:r>
        <w:rPr>
          <w:rFonts w:ascii="Times New Roman" w:hAnsi="Times New Roman"/>
        </w:rPr>
        <w:t>-Ca型水。</w:t>
      </w:r>
    </w:p>
    <w:p>
      <w:pPr>
        <w:pStyle w:val="4"/>
        <w:rPr>
          <w:rFonts w:ascii="Times New Roman" w:hAnsi="Times New Roman" w:cs="Times New Roman"/>
        </w:rPr>
      </w:pPr>
      <w:r>
        <w:rPr>
          <w:rFonts w:ascii="Times New Roman" w:hAnsi="Times New Roman" w:cs="Times New Roman"/>
        </w:rPr>
        <w:t>土壤环境</w:t>
      </w:r>
    </w:p>
    <w:p>
      <w:pPr>
        <w:ind w:firstLine="480"/>
        <w:rPr>
          <w:rFonts w:ascii="Times New Roman" w:hAnsi="Times New Roman"/>
        </w:rPr>
      </w:pPr>
      <w:r>
        <w:rPr>
          <w:rFonts w:ascii="Times New Roman" w:hAnsi="Times New Roman"/>
        </w:rPr>
        <w:t>本次评价在宣探1井站、宣兴1井站以及管道沿线布设了6个柱状样和10个表层样进行土壤采样监测。</w:t>
      </w:r>
    </w:p>
    <w:p>
      <w:pPr>
        <w:ind w:firstLine="480"/>
        <w:rPr>
          <w:rFonts w:ascii="Times New Roman" w:hAnsi="Times New Roman"/>
        </w:rPr>
      </w:pPr>
      <w:r>
        <w:rPr>
          <w:rFonts w:ascii="Times New Roman" w:hAnsi="Times New Roman"/>
        </w:rPr>
        <w:t>采样点中GB 15618基本项目8项，GB36600基本项目45项目以及特征因子石油烃（C</w:t>
      </w:r>
      <w:r>
        <w:rPr>
          <w:rFonts w:ascii="Times New Roman" w:hAnsi="Times New Roman"/>
          <w:vertAlign w:val="subscript"/>
        </w:rPr>
        <w:t>10</w:t>
      </w:r>
      <w:r>
        <w:rPr>
          <w:rFonts w:ascii="Times New Roman" w:hAnsi="Times New Roman"/>
        </w:rPr>
        <w:t>-C</w:t>
      </w:r>
      <w:r>
        <w:rPr>
          <w:rFonts w:ascii="Times New Roman" w:hAnsi="Times New Roman"/>
          <w:vertAlign w:val="subscript"/>
        </w:rPr>
        <w:t>40</w:t>
      </w:r>
      <w:r>
        <w:rPr>
          <w:rFonts w:ascii="Times New Roman" w:hAnsi="Times New Roman"/>
        </w:rPr>
        <w:t>）均能满足相应的标准限值要求。</w:t>
      </w:r>
    </w:p>
    <w:p>
      <w:pPr>
        <w:pStyle w:val="4"/>
        <w:rPr>
          <w:rFonts w:ascii="Times New Roman" w:hAnsi="Times New Roman" w:cs="Times New Roman"/>
        </w:rPr>
      </w:pPr>
      <w:r>
        <w:rPr>
          <w:rFonts w:ascii="Times New Roman" w:hAnsi="Times New Roman" w:cs="Times New Roman"/>
        </w:rPr>
        <w:t>生态环境</w:t>
      </w:r>
    </w:p>
    <w:p>
      <w:pPr>
        <w:ind w:firstLine="480"/>
        <w:rPr>
          <w:rFonts w:ascii="Times New Roman" w:hAnsi="Times New Roman"/>
        </w:rPr>
      </w:pPr>
      <w:r>
        <w:rPr>
          <w:rFonts w:ascii="Times New Roman" w:hAnsi="Times New Roman"/>
        </w:rPr>
        <w:t>采用收集资料、现场踏勘、遥感解译、样方调查相结合的方法对本项目的生态现状进行了调查。</w:t>
      </w:r>
    </w:p>
    <w:p>
      <w:pPr>
        <w:ind w:firstLine="480"/>
        <w:rPr>
          <w:rFonts w:ascii="Times New Roman" w:hAnsi="Times New Roman"/>
        </w:rPr>
      </w:pPr>
      <w:r>
        <w:rPr>
          <w:rFonts w:ascii="Times New Roman" w:hAnsi="Times New Roman"/>
        </w:rPr>
        <w:t>本区域景观类型以林地、为主，主要是森林生态系统和农田生态系统。森林分布不均，水源涵养能力差，水土流失严重。</w:t>
      </w:r>
    </w:p>
    <w:p>
      <w:pPr>
        <w:ind w:firstLine="480"/>
        <w:rPr>
          <w:rFonts w:ascii="Times New Roman" w:hAnsi="Times New Roman"/>
        </w:rPr>
      </w:pPr>
      <w:r>
        <w:rPr>
          <w:rFonts w:ascii="Times New Roman" w:hAnsi="Times New Roman"/>
        </w:rPr>
        <w:t>项目所在区域的主要植被类型为温带常见的植被类型，植物种类包括马尾松、柏木、桤木、栓皮栎、香椿、白夹竹、喜树、柃、斑竹、乌泡子、高粱泡、隔药柃等；本项目评价区域人类生产、生活活动频繁，根据现场调查，专家咨询和附近村民走访，目前已无大型野生动物。</w:t>
      </w:r>
    </w:p>
    <w:p>
      <w:pPr>
        <w:pStyle w:val="4"/>
        <w:rPr>
          <w:rFonts w:ascii="Times New Roman" w:hAnsi="Times New Roman" w:cs="Times New Roman"/>
        </w:rPr>
      </w:pPr>
      <w:r>
        <w:rPr>
          <w:rFonts w:ascii="Times New Roman" w:hAnsi="Times New Roman" w:cs="Times New Roman"/>
        </w:rPr>
        <w:t>声环境</w:t>
      </w:r>
    </w:p>
    <w:p>
      <w:pPr>
        <w:ind w:firstLine="480"/>
        <w:rPr>
          <w:rFonts w:ascii="Times New Roman" w:hAnsi="Times New Roman"/>
        </w:rPr>
      </w:pPr>
      <w:r>
        <w:rPr>
          <w:rFonts w:ascii="Times New Roman" w:hAnsi="Times New Roman"/>
        </w:rPr>
        <w:t>本次评价对宣探1井站、宣兴1井站各厂界以及管道沿线均进行了声环境质量现状监测。各监测点位环境噪声均满足《声环境质量标准（GB3096-2008）》2类标准限值，项目所在区域声环境质量现状较好。</w:t>
      </w:r>
    </w:p>
    <w:p>
      <w:pPr>
        <w:pStyle w:val="3"/>
        <w:rPr>
          <w:rFonts w:ascii="Times New Roman" w:hAnsi="Times New Roman" w:cs="Times New Roman"/>
        </w:rPr>
      </w:pPr>
      <w:bookmarkStart w:id="450" w:name="_Toc162339484"/>
      <w:r>
        <w:rPr>
          <w:rFonts w:ascii="Times New Roman" w:hAnsi="Times New Roman" w:cs="Times New Roman"/>
        </w:rPr>
        <w:t>环境影响评价</w:t>
      </w:r>
      <w:bookmarkEnd w:id="450"/>
    </w:p>
    <w:p>
      <w:pPr>
        <w:pStyle w:val="4"/>
        <w:rPr>
          <w:rFonts w:ascii="Times New Roman" w:hAnsi="Times New Roman" w:cs="Times New Roman"/>
        </w:rPr>
      </w:pPr>
      <w:r>
        <w:rPr>
          <w:rFonts w:ascii="Times New Roman" w:hAnsi="Times New Roman" w:cs="Times New Roman"/>
        </w:rPr>
        <w:t>大气环境</w:t>
      </w:r>
    </w:p>
    <w:p>
      <w:pPr>
        <w:ind w:firstLine="480"/>
        <w:rPr>
          <w:rFonts w:ascii="Times New Roman" w:hAnsi="Times New Roman"/>
        </w:rPr>
      </w:pPr>
      <w:r>
        <w:rPr>
          <w:rFonts w:ascii="Times New Roman" w:hAnsi="Times New Roman"/>
        </w:rPr>
        <w:t>（1）施工期</w:t>
      </w:r>
    </w:p>
    <w:p>
      <w:pPr>
        <w:ind w:firstLine="480"/>
        <w:rPr>
          <w:rFonts w:ascii="Times New Roman" w:hAnsi="Times New Roman"/>
        </w:rPr>
      </w:pPr>
      <w:r>
        <w:rPr>
          <w:rFonts w:ascii="Times New Roman" w:hAnsi="Times New Roman"/>
        </w:rPr>
        <w:t>施工期废气污染源主要包括施工扬尘、施工机械尾气、焊接废气等。这些污染物将对环境空气造成一定程度的污染，均在可接受范围内，且这种污染是短期的，分散的，施工结束后，影响随之结束。</w:t>
      </w:r>
    </w:p>
    <w:p>
      <w:pPr>
        <w:ind w:firstLine="480"/>
        <w:rPr>
          <w:rFonts w:ascii="Times New Roman" w:hAnsi="Times New Roman"/>
        </w:rPr>
      </w:pPr>
      <w:r>
        <w:rPr>
          <w:rFonts w:ascii="Times New Roman" w:hAnsi="Times New Roman"/>
        </w:rPr>
        <w:t>（2）运营期</w:t>
      </w:r>
    </w:p>
    <w:p>
      <w:pPr>
        <w:ind w:firstLine="480"/>
        <w:rPr>
          <w:rFonts w:ascii="Times New Roman" w:hAnsi="Times New Roman"/>
        </w:rPr>
      </w:pPr>
      <w:r>
        <w:rPr>
          <w:rFonts w:ascii="Times New Roman" w:hAnsi="Times New Roman"/>
        </w:rPr>
        <w:t>1）项目有组织源排放的SO</w:t>
      </w:r>
      <w:r>
        <w:rPr>
          <w:rFonts w:ascii="Times New Roman" w:hAnsi="Times New Roman"/>
          <w:vertAlign w:val="subscript"/>
        </w:rPr>
        <w:t>2</w:t>
      </w:r>
      <w:r>
        <w:rPr>
          <w:rFonts w:ascii="Times New Roman" w:hAnsi="Times New Roman"/>
        </w:rPr>
        <w:t>、NOx、颗粒物的最大小时占标率分别为宣探1井站：0.01%、1.07%、0.06%；宣兴1井站：0.02%、1.62%、0.09%。</w:t>
      </w:r>
    </w:p>
    <w:p>
      <w:pPr>
        <w:ind w:firstLine="480"/>
        <w:rPr>
          <w:rFonts w:ascii="Times New Roman" w:hAnsi="Times New Roman"/>
        </w:rPr>
      </w:pPr>
      <w:r>
        <w:rPr>
          <w:rFonts w:ascii="Times New Roman" w:hAnsi="Times New Roman"/>
        </w:rPr>
        <w:t>2）项目无组织源排放的NMHC、H</w:t>
      </w:r>
      <w:r>
        <w:rPr>
          <w:rFonts w:ascii="Times New Roman" w:hAnsi="Times New Roman"/>
          <w:vertAlign w:val="subscript"/>
        </w:rPr>
        <w:t>2</w:t>
      </w:r>
      <w:r>
        <w:rPr>
          <w:rFonts w:ascii="Times New Roman" w:hAnsi="Times New Roman"/>
        </w:rPr>
        <w:t>S的最大小时占标率分别为宣探1井站：0.08%、2.05%；宣兴1井站：0.20%、8.88%。</w:t>
      </w:r>
    </w:p>
    <w:p>
      <w:pPr>
        <w:ind w:firstLine="480"/>
        <w:rPr>
          <w:rFonts w:ascii="Times New Roman" w:hAnsi="Times New Roman"/>
        </w:rPr>
      </w:pPr>
      <w:r>
        <w:rPr>
          <w:rFonts w:ascii="Times New Roman" w:hAnsi="Times New Roman"/>
        </w:rPr>
        <w:t>3）宣探1井站水套加热炉排气筒的SO</w:t>
      </w:r>
      <w:r>
        <w:rPr>
          <w:rFonts w:ascii="Times New Roman" w:hAnsi="Times New Roman"/>
          <w:vertAlign w:val="subscript"/>
        </w:rPr>
        <w:t>2</w:t>
      </w:r>
      <w:r>
        <w:rPr>
          <w:rFonts w:ascii="Times New Roman" w:hAnsi="Times New Roman"/>
        </w:rPr>
        <w:t>、NOx、颗粒物的排放浓度分别为3.71mg/m</w:t>
      </w:r>
      <w:r>
        <w:rPr>
          <w:rFonts w:ascii="Times New Roman" w:hAnsi="Times New Roman"/>
          <w:vertAlign w:val="superscript"/>
        </w:rPr>
        <w:t>3</w:t>
      </w:r>
      <w:r>
        <w:rPr>
          <w:rFonts w:ascii="Times New Roman" w:hAnsi="Times New Roman"/>
        </w:rPr>
        <w:t>、147.28 mg/m</w:t>
      </w:r>
      <w:r>
        <w:rPr>
          <w:rFonts w:ascii="Times New Roman" w:hAnsi="Times New Roman"/>
          <w:vertAlign w:val="superscript"/>
        </w:rPr>
        <w:t>3</w:t>
      </w:r>
      <w:r>
        <w:rPr>
          <w:rFonts w:ascii="Times New Roman" w:hAnsi="Times New Roman"/>
        </w:rPr>
        <w:t>、14.85 mg/m</w:t>
      </w:r>
      <w:r>
        <w:rPr>
          <w:rFonts w:ascii="Times New Roman" w:hAnsi="Times New Roman"/>
          <w:vertAlign w:val="superscript"/>
        </w:rPr>
        <w:t>3</w:t>
      </w:r>
      <w:r>
        <w:rPr>
          <w:rFonts w:ascii="Times New Roman" w:hAnsi="Times New Roman"/>
        </w:rPr>
        <w:t>；宣兴1井站水套加热炉排气筒的SO</w:t>
      </w:r>
      <w:r>
        <w:rPr>
          <w:rFonts w:ascii="Times New Roman" w:hAnsi="Times New Roman"/>
          <w:vertAlign w:val="subscript"/>
        </w:rPr>
        <w:t>2</w:t>
      </w:r>
      <w:r>
        <w:rPr>
          <w:rFonts w:ascii="Times New Roman" w:hAnsi="Times New Roman"/>
        </w:rPr>
        <w:t>、NOx、颗粒物的排放浓度分别为3.71mg/m</w:t>
      </w:r>
      <w:r>
        <w:rPr>
          <w:rFonts w:ascii="Times New Roman" w:hAnsi="Times New Roman"/>
          <w:vertAlign w:val="superscript"/>
        </w:rPr>
        <w:t>3</w:t>
      </w:r>
      <w:r>
        <w:rPr>
          <w:rFonts w:ascii="Times New Roman" w:hAnsi="Times New Roman"/>
        </w:rPr>
        <w:t>、147.28 mg/m</w:t>
      </w:r>
      <w:r>
        <w:rPr>
          <w:rFonts w:ascii="Times New Roman" w:hAnsi="Times New Roman"/>
          <w:vertAlign w:val="superscript"/>
        </w:rPr>
        <w:t>3</w:t>
      </w:r>
      <w:r>
        <w:rPr>
          <w:rFonts w:ascii="Times New Roman" w:hAnsi="Times New Roman"/>
        </w:rPr>
        <w:t>、14.85 mg/m。排放浓度均低于《锅炉大气污染物排放标准》（GB 13271-2014）的限值要求。</w:t>
      </w:r>
    </w:p>
    <w:p>
      <w:pPr>
        <w:ind w:firstLine="480"/>
        <w:rPr>
          <w:rFonts w:ascii="Times New Roman" w:hAnsi="Times New Roman"/>
        </w:rPr>
      </w:pPr>
      <w:r>
        <w:rPr>
          <w:rFonts w:ascii="Times New Roman" w:hAnsi="Times New Roman"/>
        </w:rPr>
        <w:t>4）本项目无需设置大气环境防护距离</w:t>
      </w:r>
    </w:p>
    <w:p>
      <w:pPr>
        <w:ind w:firstLine="480"/>
        <w:rPr>
          <w:rFonts w:ascii="Times New Roman" w:hAnsi="Times New Roman"/>
        </w:rPr>
      </w:pPr>
      <w:r>
        <w:rPr>
          <w:rFonts w:ascii="Times New Roman" w:hAnsi="Times New Roman"/>
        </w:rPr>
        <w:t>综上，本项目投产后，排放的污染物对周围环境有一定的影响，在有效落实大气污染物防治措施的前提下，大气环境影响可以接受。</w:t>
      </w:r>
    </w:p>
    <w:p>
      <w:pPr>
        <w:pStyle w:val="4"/>
        <w:rPr>
          <w:rFonts w:ascii="Times New Roman" w:hAnsi="Times New Roman" w:cs="Times New Roman"/>
        </w:rPr>
      </w:pPr>
      <w:r>
        <w:rPr>
          <w:rFonts w:ascii="Times New Roman" w:hAnsi="Times New Roman" w:cs="Times New Roman"/>
        </w:rPr>
        <w:t>地表水环境</w:t>
      </w:r>
    </w:p>
    <w:p>
      <w:pPr>
        <w:ind w:firstLine="480"/>
        <w:rPr>
          <w:rFonts w:ascii="Times New Roman" w:hAnsi="Times New Roman"/>
        </w:rPr>
      </w:pPr>
      <w:r>
        <w:rPr>
          <w:rFonts w:ascii="Times New Roman" w:hAnsi="Times New Roman"/>
        </w:rPr>
        <w:t>（1）施工期</w:t>
      </w:r>
    </w:p>
    <w:p>
      <w:pPr>
        <w:ind w:firstLine="480"/>
        <w:rPr>
          <w:rFonts w:ascii="Times New Roman" w:hAnsi="Times New Roman"/>
        </w:rPr>
      </w:pPr>
      <w:r>
        <w:rPr>
          <w:rFonts w:ascii="Times New Roman" w:hAnsi="Times New Roman"/>
        </w:rPr>
        <w:t>施工期废水主要为施工人员生活污水、管道试压废水、施工废水，其中施工人员不设施工营地，租住当地民房，生活污水依托当地污水系统管网收集并处，管道试压废水尽量循环使用，施工废水经隔油池沉淀处理后回用于洒水降尘和混凝土养护用水，不外排。施工期废水采取相应处置措施后对地表水环境影响较小。</w:t>
      </w:r>
    </w:p>
    <w:p>
      <w:pPr>
        <w:ind w:firstLine="480"/>
        <w:rPr>
          <w:rFonts w:ascii="Times New Roman" w:hAnsi="Times New Roman"/>
        </w:rPr>
      </w:pPr>
      <w:r>
        <w:rPr>
          <w:rFonts w:ascii="Times New Roman" w:hAnsi="Times New Roman"/>
        </w:rPr>
        <w:t>（2）运营期</w:t>
      </w:r>
    </w:p>
    <w:p>
      <w:pPr>
        <w:ind w:firstLine="480"/>
        <w:rPr>
          <w:rFonts w:ascii="Times New Roman" w:hAnsi="Times New Roman"/>
        </w:rPr>
      </w:pPr>
      <w:r>
        <w:rPr>
          <w:rFonts w:ascii="Times New Roman" w:hAnsi="Times New Roman"/>
        </w:rPr>
        <w:t>本项目运营期产生的废水主要包括气田水、工作人员产生的生活污水、设备外壁擦洗水和少量的设备检修废水。</w:t>
      </w:r>
    </w:p>
    <w:p>
      <w:pPr>
        <w:ind w:firstLine="480"/>
        <w:rPr>
          <w:rFonts w:ascii="Times New Roman" w:hAnsi="Times New Roman"/>
        </w:rPr>
      </w:pPr>
      <w:r>
        <w:rPr>
          <w:rFonts w:ascii="Times New Roman" w:hAnsi="Times New Roman"/>
        </w:rPr>
        <w:t>气田水机检修废水依托渡口河净化厂处理后管输至黄龙5井回注，不外排；外壁擦洗水要污染物为SS，随站内道路雨水边沟排出站外；工作人员生活污水依托租房的排水系统排放处置后还田。本项目运营期产生的废水较少，经过以上措施处置后对外环境影响较小。</w:t>
      </w:r>
    </w:p>
    <w:p>
      <w:pPr>
        <w:pStyle w:val="4"/>
        <w:rPr>
          <w:rFonts w:ascii="Times New Roman" w:hAnsi="Times New Roman" w:cs="Times New Roman"/>
        </w:rPr>
      </w:pPr>
      <w:r>
        <w:rPr>
          <w:rFonts w:ascii="Times New Roman" w:hAnsi="Times New Roman" w:cs="Times New Roman"/>
        </w:rPr>
        <w:t>地下水环境</w:t>
      </w:r>
    </w:p>
    <w:p>
      <w:pPr>
        <w:ind w:firstLine="480"/>
        <w:rPr>
          <w:rFonts w:ascii="Times New Roman" w:hAnsi="Times New Roman"/>
        </w:rPr>
      </w:pPr>
      <w:r>
        <w:rPr>
          <w:rFonts w:ascii="Times New Roman" w:hAnsi="Times New Roman"/>
        </w:rPr>
        <w:t>（1）施工期</w:t>
      </w:r>
    </w:p>
    <w:p>
      <w:pPr>
        <w:ind w:firstLine="480"/>
        <w:rPr>
          <w:rFonts w:ascii="Times New Roman" w:hAnsi="Times New Roman"/>
        </w:rPr>
      </w:pPr>
      <w:r>
        <w:rPr>
          <w:rFonts w:ascii="Times New Roman" w:hAnsi="Times New Roman"/>
        </w:rPr>
        <w:t>施工期废水主要为施工人员生活污水、管道试压废水、施工废水，其中施工人员不设施工营地，租住当地民房，生活污水依托当地污水系统管网收集并处，管道试压废水尽量循环使用，施工废水经隔油池沉淀处理后回用于洒水降尘和混凝土养护用水，不外排。施工期废水采取相应处置措施后对地下水环境影响较小。</w:t>
      </w:r>
    </w:p>
    <w:p>
      <w:pPr>
        <w:ind w:firstLine="480"/>
        <w:rPr>
          <w:rFonts w:ascii="Times New Roman" w:hAnsi="Times New Roman"/>
        </w:rPr>
      </w:pPr>
      <w:r>
        <w:rPr>
          <w:rFonts w:ascii="Times New Roman" w:hAnsi="Times New Roman"/>
        </w:rPr>
        <w:t>（2）运营期</w:t>
      </w:r>
    </w:p>
    <w:p>
      <w:pPr>
        <w:ind w:firstLine="480"/>
        <w:rPr>
          <w:rFonts w:ascii="Times New Roman" w:hAnsi="Times New Roman"/>
        </w:rPr>
      </w:pPr>
      <w:r>
        <w:rPr>
          <w:rFonts w:ascii="Times New Roman" w:hAnsi="Times New Roman"/>
        </w:rPr>
        <w:t>正常状况下，运营期产生的气田水都放置在相应的罐体中，并且项目各工艺区及辅助设备区均有防渗设计。采气管道采用无缝钢管，具有较强的防渗、防腐及刚度，正常情况下建设项目不会对周边地下水水质造成不利影响。非正常工况下污水泄漏对地下水环境造成影响也仅限于泄漏点附近，通过现状调查结合预测结果，污染物最远的超标距离内没有水井点分布，不会对周边保护目标造成水质影响。因此，在施工过程中应注重施工质量，做好分区防渗措施，加强运营期管理，及后期监测杜绝非正常工况的发生，同时还应制定废水泄漏风险防范措施。发生风险事故后，通过及时处理，工程建设对地下水环境影响可接受。</w:t>
      </w:r>
    </w:p>
    <w:p>
      <w:pPr>
        <w:pStyle w:val="4"/>
        <w:rPr>
          <w:rFonts w:ascii="Times New Roman" w:hAnsi="Times New Roman" w:cs="Times New Roman"/>
        </w:rPr>
      </w:pPr>
      <w:r>
        <w:rPr>
          <w:rFonts w:ascii="Times New Roman" w:hAnsi="Times New Roman" w:cs="Times New Roman"/>
        </w:rPr>
        <w:t>土壤环境</w:t>
      </w:r>
    </w:p>
    <w:p>
      <w:pPr>
        <w:ind w:firstLine="480"/>
        <w:rPr>
          <w:rFonts w:ascii="Times New Roman" w:hAnsi="Times New Roman"/>
        </w:rPr>
      </w:pPr>
      <w:r>
        <w:rPr>
          <w:rFonts w:ascii="Times New Roman" w:hAnsi="Times New Roman"/>
        </w:rPr>
        <w:t>（1）施工期</w:t>
      </w:r>
    </w:p>
    <w:p>
      <w:pPr>
        <w:ind w:firstLine="480"/>
        <w:rPr>
          <w:rFonts w:ascii="Times New Roman" w:hAnsi="Times New Roman"/>
        </w:rPr>
      </w:pPr>
      <w:r>
        <w:rPr>
          <w:rFonts w:ascii="Times New Roman" w:hAnsi="Times New Roman"/>
        </w:rPr>
        <w:t>施工机械和车辆运输等对自然土壤的理化性质、肥力水平带来一定的影响，并进一步影响地表植被恢复。随着时间的推移影响逐渐消失，最终使土壤质量恢复到原来的水平。因此，对土壤环境影响较小。</w:t>
      </w:r>
    </w:p>
    <w:p>
      <w:pPr>
        <w:ind w:firstLine="480"/>
        <w:rPr>
          <w:rFonts w:ascii="Times New Roman" w:hAnsi="Times New Roman"/>
        </w:rPr>
      </w:pPr>
      <w:r>
        <w:rPr>
          <w:rFonts w:ascii="Times New Roman" w:hAnsi="Times New Roman"/>
        </w:rPr>
        <w:t>（2）运营期</w:t>
      </w:r>
    </w:p>
    <w:p>
      <w:pPr>
        <w:ind w:firstLine="480"/>
        <w:rPr>
          <w:rFonts w:ascii="Times New Roman" w:hAnsi="Times New Roman"/>
        </w:rPr>
      </w:pPr>
      <w:r>
        <w:rPr>
          <w:rFonts w:ascii="Times New Roman" w:hAnsi="Times New Roman"/>
        </w:rPr>
        <w:t>本项目对土壤环境的影响途径主要为垂直入渗。在采取源头控制和分区防控措施的基础上，正常工况下基本不会有污染物渗漏至地下的情景发生。</w:t>
      </w:r>
    </w:p>
    <w:p>
      <w:pPr>
        <w:ind w:firstLine="480"/>
        <w:rPr>
          <w:rFonts w:ascii="Times New Roman" w:hAnsi="Times New Roman"/>
        </w:rPr>
      </w:pPr>
      <w:r>
        <w:rPr>
          <w:rFonts w:ascii="Times New Roman" w:hAnsi="Times New Roman"/>
        </w:rPr>
        <w:t>非正常情况下，根据对两井站气田水罐破损渗漏预测结果可知：石油烃在土壤中随时间不断向下迁移，365天时，石油烃出现深度在-66cm（-0.66m）；1095天时，石油烃出现深度在-121cm（-1.21m）；1825天时，石油烃出现深度在-176cm（-1.76m）；3650天时，土壤水分中石油烃浓度在0-0.005mg/L之间；7300天时，土壤水分中石油烃浓度在0-0.002mg/L之间；10950天时，土壤水分中石油烃浓度为0.0001，土壤水分中石油烃已全部入渗到岩石层。</w:t>
      </w:r>
    </w:p>
    <w:p>
      <w:pPr>
        <w:ind w:firstLine="480"/>
        <w:rPr>
          <w:rFonts w:ascii="Times New Roman" w:hAnsi="Times New Roman"/>
        </w:rPr>
      </w:pPr>
      <w:r>
        <w:rPr>
          <w:rFonts w:ascii="Times New Roman" w:hAnsi="Times New Roman"/>
        </w:rPr>
        <w:t>运营期做好设备检修和维护的情况下对土壤环境影响较小。</w:t>
      </w:r>
    </w:p>
    <w:p>
      <w:pPr>
        <w:pStyle w:val="4"/>
        <w:rPr>
          <w:rFonts w:ascii="Times New Roman" w:hAnsi="Times New Roman" w:cs="Times New Roman"/>
        </w:rPr>
      </w:pPr>
      <w:r>
        <w:rPr>
          <w:rFonts w:ascii="Times New Roman" w:hAnsi="Times New Roman" w:cs="Times New Roman"/>
        </w:rPr>
        <w:t>生态环境</w:t>
      </w:r>
    </w:p>
    <w:p>
      <w:pPr>
        <w:ind w:firstLine="480"/>
        <w:rPr>
          <w:rFonts w:ascii="Times New Roman" w:hAnsi="Times New Roman"/>
        </w:rPr>
      </w:pPr>
      <w:r>
        <w:rPr>
          <w:rFonts w:ascii="Times New Roman" w:hAnsi="Times New Roman"/>
        </w:rPr>
        <w:t>（1）施工期</w:t>
      </w:r>
    </w:p>
    <w:p>
      <w:pPr>
        <w:ind w:firstLine="480"/>
        <w:rPr>
          <w:rFonts w:ascii="Times New Roman" w:hAnsi="Times New Roman"/>
        </w:rPr>
      </w:pPr>
      <w:r>
        <w:rPr>
          <w:rFonts w:ascii="Times New Roman" w:hAnsi="Times New Roman"/>
        </w:rPr>
        <w:t>本项目施工期对生态环境的影响主要包括项目占地（包括永久占地和临时占地）内土地利用类型的改变，现有植被的破坏及可能引起的水土流失对公益林和基本农田的占用等。施工结束后，随着农田复垦和植被恢复的措施等，影响逐渐减小。</w:t>
      </w:r>
    </w:p>
    <w:p>
      <w:pPr>
        <w:ind w:firstLine="480"/>
        <w:rPr>
          <w:rFonts w:ascii="Times New Roman" w:hAnsi="Times New Roman"/>
        </w:rPr>
      </w:pPr>
      <w:r>
        <w:rPr>
          <w:rFonts w:ascii="Times New Roman" w:hAnsi="Times New Roman"/>
        </w:rPr>
        <w:t>（2）运营期</w:t>
      </w:r>
    </w:p>
    <w:p>
      <w:pPr>
        <w:ind w:firstLine="480"/>
        <w:rPr>
          <w:rFonts w:ascii="Times New Roman" w:hAnsi="Times New Roman"/>
        </w:rPr>
      </w:pPr>
      <w:r>
        <w:rPr>
          <w:rFonts w:ascii="Times New Roman" w:hAnsi="Times New Roman"/>
        </w:rPr>
        <w:t>运营期间，井站区除对非生物因子（水、空气、土壤等）产生一定的影响外，将不再新增对生态环境的影响，而是在已经形成扰动和破坏的基础上采取植被恢复与绿化措施，逐步改善区域生态环境。</w:t>
      </w:r>
    </w:p>
    <w:p>
      <w:pPr>
        <w:ind w:firstLine="480"/>
        <w:rPr>
          <w:rFonts w:ascii="Times New Roman" w:hAnsi="Times New Roman"/>
        </w:rPr>
      </w:pPr>
      <w:r>
        <w:rPr>
          <w:rFonts w:ascii="Times New Roman" w:hAnsi="Times New Roman"/>
        </w:rPr>
        <w:t>另外管道巡检通道的临时占地，对植被会产生的一定的破坏。</w:t>
      </w:r>
    </w:p>
    <w:p>
      <w:pPr>
        <w:pStyle w:val="4"/>
        <w:rPr>
          <w:rFonts w:ascii="Times New Roman" w:hAnsi="Times New Roman" w:cs="Times New Roman"/>
        </w:rPr>
      </w:pPr>
      <w:r>
        <w:rPr>
          <w:rFonts w:ascii="Times New Roman" w:hAnsi="Times New Roman" w:cs="Times New Roman"/>
        </w:rPr>
        <w:t>声环境</w:t>
      </w:r>
    </w:p>
    <w:p>
      <w:pPr>
        <w:ind w:firstLine="480"/>
        <w:rPr>
          <w:rFonts w:ascii="Times New Roman" w:hAnsi="Times New Roman"/>
        </w:rPr>
      </w:pPr>
      <w:r>
        <w:rPr>
          <w:rFonts w:ascii="Times New Roman" w:hAnsi="Times New Roman"/>
        </w:rPr>
        <w:t>（1）施工期</w:t>
      </w:r>
    </w:p>
    <w:p>
      <w:pPr>
        <w:ind w:firstLine="480"/>
        <w:rPr>
          <w:rFonts w:ascii="Times New Roman" w:hAnsi="Times New Roman"/>
        </w:rPr>
      </w:pPr>
      <w:r>
        <w:rPr>
          <w:rFonts w:ascii="Times New Roman" w:hAnsi="Times New Roman"/>
        </w:rPr>
        <w:t>站场周边及管线沿线的居民声环境在施工期会受到施工噪声的影响，噪声水平有不同程度的增加。但是，施工噪声是短暂的且具有分散性，一般在白天施工，夜间不施工，不会对夜间声环境产生影响，因此，施工噪声对周围居民的生活造成的不利影响较小。</w:t>
      </w:r>
    </w:p>
    <w:p>
      <w:pPr>
        <w:ind w:firstLine="480"/>
        <w:rPr>
          <w:rFonts w:ascii="Times New Roman" w:hAnsi="Times New Roman"/>
        </w:rPr>
      </w:pPr>
      <w:r>
        <w:rPr>
          <w:rFonts w:ascii="Times New Roman" w:hAnsi="Times New Roman"/>
        </w:rPr>
        <w:t>（2）运营期</w:t>
      </w:r>
    </w:p>
    <w:p>
      <w:pPr>
        <w:ind w:firstLine="480"/>
        <w:rPr>
          <w:rFonts w:ascii="Times New Roman" w:hAnsi="Times New Roman"/>
        </w:rPr>
      </w:pPr>
      <w:r>
        <w:rPr>
          <w:rFonts w:ascii="Times New Roman" w:hAnsi="Times New Roman"/>
        </w:rPr>
        <w:t>本项目建成后，运营期间噪声源对各厂界噪声贡献值均符合《工业企业厂界环境噪声排放标准》（GB12348-2008）中2类标准要求。周边居民区也噪声值也符合相应的标准限值要求，因此，运营期噪声源对周边声环境影响较小。</w:t>
      </w:r>
    </w:p>
    <w:p>
      <w:pPr>
        <w:pStyle w:val="4"/>
        <w:rPr>
          <w:rFonts w:ascii="Times New Roman" w:hAnsi="Times New Roman" w:cs="Times New Roman"/>
        </w:rPr>
      </w:pPr>
      <w:r>
        <w:rPr>
          <w:rFonts w:ascii="Times New Roman" w:hAnsi="Times New Roman" w:cs="Times New Roman"/>
        </w:rPr>
        <w:t>固体废物</w:t>
      </w:r>
    </w:p>
    <w:p>
      <w:pPr>
        <w:ind w:firstLine="480"/>
        <w:rPr>
          <w:rFonts w:ascii="Times New Roman" w:hAnsi="Times New Roman"/>
        </w:rPr>
      </w:pPr>
      <w:r>
        <w:rPr>
          <w:rFonts w:ascii="Times New Roman" w:hAnsi="Times New Roman"/>
        </w:rPr>
        <w:t>（1）施工期</w:t>
      </w:r>
    </w:p>
    <w:p>
      <w:pPr>
        <w:ind w:firstLine="480"/>
        <w:rPr>
          <w:rFonts w:ascii="Times New Roman" w:hAnsi="Times New Roman"/>
        </w:rPr>
      </w:pPr>
      <w:r>
        <w:rPr>
          <w:rFonts w:ascii="Times New Roman" w:hAnsi="Times New Roman"/>
        </w:rPr>
        <w:t>本项目施工期产生的固体废物主要有施工废料、建筑垃圾和施工人员产生的生活垃圾。项目施工期产生的固体废物去向明确，充分做到了资源化、减量化、无害化，不会产生二次污染，对环境影响很小。</w:t>
      </w:r>
    </w:p>
    <w:p>
      <w:pPr>
        <w:ind w:firstLine="480"/>
        <w:rPr>
          <w:rFonts w:ascii="Times New Roman" w:hAnsi="Times New Roman"/>
        </w:rPr>
      </w:pPr>
      <w:r>
        <w:rPr>
          <w:rFonts w:ascii="Times New Roman" w:hAnsi="Times New Roman"/>
        </w:rPr>
        <w:t>（2）运营期</w:t>
      </w:r>
    </w:p>
    <w:p>
      <w:pPr>
        <w:ind w:firstLine="480"/>
        <w:rPr>
          <w:rFonts w:ascii="Times New Roman" w:hAnsi="Times New Roman"/>
        </w:rPr>
      </w:pPr>
      <w:r>
        <w:rPr>
          <w:rFonts w:ascii="Times New Roman" w:hAnsi="Times New Roman"/>
        </w:rPr>
        <w:t>本项目产生的固体废物中危险废物，最终全部委托有资质单位处置。生活垃圾分类收集后由当地环卫部门定期处置。清管残渣收集后定期委托第三方处置。</w:t>
      </w:r>
    </w:p>
    <w:p>
      <w:pPr>
        <w:ind w:firstLine="480"/>
        <w:rPr>
          <w:rFonts w:ascii="Times New Roman" w:hAnsi="Times New Roman"/>
        </w:rPr>
      </w:pPr>
      <w:r>
        <w:rPr>
          <w:rFonts w:ascii="Times New Roman" w:hAnsi="Times New Roman"/>
        </w:rPr>
        <w:t>建设单位在认真落实上述固体废物处置措施，保证各种固体废物得到有效处置，营运期产生的各种固体废物对环境的影响可得到有效的控制，从而避免项目产生的固废对地下水环境和土壤环境造成二次污染。</w:t>
      </w:r>
    </w:p>
    <w:p>
      <w:pPr>
        <w:ind w:firstLine="480"/>
        <w:rPr>
          <w:rFonts w:ascii="Times New Roman" w:hAnsi="Times New Roman"/>
        </w:rPr>
      </w:pPr>
      <w:r>
        <w:rPr>
          <w:rFonts w:ascii="Times New Roman" w:hAnsi="Times New Roman"/>
        </w:rPr>
        <w:t>本项目危险废物的运输过程、委托利用或处置均符合要求，对环境的影响较小。</w:t>
      </w:r>
    </w:p>
    <w:p>
      <w:pPr>
        <w:pStyle w:val="3"/>
        <w:rPr>
          <w:rFonts w:ascii="Times New Roman" w:hAnsi="Times New Roman" w:cs="Times New Roman"/>
        </w:rPr>
      </w:pPr>
      <w:bookmarkStart w:id="451" w:name="_Toc162339485"/>
      <w:r>
        <w:rPr>
          <w:rFonts w:ascii="Times New Roman" w:hAnsi="Times New Roman" w:cs="Times New Roman"/>
        </w:rPr>
        <w:t>环境风险</w:t>
      </w:r>
      <w:bookmarkEnd w:id="451"/>
    </w:p>
    <w:p>
      <w:pPr>
        <w:ind w:firstLine="480"/>
        <w:rPr>
          <w:rFonts w:ascii="Times New Roman" w:hAnsi="Times New Roman"/>
        </w:rPr>
      </w:pPr>
      <w:r>
        <w:rPr>
          <w:rFonts w:ascii="Times New Roman" w:hAnsi="Times New Roman"/>
        </w:rPr>
        <w:t>本项目工程建设主要为井站工程、集输管线工程，涉及的危险物质包括：甲烷、硫化氢、二氧化碳、硫化亚铁、气田水、元素硫，以及火灾、爆炸事故伴生物一氧化碳和二氧化硫等。本项目存在物质或能量意外释放，并可能产生环境危害的源主要有：采气井站内的管道及设备；集气管道；气田水外运罐车。</w:t>
      </w:r>
    </w:p>
    <w:p>
      <w:pPr>
        <w:ind w:firstLine="480"/>
        <w:rPr>
          <w:rFonts w:ascii="Times New Roman" w:hAnsi="Times New Roman"/>
        </w:rPr>
      </w:pPr>
      <w:r>
        <w:rPr>
          <w:rFonts w:ascii="Times New Roman" w:hAnsi="Times New Roman"/>
        </w:rPr>
        <w:t>在全面、完整的落实各项环保措施和本评价所列出的各项环境风险防范措施，建立有效的突发环境事件应急预案，加强风险管理，加强区域应急联动的条件下，本项目的环境风险可控。</w:t>
      </w:r>
    </w:p>
    <w:p>
      <w:pPr>
        <w:pStyle w:val="3"/>
        <w:rPr>
          <w:rFonts w:ascii="Times New Roman" w:hAnsi="Times New Roman" w:cs="Times New Roman"/>
        </w:rPr>
      </w:pPr>
      <w:bookmarkStart w:id="452" w:name="_Toc162339486"/>
      <w:r>
        <w:rPr>
          <w:rFonts w:ascii="Times New Roman" w:hAnsi="Times New Roman" w:cs="Times New Roman"/>
        </w:rPr>
        <w:t>污染防治措施</w:t>
      </w:r>
      <w:bookmarkEnd w:id="452"/>
    </w:p>
    <w:p>
      <w:pPr>
        <w:pStyle w:val="4"/>
        <w:rPr>
          <w:rFonts w:ascii="Times New Roman" w:hAnsi="Times New Roman" w:cs="Times New Roman"/>
        </w:rPr>
      </w:pPr>
      <w:r>
        <w:rPr>
          <w:rFonts w:ascii="Times New Roman" w:hAnsi="Times New Roman" w:cs="Times New Roman"/>
        </w:rPr>
        <w:t>废水</w:t>
      </w:r>
    </w:p>
    <w:p>
      <w:pPr>
        <w:ind w:firstLine="480"/>
        <w:rPr>
          <w:rFonts w:ascii="Times New Roman" w:hAnsi="Times New Roman"/>
        </w:rPr>
      </w:pPr>
      <w:r>
        <w:rPr>
          <w:rFonts w:ascii="Times New Roman" w:hAnsi="Times New Roman"/>
        </w:rPr>
        <w:t>本项目运营期产生的气田水和检修废水暂存于气田水罐和放空分液罐中，罐内废水达到一定的液位后，拉运至宣兴1井站的气田水罐内，气田水罐内的气田水由罐车密闭拉运至渡口河净化厂处理后管输至黄龙5井进行回注。</w:t>
      </w:r>
    </w:p>
    <w:p>
      <w:pPr>
        <w:ind w:firstLine="480"/>
        <w:rPr>
          <w:rFonts w:ascii="Times New Roman" w:hAnsi="Times New Roman"/>
        </w:rPr>
      </w:pPr>
      <w:r>
        <w:rPr>
          <w:rFonts w:ascii="Times New Roman" w:hAnsi="Times New Roman"/>
        </w:rPr>
        <w:t>工作人员产生的生活污水依托当地污水收集和处置设施处理。废水污染防治措施可行。</w:t>
      </w:r>
    </w:p>
    <w:p>
      <w:pPr>
        <w:pStyle w:val="4"/>
        <w:rPr>
          <w:rFonts w:ascii="Times New Roman" w:hAnsi="Times New Roman" w:cs="Times New Roman"/>
        </w:rPr>
      </w:pPr>
      <w:r>
        <w:rPr>
          <w:rFonts w:ascii="Times New Roman" w:hAnsi="Times New Roman" w:cs="Times New Roman"/>
        </w:rPr>
        <w:t>废气</w:t>
      </w:r>
    </w:p>
    <w:p>
      <w:pPr>
        <w:ind w:firstLine="480"/>
        <w:rPr>
          <w:rFonts w:ascii="Times New Roman" w:hAnsi="Times New Roman"/>
        </w:rPr>
      </w:pPr>
      <w:r>
        <w:rPr>
          <w:rFonts w:ascii="Times New Roman" w:hAnsi="Times New Roman"/>
        </w:rPr>
        <w:t>本项目水套加热炉和长明火炬采用的燃料为清洁的天然气，有效减少了废物污染物的排放；气田水水罐产生的闪蒸汽送往井站长明火炬燃烧，降低了闪蒸汽中H</w:t>
      </w:r>
      <w:r>
        <w:rPr>
          <w:rFonts w:ascii="Times New Roman" w:hAnsi="Times New Roman"/>
          <w:vertAlign w:val="subscript"/>
        </w:rPr>
        <w:t>2</w:t>
      </w:r>
      <w:r>
        <w:rPr>
          <w:rFonts w:ascii="Times New Roman" w:hAnsi="Times New Roman"/>
        </w:rPr>
        <w:t>S的排放。</w:t>
      </w:r>
    </w:p>
    <w:p>
      <w:pPr>
        <w:ind w:firstLine="480"/>
        <w:rPr>
          <w:rFonts w:ascii="Times New Roman" w:hAnsi="Times New Roman"/>
        </w:rPr>
      </w:pPr>
      <w:r>
        <w:rPr>
          <w:rFonts w:ascii="Times New Roman" w:hAnsi="Times New Roman"/>
        </w:rPr>
        <w:t>非正常工况下，设备检修前为保证检修过程的安全，需排空设备及管道内的残留天然气，将待检设备中残留原料天然气通过放空火炬燃烧排放，减少了H</w:t>
      </w:r>
      <w:r>
        <w:rPr>
          <w:rFonts w:ascii="Times New Roman" w:hAnsi="Times New Roman"/>
          <w:vertAlign w:val="subscript"/>
        </w:rPr>
        <w:t>2</w:t>
      </w:r>
      <w:r>
        <w:rPr>
          <w:rFonts w:ascii="Times New Roman" w:hAnsi="Times New Roman"/>
        </w:rPr>
        <w:t>S的排放。</w:t>
      </w:r>
    </w:p>
    <w:p>
      <w:pPr>
        <w:pStyle w:val="4"/>
        <w:rPr>
          <w:rFonts w:ascii="Times New Roman" w:hAnsi="Times New Roman" w:cs="Times New Roman"/>
        </w:rPr>
      </w:pPr>
      <w:r>
        <w:rPr>
          <w:rFonts w:ascii="Times New Roman" w:hAnsi="Times New Roman" w:cs="Times New Roman"/>
        </w:rPr>
        <w:t>地下水</w:t>
      </w:r>
    </w:p>
    <w:p>
      <w:pPr>
        <w:ind w:firstLine="480"/>
        <w:rPr>
          <w:rFonts w:ascii="Times New Roman" w:hAnsi="Times New Roman"/>
        </w:rPr>
      </w:pPr>
      <w:r>
        <w:rPr>
          <w:rFonts w:ascii="Times New Roman" w:hAnsi="Times New Roman"/>
        </w:rPr>
        <w:t>地下水污染防治措施坚持“源头控制、末端防治、污染监控、应急响应相结合”的原则，确保设备密封与管线防腐质量，落实雨污分流措施，按照《石油化工工程防渗技术规范》（GB/T50934—2013）要求采取分区防渗措施，确保不发生泄漏或泄漏时物料阻挡在防渗层之上，确保不会下渗进入地下水环境。</w:t>
      </w:r>
    </w:p>
    <w:p>
      <w:pPr>
        <w:pStyle w:val="4"/>
        <w:rPr>
          <w:rFonts w:ascii="Times New Roman" w:hAnsi="Times New Roman" w:cs="Times New Roman"/>
        </w:rPr>
      </w:pPr>
      <w:r>
        <w:rPr>
          <w:rFonts w:ascii="Times New Roman" w:hAnsi="Times New Roman" w:cs="Times New Roman"/>
        </w:rPr>
        <w:t>土壤</w:t>
      </w:r>
    </w:p>
    <w:p>
      <w:pPr>
        <w:ind w:firstLine="480"/>
        <w:rPr>
          <w:rFonts w:ascii="Times New Roman" w:hAnsi="Times New Roman"/>
        </w:rPr>
      </w:pPr>
      <w:r>
        <w:rPr>
          <w:rFonts w:ascii="Times New Roman" w:hAnsi="Times New Roman"/>
        </w:rPr>
        <w:t>土壤污染防治措施包括源头控制措施和过程防控措施，其中源头控制主要是按照国家相关技术规范做好防腐防渗，站场内管线尽量采取地上敷设方式等设计措施；过程防控措施主要是按照国家规范要求做好分区防渗，确保防渗层质量，切断土壤污染源和土壤环境之间的联系。</w:t>
      </w:r>
    </w:p>
    <w:p>
      <w:pPr>
        <w:pStyle w:val="4"/>
        <w:rPr>
          <w:rFonts w:ascii="Times New Roman" w:hAnsi="Times New Roman" w:cs="Times New Roman"/>
        </w:rPr>
      </w:pPr>
      <w:r>
        <w:rPr>
          <w:rFonts w:ascii="Times New Roman" w:hAnsi="Times New Roman" w:cs="Times New Roman"/>
        </w:rPr>
        <w:t>生态环境</w:t>
      </w:r>
    </w:p>
    <w:p>
      <w:pPr>
        <w:ind w:firstLine="480"/>
        <w:rPr>
          <w:rFonts w:ascii="Times New Roman" w:hAnsi="Times New Roman"/>
        </w:rPr>
      </w:pPr>
      <w:r>
        <w:rPr>
          <w:rFonts w:ascii="Times New Roman" w:hAnsi="Times New Roman"/>
        </w:rPr>
        <w:t>本项目主要从以下方面对生态环境保护的措施：土地利用现有格局保护和恢复措施（严格控制施工占用土地，恢复土地原有格局等）；生物多样性保护措施（严禁对野生动物进行滥捕滥杀）；植被保护及恢复措施（控制施工作业带宽度等）；对农业的保护措施（占补平衡等）；对古树名木的保护措施（避绕古树名木等）；对百里峡风景名胜区的保护措施（禁止施工废水排入名胜区水体等）；对水土流失的影响与防治（护坡、植被恢复等）；加强施工的环境保护监理工作等。</w:t>
      </w:r>
    </w:p>
    <w:p>
      <w:pPr>
        <w:pStyle w:val="4"/>
        <w:rPr>
          <w:rFonts w:ascii="Times New Roman" w:hAnsi="Times New Roman" w:cs="Times New Roman"/>
        </w:rPr>
      </w:pPr>
      <w:r>
        <w:rPr>
          <w:rFonts w:ascii="Times New Roman" w:hAnsi="Times New Roman" w:cs="Times New Roman"/>
        </w:rPr>
        <w:t>噪声</w:t>
      </w:r>
    </w:p>
    <w:p>
      <w:pPr>
        <w:ind w:firstLine="480"/>
        <w:rPr>
          <w:rFonts w:ascii="Times New Roman" w:hAnsi="Times New Roman"/>
        </w:rPr>
      </w:pPr>
      <w:r>
        <w:rPr>
          <w:rFonts w:ascii="Times New Roman" w:hAnsi="Times New Roman"/>
        </w:rPr>
        <w:t>本项目在选址及平面布置均考虑了噪声对外环境的影响，拟采取的噪声控制环境保护措施包括选用低噪设备，高噪设备配置消声器、减震设施、隔声罩等，加强设备的维修保养，做好绿化等。</w:t>
      </w:r>
    </w:p>
    <w:p>
      <w:pPr>
        <w:pStyle w:val="4"/>
        <w:rPr>
          <w:rFonts w:ascii="Times New Roman" w:hAnsi="Times New Roman" w:cs="Times New Roman"/>
        </w:rPr>
      </w:pPr>
      <w:r>
        <w:rPr>
          <w:rFonts w:ascii="Times New Roman" w:hAnsi="Times New Roman" w:cs="Times New Roman"/>
        </w:rPr>
        <w:t>固体废物</w:t>
      </w:r>
    </w:p>
    <w:p>
      <w:pPr>
        <w:ind w:firstLine="480"/>
        <w:rPr>
          <w:rFonts w:ascii="Times New Roman" w:hAnsi="Times New Roman"/>
        </w:rPr>
      </w:pPr>
      <w:r>
        <w:rPr>
          <w:rFonts w:ascii="Times New Roman" w:hAnsi="Times New Roman"/>
        </w:rPr>
        <w:t>本项目产生的危险废物直接由由危废处置资质的单位拉运并处置，废化学品空桶由厂家回收再利用。活垃圾分类收集后委托当地环卫部门统一进行处理。清管残渣收集后定期委托第三方处置。</w:t>
      </w:r>
    </w:p>
    <w:p>
      <w:pPr>
        <w:pStyle w:val="3"/>
        <w:rPr>
          <w:rFonts w:ascii="Times New Roman" w:hAnsi="Times New Roman" w:cs="Times New Roman"/>
        </w:rPr>
      </w:pPr>
      <w:bookmarkStart w:id="453" w:name="_Toc162339487"/>
      <w:r>
        <w:rPr>
          <w:rFonts w:ascii="Times New Roman" w:hAnsi="Times New Roman" w:cs="Times New Roman"/>
        </w:rPr>
        <w:t>总量控制和碳排放</w:t>
      </w:r>
      <w:bookmarkEnd w:id="453"/>
    </w:p>
    <w:p>
      <w:pPr>
        <w:ind w:firstLine="480"/>
        <w:rPr>
          <w:rFonts w:ascii="Times New Roman" w:hAnsi="Times New Roman"/>
        </w:rPr>
      </w:pPr>
      <w:r>
        <w:rPr>
          <w:rFonts w:ascii="Times New Roman" w:hAnsi="Times New Roman"/>
        </w:rPr>
        <w:t>（1）总量控制</w:t>
      </w:r>
    </w:p>
    <w:p>
      <w:pPr>
        <w:ind w:firstLine="480"/>
        <w:rPr>
          <w:rFonts w:ascii="Times New Roman" w:hAnsi="Times New Roman"/>
        </w:rPr>
      </w:pPr>
      <w:r>
        <w:rPr>
          <w:rFonts w:ascii="Times New Roman" w:hAnsi="Times New Roman"/>
        </w:rPr>
        <w:t>本项目为天然气开采集输项目，根据《关于做好固定污染源排污许可清理整顿和2020年排污许可发证登记工作的通知》（环办环评函〔2019〕939号）和《固定污染源排污许可分类管理名录》（2019年版），本项目实行登记管理。中国石油化工股份有限公司中原油田普光分公司在达州地区各个站场均无总量控制指标要求，水套加热炉、放散系统按要求缴纳环保税，因此本评价建议本项目不核定大气总量指标。</w:t>
      </w:r>
    </w:p>
    <w:p>
      <w:pPr>
        <w:ind w:firstLine="480"/>
        <w:rPr>
          <w:rFonts w:ascii="Times New Roman" w:hAnsi="Times New Roman"/>
        </w:rPr>
      </w:pPr>
      <w:r>
        <w:rPr>
          <w:rFonts w:ascii="Times New Roman" w:hAnsi="Times New Roman"/>
        </w:rPr>
        <w:t>项目气田水通过密闭罐车拉运至渡口河净化厂污水处理站达标后管输至黄龙5井回注站回注，不外排；生活污水依托当地农村污水处理设施处理还田不外排。少量外壁擦洗水外排。</w:t>
      </w:r>
    </w:p>
    <w:p>
      <w:pPr>
        <w:ind w:firstLine="480"/>
        <w:rPr>
          <w:rFonts w:ascii="Times New Roman" w:hAnsi="Times New Roman"/>
        </w:rPr>
      </w:pPr>
      <w:r>
        <w:rPr>
          <w:rFonts w:ascii="Times New Roman" w:hAnsi="Times New Roman"/>
        </w:rPr>
        <w:t>（2）碳排放</w:t>
      </w:r>
    </w:p>
    <w:p>
      <w:pPr>
        <w:ind w:firstLine="480"/>
        <w:rPr>
          <w:rFonts w:ascii="Times New Roman" w:hAnsi="Times New Roman"/>
        </w:rPr>
      </w:pPr>
      <w:r>
        <w:rPr>
          <w:rFonts w:ascii="Times New Roman" w:hAnsi="Times New Roman"/>
        </w:rPr>
        <w:t>本项目符合</w:t>
      </w:r>
      <w:r>
        <w:rPr>
          <w:rFonts w:ascii="Times New Roman" w:hAnsi="Times New Roman"/>
          <w:kern w:val="0"/>
        </w:rPr>
        <w:t>国家、地方相关的碳达峰、碳中和、碳排放的政策要求</w:t>
      </w:r>
      <w:r>
        <w:rPr>
          <w:rFonts w:ascii="Times New Roman" w:hAnsi="Times New Roman"/>
        </w:rPr>
        <w:t>。</w:t>
      </w:r>
    </w:p>
    <w:p>
      <w:pPr>
        <w:ind w:firstLine="480"/>
        <w:rPr>
          <w:rFonts w:ascii="Times New Roman" w:hAnsi="Times New Roman"/>
        </w:rPr>
      </w:pPr>
      <w:r>
        <w:rPr>
          <w:rFonts w:ascii="Times New Roman" w:hAnsi="Times New Roman"/>
        </w:rPr>
        <w:t>本项目碳排放主要来自净购入电力消耗、燃料燃烧排放、火炬燃烧排放、过程逃逸放空排放。经核算，本项目碳排放年排放总量为4859.66tCO</w:t>
      </w:r>
      <w:r>
        <w:rPr>
          <w:rFonts w:ascii="Times New Roman" w:hAnsi="Times New Roman"/>
          <w:vertAlign w:val="subscript"/>
        </w:rPr>
        <w:t>2</w:t>
      </w:r>
      <w:r>
        <w:rPr>
          <w:rFonts w:ascii="Times New Roman" w:hAnsi="Times New Roman"/>
        </w:rPr>
        <w:t>。单位工业增加值碳排放强度为1.67tCO</w:t>
      </w:r>
      <w:r>
        <w:rPr>
          <w:rFonts w:ascii="Times New Roman" w:hAnsi="Times New Roman"/>
          <w:vertAlign w:val="subscript"/>
        </w:rPr>
        <w:t>2</w:t>
      </w:r>
      <w:r>
        <w:rPr>
          <w:rFonts w:ascii="Times New Roman" w:hAnsi="Times New Roman"/>
        </w:rPr>
        <w:t>/万元。本项目节能降碳措施实施后，应加强日常运行过程中碳排放管理，持续从优化能源利用、过程排放等方面，进一步挖掘降低碳排放总量的潜力。</w:t>
      </w:r>
    </w:p>
    <w:p>
      <w:pPr>
        <w:pStyle w:val="3"/>
        <w:rPr>
          <w:rFonts w:ascii="Times New Roman" w:hAnsi="Times New Roman" w:cs="Times New Roman"/>
        </w:rPr>
      </w:pPr>
      <w:bookmarkStart w:id="454" w:name="_Toc162339488"/>
      <w:r>
        <w:rPr>
          <w:rFonts w:ascii="Times New Roman" w:hAnsi="Times New Roman" w:cs="Times New Roman"/>
        </w:rPr>
        <w:t>环境管理与监测计划</w:t>
      </w:r>
      <w:bookmarkEnd w:id="454"/>
    </w:p>
    <w:p>
      <w:pPr>
        <w:ind w:firstLine="480"/>
        <w:rPr>
          <w:rFonts w:ascii="Times New Roman" w:hAnsi="Times New Roman"/>
        </w:rPr>
      </w:pPr>
      <w:r>
        <w:rPr>
          <w:rFonts w:ascii="Times New Roman" w:hAnsi="Times New Roman"/>
        </w:rPr>
        <w:t>本项目应建立施工期和运营期的HSE管理体系，开展施工期环境监理，做好运营期环保管理台账记录与环保信息公开，制定施工期、运营期和事故时的环境监测计划，落实排污口规范化等要求，做好与排污许可管理要求之间的衔接与环保管理规范化系统化，确保项目各项污染物能做到达标排放，对环境质量的不利影响最小。</w:t>
      </w:r>
    </w:p>
    <w:p>
      <w:pPr>
        <w:pStyle w:val="3"/>
        <w:rPr>
          <w:rFonts w:ascii="Times New Roman" w:hAnsi="Times New Roman" w:cs="Times New Roman"/>
        </w:rPr>
      </w:pPr>
      <w:bookmarkStart w:id="455" w:name="_Toc162339489"/>
      <w:r>
        <w:rPr>
          <w:rFonts w:ascii="Times New Roman" w:hAnsi="Times New Roman" w:cs="Times New Roman"/>
        </w:rPr>
        <w:t>公众参与</w:t>
      </w:r>
      <w:bookmarkEnd w:id="455"/>
    </w:p>
    <w:p>
      <w:pPr>
        <w:ind w:firstLine="480"/>
        <w:rPr>
          <w:rFonts w:ascii="Times New Roman" w:hAnsi="Times New Roman"/>
        </w:rPr>
      </w:pPr>
      <w:r>
        <w:rPr>
          <w:rFonts w:ascii="Times New Roman" w:hAnsi="Times New Roman"/>
        </w:rPr>
        <w:t>根据《西南油气田桃花气田宣探1井组飞仙关组气藏试采产能建设项目环境影响评价公众参与说明》，在项目公众参与实施过程中，评价区域内公民、法人和其他组织未反馈与建设项目环境影响有关的意见和建议。</w:t>
      </w:r>
    </w:p>
    <w:p>
      <w:pPr>
        <w:pStyle w:val="3"/>
        <w:rPr>
          <w:rFonts w:ascii="Times New Roman" w:hAnsi="Times New Roman" w:cs="Times New Roman"/>
        </w:rPr>
      </w:pPr>
      <w:bookmarkStart w:id="456" w:name="_Toc162339490"/>
      <w:r>
        <w:rPr>
          <w:rFonts w:ascii="Times New Roman" w:hAnsi="Times New Roman" w:cs="Times New Roman"/>
        </w:rPr>
        <w:t>总结论</w:t>
      </w:r>
      <w:bookmarkEnd w:id="456"/>
    </w:p>
    <w:p>
      <w:pPr>
        <w:ind w:firstLine="480"/>
        <w:rPr>
          <w:rFonts w:ascii="Times New Roman" w:hAnsi="Times New Roman"/>
        </w:rPr>
      </w:pPr>
      <w:r>
        <w:rPr>
          <w:rFonts w:ascii="Times New Roman" w:hAnsi="Times New Roman"/>
        </w:rPr>
        <w:t>西南油气田桃花气田宣探1井组飞仙关组气藏试采产能建设项目位于达州市宣汉县境内，为地面集输工程。符合国家、地方政策及相关规划要求。</w:t>
      </w:r>
    </w:p>
    <w:p>
      <w:pPr>
        <w:ind w:firstLine="480"/>
        <w:rPr>
          <w:rFonts w:ascii="Times New Roman" w:hAnsi="Times New Roman"/>
        </w:rPr>
      </w:pPr>
      <w:r>
        <w:rPr>
          <w:rFonts w:ascii="Times New Roman" w:hAnsi="Times New Roman"/>
        </w:rPr>
        <w:t>项目采用清洁生产工艺、清洁能源，可有效减少污染物排放量，降低项目对周围环境质量的影响，可维持评价范围内的环境质量目标要求；在采取环境风险防范措施和事故应急预案的前提下，项目环境风险可控；在项目公众参与实施过程中，评价区域内公民、法人和其他组织未反馈与建设项目环境影响有关的意见和建议。</w:t>
      </w:r>
    </w:p>
    <w:p>
      <w:pPr>
        <w:ind w:firstLine="480"/>
        <w:rPr>
          <w:rFonts w:ascii="Times New Roman" w:hAnsi="Times New Roman"/>
        </w:rPr>
      </w:pPr>
      <w:r>
        <w:rPr>
          <w:rFonts w:ascii="Times New Roman" w:hAnsi="Times New Roman"/>
        </w:rPr>
        <w:t>综上，在有效落实环保措施、环境风险防范措施的前提下，从环境保护角度考虑本项目的建设可行。</w:t>
      </w: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ind w:firstLine="480"/>
        <w:rPr>
          <w:rFonts w:ascii="Times New Roman" w:hAnsi="Times New Roman"/>
        </w:rPr>
      </w:pPr>
    </w:p>
    <w:p>
      <w:pPr>
        <w:widowControl/>
        <w:spacing w:line="240" w:lineRule="auto"/>
        <w:ind w:firstLine="0" w:firstLineChars="0"/>
        <w:rPr>
          <w:rFonts w:ascii="Times New Roman" w:hAnsi="Times New Roman"/>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_GB2312">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华文楷体">
    <w:panose1 w:val="02010600040101010101"/>
    <w:charset w:val="86"/>
    <w:family w:val="auto"/>
    <w:pitch w:val="default"/>
    <w:sig w:usb0="00000287" w:usb1="080F0000" w:usb2="00000000" w:usb3="00000000" w:csb0="0004009F" w:csb1="DFD70000"/>
  </w:font>
  <w:font w:name="Segoe UI Symbol">
    <w:panose1 w:val="020B0502040204020203"/>
    <w:charset w:val="00"/>
    <w:family w:val="swiss"/>
    <w:pitch w:val="default"/>
    <w:sig w:usb0="8000006F" w:usb1="1200FBEF" w:usb2="0064C000" w:usb3="00000002" w:csb0="00000001" w:csb1="40000000"/>
  </w:font>
  <w:font w:name="Wingdings 2">
    <w:panose1 w:val="05020102010507070707"/>
    <w:charset w:val="02"/>
    <w:family w:val="roman"/>
    <w:pitch w:val="default"/>
    <w:sig w:usb0="00000000" w:usb1="00000000" w:usb2="00000000" w:usb3="00000000" w:csb0="80000000" w:csb1="00000000"/>
  </w:font>
  <w:font w:name="等线">
    <w:altName w:val="Arial Unicode MS"/>
    <w:panose1 w:val="02010600030101010101"/>
    <w:charset w:val="86"/>
    <w:family w:val="auto"/>
    <w:pitch w:val="default"/>
    <w:sig w:usb0="00000000" w:usb1="00000000" w:usb2="00000016" w:usb3="00000000" w:csb0="0004000F" w:csb1="00000000"/>
  </w:font>
  <w:font w:name="Cambria Math">
    <w:panose1 w:val="02040503050406030204"/>
    <w:charset w:val="00"/>
    <w:family w:val="roman"/>
    <w:pitch w:val="default"/>
    <w:sig w:usb0="E00002FF" w:usb1="420024FF" w:usb2="00000000" w:usb3="00000000" w:csb0="2000019F" w:csb1="00000000"/>
  </w:font>
  <w:font w:name="MS Gothic">
    <w:panose1 w:val="020B0609070205080204"/>
    <w:charset w:val="80"/>
    <w:family w:val="modern"/>
    <w:pitch w:val="default"/>
    <w:sig w:usb0="E00002FF" w:usb1="6AC7FDFB" w:usb2="00000012" w:usb3="00000000" w:csb0="4002009F" w:csb1="DFD70000"/>
  </w:font>
  <w:font w:name="微软雅黑">
    <w:panose1 w:val="020B0503020204020204"/>
    <w:charset w:val="86"/>
    <w:family w:val="swiss"/>
    <w:pitch w:val="default"/>
    <w:sig w:usb0="80000287" w:usb1="280F3C52" w:usb2="00000016" w:usb3="00000000" w:csb0="0004001F" w:csb1="00000000"/>
  </w:font>
  <w:font w:name="Microsoft Yi Baiti">
    <w:panose1 w:val="03000500000000000000"/>
    <w:charset w:val="00"/>
    <w:family w:val="script"/>
    <w:pitch w:val="default"/>
    <w:sig w:usb0="80000003" w:usb1="00010402" w:usb2="00080002" w:usb3="00000000" w:csb0="00000001" w:csb1="00000000"/>
  </w:font>
  <w:font w:name="Arial Unicode MS">
    <w:panose1 w:val="020B0604020202020204"/>
    <w:charset w:val="86"/>
    <w:family w:val="auto"/>
    <w:pitch w:val="default"/>
    <w:sig w:usb0="FFFFFFFF" w:usb1="E9FFFFFF" w:usb2="0000003F" w:usb3="00000000" w:csb0="603F01FF" w:csb1="FFFF0000"/>
  </w:font>
  <w:font w:name="Gulim">
    <w:panose1 w:val="020B0600000101010101"/>
    <w:charset w:val="81"/>
    <w:family w:val="auto"/>
    <w:pitch w:val="default"/>
    <w:sig w:usb0="B00002AF" w:usb1="69D77CFB" w:usb2="00000030" w:usb3="00000000" w:csb0="4008009F" w:csb1="DFD70000"/>
  </w:font>
  <w:font w:name="PMingLiU">
    <w:panose1 w:val="02020500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120" w:after="120"/>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120" w:after="120"/>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120" w:after="120"/>
      <w:ind w:firstLine="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120" w:after="120"/>
      <w:ind w:firstLine="36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120" w:after="120"/>
      <w:ind w:firstLine="360"/>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120" w:after="120"/>
      <w:ind w:firstLine="36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120" w:after="120"/>
      <w:ind w:firstLine="360"/>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120" w:after="120"/>
      <w:ind w:firstLine="360"/>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120" w:after="120"/>
      <w:ind w:firstLine="360"/>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120" w:after="1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0" w:firstLineChars="0"/>
      <w:jc w:val="center"/>
    </w:pPr>
    <w:r>
      <w:fldChar w:fldCharType="begin"/>
    </w:r>
    <w:r>
      <w:instrText xml:space="preserve"> PAGE </w:instrText>
    </w:r>
    <w:r>
      <w:fldChar w:fldCharType="separate"/>
    </w:r>
    <w:r>
      <w:t>XII</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0" w:firstLineChars="0"/>
      <w:jc w:val="center"/>
    </w:pPr>
    <w:r>
      <w:rPr>
        <w:rFonts w:hint="eastAsia"/>
      </w:rPr>
      <w:t>第</w:t>
    </w:r>
    <w:r>
      <w:fldChar w:fldCharType="begin"/>
    </w:r>
    <w:r>
      <w:instrText xml:space="preserve"> PAGE </w:instrText>
    </w:r>
    <w:r>
      <w:fldChar w:fldCharType="separate"/>
    </w:r>
    <w:r>
      <w:t>33</w:t>
    </w:r>
    <w:r>
      <w:fldChar w:fldCharType="end"/>
    </w:r>
    <w:r>
      <w:rPr>
        <w:rFonts w:hint="eastAsia"/>
      </w:rPr>
      <w:t>页</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0" w:firstLineChars="0"/>
      <w:jc w:val="center"/>
    </w:pPr>
    <w:r>
      <w:rPr>
        <w:rFonts w:hint="eastAsia"/>
      </w:rPr>
      <w:t>第</w:t>
    </w:r>
    <w:r>
      <w:fldChar w:fldCharType="begin"/>
    </w:r>
    <w:r>
      <w:instrText xml:space="preserve"> PAGE </w:instrText>
    </w:r>
    <w:r>
      <w:fldChar w:fldCharType="separate"/>
    </w:r>
    <w:r>
      <w:t>81</w:t>
    </w:r>
    <w:r>
      <w:fldChar w:fldCharType="end"/>
    </w:r>
    <w:r>
      <w:rPr>
        <w:rFonts w:hint="eastAsia"/>
      </w:rPr>
      <w:t>页</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0" w:firstLineChars="0"/>
      <w:jc w:val="center"/>
    </w:pPr>
    <w:r>
      <w:rPr>
        <w:rFonts w:hint="eastAsia"/>
      </w:rPr>
      <w:t>第</w:t>
    </w:r>
    <w:r>
      <w:fldChar w:fldCharType="begin"/>
    </w:r>
    <w:r>
      <w:instrText xml:space="preserve"> PAGE </w:instrText>
    </w:r>
    <w:r>
      <w:fldChar w:fldCharType="separate"/>
    </w:r>
    <w:r>
      <w:t>145</w:t>
    </w:r>
    <w:r>
      <w:fldChar w:fldCharType="end"/>
    </w:r>
    <w:r>
      <w:rPr>
        <w:rFonts w:hint="eastAsia"/>
      </w:rPr>
      <w:t>页</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bookmarkStart w:id="457" w:name="_Hlk152150016"/>
    <w:bookmarkStart w:id="458" w:name="_Hlk152150017"/>
    <w:r>
      <w:rPr>
        <w:rFonts w:hint="eastAsia"/>
      </w:rPr>
      <w:t>西南油气田桃花气田宣探1井组飞仙关组气藏试采产能建设项目</w:t>
    </w:r>
    <w:bookmarkEnd w:id="457"/>
    <w:bookmarkEnd w:id="458"/>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bookmarkStart w:id="459" w:name="_Hlk154750733"/>
    <w:bookmarkStart w:id="460" w:name="_Hlk154750734"/>
    <w:r>
      <w:rPr>
        <w:rFonts w:hint="eastAsia"/>
      </w:rPr>
      <w:t>西南油气田桃花气田宣探1井组飞仙关组气藏试采产能建设项目</w:t>
    </w:r>
    <w:bookmarkEnd w:id="459"/>
    <w:bookmarkEnd w:id="460"/>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bookmarkStart w:id="461" w:name="_Hlk154596149"/>
    <w:r>
      <w:rPr>
        <w:rFonts w:hint="eastAsia"/>
      </w:rPr>
      <w:t>西南油气田桃花气田宣探1井组飞仙关组气藏试采产能建设项目</w:t>
    </w:r>
  </w:p>
  <w:bookmarkEnd w:id="461"/>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AA22B98"/>
    <w:multiLevelType w:val="singleLevel"/>
    <w:tmpl w:val="FAA22B98"/>
    <w:lvl w:ilvl="0" w:tentative="0">
      <w:start w:val="1"/>
      <w:numFmt w:val="decimal"/>
      <w:suff w:val="nothing"/>
      <w:lvlText w:val="（%1）"/>
      <w:lvlJc w:val="left"/>
      <w:pPr>
        <w:ind w:left="0" w:firstLine="0"/>
      </w:pPr>
      <w:rPr>
        <w:rFonts w:hint="default"/>
        <w:sz w:val="24"/>
        <w:szCs w:val="24"/>
      </w:rPr>
    </w:lvl>
  </w:abstractNum>
  <w:abstractNum w:abstractNumId="1">
    <w:nsid w:val="10007543"/>
    <w:multiLevelType w:val="multilevel"/>
    <w:tmpl w:val="10007543"/>
    <w:lvl w:ilvl="0" w:tentative="0">
      <w:start w:val="1"/>
      <w:numFmt w:val="decimalEnclosedCircle"/>
      <w:lvlText w:val="%1"/>
      <w:lvlJc w:val="left"/>
      <w:pPr>
        <w:ind w:left="920" w:hanging="44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2">
    <w:nsid w:val="1228F9FC"/>
    <w:multiLevelType w:val="singleLevel"/>
    <w:tmpl w:val="1228F9FC"/>
    <w:lvl w:ilvl="0" w:tentative="0">
      <w:start w:val="1"/>
      <w:numFmt w:val="decimal"/>
      <w:suff w:val="nothing"/>
      <w:lvlText w:val="（%1）"/>
      <w:lvlJc w:val="left"/>
      <w:pPr>
        <w:ind w:left="4390" w:hanging="420"/>
      </w:pPr>
      <w:rPr>
        <w:rFonts w:hint="default"/>
      </w:rPr>
    </w:lvl>
  </w:abstractNum>
  <w:abstractNum w:abstractNumId="3">
    <w:nsid w:val="140D6313"/>
    <w:multiLevelType w:val="multilevel"/>
    <w:tmpl w:val="140D6313"/>
    <w:lvl w:ilvl="0" w:tentative="0">
      <w:start w:val="1"/>
      <w:numFmt w:val="decimalEnclosedCircle"/>
      <w:lvlText w:val="%1"/>
      <w:lvlJc w:val="left"/>
      <w:pPr>
        <w:ind w:left="920" w:hanging="44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4">
    <w:nsid w:val="18EF3D6A"/>
    <w:multiLevelType w:val="multilevel"/>
    <w:tmpl w:val="18EF3D6A"/>
    <w:lvl w:ilvl="0" w:tentative="0">
      <w:start w:val="1"/>
      <w:numFmt w:val="decimalEnclosedCircle"/>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5">
    <w:nsid w:val="21113186"/>
    <w:multiLevelType w:val="multilevel"/>
    <w:tmpl w:val="21113186"/>
    <w:lvl w:ilvl="0" w:tentative="0">
      <w:start w:val="1"/>
      <w:numFmt w:val="decimal"/>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decimal"/>
      <w:suff w:val="nothing"/>
      <w:lvlText w:val="（%3）"/>
      <w:lvlJc w:val="left"/>
      <w:pPr>
        <w:ind w:left="568" w:firstLine="0"/>
      </w:pPr>
      <w:rPr>
        <w:rFonts w:hint="default"/>
      </w:r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220F49D0"/>
    <w:multiLevelType w:val="multilevel"/>
    <w:tmpl w:val="220F49D0"/>
    <w:lvl w:ilvl="0" w:tentative="0">
      <w:start w:val="1"/>
      <w:numFmt w:val="decimal"/>
      <w:lvlText w:val="（%1）"/>
      <w:lvlJc w:val="left"/>
      <w:pPr>
        <w:ind w:left="1200" w:hanging="7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7">
    <w:nsid w:val="22171443"/>
    <w:multiLevelType w:val="multilevel"/>
    <w:tmpl w:val="22171443"/>
    <w:lvl w:ilvl="0" w:tentative="0">
      <w:start w:val="1"/>
      <w:numFmt w:val="decimal"/>
      <w:lvlText w:val="（%1）"/>
      <w:lvlJc w:val="left"/>
      <w:pPr>
        <w:ind w:left="1200" w:hanging="720"/>
      </w:pPr>
      <w:rPr>
        <w:rFonts w:hint="default"/>
      </w:rPr>
    </w:lvl>
    <w:lvl w:ilvl="1" w:tentative="0">
      <w:start w:val="1"/>
      <w:numFmt w:val="decimal"/>
      <w:lvlText w:val="%2）"/>
      <w:lvlJc w:val="left"/>
      <w:pPr>
        <w:ind w:left="1620" w:hanging="720"/>
      </w:pPr>
      <w:rPr>
        <w:rFonts w:hint="default"/>
      </w:r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8">
    <w:nsid w:val="24603741"/>
    <w:multiLevelType w:val="multilevel"/>
    <w:tmpl w:val="24603741"/>
    <w:lvl w:ilvl="0" w:tentative="0">
      <w:start w:val="1"/>
      <w:numFmt w:val="decimal"/>
      <w:lvlText w:val="（%1）"/>
      <w:lvlJc w:val="left"/>
      <w:pPr>
        <w:ind w:left="1200" w:hanging="7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9">
    <w:nsid w:val="24A16523"/>
    <w:multiLevelType w:val="multilevel"/>
    <w:tmpl w:val="24A16523"/>
    <w:lvl w:ilvl="0" w:tentative="0">
      <w:start w:val="1"/>
      <w:numFmt w:val="decimalEnclosedCircle"/>
      <w:lvlText w:val="%1"/>
      <w:lvlJc w:val="left"/>
      <w:pPr>
        <w:ind w:left="920" w:hanging="44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0">
    <w:nsid w:val="24BD1DFF"/>
    <w:multiLevelType w:val="multilevel"/>
    <w:tmpl w:val="24BD1DFF"/>
    <w:lvl w:ilvl="0" w:tentative="0">
      <w:start w:val="1"/>
      <w:numFmt w:val="decimalEnclosedCircle"/>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1">
    <w:nsid w:val="28904711"/>
    <w:multiLevelType w:val="multilevel"/>
    <w:tmpl w:val="28904711"/>
    <w:lvl w:ilvl="0" w:tentative="0">
      <w:start w:val="1"/>
      <w:numFmt w:val="decimalEnclosedCircle"/>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2">
    <w:nsid w:val="3851327D"/>
    <w:multiLevelType w:val="multilevel"/>
    <w:tmpl w:val="3851327D"/>
    <w:lvl w:ilvl="0" w:tentative="0">
      <w:start w:val="1"/>
      <w:numFmt w:val="decimal"/>
      <w:suff w:val="nothing"/>
      <w:lvlText w:val="（%1）"/>
      <w:lvlJc w:val="left"/>
      <w:pPr>
        <w:ind w:left="142" w:firstLine="0"/>
      </w:pPr>
      <w:rPr>
        <w:rFonts w:hint="default"/>
        <w:color w:val="auto"/>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abstractNum w:abstractNumId="13">
    <w:nsid w:val="40357F41"/>
    <w:multiLevelType w:val="multilevel"/>
    <w:tmpl w:val="40357F41"/>
    <w:lvl w:ilvl="0" w:tentative="0">
      <w:start w:val="1"/>
      <w:numFmt w:val="decimal"/>
      <w:pStyle w:val="2"/>
      <w:suff w:val="space"/>
      <w:lvlText w:val="第%1章"/>
      <w:lvlJc w:val="left"/>
      <w:pPr>
        <w:ind w:left="432" w:hanging="432"/>
      </w:pPr>
      <w:rPr>
        <w:rFonts w:hint="default" w:ascii="Arial" w:hAnsi="Arial" w:cs="Arial"/>
      </w:rPr>
    </w:lvl>
    <w:lvl w:ilvl="1" w:tentative="0">
      <w:start w:val="1"/>
      <w:numFmt w:val="decimal"/>
      <w:pStyle w:val="3"/>
      <w:isLgl/>
      <w:suff w:val="space"/>
      <w:lvlText w:val="%1.%2"/>
      <w:lvlJc w:val="left"/>
      <w:pPr>
        <w:ind w:left="0" w:firstLine="0"/>
      </w:pPr>
      <w:rPr>
        <w:rFonts w:hint="eastAsia"/>
      </w:rPr>
    </w:lvl>
    <w:lvl w:ilvl="2" w:tentative="0">
      <w:start w:val="1"/>
      <w:numFmt w:val="decimal"/>
      <w:pStyle w:val="4"/>
      <w:isLgl/>
      <w:suff w:val="space"/>
      <w:lvlText w:val="%1.%2.%3"/>
      <w:lvlJc w:val="left"/>
      <w:pPr>
        <w:ind w:left="0" w:firstLine="0"/>
      </w:pPr>
      <w:rPr>
        <w:rFonts w:hint="eastAsia"/>
      </w:rPr>
    </w:lvl>
    <w:lvl w:ilvl="3" w:tentative="0">
      <w:start w:val="1"/>
      <w:numFmt w:val="decimal"/>
      <w:pStyle w:val="5"/>
      <w:isLgl/>
      <w:lvlText w:val="%1.%2.%3.%4"/>
      <w:lvlJc w:val="left"/>
      <w:pPr>
        <w:tabs>
          <w:tab w:val="left" w:pos="1080"/>
        </w:tabs>
        <w:ind w:left="0" w:firstLine="0"/>
      </w:pPr>
      <w:rPr>
        <w:rFonts w:hint="eastAsia"/>
      </w:rPr>
    </w:lvl>
    <w:lvl w:ilvl="4" w:tentative="0">
      <w:start w:val="1"/>
      <w:numFmt w:val="decimal"/>
      <w:isLgl/>
      <w:lvlText w:val="%1.%2.%3.%4.%5"/>
      <w:lvlJc w:val="left"/>
      <w:pPr>
        <w:tabs>
          <w:tab w:val="left" w:pos="1440"/>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4">
    <w:nsid w:val="470428C4"/>
    <w:multiLevelType w:val="multilevel"/>
    <w:tmpl w:val="470428C4"/>
    <w:lvl w:ilvl="0" w:tentative="0">
      <w:start w:val="1"/>
      <w:numFmt w:val="decimalEnclosedCircle"/>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5">
    <w:nsid w:val="5F48088E"/>
    <w:multiLevelType w:val="multilevel"/>
    <w:tmpl w:val="5F48088E"/>
    <w:lvl w:ilvl="0" w:tentative="0">
      <w:start w:val="1"/>
      <w:numFmt w:val="decimalEnclosedCircle"/>
      <w:lvlText w:val="%1"/>
      <w:lvlJc w:val="left"/>
      <w:pPr>
        <w:ind w:left="920" w:hanging="44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6">
    <w:nsid w:val="6ADD70D5"/>
    <w:multiLevelType w:val="multilevel"/>
    <w:tmpl w:val="6ADD70D5"/>
    <w:lvl w:ilvl="0" w:tentative="0">
      <w:start w:val="1"/>
      <w:numFmt w:val="decimalEnclosedCircle"/>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7">
    <w:nsid w:val="7C8B245E"/>
    <w:multiLevelType w:val="multilevel"/>
    <w:tmpl w:val="7C8B245E"/>
    <w:lvl w:ilvl="0" w:tentative="0">
      <w:start w:val="1"/>
      <w:numFmt w:val="decimalEnclosedCircle"/>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8">
    <w:nsid w:val="7E7F1E76"/>
    <w:multiLevelType w:val="multilevel"/>
    <w:tmpl w:val="7E7F1E76"/>
    <w:lvl w:ilvl="0" w:tentative="0">
      <w:start w:val="1"/>
      <w:numFmt w:val="decimal"/>
      <w:suff w:val="space"/>
      <w:lvlText w:val="%1"/>
      <w:lvlJc w:val="left"/>
      <w:pPr>
        <w:ind w:left="920" w:hanging="440"/>
      </w:pPr>
      <w:rPr>
        <w:rFonts w:hint="eastAsia"/>
      </w:rPr>
    </w:lvl>
    <w:lvl w:ilvl="1" w:tentative="0">
      <w:start w:val="1"/>
      <w:numFmt w:val="decimalEnclosedCircle"/>
      <w:lvlText w:val="%2"/>
      <w:lvlJc w:val="left"/>
      <w:pPr>
        <w:ind w:left="1280" w:hanging="360"/>
      </w:pPr>
      <w:rPr>
        <w:rFonts w:hint="default"/>
      </w:r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num w:numId="1">
    <w:abstractNumId w:val="13"/>
  </w:num>
  <w:num w:numId="2">
    <w:abstractNumId w:val="5"/>
  </w:num>
  <w:num w:numId="3">
    <w:abstractNumId w:val="12"/>
  </w:num>
  <w:num w:numId="4">
    <w:abstractNumId w:val="0"/>
  </w:num>
  <w:num w:numId="5">
    <w:abstractNumId w:val="2"/>
  </w:num>
  <w:num w:numId="6">
    <w:abstractNumId w:val="7"/>
  </w:num>
  <w:num w:numId="7">
    <w:abstractNumId w:val="8"/>
  </w:num>
  <w:num w:numId="8">
    <w:abstractNumId w:val="6"/>
  </w:num>
  <w:num w:numId="9">
    <w:abstractNumId w:val="1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num>
  <w:num w:numId="11">
    <w:abstractNumId w:val="16"/>
  </w:num>
  <w:num w:numId="12">
    <w:abstractNumId w:val="4"/>
  </w:num>
  <w:num w:numId="13">
    <w:abstractNumId w:val="11"/>
  </w:num>
  <w:num w:numId="14">
    <w:abstractNumId w:val="14"/>
  </w:num>
  <w:num w:numId="15">
    <w:abstractNumId w:val="17"/>
  </w:num>
  <w:num w:numId="16">
    <w:abstractNumId w:val="18"/>
  </w:num>
  <w:num w:numId="17">
    <w:abstractNumId w:val="15"/>
  </w:num>
  <w:num w:numId="18">
    <w:abstractNumId w:val="1"/>
  </w:num>
  <w:num w:numId="19">
    <w:abstractNumId w:val="3"/>
  </w:num>
  <w:num w:numId="2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hideSpellingErrors/>
  <w:hideGrammatical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QyMjhkYTYyOTE5MzZkNTk3MjI4ZjVjYWI2MzM3NjkifQ=="/>
  </w:docVars>
  <w:rsids>
    <w:rsidRoot w:val="005A7960"/>
    <w:rsid w:val="000015F5"/>
    <w:rsid w:val="00001D8E"/>
    <w:rsid w:val="000022EB"/>
    <w:rsid w:val="00002862"/>
    <w:rsid w:val="000029DE"/>
    <w:rsid w:val="0000344D"/>
    <w:rsid w:val="00003634"/>
    <w:rsid w:val="0000416A"/>
    <w:rsid w:val="00004A3F"/>
    <w:rsid w:val="00004E84"/>
    <w:rsid w:val="00005B3B"/>
    <w:rsid w:val="00007F07"/>
    <w:rsid w:val="00007FE4"/>
    <w:rsid w:val="00012786"/>
    <w:rsid w:val="0001291C"/>
    <w:rsid w:val="00012A6D"/>
    <w:rsid w:val="0001349B"/>
    <w:rsid w:val="00013A3B"/>
    <w:rsid w:val="00013EC1"/>
    <w:rsid w:val="000140A6"/>
    <w:rsid w:val="000147A8"/>
    <w:rsid w:val="0001487B"/>
    <w:rsid w:val="00014FFA"/>
    <w:rsid w:val="00015581"/>
    <w:rsid w:val="00015FAE"/>
    <w:rsid w:val="000167B1"/>
    <w:rsid w:val="000169BF"/>
    <w:rsid w:val="00016DAE"/>
    <w:rsid w:val="00017295"/>
    <w:rsid w:val="00017314"/>
    <w:rsid w:val="00017C54"/>
    <w:rsid w:val="00020607"/>
    <w:rsid w:val="000207B4"/>
    <w:rsid w:val="000216A8"/>
    <w:rsid w:val="00021DBD"/>
    <w:rsid w:val="00021E77"/>
    <w:rsid w:val="00021F78"/>
    <w:rsid w:val="00022C15"/>
    <w:rsid w:val="00023AF0"/>
    <w:rsid w:val="00023BD9"/>
    <w:rsid w:val="00023D4F"/>
    <w:rsid w:val="0002460D"/>
    <w:rsid w:val="00024D26"/>
    <w:rsid w:val="00024D99"/>
    <w:rsid w:val="000252BB"/>
    <w:rsid w:val="00025479"/>
    <w:rsid w:val="000270B7"/>
    <w:rsid w:val="000278E4"/>
    <w:rsid w:val="00027E96"/>
    <w:rsid w:val="0003006C"/>
    <w:rsid w:val="000312B6"/>
    <w:rsid w:val="000314EA"/>
    <w:rsid w:val="00031951"/>
    <w:rsid w:val="00031A9A"/>
    <w:rsid w:val="00032B8D"/>
    <w:rsid w:val="00032D5E"/>
    <w:rsid w:val="000338E3"/>
    <w:rsid w:val="00034271"/>
    <w:rsid w:val="0003440E"/>
    <w:rsid w:val="0003558B"/>
    <w:rsid w:val="00035651"/>
    <w:rsid w:val="000356D1"/>
    <w:rsid w:val="0003619C"/>
    <w:rsid w:val="00037773"/>
    <w:rsid w:val="00040210"/>
    <w:rsid w:val="000402CB"/>
    <w:rsid w:val="00040A67"/>
    <w:rsid w:val="00040B9A"/>
    <w:rsid w:val="00041003"/>
    <w:rsid w:val="00041087"/>
    <w:rsid w:val="000413D8"/>
    <w:rsid w:val="00041B5C"/>
    <w:rsid w:val="00041BB3"/>
    <w:rsid w:val="00042F03"/>
    <w:rsid w:val="000452C5"/>
    <w:rsid w:val="000453B5"/>
    <w:rsid w:val="0004614B"/>
    <w:rsid w:val="00046410"/>
    <w:rsid w:val="00046CA5"/>
    <w:rsid w:val="000475EC"/>
    <w:rsid w:val="00047FB6"/>
    <w:rsid w:val="000500F0"/>
    <w:rsid w:val="00051254"/>
    <w:rsid w:val="000516A7"/>
    <w:rsid w:val="00052D8F"/>
    <w:rsid w:val="00052E4E"/>
    <w:rsid w:val="000533DF"/>
    <w:rsid w:val="0005472A"/>
    <w:rsid w:val="00054952"/>
    <w:rsid w:val="00055299"/>
    <w:rsid w:val="00055871"/>
    <w:rsid w:val="00055CBE"/>
    <w:rsid w:val="00057567"/>
    <w:rsid w:val="000575BB"/>
    <w:rsid w:val="00062949"/>
    <w:rsid w:val="00062EFA"/>
    <w:rsid w:val="000636C7"/>
    <w:rsid w:val="00065D97"/>
    <w:rsid w:val="0006679B"/>
    <w:rsid w:val="0006714E"/>
    <w:rsid w:val="00067B6A"/>
    <w:rsid w:val="0007002B"/>
    <w:rsid w:val="00070423"/>
    <w:rsid w:val="00071294"/>
    <w:rsid w:val="00071E0C"/>
    <w:rsid w:val="00071FD5"/>
    <w:rsid w:val="00072537"/>
    <w:rsid w:val="00072676"/>
    <w:rsid w:val="00072921"/>
    <w:rsid w:val="000730FC"/>
    <w:rsid w:val="00073133"/>
    <w:rsid w:val="0007446F"/>
    <w:rsid w:val="000747CC"/>
    <w:rsid w:val="000748EB"/>
    <w:rsid w:val="000749DC"/>
    <w:rsid w:val="00074F90"/>
    <w:rsid w:val="0007567F"/>
    <w:rsid w:val="000758E0"/>
    <w:rsid w:val="00076425"/>
    <w:rsid w:val="00077100"/>
    <w:rsid w:val="00077160"/>
    <w:rsid w:val="00080007"/>
    <w:rsid w:val="00080336"/>
    <w:rsid w:val="00080774"/>
    <w:rsid w:val="000807C1"/>
    <w:rsid w:val="00080F29"/>
    <w:rsid w:val="00081590"/>
    <w:rsid w:val="00081CC8"/>
    <w:rsid w:val="00081DFB"/>
    <w:rsid w:val="00083393"/>
    <w:rsid w:val="00084988"/>
    <w:rsid w:val="00084F55"/>
    <w:rsid w:val="00084F9F"/>
    <w:rsid w:val="0008557E"/>
    <w:rsid w:val="00085EE8"/>
    <w:rsid w:val="000865A6"/>
    <w:rsid w:val="00090135"/>
    <w:rsid w:val="000904CD"/>
    <w:rsid w:val="0009081F"/>
    <w:rsid w:val="00090C0B"/>
    <w:rsid w:val="00090FD8"/>
    <w:rsid w:val="0009110E"/>
    <w:rsid w:val="0009193F"/>
    <w:rsid w:val="0009220F"/>
    <w:rsid w:val="00092263"/>
    <w:rsid w:val="00092282"/>
    <w:rsid w:val="000933F8"/>
    <w:rsid w:val="0009450A"/>
    <w:rsid w:val="0009473C"/>
    <w:rsid w:val="0009682A"/>
    <w:rsid w:val="0009691F"/>
    <w:rsid w:val="00096F3D"/>
    <w:rsid w:val="0009703C"/>
    <w:rsid w:val="00097346"/>
    <w:rsid w:val="000974A2"/>
    <w:rsid w:val="000A13CF"/>
    <w:rsid w:val="000A1635"/>
    <w:rsid w:val="000A2057"/>
    <w:rsid w:val="000A254B"/>
    <w:rsid w:val="000A267B"/>
    <w:rsid w:val="000A2B3B"/>
    <w:rsid w:val="000A2DB0"/>
    <w:rsid w:val="000A397F"/>
    <w:rsid w:val="000A4975"/>
    <w:rsid w:val="000A5F9A"/>
    <w:rsid w:val="000A64BC"/>
    <w:rsid w:val="000A6B5A"/>
    <w:rsid w:val="000A737C"/>
    <w:rsid w:val="000A744E"/>
    <w:rsid w:val="000B00D3"/>
    <w:rsid w:val="000B0A53"/>
    <w:rsid w:val="000B1472"/>
    <w:rsid w:val="000B19B7"/>
    <w:rsid w:val="000B1B3B"/>
    <w:rsid w:val="000B1D1D"/>
    <w:rsid w:val="000B2222"/>
    <w:rsid w:val="000B4722"/>
    <w:rsid w:val="000B4855"/>
    <w:rsid w:val="000B4DD8"/>
    <w:rsid w:val="000B50D5"/>
    <w:rsid w:val="000B6A2B"/>
    <w:rsid w:val="000B6A86"/>
    <w:rsid w:val="000B6B91"/>
    <w:rsid w:val="000C0095"/>
    <w:rsid w:val="000C09DC"/>
    <w:rsid w:val="000C0BC0"/>
    <w:rsid w:val="000C1A12"/>
    <w:rsid w:val="000C1CA5"/>
    <w:rsid w:val="000C215E"/>
    <w:rsid w:val="000C26AF"/>
    <w:rsid w:val="000C2E8E"/>
    <w:rsid w:val="000C3480"/>
    <w:rsid w:val="000C5938"/>
    <w:rsid w:val="000C5CA2"/>
    <w:rsid w:val="000C61E4"/>
    <w:rsid w:val="000C6A82"/>
    <w:rsid w:val="000C6BBE"/>
    <w:rsid w:val="000C7E0E"/>
    <w:rsid w:val="000D01C7"/>
    <w:rsid w:val="000D02B4"/>
    <w:rsid w:val="000D0891"/>
    <w:rsid w:val="000D09BC"/>
    <w:rsid w:val="000D1A12"/>
    <w:rsid w:val="000D2877"/>
    <w:rsid w:val="000D2DC8"/>
    <w:rsid w:val="000D30F9"/>
    <w:rsid w:val="000D31E4"/>
    <w:rsid w:val="000D32A2"/>
    <w:rsid w:val="000D380C"/>
    <w:rsid w:val="000D3A30"/>
    <w:rsid w:val="000D3B89"/>
    <w:rsid w:val="000D3F92"/>
    <w:rsid w:val="000D4FFD"/>
    <w:rsid w:val="000D5144"/>
    <w:rsid w:val="000D56B4"/>
    <w:rsid w:val="000D56D1"/>
    <w:rsid w:val="000D5FE0"/>
    <w:rsid w:val="000D6263"/>
    <w:rsid w:val="000D7728"/>
    <w:rsid w:val="000D7ED0"/>
    <w:rsid w:val="000E01A6"/>
    <w:rsid w:val="000E062E"/>
    <w:rsid w:val="000E1B62"/>
    <w:rsid w:val="000E1C82"/>
    <w:rsid w:val="000E287D"/>
    <w:rsid w:val="000E2B10"/>
    <w:rsid w:val="000E2EC2"/>
    <w:rsid w:val="000E3035"/>
    <w:rsid w:val="000E3456"/>
    <w:rsid w:val="000E3609"/>
    <w:rsid w:val="000E3ECB"/>
    <w:rsid w:val="000E482C"/>
    <w:rsid w:val="000E4CA5"/>
    <w:rsid w:val="000E4CFE"/>
    <w:rsid w:val="000E505D"/>
    <w:rsid w:val="000E5589"/>
    <w:rsid w:val="000E56C3"/>
    <w:rsid w:val="000E622B"/>
    <w:rsid w:val="000E6A3C"/>
    <w:rsid w:val="000E6F36"/>
    <w:rsid w:val="000F0525"/>
    <w:rsid w:val="000F0814"/>
    <w:rsid w:val="000F09A9"/>
    <w:rsid w:val="000F130E"/>
    <w:rsid w:val="000F1376"/>
    <w:rsid w:val="000F17D0"/>
    <w:rsid w:val="000F19E4"/>
    <w:rsid w:val="000F210B"/>
    <w:rsid w:val="000F2E81"/>
    <w:rsid w:val="000F353F"/>
    <w:rsid w:val="000F3760"/>
    <w:rsid w:val="000F4896"/>
    <w:rsid w:val="000F5652"/>
    <w:rsid w:val="000F5850"/>
    <w:rsid w:val="000F5C35"/>
    <w:rsid w:val="000F63F3"/>
    <w:rsid w:val="000F675A"/>
    <w:rsid w:val="000F7171"/>
    <w:rsid w:val="000F726A"/>
    <w:rsid w:val="000F75EA"/>
    <w:rsid w:val="000F7955"/>
    <w:rsid w:val="000F7C34"/>
    <w:rsid w:val="0010006E"/>
    <w:rsid w:val="0010040D"/>
    <w:rsid w:val="00100EFC"/>
    <w:rsid w:val="00101A8A"/>
    <w:rsid w:val="00101A9B"/>
    <w:rsid w:val="00101ACA"/>
    <w:rsid w:val="00103C08"/>
    <w:rsid w:val="00103CA7"/>
    <w:rsid w:val="0010412A"/>
    <w:rsid w:val="00104196"/>
    <w:rsid w:val="00104584"/>
    <w:rsid w:val="00104C35"/>
    <w:rsid w:val="0010600B"/>
    <w:rsid w:val="0010696B"/>
    <w:rsid w:val="00106BA1"/>
    <w:rsid w:val="00106F72"/>
    <w:rsid w:val="00107398"/>
    <w:rsid w:val="00110623"/>
    <w:rsid w:val="00110A08"/>
    <w:rsid w:val="00110B26"/>
    <w:rsid w:val="00110CFC"/>
    <w:rsid w:val="0011193C"/>
    <w:rsid w:val="001119A3"/>
    <w:rsid w:val="00111AD2"/>
    <w:rsid w:val="00111B83"/>
    <w:rsid w:val="00111C11"/>
    <w:rsid w:val="00111FFD"/>
    <w:rsid w:val="001123A9"/>
    <w:rsid w:val="00112480"/>
    <w:rsid w:val="001124FE"/>
    <w:rsid w:val="001128CB"/>
    <w:rsid w:val="00114A2F"/>
    <w:rsid w:val="00115BF9"/>
    <w:rsid w:val="00115D67"/>
    <w:rsid w:val="00115DAE"/>
    <w:rsid w:val="001160C0"/>
    <w:rsid w:val="00116681"/>
    <w:rsid w:val="00116DC7"/>
    <w:rsid w:val="00117860"/>
    <w:rsid w:val="0012022E"/>
    <w:rsid w:val="0012235B"/>
    <w:rsid w:val="00122524"/>
    <w:rsid w:val="001225CB"/>
    <w:rsid w:val="00122716"/>
    <w:rsid w:val="0012303D"/>
    <w:rsid w:val="0012380F"/>
    <w:rsid w:val="00123BC0"/>
    <w:rsid w:val="00124762"/>
    <w:rsid w:val="00124D88"/>
    <w:rsid w:val="001268B9"/>
    <w:rsid w:val="001268FD"/>
    <w:rsid w:val="00126F44"/>
    <w:rsid w:val="00127010"/>
    <w:rsid w:val="001301E8"/>
    <w:rsid w:val="00131961"/>
    <w:rsid w:val="001324BE"/>
    <w:rsid w:val="00133271"/>
    <w:rsid w:val="00133908"/>
    <w:rsid w:val="001339E6"/>
    <w:rsid w:val="00133AEC"/>
    <w:rsid w:val="0013410D"/>
    <w:rsid w:val="00134740"/>
    <w:rsid w:val="00134922"/>
    <w:rsid w:val="00134DF6"/>
    <w:rsid w:val="001354CB"/>
    <w:rsid w:val="00135EE7"/>
    <w:rsid w:val="00136378"/>
    <w:rsid w:val="00136AF8"/>
    <w:rsid w:val="00136F1A"/>
    <w:rsid w:val="00137015"/>
    <w:rsid w:val="001372C8"/>
    <w:rsid w:val="00141218"/>
    <w:rsid w:val="00141885"/>
    <w:rsid w:val="0014200D"/>
    <w:rsid w:val="001426E8"/>
    <w:rsid w:val="001438EE"/>
    <w:rsid w:val="00144402"/>
    <w:rsid w:val="001447A5"/>
    <w:rsid w:val="00144984"/>
    <w:rsid w:val="00144EC6"/>
    <w:rsid w:val="001452BE"/>
    <w:rsid w:val="00145BA9"/>
    <w:rsid w:val="00146B24"/>
    <w:rsid w:val="00146DF4"/>
    <w:rsid w:val="00147A59"/>
    <w:rsid w:val="00150460"/>
    <w:rsid w:val="001504E5"/>
    <w:rsid w:val="00150BCF"/>
    <w:rsid w:val="00150D70"/>
    <w:rsid w:val="00151503"/>
    <w:rsid w:val="001522CD"/>
    <w:rsid w:val="0015271F"/>
    <w:rsid w:val="0015279D"/>
    <w:rsid w:val="00152890"/>
    <w:rsid w:val="00152B66"/>
    <w:rsid w:val="00153F3A"/>
    <w:rsid w:val="0015402E"/>
    <w:rsid w:val="00154109"/>
    <w:rsid w:val="00154B69"/>
    <w:rsid w:val="00154DF3"/>
    <w:rsid w:val="0015594B"/>
    <w:rsid w:val="00156416"/>
    <w:rsid w:val="0015780A"/>
    <w:rsid w:val="00157C45"/>
    <w:rsid w:val="001605FD"/>
    <w:rsid w:val="001607E5"/>
    <w:rsid w:val="00160A4C"/>
    <w:rsid w:val="00160A89"/>
    <w:rsid w:val="00161179"/>
    <w:rsid w:val="00162095"/>
    <w:rsid w:val="00162FA3"/>
    <w:rsid w:val="00163AC1"/>
    <w:rsid w:val="00163CC3"/>
    <w:rsid w:val="00164AE1"/>
    <w:rsid w:val="00164F9E"/>
    <w:rsid w:val="001655B3"/>
    <w:rsid w:val="00165B7D"/>
    <w:rsid w:val="00165E86"/>
    <w:rsid w:val="001664BC"/>
    <w:rsid w:val="0016749F"/>
    <w:rsid w:val="00167523"/>
    <w:rsid w:val="00171A76"/>
    <w:rsid w:val="00171D09"/>
    <w:rsid w:val="001720BB"/>
    <w:rsid w:val="00173EDD"/>
    <w:rsid w:val="0017420C"/>
    <w:rsid w:val="001746AD"/>
    <w:rsid w:val="00175004"/>
    <w:rsid w:val="00175AC2"/>
    <w:rsid w:val="0017662E"/>
    <w:rsid w:val="0017737D"/>
    <w:rsid w:val="00181B4F"/>
    <w:rsid w:val="00182E9E"/>
    <w:rsid w:val="001837C4"/>
    <w:rsid w:val="00183D26"/>
    <w:rsid w:val="001848E2"/>
    <w:rsid w:val="00185159"/>
    <w:rsid w:val="00186254"/>
    <w:rsid w:val="001865AD"/>
    <w:rsid w:val="0018687A"/>
    <w:rsid w:val="001875E1"/>
    <w:rsid w:val="0018787D"/>
    <w:rsid w:val="00187BB9"/>
    <w:rsid w:val="00190954"/>
    <w:rsid w:val="001914D5"/>
    <w:rsid w:val="001915DE"/>
    <w:rsid w:val="00191F53"/>
    <w:rsid w:val="00192157"/>
    <w:rsid w:val="001923E6"/>
    <w:rsid w:val="001924F4"/>
    <w:rsid w:val="001925C0"/>
    <w:rsid w:val="00192DE9"/>
    <w:rsid w:val="00193599"/>
    <w:rsid w:val="00193B25"/>
    <w:rsid w:val="001942CD"/>
    <w:rsid w:val="00195456"/>
    <w:rsid w:val="00195A45"/>
    <w:rsid w:val="001960A1"/>
    <w:rsid w:val="001963D6"/>
    <w:rsid w:val="00196934"/>
    <w:rsid w:val="00196C0B"/>
    <w:rsid w:val="00196EA5"/>
    <w:rsid w:val="00196F2F"/>
    <w:rsid w:val="001977B1"/>
    <w:rsid w:val="00197A4E"/>
    <w:rsid w:val="001A091D"/>
    <w:rsid w:val="001A16DC"/>
    <w:rsid w:val="001A1A18"/>
    <w:rsid w:val="001A21B6"/>
    <w:rsid w:val="001A4BCC"/>
    <w:rsid w:val="001A5453"/>
    <w:rsid w:val="001A55FC"/>
    <w:rsid w:val="001A6E31"/>
    <w:rsid w:val="001A6EFB"/>
    <w:rsid w:val="001A7EF8"/>
    <w:rsid w:val="001B017F"/>
    <w:rsid w:val="001B0219"/>
    <w:rsid w:val="001B0B2B"/>
    <w:rsid w:val="001B15C0"/>
    <w:rsid w:val="001B1629"/>
    <w:rsid w:val="001B1BAE"/>
    <w:rsid w:val="001B263F"/>
    <w:rsid w:val="001B2C06"/>
    <w:rsid w:val="001B2C74"/>
    <w:rsid w:val="001B36C4"/>
    <w:rsid w:val="001B48F0"/>
    <w:rsid w:val="001B4996"/>
    <w:rsid w:val="001B5605"/>
    <w:rsid w:val="001B61FA"/>
    <w:rsid w:val="001B68B2"/>
    <w:rsid w:val="001B6AC8"/>
    <w:rsid w:val="001B7B4D"/>
    <w:rsid w:val="001C0092"/>
    <w:rsid w:val="001C00AF"/>
    <w:rsid w:val="001C03C6"/>
    <w:rsid w:val="001C0524"/>
    <w:rsid w:val="001C06FC"/>
    <w:rsid w:val="001C077F"/>
    <w:rsid w:val="001C09A3"/>
    <w:rsid w:val="001C0C25"/>
    <w:rsid w:val="001C1281"/>
    <w:rsid w:val="001C177C"/>
    <w:rsid w:val="001C1964"/>
    <w:rsid w:val="001C1E57"/>
    <w:rsid w:val="001C1EF2"/>
    <w:rsid w:val="001C2AAC"/>
    <w:rsid w:val="001C2F3A"/>
    <w:rsid w:val="001C32FB"/>
    <w:rsid w:val="001C373C"/>
    <w:rsid w:val="001C3A44"/>
    <w:rsid w:val="001C3D31"/>
    <w:rsid w:val="001C4170"/>
    <w:rsid w:val="001C49B5"/>
    <w:rsid w:val="001C4F34"/>
    <w:rsid w:val="001C5857"/>
    <w:rsid w:val="001C63AB"/>
    <w:rsid w:val="001C6844"/>
    <w:rsid w:val="001C6A81"/>
    <w:rsid w:val="001C7B05"/>
    <w:rsid w:val="001D03D3"/>
    <w:rsid w:val="001D1A81"/>
    <w:rsid w:val="001D1CA8"/>
    <w:rsid w:val="001D2141"/>
    <w:rsid w:val="001D2216"/>
    <w:rsid w:val="001D2CCB"/>
    <w:rsid w:val="001D2F06"/>
    <w:rsid w:val="001D4756"/>
    <w:rsid w:val="001D764E"/>
    <w:rsid w:val="001E038D"/>
    <w:rsid w:val="001E0A96"/>
    <w:rsid w:val="001E1211"/>
    <w:rsid w:val="001E1414"/>
    <w:rsid w:val="001E2738"/>
    <w:rsid w:val="001E31C9"/>
    <w:rsid w:val="001E332B"/>
    <w:rsid w:val="001E393A"/>
    <w:rsid w:val="001E3B54"/>
    <w:rsid w:val="001E4060"/>
    <w:rsid w:val="001E474C"/>
    <w:rsid w:val="001E5046"/>
    <w:rsid w:val="001E5799"/>
    <w:rsid w:val="001E5D2C"/>
    <w:rsid w:val="001E65F3"/>
    <w:rsid w:val="001E7305"/>
    <w:rsid w:val="001E798E"/>
    <w:rsid w:val="001E7A85"/>
    <w:rsid w:val="001F17AE"/>
    <w:rsid w:val="001F17C3"/>
    <w:rsid w:val="001F2711"/>
    <w:rsid w:val="001F2720"/>
    <w:rsid w:val="001F29E2"/>
    <w:rsid w:val="001F2BF3"/>
    <w:rsid w:val="001F2C04"/>
    <w:rsid w:val="001F2CC4"/>
    <w:rsid w:val="001F3156"/>
    <w:rsid w:val="001F3166"/>
    <w:rsid w:val="001F4896"/>
    <w:rsid w:val="001F5551"/>
    <w:rsid w:val="001F5636"/>
    <w:rsid w:val="001F5787"/>
    <w:rsid w:val="001F57BC"/>
    <w:rsid w:val="001F638A"/>
    <w:rsid w:val="001F63D7"/>
    <w:rsid w:val="001F668C"/>
    <w:rsid w:val="001F66F1"/>
    <w:rsid w:val="001F6A4C"/>
    <w:rsid w:val="001F6B64"/>
    <w:rsid w:val="001F6B68"/>
    <w:rsid w:val="001F6F2D"/>
    <w:rsid w:val="001F75B0"/>
    <w:rsid w:val="001F77E8"/>
    <w:rsid w:val="00200EF5"/>
    <w:rsid w:val="00201517"/>
    <w:rsid w:val="00202F7E"/>
    <w:rsid w:val="00203E2E"/>
    <w:rsid w:val="0020412F"/>
    <w:rsid w:val="002044DF"/>
    <w:rsid w:val="002047F2"/>
    <w:rsid w:val="002059A8"/>
    <w:rsid w:val="002075F5"/>
    <w:rsid w:val="002100BE"/>
    <w:rsid w:val="00211226"/>
    <w:rsid w:val="00211414"/>
    <w:rsid w:val="0021154E"/>
    <w:rsid w:val="0021280D"/>
    <w:rsid w:val="00214381"/>
    <w:rsid w:val="00214558"/>
    <w:rsid w:val="00214875"/>
    <w:rsid w:val="00214A6E"/>
    <w:rsid w:val="00220FD8"/>
    <w:rsid w:val="00221C28"/>
    <w:rsid w:val="002224FA"/>
    <w:rsid w:val="00222685"/>
    <w:rsid w:val="00223121"/>
    <w:rsid w:val="002232AE"/>
    <w:rsid w:val="002232CA"/>
    <w:rsid w:val="00223610"/>
    <w:rsid w:val="0022405F"/>
    <w:rsid w:val="00224787"/>
    <w:rsid w:val="002249C7"/>
    <w:rsid w:val="00225455"/>
    <w:rsid w:val="0022549C"/>
    <w:rsid w:val="0022568B"/>
    <w:rsid w:val="002265D1"/>
    <w:rsid w:val="002266C0"/>
    <w:rsid w:val="0022677A"/>
    <w:rsid w:val="00226B2E"/>
    <w:rsid w:val="00230D22"/>
    <w:rsid w:val="00231810"/>
    <w:rsid w:val="00231B0A"/>
    <w:rsid w:val="00231BE2"/>
    <w:rsid w:val="00232FC6"/>
    <w:rsid w:val="00233A96"/>
    <w:rsid w:val="0023412D"/>
    <w:rsid w:val="00234663"/>
    <w:rsid w:val="00234CF4"/>
    <w:rsid w:val="002360C6"/>
    <w:rsid w:val="00236FAA"/>
    <w:rsid w:val="00237066"/>
    <w:rsid w:val="00237217"/>
    <w:rsid w:val="00240184"/>
    <w:rsid w:val="0024087D"/>
    <w:rsid w:val="00240A3F"/>
    <w:rsid w:val="0024143F"/>
    <w:rsid w:val="002416CE"/>
    <w:rsid w:val="00243440"/>
    <w:rsid w:val="0024429A"/>
    <w:rsid w:val="00244393"/>
    <w:rsid w:val="0024496E"/>
    <w:rsid w:val="0024530F"/>
    <w:rsid w:val="00245E42"/>
    <w:rsid w:val="00245F1F"/>
    <w:rsid w:val="00246125"/>
    <w:rsid w:val="002463AB"/>
    <w:rsid w:val="00246810"/>
    <w:rsid w:val="00247938"/>
    <w:rsid w:val="00247C28"/>
    <w:rsid w:val="0025109E"/>
    <w:rsid w:val="0025126D"/>
    <w:rsid w:val="0025175B"/>
    <w:rsid w:val="00251908"/>
    <w:rsid w:val="00251CF6"/>
    <w:rsid w:val="0025230A"/>
    <w:rsid w:val="00252666"/>
    <w:rsid w:val="00252D37"/>
    <w:rsid w:val="00253022"/>
    <w:rsid w:val="0025355F"/>
    <w:rsid w:val="002535F9"/>
    <w:rsid w:val="00253711"/>
    <w:rsid w:val="00253E95"/>
    <w:rsid w:val="00254046"/>
    <w:rsid w:val="002542A7"/>
    <w:rsid w:val="00255505"/>
    <w:rsid w:val="00255E21"/>
    <w:rsid w:val="00256EEA"/>
    <w:rsid w:val="00257143"/>
    <w:rsid w:val="002574EC"/>
    <w:rsid w:val="002576AB"/>
    <w:rsid w:val="002605B1"/>
    <w:rsid w:val="00260954"/>
    <w:rsid w:val="00261875"/>
    <w:rsid w:val="002620D5"/>
    <w:rsid w:val="002633CB"/>
    <w:rsid w:val="0026374E"/>
    <w:rsid w:val="00263A4F"/>
    <w:rsid w:val="002645FC"/>
    <w:rsid w:val="00265234"/>
    <w:rsid w:val="00265361"/>
    <w:rsid w:val="00265DF5"/>
    <w:rsid w:val="002667C9"/>
    <w:rsid w:val="00267B25"/>
    <w:rsid w:val="002705FF"/>
    <w:rsid w:val="00271130"/>
    <w:rsid w:val="00271AC4"/>
    <w:rsid w:val="002732A9"/>
    <w:rsid w:val="00273E7D"/>
    <w:rsid w:val="00273FDF"/>
    <w:rsid w:val="00274742"/>
    <w:rsid w:val="00274B6F"/>
    <w:rsid w:val="00274EAE"/>
    <w:rsid w:val="0027509E"/>
    <w:rsid w:val="002751E1"/>
    <w:rsid w:val="002754FB"/>
    <w:rsid w:val="002763BF"/>
    <w:rsid w:val="00276C8F"/>
    <w:rsid w:val="0027778C"/>
    <w:rsid w:val="00277837"/>
    <w:rsid w:val="00280D0A"/>
    <w:rsid w:val="00280E84"/>
    <w:rsid w:val="00282781"/>
    <w:rsid w:val="00282CA3"/>
    <w:rsid w:val="00283497"/>
    <w:rsid w:val="00283C34"/>
    <w:rsid w:val="002858B5"/>
    <w:rsid w:val="00286102"/>
    <w:rsid w:val="002864B8"/>
    <w:rsid w:val="002864EF"/>
    <w:rsid w:val="002875AA"/>
    <w:rsid w:val="00287A03"/>
    <w:rsid w:val="00290CEF"/>
    <w:rsid w:val="00290EA2"/>
    <w:rsid w:val="002911FA"/>
    <w:rsid w:val="00291361"/>
    <w:rsid w:val="002916CE"/>
    <w:rsid w:val="00291B46"/>
    <w:rsid w:val="002933F6"/>
    <w:rsid w:val="0029383B"/>
    <w:rsid w:val="00294801"/>
    <w:rsid w:val="0029499B"/>
    <w:rsid w:val="00294A3E"/>
    <w:rsid w:val="00295391"/>
    <w:rsid w:val="00295932"/>
    <w:rsid w:val="00295B38"/>
    <w:rsid w:val="00296575"/>
    <w:rsid w:val="002969C9"/>
    <w:rsid w:val="00297AC0"/>
    <w:rsid w:val="002A0021"/>
    <w:rsid w:val="002A0357"/>
    <w:rsid w:val="002A0CAE"/>
    <w:rsid w:val="002A10C1"/>
    <w:rsid w:val="002A1FDE"/>
    <w:rsid w:val="002A219F"/>
    <w:rsid w:val="002A2929"/>
    <w:rsid w:val="002A2F00"/>
    <w:rsid w:val="002A47D9"/>
    <w:rsid w:val="002A5268"/>
    <w:rsid w:val="002A5C47"/>
    <w:rsid w:val="002A6754"/>
    <w:rsid w:val="002A76C8"/>
    <w:rsid w:val="002A78BE"/>
    <w:rsid w:val="002B0453"/>
    <w:rsid w:val="002B09E0"/>
    <w:rsid w:val="002B0D1B"/>
    <w:rsid w:val="002B0D4C"/>
    <w:rsid w:val="002B0E19"/>
    <w:rsid w:val="002B0E1D"/>
    <w:rsid w:val="002B0F5E"/>
    <w:rsid w:val="002B1910"/>
    <w:rsid w:val="002B1C5C"/>
    <w:rsid w:val="002B1E82"/>
    <w:rsid w:val="002B24C5"/>
    <w:rsid w:val="002B3AC0"/>
    <w:rsid w:val="002B3C71"/>
    <w:rsid w:val="002B3DE7"/>
    <w:rsid w:val="002B42ED"/>
    <w:rsid w:val="002B47AF"/>
    <w:rsid w:val="002B4A4D"/>
    <w:rsid w:val="002B505E"/>
    <w:rsid w:val="002B5327"/>
    <w:rsid w:val="002B6D12"/>
    <w:rsid w:val="002B75C4"/>
    <w:rsid w:val="002B75E2"/>
    <w:rsid w:val="002B7BCD"/>
    <w:rsid w:val="002C0D8A"/>
    <w:rsid w:val="002C1CC8"/>
    <w:rsid w:val="002C27BC"/>
    <w:rsid w:val="002C2AB7"/>
    <w:rsid w:val="002C2FCA"/>
    <w:rsid w:val="002C3BE7"/>
    <w:rsid w:val="002C435B"/>
    <w:rsid w:val="002C49D6"/>
    <w:rsid w:val="002C5879"/>
    <w:rsid w:val="002C6106"/>
    <w:rsid w:val="002C69BD"/>
    <w:rsid w:val="002C6A58"/>
    <w:rsid w:val="002C7690"/>
    <w:rsid w:val="002C7721"/>
    <w:rsid w:val="002D02B8"/>
    <w:rsid w:val="002D1178"/>
    <w:rsid w:val="002D1635"/>
    <w:rsid w:val="002D20DA"/>
    <w:rsid w:val="002D2144"/>
    <w:rsid w:val="002D2B95"/>
    <w:rsid w:val="002D2E20"/>
    <w:rsid w:val="002D4817"/>
    <w:rsid w:val="002D4880"/>
    <w:rsid w:val="002D4988"/>
    <w:rsid w:val="002D49AF"/>
    <w:rsid w:val="002D5369"/>
    <w:rsid w:val="002D64B0"/>
    <w:rsid w:val="002D6F2E"/>
    <w:rsid w:val="002D72E4"/>
    <w:rsid w:val="002D7B5C"/>
    <w:rsid w:val="002D7DD9"/>
    <w:rsid w:val="002E039D"/>
    <w:rsid w:val="002E040B"/>
    <w:rsid w:val="002E0580"/>
    <w:rsid w:val="002E0A84"/>
    <w:rsid w:val="002E1124"/>
    <w:rsid w:val="002E16B7"/>
    <w:rsid w:val="002E1F66"/>
    <w:rsid w:val="002E2CF4"/>
    <w:rsid w:val="002E3848"/>
    <w:rsid w:val="002E3D05"/>
    <w:rsid w:val="002E4AA1"/>
    <w:rsid w:val="002E52F9"/>
    <w:rsid w:val="002E5F31"/>
    <w:rsid w:val="002E6469"/>
    <w:rsid w:val="002E6715"/>
    <w:rsid w:val="002E6E05"/>
    <w:rsid w:val="002E7BB3"/>
    <w:rsid w:val="002F0A6A"/>
    <w:rsid w:val="002F0AB7"/>
    <w:rsid w:val="002F1197"/>
    <w:rsid w:val="002F1198"/>
    <w:rsid w:val="002F16D2"/>
    <w:rsid w:val="002F1F32"/>
    <w:rsid w:val="002F2547"/>
    <w:rsid w:val="002F2772"/>
    <w:rsid w:val="002F3920"/>
    <w:rsid w:val="002F3A01"/>
    <w:rsid w:val="002F4702"/>
    <w:rsid w:val="002F4D43"/>
    <w:rsid w:val="002F5451"/>
    <w:rsid w:val="002F58A5"/>
    <w:rsid w:val="002F6439"/>
    <w:rsid w:val="002F675A"/>
    <w:rsid w:val="002F6AED"/>
    <w:rsid w:val="002F6F06"/>
    <w:rsid w:val="002F762B"/>
    <w:rsid w:val="002F7865"/>
    <w:rsid w:val="002F7893"/>
    <w:rsid w:val="00300B0E"/>
    <w:rsid w:val="003012FC"/>
    <w:rsid w:val="00302390"/>
    <w:rsid w:val="0030372D"/>
    <w:rsid w:val="00304CE1"/>
    <w:rsid w:val="00304F1D"/>
    <w:rsid w:val="003059C3"/>
    <w:rsid w:val="00305B08"/>
    <w:rsid w:val="00306D29"/>
    <w:rsid w:val="00307730"/>
    <w:rsid w:val="003078CF"/>
    <w:rsid w:val="00310128"/>
    <w:rsid w:val="003109CB"/>
    <w:rsid w:val="00310D05"/>
    <w:rsid w:val="00311487"/>
    <w:rsid w:val="003117BE"/>
    <w:rsid w:val="00311A3B"/>
    <w:rsid w:val="00312018"/>
    <w:rsid w:val="0031201F"/>
    <w:rsid w:val="00312C29"/>
    <w:rsid w:val="00312D9C"/>
    <w:rsid w:val="003135D9"/>
    <w:rsid w:val="003137F0"/>
    <w:rsid w:val="00314423"/>
    <w:rsid w:val="00314938"/>
    <w:rsid w:val="00316DB6"/>
    <w:rsid w:val="00316FC0"/>
    <w:rsid w:val="00320151"/>
    <w:rsid w:val="00320A8F"/>
    <w:rsid w:val="00321309"/>
    <w:rsid w:val="0032156A"/>
    <w:rsid w:val="00321721"/>
    <w:rsid w:val="00321AFC"/>
    <w:rsid w:val="00322209"/>
    <w:rsid w:val="003222FA"/>
    <w:rsid w:val="00322B3A"/>
    <w:rsid w:val="0032322D"/>
    <w:rsid w:val="0032335A"/>
    <w:rsid w:val="00323A60"/>
    <w:rsid w:val="00323F21"/>
    <w:rsid w:val="00324386"/>
    <w:rsid w:val="003248F4"/>
    <w:rsid w:val="00324F90"/>
    <w:rsid w:val="00326149"/>
    <w:rsid w:val="003264AC"/>
    <w:rsid w:val="003265B2"/>
    <w:rsid w:val="003268FD"/>
    <w:rsid w:val="00327BA6"/>
    <w:rsid w:val="00330422"/>
    <w:rsid w:val="00330E4F"/>
    <w:rsid w:val="00331654"/>
    <w:rsid w:val="00331856"/>
    <w:rsid w:val="00331AE2"/>
    <w:rsid w:val="00332638"/>
    <w:rsid w:val="003328CE"/>
    <w:rsid w:val="00333005"/>
    <w:rsid w:val="00333309"/>
    <w:rsid w:val="0033356B"/>
    <w:rsid w:val="003338AE"/>
    <w:rsid w:val="00333BF4"/>
    <w:rsid w:val="003341ED"/>
    <w:rsid w:val="00334D6B"/>
    <w:rsid w:val="00335554"/>
    <w:rsid w:val="00336D85"/>
    <w:rsid w:val="00337707"/>
    <w:rsid w:val="00337CC4"/>
    <w:rsid w:val="00337D1A"/>
    <w:rsid w:val="00341CB5"/>
    <w:rsid w:val="00341F3F"/>
    <w:rsid w:val="00342C26"/>
    <w:rsid w:val="00342E82"/>
    <w:rsid w:val="0034453A"/>
    <w:rsid w:val="00344783"/>
    <w:rsid w:val="00345694"/>
    <w:rsid w:val="00345B38"/>
    <w:rsid w:val="00345F9A"/>
    <w:rsid w:val="00345FA2"/>
    <w:rsid w:val="00345FF0"/>
    <w:rsid w:val="0034649B"/>
    <w:rsid w:val="003469CA"/>
    <w:rsid w:val="00346A20"/>
    <w:rsid w:val="00346D3B"/>
    <w:rsid w:val="00347BC2"/>
    <w:rsid w:val="00350076"/>
    <w:rsid w:val="00350D1F"/>
    <w:rsid w:val="0035103F"/>
    <w:rsid w:val="00351E2D"/>
    <w:rsid w:val="0035257D"/>
    <w:rsid w:val="003527B1"/>
    <w:rsid w:val="00353AD3"/>
    <w:rsid w:val="00354BA2"/>
    <w:rsid w:val="00354E59"/>
    <w:rsid w:val="003557C4"/>
    <w:rsid w:val="0035712C"/>
    <w:rsid w:val="003571C5"/>
    <w:rsid w:val="00357597"/>
    <w:rsid w:val="0036021C"/>
    <w:rsid w:val="00360BF7"/>
    <w:rsid w:val="00360E2D"/>
    <w:rsid w:val="003613A0"/>
    <w:rsid w:val="003616E1"/>
    <w:rsid w:val="00361B5F"/>
    <w:rsid w:val="00361E65"/>
    <w:rsid w:val="00361F6D"/>
    <w:rsid w:val="0036222B"/>
    <w:rsid w:val="00362B26"/>
    <w:rsid w:val="003634CE"/>
    <w:rsid w:val="003636AD"/>
    <w:rsid w:val="00363B5A"/>
    <w:rsid w:val="00363BA1"/>
    <w:rsid w:val="00363EC8"/>
    <w:rsid w:val="00363F54"/>
    <w:rsid w:val="00363F91"/>
    <w:rsid w:val="003652D2"/>
    <w:rsid w:val="00365379"/>
    <w:rsid w:val="0036712F"/>
    <w:rsid w:val="003675A4"/>
    <w:rsid w:val="00367BC2"/>
    <w:rsid w:val="00370269"/>
    <w:rsid w:val="00370785"/>
    <w:rsid w:val="0037110D"/>
    <w:rsid w:val="003715ED"/>
    <w:rsid w:val="0037187C"/>
    <w:rsid w:val="003719EE"/>
    <w:rsid w:val="00372201"/>
    <w:rsid w:val="0037286F"/>
    <w:rsid w:val="00372C76"/>
    <w:rsid w:val="003731C0"/>
    <w:rsid w:val="003741AD"/>
    <w:rsid w:val="00374306"/>
    <w:rsid w:val="00374726"/>
    <w:rsid w:val="00374C26"/>
    <w:rsid w:val="00374EB1"/>
    <w:rsid w:val="00374F72"/>
    <w:rsid w:val="003750C9"/>
    <w:rsid w:val="00376C94"/>
    <w:rsid w:val="00380BD2"/>
    <w:rsid w:val="00382A3D"/>
    <w:rsid w:val="00382A92"/>
    <w:rsid w:val="0038367B"/>
    <w:rsid w:val="003837D6"/>
    <w:rsid w:val="0038426A"/>
    <w:rsid w:val="00384B9A"/>
    <w:rsid w:val="00384D58"/>
    <w:rsid w:val="0038576E"/>
    <w:rsid w:val="003859E3"/>
    <w:rsid w:val="00386696"/>
    <w:rsid w:val="0038701C"/>
    <w:rsid w:val="00387029"/>
    <w:rsid w:val="0038708E"/>
    <w:rsid w:val="00390D2D"/>
    <w:rsid w:val="00391249"/>
    <w:rsid w:val="003917F4"/>
    <w:rsid w:val="0039226A"/>
    <w:rsid w:val="00392D93"/>
    <w:rsid w:val="00393A76"/>
    <w:rsid w:val="00395EE9"/>
    <w:rsid w:val="003961C3"/>
    <w:rsid w:val="0039761A"/>
    <w:rsid w:val="00397AE3"/>
    <w:rsid w:val="00397CE5"/>
    <w:rsid w:val="00397DB5"/>
    <w:rsid w:val="003A1020"/>
    <w:rsid w:val="003A1AA0"/>
    <w:rsid w:val="003A272F"/>
    <w:rsid w:val="003A3357"/>
    <w:rsid w:val="003A3688"/>
    <w:rsid w:val="003A5053"/>
    <w:rsid w:val="003A53DB"/>
    <w:rsid w:val="003A5F36"/>
    <w:rsid w:val="003A69B0"/>
    <w:rsid w:val="003A7062"/>
    <w:rsid w:val="003A74E1"/>
    <w:rsid w:val="003A7565"/>
    <w:rsid w:val="003B0225"/>
    <w:rsid w:val="003B05A0"/>
    <w:rsid w:val="003B0D70"/>
    <w:rsid w:val="003B0E2B"/>
    <w:rsid w:val="003B17C2"/>
    <w:rsid w:val="003B26A9"/>
    <w:rsid w:val="003B5079"/>
    <w:rsid w:val="003B51FC"/>
    <w:rsid w:val="003B53D8"/>
    <w:rsid w:val="003B5CE6"/>
    <w:rsid w:val="003B6525"/>
    <w:rsid w:val="003B68A4"/>
    <w:rsid w:val="003B7C3B"/>
    <w:rsid w:val="003B7EAD"/>
    <w:rsid w:val="003C0513"/>
    <w:rsid w:val="003C0AC2"/>
    <w:rsid w:val="003C0F7B"/>
    <w:rsid w:val="003C1310"/>
    <w:rsid w:val="003C2682"/>
    <w:rsid w:val="003C2B31"/>
    <w:rsid w:val="003C3CE8"/>
    <w:rsid w:val="003C3EDA"/>
    <w:rsid w:val="003C4421"/>
    <w:rsid w:val="003C4B1C"/>
    <w:rsid w:val="003C4C61"/>
    <w:rsid w:val="003C514C"/>
    <w:rsid w:val="003C569D"/>
    <w:rsid w:val="003C6047"/>
    <w:rsid w:val="003C6671"/>
    <w:rsid w:val="003C69A3"/>
    <w:rsid w:val="003C72F3"/>
    <w:rsid w:val="003C7FAB"/>
    <w:rsid w:val="003D0418"/>
    <w:rsid w:val="003D054C"/>
    <w:rsid w:val="003D056C"/>
    <w:rsid w:val="003D08A7"/>
    <w:rsid w:val="003D0C4C"/>
    <w:rsid w:val="003D0CAB"/>
    <w:rsid w:val="003D1190"/>
    <w:rsid w:val="003D1706"/>
    <w:rsid w:val="003D31D8"/>
    <w:rsid w:val="003D461F"/>
    <w:rsid w:val="003D4B38"/>
    <w:rsid w:val="003D5029"/>
    <w:rsid w:val="003D513C"/>
    <w:rsid w:val="003D5574"/>
    <w:rsid w:val="003D60DB"/>
    <w:rsid w:val="003D6908"/>
    <w:rsid w:val="003D6F02"/>
    <w:rsid w:val="003E0236"/>
    <w:rsid w:val="003E02AC"/>
    <w:rsid w:val="003E06CC"/>
    <w:rsid w:val="003E08AB"/>
    <w:rsid w:val="003E120C"/>
    <w:rsid w:val="003E231B"/>
    <w:rsid w:val="003E25AB"/>
    <w:rsid w:val="003E384C"/>
    <w:rsid w:val="003E3C31"/>
    <w:rsid w:val="003E413C"/>
    <w:rsid w:val="003E4518"/>
    <w:rsid w:val="003E4AE6"/>
    <w:rsid w:val="003E5353"/>
    <w:rsid w:val="003E55EC"/>
    <w:rsid w:val="003E61B1"/>
    <w:rsid w:val="003E624B"/>
    <w:rsid w:val="003E6386"/>
    <w:rsid w:val="003E6B19"/>
    <w:rsid w:val="003E6BFC"/>
    <w:rsid w:val="003E6D6D"/>
    <w:rsid w:val="003E6E0B"/>
    <w:rsid w:val="003E711A"/>
    <w:rsid w:val="003E7B37"/>
    <w:rsid w:val="003E7D1C"/>
    <w:rsid w:val="003F0775"/>
    <w:rsid w:val="003F07FF"/>
    <w:rsid w:val="003F0806"/>
    <w:rsid w:val="003F0FF2"/>
    <w:rsid w:val="003F1691"/>
    <w:rsid w:val="003F2C3B"/>
    <w:rsid w:val="003F3C76"/>
    <w:rsid w:val="003F3E93"/>
    <w:rsid w:val="003F3F70"/>
    <w:rsid w:val="003F4E63"/>
    <w:rsid w:val="003F5E9F"/>
    <w:rsid w:val="003F5EF1"/>
    <w:rsid w:val="003F651E"/>
    <w:rsid w:val="003F6695"/>
    <w:rsid w:val="003F72F0"/>
    <w:rsid w:val="003F7652"/>
    <w:rsid w:val="004004C5"/>
    <w:rsid w:val="004007F7"/>
    <w:rsid w:val="00400939"/>
    <w:rsid w:val="00400BF7"/>
    <w:rsid w:val="004012D7"/>
    <w:rsid w:val="00401DC9"/>
    <w:rsid w:val="004020E0"/>
    <w:rsid w:val="00402408"/>
    <w:rsid w:val="00403174"/>
    <w:rsid w:val="004035B6"/>
    <w:rsid w:val="00403851"/>
    <w:rsid w:val="00404A84"/>
    <w:rsid w:val="00404C44"/>
    <w:rsid w:val="00405DB0"/>
    <w:rsid w:val="00405E12"/>
    <w:rsid w:val="004061EC"/>
    <w:rsid w:val="00406C3B"/>
    <w:rsid w:val="00407629"/>
    <w:rsid w:val="00407A58"/>
    <w:rsid w:val="00411435"/>
    <w:rsid w:val="00411692"/>
    <w:rsid w:val="004117A9"/>
    <w:rsid w:val="00412028"/>
    <w:rsid w:val="00413020"/>
    <w:rsid w:val="00413372"/>
    <w:rsid w:val="0041408F"/>
    <w:rsid w:val="00415327"/>
    <w:rsid w:val="004153F2"/>
    <w:rsid w:val="0041569B"/>
    <w:rsid w:val="0041590C"/>
    <w:rsid w:val="00416881"/>
    <w:rsid w:val="0042214C"/>
    <w:rsid w:val="00422682"/>
    <w:rsid w:val="0042364A"/>
    <w:rsid w:val="0042385F"/>
    <w:rsid w:val="0042471C"/>
    <w:rsid w:val="00424F40"/>
    <w:rsid w:val="00424FBF"/>
    <w:rsid w:val="00425CA3"/>
    <w:rsid w:val="004272D4"/>
    <w:rsid w:val="00431109"/>
    <w:rsid w:val="00431B23"/>
    <w:rsid w:val="00431D01"/>
    <w:rsid w:val="004328C4"/>
    <w:rsid w:val="00432C0F"/>
    <w:rsid w:val="00432C4D"/>
    <w:rsid w:val="00432E9A"/>
    <w:rsid w:val="00433177"/>
    <w:rsid w:val="0043370A"/>
    <w:rsid w:val="004342B8"/>
    <w:rsid w:val="00434BF6"/>
    <w:rsid w:val="00434CA1"/>
    <w:rsid w:val="0043551F"/>
    <w:rsid w:val="0043565B"/>
    <w:rsid w:val="00435F69"/>
    <w:rsid w:val="00435FDA"/>
    <w:rsid w:val="00436893"/>
    <w:rsid w:val="00436894"/>
    <w:rsid w:val="00436BD7"/>
    <w:rsid w:val="0043713E"/>
    <w:rsid w:val="00437B07"/>
    <w:rsid w:val="004406DF"/>
    <w:rsid w:val="0044088B"/>
    <w:rsid w:val="0044109C"/>
    <w:rsid w:val="004419A4"/>
    <w:rsid w:val="004422E9"/>
    <w:rsid w:val="00442671"/>
    <w:rsid w:val="00443B50"/>
    <w:rsid w:val="00443C4A"/>
    <w:rsid w:val="004441AE"/>
    <w:rsid w:val="0044460C"/>
    <w:rsid w:val="004447C2"/>
    <w:rsid w:val="00445631"/>
    <w:rsid w:val="00445943"/>
    <w:rsid w:val="004465A8"/>
    <w:rsid w:val="004467AA"/>
    <w:rsid w:val="00447A23"/>
    <w:rsid w:val="00447C3E"/>
    <w:rsid w:val="00450413"/>
    <w:rsid w:val="004508D0"/>
    <w:rsid w:val="00450E3D"/>
    <w:rsid w:val="0045106E"/>
    <w:rsid w:val="0045226C"/>
    <w:rsid w:val="004526A9"/>
    <w:rsid w:val="004526CB"/>
    <w:rsid w:val="00453C9F"/>
    <w:rsid w:val="00454838"/>
    <w:rsid w:val="00454CC9"/>
    <w:rsid w:val="00455C2C"/>
    <w:rsid w:val="00456F81"/>
    <w:rsid w:val="004571C5"/>
    <w:rsid w:val="004573EA"/>
    <w:rsid w:val="0046003F"/>
    <w:rsid w:val="00460210"/>
    <w:rsid w:val="004602CB"/>
    <w:rsid w:val="00460A4D"/>
    <w:rsid w:val="00461106"/>
    <w:rsid w:val="0046329C"/>
    <w:rsid w:val="004650B6"/>
    <w:rsid w:val="00465AEE"/>
    <w:rsid w:val="00466462"/>
    <w:rsid w:val="00466647"/>
    <w:rsid w:val="004671A5"/>
    <w:rsid w:val="00467A6F"/>
    <w:rsid w:val="00470285"/>
    <w:rsid w:val="0047166C"/>
    <w:rsid w:val="0047190C"/>
    <w:rsid w:val="00471DD6"/>
    <w:rsid w:val="0047207B"/>
    <w:rsid w:val="004722FD"/>
    <w:rsid w:val="004734C9"/>
    <w:rsid w:val="00473A59"/>
    <w:rsid w:val="00473F55"/>
    <w:rsid w:val="00473F5C"/>
    <w:rsid w:val="0047417A"/>
    <w:rsid w:val="00474729"/>
    <w:rsid w:val="00474AEC"/>
    <w:rsid w:val="00475486"/>
    <w:rsid w:val="00476307"/>
    <w:rsid w:val="00476855"/>
    <w:rsid w:val="00476B34"/>
    <w:rsid w:val="00476C54"/>
    <w:rsid w:val="00477100"/>
    <w:rsid w:val="004772E0"/>
    <w:rsid w:val="00477D02"/>
    <w:rsid w:val="00480357"/>
    <w:rsid w:val="00480C1E"/>
    <w:rsid w:val="004812E1"/>
    <w:rsid w:val="00481DDD"/>
    <w:rsid w:val="00482711"/>
    <w:rsid w:val="00483D60"/>
    <w:rsid w:val="00483DBF"/>
    <w:rsid w:val="0048433F"/>
    <w:rsid w:val="00484376"/>
    <w:rsid w:val="004846A9"/>
    <w:rsid w:val="00484A46"/>
    <w:rsid w:val="00484B7E"/>
    <w:rsid w:val="00484D15"/>
    <w:rsid w:val="00484D4E"/>
    <w:rsid w:val="0048596F"/>
    <w:rsid w:val="00485A72"/>
    <w:rsid w:val="00486D47"/>
    <w:rsid w:val="00487A24"/>
    <w:rsid w:val="0049163B"/>
    <w:rsid w:val="00491750"/>
    <w:rsid w:val="0049179A"/>
    <w:rsid w:val="00491A82"/>
    <w:rsid w:val="004924A7"/>
    <w:rsid w:val="00492740"/>
    <w:rsid w:val="00492833"/>
    <w:rsid w:val="00494D12"/>
    <w:rsid w:val="00494F5C"/>
    <w:rsid w:val="00495280"/>
    <w:rsid w:val="0049567C"/>
    <w:rsid w:val="00495DD3"/>
    <w:rsid w:val="00495F8D"/>
    <w:rsid w:val="00496C36"/>
    <w:rsid w:val="00497663"/>
    <w:rsid w:val="0049771F"/>
    <w:rsid w:val="00497D50"/>
    <w:rsid w:val="004A0131"/>
    <w:rsid w:val="004A1AA8"/>
    <w:rsid w:val="004A1BF2"/>
    <w:rsid w:val="004A2019"/>
    <w:rsid w:val="004A28EF"/>
    <w:rsid w:val="004A368F"/>
    <w:rsid w:val="004A3718"/>
    <w:rsid w:val="004A3D46"/>
    <w:rsid w:val="004A40C4"/>
    <w:rsid w:val="004A4A35"/>
    <w:rsid w:val="004A4AFC"/>
    <w:rsid w:val="004A4CD6"/>
    <w:rsid w:val="004A4F9F"/>
    <w:rsid w:val="004A50AC"/>
    <w:rsid w:val="004A50E5"/>
    <w:rsid w:val="004A5228"/>
    <w:rsid w:val="004A52EC"/>
    <w:rsid w:val="004A6033"/>
    <w:rsid w:val="004A66CC"/>
    <w:rsid w:val="004A6B9D"/>
    <w:rsid w:val="004B0934"/>
    <w:rsid w:val="004B0F75"/>
    <w:rsid w:val="004B18C0"/>
    <w:rsid w:val="004B2055"/>
    <w:rsid w:val="004B25EC"/>
    <w:rsid w:val="004B2F22"/>
    <w:rsid w:val="004B31AB"/>
    <w:rsid w:val="004B3512"/>
    <w:rsid w:val="004B405E"/>
    <w:rsid w:val="004B4568"/>
    <w:rsid w:val="004B47D2"/>
    <w:rsid w:val="004B4A58"/>
    <w:rsid w:val="004B5779"/>
    <w:rsid w:val="004B58BB"/>
    <w:rsid w:val="004B5C42"/>
    <w:rsid w:val="004B5CE2"/>
    <w:rsid w:val="004B6938"/>
    <w:rsid w:val="004B74B3"/>
    <w:rsid w:val="004B752C"/>
    <w:rsid w:val="004C0E7F"/>
    <w:rsid w:val="004C1526"/>
    <w:rsid w:val="004C168D"/>
    <w:rsid w:val="004C19EA"/>
    <w:rsid w:val="004C1C64"/>
    <w:rsid w:val="004C20F1"/>
    <w:rsid w:val="004C2ABC"/>
    <w:rsid w:val="004C2F6C"/>
    <w:rsid w:val="004C309B"/>
    <w:rsid w:val="004C39F7"/>
    <w:rsid w:val="004C4205"/>
    <w:rsid w:val="004C443F"/>
    <w:rsid w:val="004C537D"/>
    <w:rsid w:val="004C6142"/>
    <w:rsid w:val="004C67EA"/>
    <w:rsid w:val="004C72F0"/>
    <w:rsid w:val="004C7405"/>
    <w:rsid w:val="004C79B4"/>
    <w:rsid w:val="004D0078"/>
    <w:rsid w:val="004D0C54"/>
    <w:rsid w:val="004D1BD6"/>
    <w:rsid w:val="004D2029"/>
    <w:rsid w:val="004D2371"/>
    <w:rsid w:val="004D243E"/>
    <w:rsid w:val="004D2829"/>
    <w:rsid w:val="004D2C24"/>
    <w:rsid w:val="004D2DCD"/>
    <w:rsid w:val="004D33D6"/>
    <w:rsid w:val="004D3AF1"/>
    <w:rsid w:val="004D3F6E"/>
    <w:rsid w:val="004D3FBE"/>
    <w:rsid w:val="004D49A9"/>
    <w:rsid w:val="004D544A"/>
    <w:rsid w:val="004D6178"/>
    <w:rsid w:val="004D662C"/>
    <w:rsid w:val="004D6A83"/>
    <w:rsid w:val="004D6DC2"/>
    <w:rsid w:val="004D787A"/>
    <w:rsid w:val="004D7CC8"/>
    <w:rsid w:val="004E0993"/>
    <w:rsid w:val="004E15B2"/>
    <w:rsid w:val="004E1DAC"/>
    <w:rsid w:val="004E253A"/>
    <w:rsid w:val="004E33B0"/>
    <w:rsid w:val="004E401E"/>
    <w:rsid w:val="004E4845"/>
    <w:rsid w:val="004E4B5D"/>
    <w:rsid w:val="004E53BD"/>
    <w:rsid w:val="004E60B3"/>
    <w:rsid w:val="004E627C"/>
    <w:rsid w:val="004E67EB"/>
    <w:rsid w:val="004F1654"/>
    <w:rsid w:val="004F1916"/>
    <w:rsid w:val="004F1972"/>
    <w:rsid w:val="004F24C9"/>
    <w:rsid w:val="004F25CF"/>
    <w:rsid w:val="004F25FE"/>
    <w:rsid w:val="004F28A9"/>
    <w:rsid w:val="004F304D"/>
    <w:rsid w:val="004F3158"/>
    <w:rsid w:val="004F36BB"/>
    <w:rsid w:val="004F3995"/>
    <w:rsid w:val="004F39B6"/>
    <w:rsid w:val="004F4022"/>
    <w:rsid w:val="004F4049"/>
    <w:rsid w:val="004F4F05"/>
    <w:rsid w:val="004F547C"/>
    <w:rsid w:val="004F57B3"/>
    <w:rsid w:val="004F58CA"/>
    <w:rsid w:val="004F6171"/>
    <w:rsid w:val="004F635A"/>
    <w:rsid w:val="004F6F03"/>
    <w:rsid w:val="004F7204"/>
    <w:rsid w:val="004F748C"/>
    <w:rsid w:val="004F7650"/>
    <w:rsid w:val="00500003"/>
    <w:rsid w:val="0050172A"/>
    <w:rsid w:val="005017EF"/>
    <w:rsid w:val="005026DD"/>
    <w:rsid w:val="00502BB4"/>
    <w:rsid w:val="0050497E"/>
    <w:rsid w:val="005051AA"/>
    <w:rsid w:val="0050550B"/>
    <w:rsid w:val="0050594F"/>
    <w:rsid w:val="00506269"/>
    <w:rsid w:val="0050653D"/>
    <w:rsid w:val="00507B26"/>
    <w:rsid w:val="0051076B"/>
    <w:rsid w:val="005123AE"/>
    <w:rsid w:val="005138D7"/>
    <w:rsid w:val="00513987"/>
    <w:rsid w:val="00516209"/>
    <w:rsid w:val="0051655F"/>
    <w:rsid w:val="00520102"/>
    <w:rsid w:val="0052092A"/>
    <w:rsid w:val="00520FA0"/>
    <w:rsid w:val="00521456"/>
    <w:rsid w:val="00522333"/>
    <w:rsid w:val="005226C4"/>
    <w:rsid w:val="005226ED"/>
    <w:rsid w:val="005227E3"/>
    <w:rsid w:val="005232C4"/>
    <w:rsid w:val="0052362E"/>
    <w:rsid w:val="00523B6D"/>
    <w:rsid w:val="005240BE"/>
    <w:rsid w:val="00524484"/>
    <w:rsid w:val="005248A3"/>
    <w:rsid w:val="0052510C"/>
    <w:rsid w:val="00527C44"/>
    <w:rsid w:val="00527ECB"/>
    <w:rsid w:val="005306CE"/>
    <w:rsid w:val="005313F4"/>
    <w:rsid w:val="005316D2"/>
    <w:rsid w:val="0053185B"/>
    <w:rsid w:val="00531C08"/>
    <w:rsid w:val="00531FEF"/>
    <w:rsid w:val="005322AF"/>
    <w:rsid w:val="0053250E"/>
    <w:rsid w:val="005339A8"/>
    <w:rsid w:val="00533E42"/>
    <w:rsid w:val="00534221"/>
    <w:rsid w:val="005342B5"/>
    <w:rsid w:val="0053464E"/>
    <w:rsid w:val="005362C3"/>
    <w:rsid w:val="00536683"/>
    <w:rsid w:val="005368BA"/>
    <w:rsid w:val="00536CD5"/>
    <w:rsid w:val="00537451"/>
    <w:rsid w:val="005411EF"/>
    <w:rsid w:val="00541BA0"/>
    <w:rsid w:val="005422A7"/>
    <w:rsid w:val="00542A43"/>
    <w:rsid w:val="0054423B"/>
    <w:rsid w:val="005446E2"/>
    <w:rsid w:val="00544AE2"/>
    <w:rsid w:val="005450FA"/>
    <w:rsid w:val="005469BE"/>
    <w:rsid w:val="00546F85"/>
    <w:rsid w:val="005473AA"/>
    <w:rsid w:val="00547F6E"/>
    <w:rsid w:val="005537F9"/>
    <w:rsid w:val="00553E62"/>
    <w:rsid w:val="00553F84"/>
    <w:rsid w:val="005540E9"/>
    <w:rsid w:val="00555E64"/>
    <w:rsid w:val="0055626F"/>
    <w:rsid w:val="00556A42"/>
    <w:rsid w:val="00556BED"/>
    <w:rsid w:val="00556E30"/>
    <w:rsid w:val="005579BE"/>
    <w:rsid w:val="00557AEB"/>
    <w:rsid w:val="00557D47"/>
    <w:rsid w:val="00560875"/>
    <w:rsid w:val="00560BDA"/>
    <w:rsid w:val="00560FBC"/>
    <w:rsid w:val="00561D7B"/>
    <w:rsid w:val="00561FEB"/>
    <w:rsid w:val="005621F2"/>
    <w:rsid w:val="00562C4B"/>
    <w:rsid w:val="0056305E"/>
    <w:rsid w:val="005633CF"/>
    <w:rsid w:val="0056402F"/>
    <w:rsid w:val="005640F1"/>
    <w:rsid w:val="005647E0"/>
    <w:rsid w:val="00564FC5"/>
    <w:rsid w:val="00565017"/>
    <w:rsid w:val="00565661"/>
    <w:rsid w:val="0056588F"/>
    <w:rsid w:val="00565A6E"/>
    <w:rsid w:val="00566923"/>
    <w:rsid w:val="00566A9E"/>
    <w:rsid w:val="00570831"/>
    <w:rsid w:val="00570E69"/>
    <w:rsid w:val="00571474"/>
    <w:rsid w:val="00572847"/>
    <w:rsid w:val="00575192"/>
    <w:rsid w:val="00575665"/>
    <w:rsid w:val="00575A86"/>
    <w:rsid w:val="005761B5"/>
    <w:rsid w:val="00576DD9"/>
    <w:rsid w:val="00577131"/>
    <w:rsid w:val="00577645"/>
    <w:rsid w:val="0057765F"/>
    <w:rsid w:val="005777EF"/>
    <w:rsid w:val="00577DCB"/>
    <w:rsid w:val="005803C6"/>
    <w:rsid w:val="00580B45"/>
    <w:rsid w:val="00581941"/>
    <w:rsid w:val="0058209A"/>
    <w:rsid w:val="005828BC"/>
    <w:rsid w:val="005837BD"/>
    <w:rsid w:val="005842B0"/>
    <w:rsid w:val="00584366"/>
    <w:rsid w:val="00584383"/>
    <w:rsid w:val="00585F2C"/>
    <w:rsid w:val="005863BF"/>
    <w:rsid w:val="005865CF"/>
    <w:rsid w:val="00586757"/>
    <w:rsid w:val="00586F0B"/>
    <w:rsid w:val="0058754D"/>
    <w:rsid w:val="00587606"/>
    <w:rsid w:val="00590726"/>
    <w:rsid w:val="0059220F"/>
    <w:rsid w:val="00593248"/>
    <w:rsid w:val="005932C3"/>
    <w:rsid w:val="005933FC"/>
    <w:rsid w:val="00593448"/>
    <w:rsid w:val="00593692"/>
    <w:rsid w:val="005938E9"/>
    <w:rsid w:val="00594112"/>
    <w:rsid w:val="00594E38"/>
    <w:rsid w:val="00594EDD"/>
    <w:rsid w:val="0059589B"/>
    <w:rsid w:val="005962A1"/>
    <w:rsid w:val="0059631B"/>
    <w:rsid w:val="00596C85"/>
    <w:rsid w:val="00597068"/>
    <w:rsid w:val="005977C3"/>
    <w:rsid w:val="005A0C33"/>
    <w:rsid w:val="005A123A"/>
    <w:rsid w:val="005A1E10"/>
    <w:rsid w:val="005A227E"/>
    <w:rsid w:val="005A3E43"/>
    <w:rsid w:val="005A40E4"/>
    <w:rsid w:val="005A460A"/>
    <w:rsid w:val="005A472A"/>
    <w:rsid w:val="005A49DA"/>
    <w:rsid w:val="005A593D"/>
    <w:rsid w:val="005A5D13"/>
    <w:rsid w:val="005A5EBA"/>
    <w:rsid w:val="005A5FA6"/>
    <w:rsid w:val="005A67C6"/>
    <w:rsid w:val="005A6DB8"/>
    <w:rsid w:val="005A73A3"/>
    <w:rsid w:val="005A7721"/>
    <w:rsid w:val="005A7960"/>
    <w:rsid w:val="005A7A27"/>
    <w:rsid w:val="005A7C7C"/>
    <w:rsid w:val="005B0878"/>
    <w:rsid w:val="005B0B89"/>
    <w:rsid w:val="005B13B6"/>
    <w:rsid w:val="005B1DDF"/>
    <w:rsid w:val="005B22F1"/>
    <w:rsid w:val="005B29B6"/>
    <w:rsid w:val="005B2B8A"/>
    <w:rsid w:val="005B2ED5"/>
    <w:rsid w:val="005B30E1"/>
    <w:rsid w:val="005B42CA"/>
    <w:rsid w:val="005B4C18"/>
    <w:rsid w:val="005B4EF5"/>
    <w:rsid w:val="005B54A6"/>
    <w:rsid w:val="005B5591"/>
    <w:rsid w:val="005B6CB9"/>
    <w:rsid w:val="005B7CD5"/>
    <w:rsid w:val="005C1577"/>
    <w:rsid w:val="005C17EC"/>
    <w:rsid w:val="005C1A6C"/>
    <w:rsid w:val="005C1B3C"/>
    <w:rsid w:val="005C1F53"/>
    <w:rsid w:val="005C337F"/>
    <w:rsid w:val="005C362D"/>
    <w:rsid w:val="005C4D18"/>
    <w:rsid w:val="005C5363"/>
    <w:rsid w:val="005C579E"/>
    <w:rsid w:val="005C5BBB"/>
    <w:rsid w:val="005C6203"/>
    <w:rsid w:val="005C6271"/>
    <w:rsid w:val="005C66C4"/>
    <w:rsid w:val="005C692C"/>
    <w:rsid w:val="005C6C5B"/>
    <w:rsid w:val="005C6EB4"/>
    <w:rsid w:val="005C702F"/>
    <w:rsid w:val="005C7111"/>
    <w:rsid w:val="005C7624"/>
    <w:rsid w:val="005C7817"/>
    <w:rsid w:val="005D01DB"/>
    <w:rsid w:val="005D0916"/>
    <w:rsid w:val="005D0C41"/>
    <w:rsid w:val="005D0FFB"/>
    <w:rsid w:val="005D102E"/>
    <w:rsid w:val="005D1A69"/>
    <w:rsid w:val="005D29C4"/>
    <w:rsid w:val="005D2FDD"/>
    <w:rsid w:val="005D32E0"/>
    <w:rsid w:val="005D5389"/>
    <w:rsid w:val="005D5567"/>
    <w:rsid w:val="005D66D0"/>
    <w:rsid w:val="005E0849"/>
    <w:rsid w:val="005E08CC"/>
    <w:rsid w:val="005E0EF8"/>
    <w:rsid w:val="005E111A"/>
    <w:rsid w:val="005E1996"/>
    <w:rsid w:val="005E1B46"/>
    <w:rsid w:val="005E23E7"/>
    <w:rsid w:val="005E2525"/>
    <w:rsid w:val="005E3456"/>
    <w:rsid w:val="005E3C2A"/>
    <w:rsid w:val="005E41A6"/>
    <w:rsid w:val="005E42D2"/>
    <w:rsid w:val="005E436A"/>
    <w:rsid w:val="005E5202"/>
    <w:rsid w:val="005E5888"/>
    <w:rsid w:val="005E616D"/>
    <w:rsid w:val="005E66A9"/>
    <w:rsid w:val="005E6B73"/>
    <w:rsid w:val="005E70B6"/>
    <w:rsid w:val="005E7373"/>
    <w:rsid w:val="005E74BA"/>
    <w:rsid w:val="005E77C1"/>
    <w:rsid w:val="005E7AE0"/>
    <w:rsid w:val="005F0333"/>
    <w:rsid w:val="005F047A"/>
    <w:rsid w:val="005F196B"/>
    <w:rsid w:val="005F1CEC"/>
    <w:rsid w:val="005F291B"/>
    <w:rsid w:val="005F4084"/>
    <w:rsid w:val="005F4355"/>
    <w:rsid w:val="005F4B5A"/>
    <w:rsid w:val="005F54B7"/>
    <w:rsid w:val="005F6699"/>
    <w:rsid w:val="005F6776"/>
    <w:rsid w:val="005F75DE"/>
    <w:rsid w:val="005F7686"/>
    <w:rsid w:val="00600E26"/>
    <w:rsid w:val="0060199B"/>
    <w:rsid w:val="00602251"/>
    <w:rsid w:val="00602B80"/>
    <w:rsid w:val="006032CA"/>
    <w:rsid w:val="00603795"/>
    <w:rsid w:val="00605220"/>
    <w:rsid w:val="00605AA3"/>
    <w:rsid w:val="00605C77"/>
    <w:rsid w:val="00605E52"/>
    <w:rsid w:val="00606127"/>
    <w:rsid w:val="0060793E"/>
    <w:rsid w:val="00610412"/>
    <w:rsid w:val="00610AB2"/>
    <w:rsid w:val="00610D7E"/>
    <w:rsid w:val="00610DE6"/>
    <w:rsid w:val="00612824"/>
    <w:rsid w:val="006131FB"/>
    <w:rsid w:val="00613304"/>
    <w:rsid w:val="00613AC9"/>
    <w:rsid w:val="00613BCB"/>
    <w:rsid w:val="00616264"/>
    <w:rsid w:val="0061754E"/>
    <w:rsid w:val="0061762B"/>
    <w:rsid w:val="006176CA"/>
    <w:rsid w:val="006178FF"/>
    <w:rsid w:val="00617A4E"/>
    <w:rsid w:val="00617A51"/>
    <w:rsid w:val="00620413"/>
    <w:rsid w:val="00620AA4"/>
    <w:rsid w:val="00621DBE"/>
    <w:rsid w:val="006223AD"/>
    <w:rsid w:val="006229B9"/>
    <w:rsid w:val="00622ABB"/>
    <w:rsid w:val="006233D1"/>
    <w:rsid w:val="00624008"/>
    <w:rsid w:val="0062461E"/>
    <w:rsid w:val="00624DED"/>
    <w:rsid w:val="0062531D"/>
    <w:rsid w:val="00625942"/>
    <w:rsid w:val="00625A33"/>
    <w:rsid w:val="006265C5"/>
    <w:rsid w:val="00626B43"/>
    <w:rsid w:val="006303FD"/>
    <w:rsid w:val="006308EF"/>
    <w:rsid w:val="00631CA7"/>
    <w:rsid w:val="00631E2A"/>
    <w:rsid w:val="00633BA1"/>
    <w:rsid w:val="00633CE7"/>
    <w:rsid w:val="006357C2"/>
    <w:rsid w:val="00636093"/>
    <w:rsid w:val="00636145"/>
    <w:rsid w:val="006362FC"/>
    <w:rsid w:val="006400EC"/>
    <w:rsid w:val="0064018C"/>
    <w:rsid w:val="00640B95"/>
    <w:rsid w:val="00641BED"/>
    <w:rsid w:val="00642203"/>
    <w:rsid w:val="0064288A"/>
    <w:rsid w:val="00642D76"/>
    <w:rsid w:val="00642EEA"/>
    <w:rsid w:val="00643DD3"/>
    <w:rsid w:val="006441E8"/>
    <w:rsid w:val="006454A1"/>
    <w:rsid w:val="006455E8"/>
    <w:rsid w:val="0064580A"/>
    <w:rsid w:val="006459B3"/>
    <w:rsid w:val="00645B2B"/>
    <w:rsid w:val="00645B3D"/>
    <w:rsid w:val="0064648F"/>
    <w:rsid w:val="00646781"/>
    <w:rsid w:val="00646C82"/>
    <w:rsid w:val="0064759E"/>
    <w:rsid w:val="0065156A"/>
    <w:rsid w:val="00651653"/>
    <w:rsid w:val="00651AD3"/>
    <w:rsid w:val="00651D73"/>
    <w:rsid w:val="006522BD"/>
    <w:rsid w:val="006534D0"/>
    <w:rsid w:val="00653828"/>
    <w:rsid w:val="00654F75"/>
    <w:rsid w:val="00655062"/>
    <w:rsid w:val="00655921"/>
    <w:rsid w:val="00656769"/>
    <w:rsid w:val="00657786"/>
    <w:rsid w:val="00657857"/>
    <w:rsid w:val="00660111"/>
    <w:rsid w:val="00660A76"/>
    <w:rsid w:val="0066183C"/>
    <w:rsid w:val="00661EB1"/>
    <w:rsid w:val="00662784"/>
    <w:rsid w:val="00663235"/>
    <w:rsid w:val="006632CB"/>
    <w:rsid w:val="00663DEA"/>
    <w:rsid w:val="00664811"/>
    <w:rsid w:val="00664AA9"/>
    <w:rsid w:val="006654A3"/>
    <w:rsid w:val="00665AD9"/>
    <w:rsid w:val="00665B9C"/>
    <w:rsid w:val="00665BCB"/>
    <w:rsid w:val="00665FFD"/>
    <w:rsid w:val="006663B6"/>
    <w:rsid w:val="00666452"/>
    <w:rsid w:val="00666632"/>
    <w:rsid w:val="0066699B"/>
    <w:rsid w:val="006669C6"/>
    <w:rsid w:val="00666BA7"/>
    <w:rsid w:val="006679E9"/>
    <w:rsid w:val="00667BDB"/>
    <w:rsid w:val="006703F5"/>
    <w:rsid w:val="0067088E"/>
    <w:rsid w:val="00670954"/>
    <w:rsid w:val="006713F3"/>
    <w:rsid w:val="006714F3"/>
    <w:rsid w:val="0067157B"/>
    <w:rsid w:val="00671AF4"/>
    <w:rsid w:val="00671B95"/>
    <w:rsid w:val="00671C2A"/>
    <w:rsid w:val="00671C50"/>
    <w:rsid w:val="00671E83"/>
    <w:rsid w:val="006721B0"/>
    <w:rsid w:val="00672267"/>
    <w:rsid w:val="00672813"/>
    <w:rsid w:val="006729DE"/>
    <w:rsid w:val="0067319B"/>
    <w:rsid w:val="006732E5"/>
    <w:rsid w:val="00673430"/>
    <w:rsid w:val="006738F9"/>
    <w:rsid w:val="006756F9"/>
    <w:rsid w:val="0067726C"/>
    <w:rsid w:val="00677C93"/>
    <w:rsid w:val="00677CD3"/>
    <w:rsid w:val="006802FD"/>
    <w:rsid w:val="00680571"/>
    <w:rsid w:val="006811B5"/>
    <w:rsid w:val="006816B7"/>
    <w:rsid w:val="0068323A"/>
    <w:rsid w:val="006835C1"/>
    <w:rsid w:val="00684D1C"/>
    <w:rsid w:val="00685489"/>
    <w:rsid w:val="006859BA"/>
    <w:rsid w:val="00685C57"/>
    <w:rsid w:val="0068778C"/>
    <w:rsid w:val="006879E0"/>
    <w:rsid w:val="006903C2"/>
    <w:rsid w:val="0069070D"/>
    <w:rsid w:val="00691B1A"/>
    <w:rsid w:val="00692863"/>
    <w:rsid w:val="00692BD2"/>
    <w:rsid w:val="00692E91"/>
    <w:rsid w:val="00694377"/>
    <w:rsid w:val="00694856"/>
    <w:rsid w:val="00694D87"/>
    <w:rsid w:val="006950FA"/>
    <w:rsid w:val="00695DEA"/>
    <w:rsid w:val="006962B2"/>
    <w:rsid w:val="0069654B"/>
    <w:rsid w:val="006975FD"/>
    <w:rsid w:val="00697696"/>
    <w:rsid w:val="00697850"/>
    <w:rsid w:val="006A008E"/>
    <w:rsid w:val="006A0946"/>
    <w:rsid w:val="006A0E10"/>
    <w:rsid w:val="006A1842"/>
    <w:rsid w:val="006A18D7"/>
    <w:rsid w:val="006A194A"/>
    <w:rsid w:val="006A3228"/>
    <w:rsid w:val="006A3268"/>
    <w:rsid w:val="006A3765"/>
    <w:rsid w:val="006A461F"/>
    <w:rsid w:val="006A4A05"/>
    <w:rsid w:val="006A553E"/>
    <w:rsid w:val="006A627E"/>
    <w:rsid w:val="006A652A"/>
    <w:rsid w:val="006A701F"/>
    <w:rsid w:val="006A74CE"/>
    <w:rsid w:val="006A7A3D"/>
    <w:rsid w:val="006A7BBD"/>
    <w:rsid w:val="006A7F93"/>
    <w:rsid w:val="006B0106"/>
    <w:rsid w:val="006B021B"/>
    <w:rsid w:val="006B18E9"/>
    <w:rsid w:val="006B2264"/>
    <w:rsid w:val="006B2ADB"/>
    <w:rsid w:val="006B2BA5"/>
    <w:rsid w:val="006B3111"/>
    <w:rsid w:val="006B4E8A"/>
    <w:rsid w:val="006B5848"/>
    <w:rsid w:val="006B688E"/>
    <w:rsid w:val="006B6CE7"/>
    <w:rsid w:val="006B7333"/>
    <w:rsid w:val="006B753E"/>
    <w:rsid w:val="006C03C1"/>
    <w:rsid w:val="006C0AB0"/>
    <w:rsid w:val="006C0AB1"/>
    <w:rsid w:val="006C0B2B"/>
    <w:rsid w:val="006C0DBA"/>
    <w:rsid w:val="006C1214"/>
    <w:rsid w:val="006C1689"/>
    <w:rsid w:val="006C16B9"/>
    <w:rsid w:val="006C20E3"/>
    <w:rsid w:val="006C2518"/>
    <w:rsid w:val="006C33D0"/>
    <w:rsid w:val="006C3898"/>
    <w:rsid w:val="006C42F9"/>
    <w:rsid w:val="006C575F"/>
    <w:rsid w:val="006C587A"/>
    <w:rsid w:val="006C5A9D"/>
    <w:rsid w:val="006C5B5E"/>
    <w:rsid w:val="006C5F9E"/>
    <w:rsid w:val="006C75EC"/>
    <w:rsid w:val="006C7643"/>
    <w:rsid w:val="006C7D12"/>
    <w:rsid w:val="006C7EFC"/>
    <w:rsid w:val="006C7FAB"/>
    <w:rsid w:val="006D0148"/>
    <w:rsid w:val="006D06DF"/>
    <w:rsid w:val="006D0907"/>
    <w:rsid w:val="006D0BCE"/>
    <w:rsid w:val="006D105B"/>
    <w:rsid w:val="006D192D"/>
    <w:rsid w:val="006D2828"/>
    <w:rsid w:val="006D288B"/>
    <w:rsid w:val="006D2FD8"/>
    <w:rsid w:val="006D327A"/>
    <w:rsid w:val="006D3663"/>
    <w:rsid w:val="006D370C"/>
    <w:rsid w:val="006D390E"/>
    <w:rsid w:val="006D40E6"/>
    <w:rsid w:val="006D4496"/>
    <w:rsid w:val="006D50AA"/>
    <w:rsid w:val="006D53CB"/>
    <w:rsid w:val="006D554D"/>
    <w:rsid w:val="006D6ECD"/>
    <w:rsid w:val="006D7D7E"/>
    <w:rsid w:val="006E0586"/>
    <w:rsid w:val="006E0AE4"/>
    <w:rsid w:val="006E106C"/>
    <w:rsid w:val="006E17A3"/>
    <w:rsid w:val="006E1ED3"/>
    <w:rsid w:val="006E1F18"/>
    <w:rsid w:val="006E1F3B"/>
    <w:rsid w:val="006E2CD5"/>
    <w:rsid w:val="006E38EF"/>
    <w:rsid w:val="006E3A91"/>
    <w:rsid w:val="006E3F79"/>
    <w:rsid w:val="006E5034"/>
    <w:rsid w:val="006E6111"/>
    <w:rsid w:val="006E62A6"/>
    <w:rsid w:val="006E6D15"/>
    <w:rsid w:val="006E6D96"/>
    <w:rsid w:val="006E78BE"/>
    <w:rsid w:val="006E7C0F"/>
    <w:rsid w:val="006E7E7F"/>
    <w:rsid w:val="006E7FE0"/>
    <w:rsid w:val="006F002D"/>
    <w:rsid w:val="006F0543"/>
    <w:rsid w:val="006F10E4"/>
    <w:rsid w:val="006F117B"/>
    <w:rsid w:val="006F1E18"/>
    <w:rsid w:val="006F23DD"/>
    <w:rsid w:val="006F29EE"/>
    <w:rsid w:val="006F2FD3"/>
    <w:rsid w:val="006F3C18"/>
    <w:rsid w:val="006F3E40"/>
    <w:rsid w:val="006F49D9"/>
    <w:rsid w:val="006F4C2B"/>
    <w:rsid w:val="006F6157"/>
    <w:rsid w:val="006F6218"/>
    <w:rsid w:val="006F6405"/>
    <w:rsid w:val="006F672F"/>
    <w:rsid w:val="006F714D"/>
    <w:rsid w:val="006F75B4"/>
    <w:rsid w:val="00700AD1"/>
    <w:rsid w:val="00703194"/>
    <w:rsid w:val="00703BAD"/>
    <w:rsid w:val="007052BA"/>
    <w:rsid w:val="0070543C"/>
    <w:rsid w:val="00706347"/>
    <w:rsid w:val="0070723D"/>
    <w:rsid w:val="007074EB"/>
    <w:rsid w:val="00707CEE"/>
    <w:rsid w:val="007101C0"/>
    <w:rsid w:val="007105EB"/>
    <w:rsid w:val="00710723"/>
    <w:rsid w:val="00710760"/>
    <w:rsid w:val="007109A2"/>
    <w:rsid w:val="00710DF0"/>
    <w:rsid w:val="007116F4"/>
    <w:rsid w:val="0071289F"/>
    <w:rsid w:val="00714E97"/>
    <w:rsid w:val="00715F52"/>
    <w:rsid w:val="00717308"/>
    <w:rsid w:val="0072103B"/>
    <w:rsid w:val="007220C7"/>
    <w:rsid w:val="007224BC"/>
    <w:rsid w:val="00723606"/>
    <w:rsid w:val="00724309"/>
    <w:rsid w:val="00724552"/>
    <w:rsid w:val="007251D2"/>
    <w:rsid w:val="00726097"/>
    <w:rsid w:val="007260C6"/>
    <w:rsid w:val="00727390"/>
    <w:rsid w:val="00727ABF"/>
    <w:rsid w:val="00727BAE"/>
    <w:rsid w:val="00731D14"/>
    <w:rsid w:val="00731DFC"/>
    <w:rsid w:val="00731E89"/>
    <w:rsid w:val="007324FB"/>
    <w:rsid w:val="007329FC"/>
    <w:rsid w:val="00733245"/>
    <w:rsid w:val="00733E8F"/>
    <w:rsid w:val="00734FA0"/>
    <w:rsid w:val="0073573B"/>
    <w:rsid w:val="0073680D"/>
    <w:rsid w:val="00736B7F"/>
    <w:rsid w:val="00737B29"/>
    <w:rsid w:val="0074044C"/>
    <w:rsid w:val="00740936"/>
    <w:rsid w:val="007409AF"/>
    <w:rsid w:val="00740A0F"/>
    <w:rsid w:val="0074179D"/>
    <w:rsid w:val="00742415"/>
    <w:rsid w:val="00742805"/>
    <w:rsid w:val="0074303E"/>
    <w:rsid w:val="00743161"/>
    <w:rsid w:val="00743896"/>
    <w:rsid w:val="00743A10"/>
    <w:rsid w:val="00743CF3"/>
    <w:rsid w:val="00744316"/>
    <w:rsid w:val="00744968"/>
    <w:rsid w:val="00744A88"/>
    <w:rsid w:val="00744D46"/>
    <w:rsid w:val="00744F67"/>
    <w:rsid w:val="00745AD7"/>
    <w:rsid w:val="00745E2D"/>
    <w:rsid w:val="00745FCF"/>
    <w:rsid w:val="00746686"/>
    <w:rsid w:val="00750189"/>
    <w:rsid w:val="007504A0"/>
    <w:rsid w:val="007509ED"/>
    <w:rsid w:val="00750AD6"/>
    <w:rsid w:val="0075223B"/>
    <w:rsid w:val="007527E1"/>
    <w:rsid w:val="00752BE4"/>
    <w:rsid w:val="00754762"/>
    <w:rsid w:val="00754D62"/>
    <w:rsid w:val="00754DC4"/>
    <w:rsid w:val="007550BB"/>
    <w:rsid w:val="007570B9"/>
    <w:rsid w:val="00757715"/>
    <w:rsid w:val="00760882"/>
    <w:rsid w:val="007609B4"/>
    <w:rsid w:val="00763AB0"/>
    <w:rsid w:val="00763D3F"/>
    <w:rsid w:val="00764497"/>
    <w:rsid w:val="00764C18"/>
    <w:rsid w:val="0076574B"/>
    <w:rsid w:val="00767D9E"/>
    <w:rsid w:val="00767F16"/>
    <w:rsid w:val="007700C4"/>
    <w:rsid w:val="0077058A"/>
    <w:rsid w:val="00770E34"/>
    <w:rsid w:val="007716BD"/>
    <w:rsid w:val="00771CE7"/>
    <w:rsid w:val="00772A91"/>
    <w:rsid w:val="00772C04"/>
    <w:rsid w:val="00773369"/>
    <w:rsid w:val="00773981"/>
    <w:rsid w:val="00774C66"/>
    <w:rsid w:val="00775567"/>
    <w:rsid w:val="00775A51"/>
    <w:rsid w:val="00775D61"/>
    <w:rsid w:val="00776316"/>
    <w:rsid w:val="007764AE"/>
    <w:rsid w:val="00776DED"/>
    <w:rsid w:val="007779FC"/>
    <w:rsid w:val="007820B0"/>
    <w:rsid w:val="00782A66"/>
    <w:rsid w:val="00783232"/>
    <w:rsid w:val="0078415E"/>
    <w:rsid w:val="0078472B"/>
    <w:rsid w:val="00784BA8"/>
    <w:rsid w:val="00785634"/>
    <w:rsid w:val="00785670"/>
    <w:rsid w:val="0078567B"/>
    <w:rsid w:val="007856D7"/>
    <w:rsid w:val="007858CA"/>
    <w:rsid w:val="00785E90"/>
    <w:rsid w:val="00787A34"/>
    <w:rsid w:val="00790168"/>
    <w:rsid w:val="0079091B"/>
    <w:rsid w:val="00790A03"/>
    <w:rsid w:val="00791F87"/>
    <w:rsid w:val="007921B3"/>
    <w:rsid w:val="00792686"/>
    <w:rsid w:val="0079269E"/>
    <w:rsid w:val="00792F4B"/>
    <w:rsid w:val="0079368A"/>
    <w:rsid w:val="00793A7F"/>
    <w:rsid w:val="007942E7"/>
    <w:rsid w:val="00795FDB"/>
    <w:rsid w:val="00797995"/>
    <w:rsid w:val="00797DD0"/>
    <w:rsid w:val="007A08B7"/>
    <w:rsid w:val="007A0A79"/>
    <w:rsid w:val="007A10C9"/>
    <w:rsid w:val="007A180A"/>
    <w:rsid w:val="007A24F3"/>
    <w:rsid w:val="007A28DF"/>
    <w:rsid w:val="007A3069"/>
    <w:rsid w:val="007A38EF"/>
    <w:rsid w:val="007A3CBC"/>
    <w:rsid w:val="007A3F9C"/>
    <w:rsid w:val="007A4031"/>
    <w:rsid w:val="007A43E0"/>
    <w:rsid w:val="007A4D40"/>
    <w:rsid w:val="007A57C1"/>
    <w:rsid w:val="007A5E42"/>
    <w:rsid w:val="007A5F24"/>
    <w:rsid w:val="007A63BE"/>
    <w:rsid w:val="007A64AF"/>
    <w:rsid w:val="007A6D69"/>
    <w:rsid w:val="007A7444"/>
    <w:rsid w:val="007A7451"/>
    <w:rsid w:val="007A75FC"/>
    <w:rsid w:val="007A763F"/>
    <w:rsid w:val="007B0717"/>
    <w:rsid w:val="007B0BCF"/>
    <w:rsid w:val="007B2086"/>
    <w:rsid w:val="007B2344"/>
    <w:rsid w:val="007B254A"/>
    <w:rsid w:val="007B3191"/>
    <w:rsid w:val="007B31C3"/>
    <w:rsid w:val="007B3A0D"/>
    <w:rsid w:val="007B4256"/>
    <w:rsid w:val="007B425A"/>
    <w:rsid w:val="007B42CA"/>
    <w:rsid w:val="007B455E"/>
    <w:rsid w:val="007B5693"/>
    <w:rsid w:val="007B5AEF"/>
    <w:rsid w:val="007B5B2D"/>
    <w:rsid w:val="007B5E7F"/>
    <w:rsid w:val="007B6CB8"/>
    <w:rsid w:val="007B6FAA"/>
    <w:rsid w:val="007B7262"/>
    <w:rsid w:val="007B73AF"/>
    <w:rsid w:val="007B7D56"/>
    <w:rsid w:val="007C0F06"/>
    <w:rsid w:val="007C1563"/>
    <w:rsid w:val="007C3181"/>
    <w:rsid w:val="007C3D92"/>
    <w:rsid w:val="007C4233"/>
    <w:rsid w:val="007C4ACC"/>
    <w:rsid w:val="007C5081"/>
    <w:rsid w:val="007C5FFD"/>
    <w:rsid w:val="007C619D"/>
    <w:rsid w:val="007C6EE1"/>
    <w:rsid w:val="007C78CA"/>
    <w:rsid w:val="007D02AB"/>
    <w:rsid w:val="007D08C7"/>
    <w:rsid w:val="007D1C6D"/>
    <w:rsid w:val="007D23AF"/>
    <w:rsid w:val="007D2884"/>
    <w:rsid w:val="007D2B12"/>
    <w:rsid w:val="007D30FC"/>
    <w:rsid w:val="007D3ED8"/>
    <w:rsid w:val="007D3F48"/>
    <w:rsid w:val="007D40E9"/>
    <w:rsid w:val="007D43BF"/>
    <w:rsid w:val="007D4AE8"/>
    <w:rsid w:val="007D4DB5"/>
    <w:rsid w:val="007D4DDF"/>
    <w:rsid w:val="007D5190"/>
    <w:rsid w:val="007D56B7"/>
    <w:rsid w:val="007D56C8"/>
    <w:rsid w:val="007D597E"/>
    <w:rsid w:val="007D65EE"/>
    <w:rsid w:val="007D7EF3"/>
    <w:rsid w:val="007E046E"/>
    <w:rsid w:val="007E07B1"/>
    <w:rsid w:val="007E0BF3"/>
    <w:rsid w:val="007E10BB"/>
    <w:rsid w:val="007E1F68"/>
    <w:rsid w:val="007E27B9"/>
    <w:rsid w:val="007E2832"/>
    <w:rsid w:val="007E2870"/>
    <w:rsid w:val="007E4D49"/>
    <w:rsid w:val="007E53EB"/>
    <w:rsid w:val="007E5E86"/>
    <w:rsid w:val="007E66BF"/>
    <w:rsid w:val="007E6CD0"/>
    <w:rsid w:val="007E6FCB"/>
    <w:rsid w:val="007E705A"/>
    <w:rsid w:val="007E7340"/>
    <w:rsid w:val="007E7AC9"/>
    <w:rsid w:val="007F0E80"/>
    <w:rsid w:val="007F17E3"/>
    <w:rsid w:val="007F1A4B"/>
    <w:rsid w:val="007F26CD"/>
    <w:rsid w:val="007F2DA0"/>
    <w:rsid w:val="007F2E77"/>
    <w:rsid w:val="007F3137"/>
    <w:rsid w:val="007F350E"/>
    <w:rsid w:val="007F4066"/>
    <w:rsid w:val="007F573B"/>
    <w:rsid w:val="008005A8"/>
    <w:rsid w:val="008007C3"/>
    <w:rsid w:val="00800DBC"/>
    <w:rsid w:val="00800EDA"/>
    <w:rsid w:val="00802ABF"/>
    <w:rsid w:val="00802D0C"/>
    <w:rsid w:val="008032A5"/>
    <w:rsid w:val="00803885"/>
    <w:rsid w:val="008039BB"/>
    <w:rsid w:val="00804156"/>
    <w:rsid w:val="008049C7"/>
    <w:rsid w:val="00804FDA"/>
    <w:rsid w:val="0080556E"/>
    <w:rsid w:val="00805965"/>
    <w:rsid w:val="008059B0"/>
    <w:rsid w:val="008062D5"/>
    <w:rsid w:val="00806526"/>
    <w:rsid w:val="00806CE4"/>
    <w:rsid w:val="00806DE4"/>
    <w:rsid w:val="00806F93"/>
    <w:rsid w:val="008078AF"/>
    <w:rsid w:val="00807939"/>
    <w:rsid w:val="00807B88"/>
    <w:rsid w:val="008110E6"/>
    <w:rsid w:val="00811B24"/>
    <w:rsid w:val="008124F6"/>
    <w:rsid w:val="00812932"/>
    <w:rsid w:val="00813571"/>
    <w:rsid w:val="00814374"/>
    <w:rsid w:val="00815161"/>
    <w:rsid w:val="00815763"/>
    <w:rsid w:val="0081611B"/>
    <w:rsid w:val="00816AFC"/>
    <w:rsid w:val="00816FD9"/>
    <w:rsid w:val="008172DE"/>
    <w:rsid w:val="00817B85"/>
    <w:rsid w:val="008200B8"/>
    <w:rsid w:val="0082018F"/>
    <w:rsid w:val="00820416"/>
    <w:rsid w:val="0082192B"/>
    <w:rsid w:val="0082228C"/>
    <w:rsid w:val="008234B1"/>
    <w:rsid w:val="008250DA"/>
    <w:rsid w:val="008264E9"/>
    <w:rsid w:val="00826A4A"/>
    <w:rsid w:val="0082703A"/>
    <w:rsid w:val="00827D7C"/>
    <w:rsid w:val="0083036D"/>
    <w:rsid w:val="00830F88"/>
    <w:rsid w:val="00831007"/>
    <w:rsid w:val="00831D80"/>
    <w:rsid w:val="00831DA6"/>
    <w:rsid w:val="00832ABE"/>
    <w:rsid w:val="00832E2A"/>
    <w:rsid w:val="00832EC4"/>
    <w:rsid w:val="00833644"/>
    <w:rsid w:val="00834D57"/>
    <w:rsid w:val="008353A1"/>
    <w:rsid w:val="0083579C"/>
    <w:rsid w:val="008359FE"/>
    <w:rsid w:val="00835B86"/>
    <w:rsid w:val="00835DAC"/>
    <w:rsid w:val="008367EA"/>
    <w:rsid w:val="008368C5"/>
    <w:rsid w:val="008376FD"/>
    <w:rsid w:val="008406C2"/>
    <w:rsid w:val="00840B49"/>
    <w:rsid w:val="00841281"/>
    <w:rsid w:val="00841998"/>
    <w:rsid w:val="008428F6"/>
    <w:rsid w:val="00842C86"/>
    <w:rsid w:val="008448A5"/>
    <w:rsid w:val="00844922"/>
    <w:rsid w:val="0084513A"/>
    <w:rsid w:val="00845CF3"/>
    <w:rsid w:val="0084760D"/>
    <w:rsid w:val="0084763F"/>
    <w:rsid w:val="00847893"/>
    <w:rsid w:val="00850048"/>
    <w:rsid w:val="0085064C"/>
    <w:rsid w:val="0085080D"/>
    <w:rsid w:val="008508FF"/>
    <w:rsid w:val="0085186C"/>
    <w:rsid w:val="00852144"/>
    <w:rsid w:val="00852F8A"/>
    <w:rsid w:val="008532E8"/>
    <w:rsid w:val="00853622"/>
    <w:rsid w:val="0085385D"/>
    <w:rsid w:val="00853CF8"/>
    <w:rsid w:val="00854954"/>
    <w:rsid w:val="00854FB3"/>
    <w:rsid w:val="00855AD5"/>
    <w:rsid w:val="00855C6B"/>
    <w:rsid w:val="0085669B"/>
    <w:rsid w:val="00856C6A"/>
    <w:rsid w:val="00856FFC"/>
    <w:rsid w:val="00861CCA"/>
    <w:rsid w:val="00861CE5"/>
    <w:rsid w:val="0086279C"/>
    <w:rsid w:val="00862BFC"/>
    <w:rsid w:val="008637DD"/>
    <w:rsid w:val="00864020"/>
    <w:rsid w:val="00864C40"/>
    <w:rsid w:val="00865537"/>
    <w:rsid w:val="008660A6"/>
    <w:rsid w:val="00866B4C"/>
    <w:rsid w:val="00866E86"/>
    <w:rsid w:val="0086742D"/>
    <w:rsid w:val="0086791F"/>
    <w:rsid w:val="008705C4"/>
    <w:rsid w:val="00870728"/>
    <w:rsid w:val="00871122"/>
    <w:rsid w:val="00872042"/>
    <w:rsid w:val="008725F4"/>
    <w:rsid w:val="00872FA9"/>
    <w:rsid w:val="008731A6"/>
    <w:rsid w:val="00873748"/>
    <w:rsid w:val="00873B36"/>
    <w:rsid w:val="00874825"/>
    <w:rsid w:val="008750A0"/>
    <w:rsid w:val="008760DD"/>
    <w:rsid w:val="008762EA"/>
    <w:rsid w:val="00876858"/>
    <w:rsid w:val="0087769C"/>
    <w:rsid w:val="00881067"/>
    <w:rsid w:val="008811D9"/>
    <w:rsid w:val="008813DA"/>
    <w:rsid w:val="008815B0"/>
    <w:rsid w:val="00881A07"/>
    <w:rsid w:val="00882756"/>
    <w:rsid w:val="00882F65"/>
    <w:rsid w:val="008833FF"/>
    <w:rsid w:val="0088390B"/>
    <w:rsid w:val="00884AE4"/>
    <w:rsid w:val="00884BC9"/>
    <w:rsid w:val="00885398"/>
    <w:rsid w:val="00885987"/>
    <w:rsid w:val="00885E8C"/>
    <w:rsid w:val="008865F3"/>
    <w:rsid w:val="00886950"/>
    <w:rsid w:val="00886A8E"/>
    <w:rsid w:val="00886DF0"/>
    <w:rsid w:val="0088732E"/>
    <w:rsid w:val="0088737F"/>
    <w:rsid w:val="0088740A"/>
    <w:rsid w:val="00887B2E"/>
    <w:rsid w:val="00887CC2"/>
    <w:rsid w:val="00887F82"/>
    <w:rsid w:val="008903AC"/>
    <w:rsid w:val="008908C6"/>
    <w:rsid w:val="00890CC1"/>
    <w:rsid w:val="00890D72"/>
    <w:rsid w:val="008915BD"/>
    <w:rsid w:val="008929FE"/>
    <w:rsid w:val="00892B5D"/>
    <w:rsid w:val="00892FC7"/>
    <w:rsid w:val="00893009"/>
    <w:rsid w:val="00896150"/>
    <w:rsid w:val="00896B2D"/>
    <w:rsid w:val="00897670"/>
    <w:rsid w:val="008976A0"/>
    <w:rsid w:val="00897EA1"/>
    <w:rsid w:val="008A0886"/>
    <w:rsid w:val="008A0C8D"/>
    <w:rsid w:val="008A1216"/>
    <w:rsid w:val="008A2C9F"/>
    <w:rsid w:val="008A2DE7"/>
    <w:rsid w:val="008A3476"/>
    <w:rsid w:val="008A5866"/>
    <w:rsid w:val="008A5AF8"/>
    <w:rsid w:val="008A5C73"/>
    <w:rsid w:val="008A66E6"/>
    <w:rsid w:val="008A6C3A"/>
    <w:rsid w:val="008A6F9A"/>
    <w:rsid w:val="008A7CC1"/>
    <w:rsid w:val="008A7E6B"/>
    <w:rsid w:val="008B007C"/>
    <w:rsid w:val="008B0675"/>
    <w:rsid w:val="008B195D"/>
    <w:rsid w:val="008B1F92"/>
    <w:rsid w:val="008B2593"/>
    <w:rsid w:val="008B28EA"/>
    <w:rsid w:val="008B387E"/>
    <w:rsid w:val="008B4031"/>
    <w:rsid w:val="008B4162"/>
    <w:rsid w:val="008B50A1"/>
    <w:rsid w:val="008B5FA7"/>
    <w:rsid w:val="008B640D"/>
    <w:rsid w:val="008B6815"/>
    <w:rsid w:val="008B69BC"/>
    <w:rsid w:val="008B792E"/>
    <w:rsid w:val="008C01CA"/>
    <w:rsid w:val="008C05DE"/>
    <w:rsid w:val="008C0C7C"/>
    <w:rsid w:val="008C0DF7"/>
    <w:rsid w:val="008C2570"/>
    <w:rsid w:val="008C26B8"/>
    <w:rsid w:val="008C279A"/>
    <w:rsid w:val="008C3595"/>
    <w:rsid w:val="008C4282"/>
    <w:rsid w:val="008C478A"/>
    <w:rsid w:val="008C47E3"/>
    <w:rsid w:val="008C4E04"/>
    <w:rsid w:val="008C51B2"/>
    <w:rsid w:val="008C5329"/>
    <w:rsid w:val="008C5ECB"/>
    <w:rsid w:val="008C7110"/>
    <w:rsid w:val="008C776A"/>
    <w:rsid w:val="008D0E55"/>
    <w:rsid w:val="008D0EE7"/>
    <w:rsid w:val="008D1ED1"/>
    <w:rsid w:val="008D1EDE"/>
    <w:rsid w:val="008D25AE"/>
    <w:rsid w:val="008D2A11"/>
    <w:rsid w:val="008D3FB3"/>
    <w:rsid w:val="008D4E9F"/>
    <w:rsid w:val="008D4F0C"/>
    <w:rsid w:val="008D53D0"/>
    <w:rsid w:val="008D6007"/>
    <w:rsid w:val="008D63C4"/>
    <w:rsid w:val="008D6856"/>
    <w:rsid w:val="008D6EAC"/>
    <w:rsid w:val="008D7679"/>
    <w:rsid w:val="008D76D8"/>
    <w:rsid w:val="008E0675"/>
    <w:rsid w:val="008E08D8"/>
    <w:rsid w:val="008E11B8"/>
    <w:rsid w:val="008E156F"/>
    <w:rsid w:val="008E17A4"/>
    <w:rsid w:val="008E199C"/>
    <w:rsid w:val="008E23B9"/>
    <w:rsid w:val="008E240C"/>
    <w:rsid w:val="008E26BE"/>
    <w:rsid w:val="008E2D8E"/>
    <w:rsid w:val="008E2DC3"/>
    <w:rsid w:val="008E342E"/>
    <w:rsid w:val="008E3DA9"/>
    <w:rsid w:val="008E4CBA"/>
    <w:rsid w:val="008E4E8C"/>
    <w:rsid w:val="008E532D"/>
    <w:rsid w:val="008E54F9"/>
    <w:rsid w:val="008E56D6"/>
    <w:rsid w:val="008E5E11"/>
    <w:rsid w:val="008E5F6B"/>
    <w:rsid w:val="008E634A"/>
    <w:rsid w:val="008E648C"/>
    <w:rsid w:val="008E667D"/>
    <w:rsid w:val="008E6DF9"/>
    <w:rsid w:val="008E7BB0"/>
    <w:rsid w:val="008E7DD9"/>
    <w:rsid w:val="008F016E"/>
    <w:rsid w:val="008F072C"/>
    <w:rsid w:val="008F0732"/>
    <w:rsid w:val="008F09F8"/>
    <w:rsid w:val="008F14C8"/>
    <w:rsid w:val="008F1E7F"/>
    <w:rsid w:val="008F2D3E"/>
    <w:rsid w:val="008F3BDD"/>
    <w:rsid w:val="008F50B0"/>
    <w:rsid w:val="008F5ED5"/>
    <w:rsid w:val="008F65E0"/>
    <w:rsid w:val="008F66F1"/>
    <w:rsid w:val="008F7447"/>
    <w:rsid w:val="008F7D0C"/>
    <w:rsid w:val="008F7EAF"/>
    <w:rsid w:val="00900021"/>
    <w:rsid w:val="009007D7"/>
    <w:rsid w:val="00900E7C"/>
    <w:rsid w:val="00901D58"/>
    <w:rsid w:val="00902ED9"/>
    <w:rsid w:val="009031EA"/>
    <w:rsid w:val="009034B9"/>
    <w:rsid w:val="009038BB"/>
    <w:rsid w:val="00903A44"/>
    <w:rsid w:val="009056EC"/>
    <w:rsid w:val="0090686F"/>
    <w:rsid w:val="00906CB7"/>
    <w:rsid w:val="009072ED"/>
    <w:rsid w:val="00907D72"/>
    <w:rsid w:val="00907EF6"/>
    <w:rsid w:val="0091061A"/>
    <w:rsid w:val="00911066"/>
    <w:rsid w:val="0091150F"/>
    <w:rsid w:val="00912C8D"/>
    <w:rsid w:val="009130C7"/>
    <w:rsid w:val="00913C76"/>
    <w:rsid w:val="00914625"/>
    <w:rsid w:val="009147B4"/>
    <w:rsid w:val="00915132"/>
    <w:rsid w:val="009154AA"/>
    <w:rsid w:val="00915798"/>
    <w:rsid w:val="0091658B"/>
    <w:rsid w:val="009166EB"/>
    <w:rsid w:val="009167FC"/>
    <w:rsid w:val="009175CB"/>
    <w:rsid w:val="0091796F"/>
    <w:rsid w:val="00920CFA"/>
    <w:rsid w:val="00920D1A"/>
    <w:rsid w:val="009222AE"/>
    <w:rsid w:val="00923CD7"/>
    <w:rsid w:val="00923F34"/>
    <w:rsid w:val="009244BE"/>
    <w:rsid w:val="009256F7"/>
    <w:rsid w:val="0092579A"/>
    <w:rsid w:val="00925821"/>
    <w:rsid w:val="00925E16"/>
    <w:rsid w:val="009267CB"/>
    <w:rsid w:val="00926C0D"/>
    <w:rsid w:val="00927603"/>
    <w:rsid w:val="0092772A"/>
    <w:rsid w:val="00927A79"/>
    <w:rsid w:val="00927B66"/>
    <w:rsid w:val="0093026E"/>
    <w:rsid w:val="00930423"/>
    <w:rsid w:val="00930765"/>
    <w:rsid w:val="009318EB"/>
    <w:rsid w:val="00933C85"/>
    <w:rsid w:val="00934A51"/>
    <w:rsid w:val="00935846"/>
    <w:rsid w:val="00935E38"/>
    <w:rsid w:val="00935E66"/>
    <w:rsid w:val="009360D1"/>
    <w:rsid w:val="0093672B"/>
    <w:rsid w:val="00936C45"/>
    <w:rsid w:val="00936D41"/>
    <w:rsid w:val="00937D13"/>
    <w:rsid w:val="009410A6"/>
    <w:rsid w:val="009412DF"/>
    <w:rsid w:val="009412F7"/>
    <w:rsid w:val="009415D6"/>
    <w:rsid w:val="0094282C"/>
    <w:rsid w:val="00942AC7"/>
    <w:rsid w:val="00943324"/>
    <w:rsid w:val="00943361"/>
    <w:rsid w:val="0094340D"/>
    <w:rsid w:val="00944CFF"/>
    <w:rsid w:val="0094642F"/>
    <w:rsid w:val="009464AE"/>
    <w:rsid w:val="00946C80"/>
    <w:rsid w:val="00946F61"/>
    <w:rsid w:val="00946FD3"/>
    <w:rsid w:val="0094741C"/>
    <w:rsid w:val="009477F4"/>
    <w:rsid w:val="00947F7F"/>
    <w:rsid w:val="00950ABC"/>
    <w:rsid w:val="009515D8"/>
    <w:rsid w:val="009517E8"/>
    <w:rsid w:val="0095229F"/>
    <w:rsid w:val="00952CF2"/>
    <w:rsid w:val="00952EEF"/>
    <w:rsid w:val="009538F9"/>
    <w:rsid w:val="00953936"/>
    <w:rsid w:val="009541C4"/>
    <w:rsid w:val="0095464E"/>
    <w:rsid w:val="00954AB9"/>
    <w:rsid w:val="009551CB"/>
    <w:rsid w:val="00955432"/>
    <w:rsid w:val="009569E5"/>
    <w:rsid w:val="00957876"/>
    <w:rsid w:val="00957BA2"/>
    <w:rsid w:val="00957E0F"/>
    <w:rsid w:val="009600A0"/>
    <w:rsid w:val="009609D7"/>
    <w:rsid w:val="00961D39"/>
    <w:rsid w:val="00962424"/>
    <w:rsid w:val="00962C52"/>
    <w:rsid w:val="009632B2"/>
    <w:rsid w:val="009645E6"/>
    <w:rsid w:val="00965188"/>
    <w:rsid w:val="00965327"/>
    <w:rsid w:val="009660C4"/>
    <w:rsid w:val="009660DC"/>
    <w:rsid w:val="00966B1A"/>
    <w:rsid w:val="0096721E"/>
    <w:rsid w:val="00967655"/>
    <w:rsid w:val="00967BF2"/>
    <w:rsid w:val="009704F6"/>
    <w:rsid w:val="00971AE4"/>
    <w:rsid w:val="00971F8E"/>
    <w:rsid w:val="009723D7"/>
    <w:rsid w:val="009724C3"/>
    <w:rsid w:val="00972717"/>
    <w:rsid w:val="00972E8C"/>
    <w:rsid w:val="0097302B"/>
    <w:rsid w:val="00973756"/>
    <w:rsid w:val="009753FD"/>
    <w:rsid w:val="00975B22"/>
    <w:rsid w:val="009768D9"/>
    <w:rsid w:val="00976E11"/>
    <w:rsid w:val="0097720A"/>
    <w:rsid w:val="0097735B"/>
    <w:rsid w:val="00977645"/>
    <w:rsid w:val="009776C9"/>
    <w:rsid w:val="00977907"/>
    <w:rsid w:val="00977BB4"/>
    <w:rsid w:val="00977E8D"/>
    <w:rsid w:val="00980408"/>
    <w:rsid w:val="009819A5"/>
    <w:rsid w:val="00982C1C"/>
    <w:rsid w:val="00984923"/>
    <w:rsid w:val="00984F3E"/>
    <w:rsid w:val="00985804"/>
    <w:rsid w:val="00985FA0"/>
    <w:rsid w:val="00986183"/>
    <w:rsid w:val="00986734"/>
    <w:rsid w:val="00986780"/>
    <w:rsid w:val="00986791"/>
    <w:rsid w:val="00987791"/>
    <w:rsid w:val="009878A0"/>
    <w:rsid w:val="00987DB9"/>
    <w:rsid w:val="00990943"/>
    <w:rsid w:val="009932A4"/>
    <w:rsid w:val="009939F9"/>
    <w:rsid w:val="0099461C"/>
    <w:rsid w:val="0099488C"/>
    <w:rsid w:val="0099527A"/>
    <w:rsid w:val="0099589D"/>
    <w:rsid w:val="00995992"/>
    <w:rsid w:val="00995998"/>
    <w:rsid w:val="0099616C"/>
    <w:rsid w:val="009966D7"/>
    <w:rsid w:val="00997656"/>
    <w:rsid w:val="009A04A3"/>
    <w:rsid w:val="009A1C7C"/>
    <w:rsid w:val="009A204B"/>
    <w:rsid w:val="009A2991"/>
    <w:rsid w:val="009A416C"/>
    <w:rsid w:val="009A4498"/>
    <w:rsid w:val="009A5217"/>
    <w:rsid w:val="009A5974"/>
    <w:rsid w:val="009A7065"/>
    <w:rsid w:val="009A7E8A"/>
    <w:rsid w:val="009B0935"/>
    <w:rsid w:val="009B0B7E"/>
    <w:rsid w:val="009B107C"/>
    <w:rsid w:val="009B11BB"/>
    <w:rsid w:val="009B3395"/>
    <w:rsid w:val="009B3B6D"/>
    <w:rsid w:val="009B3E76"/>
    <w:rsid w:val="009B4DEF"/>
    <w:rsid w:val="009B4E3A"/>
    <w:rsid w:val="009B524F"/>
    <w:rsid w:val="009B67F6"/>
    <w:rsid w:val="009B6809"/>
    <w:rsid w:val="009B6E8C"/>
    <w:rsid w:val="009B7CCA"/>
    <w:rsid w:val="009C0866"/>
    <w:rsid w:val="009C0B6F"/>
    <w:rsid w:val="009C0BBB"/>
    <w:rsid w:val="009C17EF"/>
    <w:rsid w:val="009C320A"/>
    <w:rsid w:val="009C35D7"/>
    <w:rsid w:val="009C3E59"/>
    <w:rsid w:val="009C3F2B"/>
    <w:rsid w:val="009C403F"/>
    <w:rsid w:val="009C47DB"/>
    <w:rsid w:val="009C5594"/>
    <w:rsid w:val="009C5856"/>
    <w:rsid w:val="009C637A"/>
    <w:rsid w:val="009C66BC"/>
    <w:rsid w:val="009C74DB"/>
    <w:rsid w:val="009C7759"/>
    <w:rsid w:val="009C7C3C"/>
    <w:rsid w:val="009D0194"/>
    <w:rsid w:val="009D0920"/>
    <w:rsid w:val="009D11C3"/>
    <w:rsid w:val="009D135F"/>
    <w:rsid w:val="009D14E6"/>
    <w:rsid w:val="009D1764"/>
    <w:rsid w:val="009D1DB1"/>
    <w:rsid w:val="009D27F3"/>
    <w:rsid w:val="009D28F5"/>
    <w:rsid w:val="009D2920"/>
    <w:rsid w:val="009D3C29"/>
    <w:rsid w:val="009D3F03"/>
    <w:rsid w:val="009D435E"/>
    <w:rsid w:val="009D43F7"/>
    <w:rsid w:val="009D4A1B"/>
    <w:rsid w:val="009D4B2F"/>
    <w:rsid w:val="009D4DE2"/>
    <w:rsid w:val="009D4F8C"/>
    <w:rsid w:val="009D514B"/>
    <w:rsid w:val="009D5B54"/>
    <w:rsid w:val="009D5D63"/>
    <w:rsid w:val="009D736C"/>
    <w:rsid w:val="009E002C"/>
    <w:rsid w:val="009E0FCC"/>
    <w:rsid w:val="009E11B1"/>
    <w:rsid w:val="009E16EE"/>
    <w:rsid w:val="009E1755"/>
    <w:rsid w:val="009E1A98"/>
    <w:rsid w:val="009E2D57"/>
    <w:rsid w:val="009E3CC5"/>
    <w:rsid w:val="009E3E1C"/>
    <w:rsid w:val="009E4CAA"/>
    <w:rsid w:val="009E525B"/>
    <w:rsid w:val="009E5439"/>
    <w:rsid w:val="009E55FA"/>
    <w:rsid w:val="009E5978"/>
    <w:rsid w:val="009E6D7B"/>
    <w:rsid w:val="009E7353"/>
    <w:rsid w:val="009E7ACF"/>
    <w:rsid w:val="009F0019"/>
    <w:rsid w:val="009F0837"/>
    <w:rsid w:val="009F150A"/>
    <w:rsid w:val="009F1B20"/>
    <w:rsid w:val="009F26D2"/>
    <w:rsid w:val="009F3145"/>
    <w:rsid w:val="009F3399"/>
    <w:rsid w:val="009F3866"/>
    <w:rsid w:val="009F3F56"/>
    <w:rsid w:val="009F4EE2"/>
    <w:rsid w:val="009F5CDE"/>
    <w:rsid w:val="009F646E"/>
    <w:rsid w:val="009F6E48"/>
    <w:rsid w:val="009F700C"/>
    <w:rsid w:val="009F70C3"/>
    <w:rsid w:val="009F7D10"/>
    <w:rsid w:val="009F7E08"/>
    <w:rsid w:val="00A000F9"/>
    <w:rsid w:val="00A005C2"/>
    <w:rsid w:val="00A006FB"/>
    <w:rsid w:val="00A00994"/>
    <w:rsid w:val="00A00A7C"/>
    <w:rsid w:val="00A010E7"/>
    <w:rsid w:val="00A01776"/>
    <w:rsid w:val="00A018AB"/>
    <w:rsid w:val="00A0199B"/>
    <w:rsid w:val="00A0299D"/>
    <w:rsid w:val="00A02D5F"/>
    <w:rsid w:val="00A03622"/>
    <w:rsid w:val="00A036A1"/>
    <w:rsid w:val="00A037B2"/>
    <w:rsid w:val="00A03CAE"/>
    <w:rsid w:val="00A03F49"/>
    <w:rsid w:val="00A04461"/>
    <w:rsid w:val="00A04DE6"/>
    <w:rsid w:val="00A05463"/>
    <w:rsid w:val="00A055A5"/>
    <w:rsid w:val="00A0568D"/>
    <w:rsid w:val="00A05E6D"/>
    <w:rsid w:val="00A06293"/>
    <w:rsid w:val="00A06D9F"/>
    <w:rsid w:val="00A10134"/>
    <w:rsid w:val="00A11A35"/>
    <w:rsid w:val="00A11DB4"/>
    <w:rsid w:val="00A1224E"/>
    <w:rsid w:val="00A13A65"/>
    <w:rsid w:val="00A13ABD"/>
    <w:rsid w:val="00A13D7F"/>
    <w:rsid w:val="00A13EDE"/>
    <w:rsid w:val="00A15077"/>
    <w:rsid w:val="00A153D3"/>
    <w:rsid w:val="00A157F6"/>
    <w:rsid w:val="00A16D18"/>
    <w:rsid w:val="00A16D77"/>
    <w:rsid w:val="00A16FF1"/>
    <w:rsid w:val="00A176C8"/>
    <w:rsid w:val="00A17E72"/>
    <w:rsid w:val="00A204AE"/>
    <w:rsid w:val="00A2065B"/>
    <w:rsid w:val="00A2110F"/>
    <w:rsid w:val="00A21988"/>
    <w:rsid w:val="00A21EC3"/>
    <w:rsid w:val="00A23A19"/>
    <w:rsid w:val="00A24AAD"/>
    <w:rsid w:val="00A24C3C"/>
    <w:rsid w:val="00A24DD9"/>
    <w:rsid w:val="00A25109"/>
    <w:rsid w:val="00A255DC"/>
    <w:rsid w:val="00A25DDD"/>
    <w:rsid w:val="00A27859"/>
    <w:rsid w:val="00A27EB9"/>
    <w:rsid w:val="00A3019C"/>
    <w:rsid w:val="00A3030F"/>
    <w:rsid w:val="00A305B1"/>
    <w:rsid w:val="00A306FE"/>
    <w:rsid w:val="00A3328B"/>
    <w:rsid w:val="00A336DA"/>
    <w:rsid w:val="00A33B14"/>
    <w:rsid w:val="00A33BE9"/>
    <w:rsid w:val="00A33C56"/>
    <w:rsid w:val="00A34842"/>
    <w:rsid w:val="00A34FEB"/>
    <w:rsid w:val="00A351F1"/>
    <w:rsid w:val="00A3529D"/>
    <w:rsid w:val="00A35BAC"/>
    <w:rsid w:val="00A3735B"/>
    <w:rsid w:val="00A37EAD"/>
    <w:rsid w:val="00A4066A"/>
    <w:rsid w:val="00A40E84"/>
    <w:rsid w:val="00A41EA3"/>
    <w:rsid w:val="00A42445"/>
    <w:rsid w:val="00A4274F"/>
    <w:rsid w:val="00A42BB5"/>
    <w:rsid w:val="00A42D94"/>
    <w:rsid w:val="00A43D6F"/>
    <w:rsid w:val="00A4501E"/>
    <w:rsid w:val="00A45490"/>
    <w:rsid w:val="00A454A9"/>
    <w:rsid w:val="00A45AD9"/>
    <w:rsid w:val="00A46528"/>
    <w:rsid w:val="00A466BF"/>
    <w:rsid w:val="00A46F2C"/>
    <w:rsid w:val="00A46F43"/>
    <w:rsid w:val="00A47080"/>
    <w:rsid w:val="00A47DCA"/>
    <w:rsid w:val="00A50F7F"/>
    <w:rsid w:val="00A511CE"/>
    <w:rsid w:val="00A52254"/>
    <w:rsid w:val="00A52351"/>
    <w:rsid w:val="00A526B3"/>
    <w:rsid w:val="00A5323B"/>
    <w:rsid w:val="00A534A8"/>
    <w:rsid w:val="00A53A50"/>
    <w:rsid w:val="00A54B1B"/>
    <w:rsid w:val="00A55007"/>
    <w:rsid w:val="00A5510D"/>
    <w:rsid w:val="00A5569C"/>
    <w:rsid w:val="00A5591B"/>
    <w:rsid w:val="00A55DA3"/>
    <w:rsid w:val="00A56340"/>
    <w:rsid w:val="00A57A06"/>
    <w:rsid w:val="00A57AA0"/>
    <w:rsid w:val="00A601EF"/>
    <w:rsid w:val="00A619CD"/>
    <w:rsid w:val="00A61EE9"/>
    <w:rsid w:val="00A62126"/>
    <w:rsid w:val="00A62656"/>
    <w:rsid w:val="00A62AEC"/>
    <w:rsid w:val="00A636AA"/>
    <w:rsid w:val="00A6453D"/>
    <w:rsid w:val="00A64A8F"/>
    <w:rsid w:val="00A656AD"/>
    <w:rsid w:val="00A6611D"/>
    <w:rsid w:val="00A6632D"/>
    <w:rsid w:val="00A66847"/>
    <w:rsid w:val="00A673F0"/>
    <w:rsid w:val="00A67919"/>
    <w:rsid w:val="00A67C15"/>
    <w:rsid w:val="00A70450"/>
    <w:rsid w:val="00A714CD"/>
    <w:rsid w:val="00A72667"/>
    <w:rsid w:val="00A72C42"/>
    <w:rsid w:val="00A733E9"/>
    <w:rsid w:val="00A737C6"/>
    <w:rsid w:val="00A752C3"/>
    <w:rsid w:val="00A7573C"/>
    <w:rsid w:val="00A75A17"/>
    <w:rsid w:val="00A75BF0"/>
    <w:rsid w:val="00A76AC9"/>
    <w:rsid w:val="00A76F32"/>
    <w:rsid w:val="00A77311"/>
    <w:rsid w:val="00A80148"/>
    <w:rsid w:val="00A80373"/>
    <w:rsid w:val="00A81E80"/>
    <w:rsid w:val="00A83135"/>
    <w:rsid w:val="00A83CBF"/>
    <w:rsid w:val="00A845C0"/>
    <w:rsid w:val="00A84602"/>
    <w:rsid w:val="00A847C9"/>
    <w:rsid w:val="00A855CF"/>
    <w:rsid w:val="00A85BE7"/>
    <w:rsid w:val="00A85CFF"/>
    <w:rsid w:val="00A85E95"/>
    <w:rsid w:val="00A864E6"/>
    <w:rsid w:val="00A86510"/>
    <w:rsid w:val="00A86627"/>
    <w:rsid w:val="00A86F92"/>
    <w:rsid w:val="00A872D8"/>
    <w:rsid w:val="00A87B94"/>
    <w:rsid w:val="00A908CD"/>
    <w:rsid w:val="00A90C5F"/>
    <w:rsid w:val="00A92956"/>
    <w:rsid w:val="00A92B73"/>
    <w:rsid w:val="00A9334B"/>
    <w:rsid w:val="00A938EE"/>
    <w:rsid w:val="00A93CDE"/>
    <w:rsid w:val="00A93E5F"/>
    <w:rsid w:val="00A93F52"/>
    <w:rsid w:val="00A93F63"/>
    <w:rsid w:val="00A940A9"/>
    <w:rsid w:val="00A94CFC"/>
    <w:rsid w:val="00A951B5"/>
    <w:rsid w:val="00A956AC"/>
    <w:rsid w:val="00A95D96"/>
    <w:rsid w:val="00A96154"/>
    <w:rsid w:val="00A965FC"/>
    <w:rsid w:val="00A96DD9"/>
    <w:rsid w:val="00A97118"/>
    <w:rsid w:val="00A976AB"/>
    <w:rsid w:val="00A97B08"/>
    <w:rsid w:val="00A97C50"/>
    <w:rsid w:val="00AA0874"/>
    <w:rsid w:val="00AA0AE9"/>
    <w:rsid w:val="00AA19DE"/>
    <w:rsid w:val="00AA302F"/>
    <w:rsid w:val="00AA312A"/>
    <w:rsid w:val="00AA3155"/>
    <w:rsid w:val="00AA3F5A"/>
    <w:rsid w:val="00AA3FFE"/>
    <w:rsid w:val="00AA5F3F"/>
    <w:rsid w:val="00AA60FD"/>
    <w:rsid w:val="00AA697B"/>
    <w:rsid w:val="00AB1703"/>
    <w:rsid w:val="00AB17CE"/>
    <w:rsid w:val="00AB1AF1"/>
    <w:rsid w:val="00AB2555"/>
    <w:rsid w:val="00AB27AA"/>
    <w:rsid w:val="00AB2C3F"/>
    <w:rsid w:val="00AB2D97"/>
    <w:rsid w:val="00AB36C6"/>
    <w:rsid w:val="00AB378A"/>
    <w:rsid w:val="00AB38A2"/>
    <w:rsid w:val="00AB3BC4"/>
    <w:rsid w:val="00AB3EE4"/>
    <w:rsid w:val="00AB3FC2"/>
    <w:rsid w:val="00AB42E5"/>
    <w:rsid w:val="00AB4456"/>
    <w:rsid w:val="00AB4855"/>
    <w:rsid w:val="00AB4BC7"/>
    <w:rsid w:val="00AB4CA8"/>
    <w:rsid w:val="00AB53C5"/>
    <w:rsid w:val="00AB54E4"/>
    <w:rsid w:val="00AB570F"/>
    <w:rsid w:val="00AB577F"/>
    <w:rsid w:val="00AB585A"/>
    <w:rsid w:val="00AB5DB4"/>
    <w:rsid w:val="00AB5FC9"/>
    <w:rsid w:val="00AC05BA"/>
    <w:rsid w:val="00AC0B91"/>
    <w:rsid w:val="00AC1326"/>
    <w:rsid w:val="00AC2AD9"/>
    <w:rsid w:val="00AC2BA9"/>
    <w:rsid w:val="00AC35A1"/>
    <w:rsid w:val="00AC386F"/>
    <w:rsid w:val="00AC3A1A"/>
    <w:rsid w:val="00AC472A"/>
    <w:rsid w:val="00AC4B97"/>
    <w:rsid w:val="00AC59DD"/>
    <w:rsid w:val="00AC6218"/>
    <w:rsid w:val="00AC6390"/>
    <w:rsid w:val="00AC698E"/>
    <w:rsid w:val="00AC6BBB"/>
    <w:rsid w:val="00AC6D9F"/>
    <w:rsid w:val="00AC6F0A"/>
    <w:rsid w:val="00AC734E"/>
    <w:rsid w:val="00AC7F6E"/>
    <w:rsid w:val="00AC7F8D"/>
    <w:rsid w:val="00AD107A"/>
    <w:rsid w:val="00AD2C09"/>
    <w:rsid w:val="00AD2F8A"/>
    <w:rsid w:val="00AD32F0"/>
    <w:rsid w:val="00AD3598"/>
    <w:rsid w:val="00AD38F9"/>
    <w:rsid w:val="00AD398F"/>
    <w:rsid w:val="00AD3B52"/>
    <w:rsid w:val="00AD49C7"/>
    <w:rsid w:val="00AD50F5"/>
    <w:rsid w:val="00AD57E3"/>
    <w:rsid w:val="00AD5BCD"/>
    <w:rsid w:val="00AD63A7"/>
    <w:rsid w:val="00AD70C2"/>
    <w:rsid w:val="00AD7434"/>
    <w:rsid w:val="00AD774D"/>
    <w:rsid w:val="00AD7AB3"/>
    <w:rsid w:val="00AE12F4"/>
    <w:rsid w:val="00AE1ED6"/>
    <w:rsid w:val="00AE1F08"/>
    <w:rsid w:val="00AE200E"/>
    <w:rsid w:val="00AE244A"/>
    <w:rsid w:val="00AE2500"/>
    <w:rsid w:val="00AE26FE"/>
    <w:rsid w:val="00AE2BBD"/>
    <w:rsid w:val="00AE2D1C"/>
    <w:rsid w:val="00AE2ECA"/>
    <w:rsid w:val="00AE2F5B"/>
    <w:rsid w:val="00AE41A3"/>
    <w:rsid w:val="00AE41D8"/>
    <w:rsid w:val="00AE486B"/>
    <w:rsid w:val="00AE5243"/>
    <w:rsid w:val="00AE55BF"/>
    <w:rsid w:val="00AE56E6"/>
    <w:rsid w:val="00AE59D8"/>
    <w:rsid w:val="00AE5A0A"/>
    <w:rsid w:val="00AE5E12"/>
    <w:rsid w:val="00AE6FBB"/>
    <w:rsid w:val="00AE7748"/>
    <w:rsid w:val="00AE7A18"/>
    <w:rsid w:val="00AE7C0C"/>
    <w:rsid w:val="00AF0153"/>
    <w:rsid w:val="00AF0508"/>
    <w:rsid w:val="00AF1560"/>
    <w:rsid w:val="00AF1DEB"/>
    <w:rsid w:val="00AF2667"/>
    <w:rsid w:val="00AF2910"/>
    <w:rsid w:val="00AF318F"/>
    <w:rsid w:val="00AF3C0C"/>
    <w:rsid w:val="00AF3F00"/>
    <w:rsid w:val="00AF55A1"/>
    <w:rsid w:val="00AF5BCA"/>
    <w:rsid w:val="00AF5D32"/>
    <w:rsid w:val="00AF6347"/>
    <w:rsid w:val="00AF6431"/>
    <w:rsid w:val="00AF7136"/>
    <w:rsid w:val="00B01838"/>
    <w:rsid w:val="00B0237F"/>
    <w:rsid w:val="00B032FE"/>
    <w:rsid w:val="00B04078"/>
    <w:rsid w:val="00B0441D"/>
    <w:rsid w:val="00B055B5"/>
    <w:rsid w:val="00B055E4"/>
    <w:rsid w:val="00B05906"/>
    <w:rsid w:val="00B0643C"/>
    <w:rsid w:val="00B0667D"/>
    <w:rsid w:val="00B06A46"/>
    <w:rsid w:val="00B102E4"/>
    <w:rsid w:val="00B10B0D"/>
    <w:rsid w:val="00B1165F"/>
    <w:rsid w:val="00B11C4F"/>
    <w:rsid w:val="00B11C96"/>
    <w:rsid w:val="00B12736"/>
    <w:rsid w:val="00B14D68"/>
    <w:rsid w:val="00B151E1"/>
    <w:rsid w:val="00B15DD2"/>
    <w:rsid w:val="00B166D4"/>
    <w:rsid w:val="00B20682"/>
    <w:rsid w:val="00B20FD6"/>
    <w:rsid w:val="00B214A1"/>
    <w:rsid w:val="00B21B9C"/>
    <w:rsid w:val="00B229DE"/>
    <w:rsid w:val="00B22BA7"/>
    <w:rsid w:val="00B22DB4"/>
    <w:rsid w:val="00B22F49"/>
    <w:rsid w:val="00B22FA4"/>
    <w:rsid w:val="00B23721"/>
    <w:rsid w:val="00B23DA2"/>
    <w:rsid w:val="00B23DCC"/>
    <w:rsid w:val="00B254AB"/>
    <w:rsid w:val="00B25BA3"/>
    <w:rsid w:val="00B271F6"/>
    <w:rsid w:val="00B27885"/>
    <w:rsid w:val="00B27949"/>
    <w:rsid w:val="00B27CA9"/>
    <w:rsid w:val="00B27CC3"/>
    <w:rsid w:val="00B27E0F"/>
    <w:rsid w:val="00B3057F"/>
    <w:rsid w:val="00B3081E"/>
    <w:rsid w:val="00B30D0D"/>
    <w:rsid w:val="00B317FD"/>
    <w:rsid w:val="00B3309D"/>
    <w:rsid w:val="00B3355C"/>
    <w:rsid w:val="00B338AF"/>
    <w:rsid w:val="00B340CA"/>
    <w:rsid w:val="00B343CB"/>
    <w:rsid w:val="00B35C0A"/>
    <w:rsid w:val="00B364B6"/>
    <w:rsid w:val="00B40755"/>
    <w:rsid w:val="00B40EC0"/>
    <w:rsid w:val="00B41456"/>
    <w:rsid w:val="00B41B25"/>
    <w:rsid w:val="00B42760"/>
    <w:rsid w:val="00B428FB"/>
    <w:rsid w:val="00B4295B"/>
    <w:rsid w:val="00B43071"/>
    <w:rsid w:val="00B434C6"/>
    <w:rsid w:val="00B438FE"/>
    <w:rsid w:val="00B43EE4"/>
    <w:rsid w:val="00B442B1"/>
    <w:rsid w:val="00B44694"/>
    <w:rsid w:val="00B447B3"/>
    <w:rsid w:val="00B455B9"/>
    <w:rsid w:val="00B4571A"/>
    <w:rsid w:val="00B45C46"/>
    <w:rsid w:val="00B45FF1"/>
    <w:rsid w:val="00B46735"/>
    <w:rsid w:val="00B467FC"/>
    <w:rsid w:val="00B46A70"/>
    <w:rsid w:val="00B46E25"/>
    <w:rsid w:val="00B470EC"/>
    <w:rsid w:val="00B47C64"/>
    <w:rsid w:val="00B47EE0"/>
    <w:rsid w:val="00B50097"/>
    <w:rsid w:val="00B5063B"/>
    <w:rsid w:val="00B510C5"/>
    <w:rsid w:val="00B513A0"/>
    <w:rsid w:val="00B538BA"/>
    <w:rsid w:val="00B53FAD"/>
    <w:rsid w:val="00B5538D"/>
    <w:rsid w:val="00B56534"/>
    <w:rsid w:val="00B568CC"/>
    <w:rsid w:val="00B575A9"/>
    <w:rsid w:val="00B5770E"/>
    <w:rsid w:val="00B57CB1"/>
    <w:rsid w:val="00B6090A"/>
    <w:rsid w:val="00B60BF6"/>
    <w:rsid w:val="00B60D0E"/>
    <w:rsid w:val="00B61305"/>
    <w:rsid w:val="00B618FD"/>
    <w:rsid w:val="00B63537"/>
    <w:rsid w:val="00B6489E"/>
    <w:rsid w:val="00B64FD5"/>
    <w:rsid w:val="00B6504D"/>
    <w:rsid w:val="00B65B99"/>
    <w:rsid w:val="00B65D3B"/>
    <w:rsid w:val="00B6600B"/>
    <w:rsid w:val="00B66576"/>
    <w:rsid w:val="00B668EE"/>
    <w:rsid w:val="00B67759"/>
    <w:rsid w:val="00B70A20"/>
    <w:rsid w:val="00B71AB9"/>
    <w:rsid w:val="00B71E71"/>
    <w:rsid w:val="00B7224C"/>
    <w:rsid w:val="00B72576"/>
    <w:rsid w:val="00B72B8A"/>
    <w:rsid w:val="00B73879"/>
    <w:rsid w:val="00B74A7F"/>
    <w:rsid w:val="00B75ED3"/>
    <w:rsid w:val="00B76B46"/>
    <w:rsid w:val="00B76F86"/>
    <w:rsid w:val="00B7722E"/>
    <w:rsid w:val="00B774B8"/>
    <w:rsid w:val="00B77A49"/>
    <w:rsid w:val="00B807A3"/>
    <w:rsid w:val="00B80DAF"/>
    <w:rsid w:val="00B80FE3"/>
    <w:rsid w:val="00B8327F"/>
    <w:rsid w:val="00B83727"/>
    <w:rsid w:val="00B841CA"/>
    <w:rsid w:val="00B843D8"/>
    <w:rsid w:val="00B857E9"/>
    <w:rsid w:val="00B85BEF"/>
    <w:rsid w:val="00B85DEE"/>
    <w:rsid w:val="00B85EA9"/>
    <w:rsid w:val="00B860FE"/>
    <w:rsid w:val="00B866D7"/>
    <w:rsid w:val="00B869A9"/>
    <w:rsid w:val="00B87357"/>
    <w:rsid w:val="00B910BD"/>
    <w:rsid w:val="00B911AA"/>
    <w:rsid w:val="00B91441"/>
    <w:rsid w:val="00B91829"/>
    <w:rsid w:val="00B9218A"/>
    <w:rsid w:val="00B93120"/>
    <w:rsid w:val="00B9386C"/>
    <w:rsid w:val="00B941F2"/>
    <w:rsid w:val="00B948A0"/>
    <w:rsid w:val="00B94F34"/>
    <w:rsid w:val="00B950EC"/>
    <w:rsid w:val="00B9539D"/>
    <w:rsid w:val="00B95CFD"/>
    <w:rsid w:val="00B95DCB"/>
    <w:rsid w:val="00B968C5"/>
    <w:rsid w:val="00B96D00"/>
    <w:rsid w:val="00B9733D"/>
    <w:rsid w:val="00BA0EA1"/>
    <w:rsid w:val="00BA181A"/>
    <w:rsid w:val="00BA1D80"/>
    <w:rsid w:val="00BA2046"/>
    <w:rsid w:val="00BA2AD1"/>
    <w:rsid w:val="00BA312A"/>
    <w:rsid w:val="00BA3A7C"/>
    <w:rsid w:val="00BA3E0C"/>
    <w:rsid w:val="00BA4996"/>
    <w:rsid w:val="00BA4C95"/>
    <w:rsid w:val="00BA4D64"/>
    <w:rsid w:val="00BA641D"/>
    <w:rsid w:val="00BA6E11"/>
    <w:rsid w:val="00BA7133"/>
    <w:rsid w:val="00BA76EB"/>
    <w:rsid w:val="00BA793D"/>
    <w:rsid w:val="00BB0DDB"/>
    <w:rsid w:val="00BB0E54"/>
    <w:rsid w:val="00BB1663"/>
    <w:rsid w:val="00BB1CF0"/>
    <w:rsid w:val="00BB1FA3"/>
    <w:rsid w:val="00BB2345"/>
    <w:rsid w:val="00BB3252"/>
    <w:rsid w:val="00BB3DC8"/>
    <w:rsid w:val="00BB4298"/>
    <w:rsid w:val="00BB4A28"/>
    <w:rsid w:val="00BB5781"/>
    <w:rsid w:val="00BB5A3D"/>
    <w:rsid w:val="00BB63E1"/>
    <w:rsid w:val="00BB6AE7"/>
    <w:rsid w:val="00BB6B8C"/>
    <w:rsid w:val="00BB6C0A"/>
    <w:rsid w:val="00BB7698"/>
    <w:rsid w:val="00BC02C6"/>
    <w:rsid w:val="00BC0966"/>
    <w:rsid w:val="00BC0D79"/>
    <w:rsid w:val="00BC11F0"/>
    <w:rsid w:val="00BC1266"/>
    <w:rsid w:val="00BC1281"/>
    <w:rsid w:val="00BC2D27"/>
    <w:rsid w:val="00BC3028"/>
    <w:rsid w:val="00BC3210"/>
    <w:rsid w:val="00BC32A0"/>
    <w:rsid w:val="00BC3BD9"/>
    <w:rsid w:val="00BC4480"/>
    <w:rsid w:val="00BC47F9"/>
    <w:rsid w:val="00BC48F9"/>
    <w:rsid w:val="00BC5D57"/>
    <w:rsid w:val="00BC60C4"/>
    <w:rsid w:val="00BC73D9"/>
    <w:rsid w:val="00BC7765"/>
    <w:rsid w:val="00BC78E7"/>
    <w:rsid w:val="00BD0E2F"/>
    <w:rsid w:val="00BD1E42"/>
    <w:rsid w:val="00BD263F"/>
    <w:rsid w:val="00BD28CA"/>
    <w:rsid w:val="00BD417B"/>
    <w:rsid w:val="00BD4CC2"/>
    <w:rsid w:val="00BD5BE9"/>
    <w:rsid w:val="00BD6214"/>
    <w:rsid w:val="00BD65C0"/>
    <w:rsid w:val="00BD6BF2"/>
    <w:rsid w:val="00BD7569"/>
    <w:rsid w:val="00BD7A99"/>
    <w:rsid w:val="00BD7E51"/>
    <w:rsid w:val="00BE062E"/>
    <w:rsid w:val="00BE08FB"/>
    <w:rsid w:val="00BE0BAC"/>
    <w:rsid w:val="00BE1091"/>
    <w:rsid w:val="00BE1197"/>
    <w:rsid w:val="00BE1EFD"/>
    <w:rsid w:val="00BE2185"/>
    <w:rsid w:val="00BE2462"/>
    <w:rsid w:val="00BE2EA6"/>
    <w:rsid w:val="00BE3AD4"/>
    <w:rsid w:val="00BE4236"/>
    <w:rsid w:val="00BE4421"/>
    <w:rsid w:val="00BE4791"/>
    <w:rsid w:val="00BE690E"/>
    <w:rsid w:val="00BE6A77"/>
    <w:rsid w:val="00BE7463"/>
    <w:rsid w:val="00BF0C5E"/>
    <w:rsid w:val="00BF12DD"/>
    <w:rsid w:val="00BF27DB"/>
    <w:rsid w:val="00BF45E7"/>
    <w:rsid w:val="00BF5868"/>
    <w:rsid w:val="00BF5C8A"/>
    <w:rsid w:val="00BF63D8"/>
    <w:rsid w:val="00BF72F0"/>
    <w:rsid w:val="00BF7A61"/>
    <w:rsid w:val="00C016C4"/>
    <w:rsid w:val="00C0204D"/>
    <w:rsid w:val="00C02622"/>
    <w:rsid w:val="00C02C4E"/>
    <w:rsid w:val="00C03119"/>
    <w:rsid w:val="00C03223"/>
    <w:rsid w:val="00C04009"/>
    <w:rsid w:val="00C0482C"/>
    <w:rsid w:val="00C04FC0"/>
    <w:rsid w:val="00C05889"/>
    <w:rsid w:val="00C05A6F"/>
    <w:rsid w:val="00C073F3"/>
    <w:rsid w:val="00C07531"/>
    <w:rsid w:val="00C10995"/>
    <w:rsid w:val="00C110D5"/>
    <w:rsid w:val="00C116AA"/>
    <w:rsid w:val="00C11A73"/>
    <w:rsid w:val="00C12B4D"/>
    <w:rsid w:val="00C15943"/>
    <w:rsid w:val="00C16135"/>
    <w:rsid w:val="00C16A33"/>
    <w:rsid w:val="00C1747F"/>
    <w:rsid w:val="00C175D9"/>
    <w:rsid w:val="00C17625"/>
    <w:rsid w:val="00C17C5E"/>
    <w:rsid w:val="00C20393"/>
    <w:rsid w:val="00C20A83"/>
    <w:rsid w:val="00C21CDF"/>
    <w:rsid w:val="00C21E22"/>
    <w:rsid w:val="00C2285B"/>
    <w:rsid w:val="00C230D4"/>
    <w:rsid w:val="00C23611"/>
    <w:rsid w:val="00C23862"/>
    <w:rsid w:val="00C242EB"/>
    <w:rsid w:val="00C24A77"/>
    <w:rsid w:val="00C2548B"/>
    <w:rsid w:val="00C25B3C"/>
    <w:rsid w:val="00C26532"/>
    <w:rsid w:val="00C30407"/>
    <w:rsid w:val="00C30C69"/>
    <w:rsid w:val="00C30C76"/>
    <w:rsid w:val="00C30E17"/>
    <w:rsid w:val="00C3214E"/>
    <w:rsid w:val="00C321CC"/>
    <w:rsid w:val="00C32270"/>
    <w:rsid w:val="00C32CF0"/>
    <w:rsid w:val="00C32F6D"/>
    <w:rsid w:val="00C3379B"/>
    <w:rsid w:val="00C33E8E"/>
    <w:rsid w:val="00C3409A"/>
    <w:rsid w:val="00C34672"/>
    <w:rsid w:val="00C34A73"/>
    <w:rsid w:val="00C3556A"/>
    <w:rsid w:val="00C36145"/>
    <w:rsid w:val="00C362EA"/>
    <w:rsid w:val="00C363A5"/>
    <w:rsid w:val="00C36D28"/>
    <w:rsid w:val="00C371D1"/>
    <w:rsid w:val="00C372FD"/>
    <w:rsid w:val="00C378C0"/>
    <w:rsid w:val="00C4046A"/>
    <w:rsid w:val="00C40A18"/>
    <w:rsid w:val="00C420B9"/>
    <w:rsid w:val="00C4215E"/>
    <w:rsid w:val="00C422FC"/>
    <w:rsid w:val="00C42788"/>
    <w:rsid w:val="00C4348A"/>
    <w:rsid w:val="00C43B9A"/>
    <w:rsid w:val="00C440C2"/>
    <w:rsid w:val="00C4507F"/>
    <w:rsid w:val="00C45135"/>
    <w:rsid w:val="00C4589F"/>
    <w:rsid w:val="00C46158"/>
    <w:rsid w:val="00C466B8"/>
    <w:rsid w:val="00C46BE8"/>
    <w:rsid w:val="00C4718E"/>
    <w:rsid w:val="00C5020B"/>
    <w:rsid w:val="00C50B71"/>
    <w:rsid w:val="00C511FD"/>
    <w:rsid w:val="00C51511"/>
    <w:rsid w:val="00C517A1"/>
    <w:rsid w:val="00C51BAC"/>
    <w:rsid w:val="00C52A80"/>
    <w:rsid w:val="00C54A91"/>
    <w:rsid w:val="00C55759"/>
    <w:rsid w:val="00C56175"/>
    <w:rsid w:val="00C56329"/>
    <w:rsid w:val="00C56A67"/>
    <w:rsid w:val="00C600E4"/>
    <w:rsid w:val="00C600F8"/>
    <w:rsid w:val="00C601BB"/>
    <w:rsid w:val="00C60388"/>
    <w:rsid w:val="00C6047D"/>
    <w:rsid w:val="00C60FB0"/>
    <w:rsid w:val="00C61262"/>
    <w:rsid w:val="00C61C25"/>
    <w:rsid w:val="00C62C5D"/>
    <w:rsid w:val="00C635AB"/>
    <w:rsid w:val="00C63FF7"/>
    <w:rsid w:val="00C6432E"/>
    <w:rsid w:val="00C654E2"/>
    <w:rsid w:val="00C65A20"/>
    <w:rsid w:val="00C65B32"/>
    <w:rsid w:val="00C66B9C"/>
    <w:rsid w:val="00C6731E"/>
    <w:rsid w:val="00C67A28"/>
    <w:rsid w:val="00C70364"/>
    <w:rsid w:val="00C703A1"/>
    <w:rsid w:val="00C70B30"/>
    <w:rsid w:val="00C70BAF"/>
    <w:rsid w:val="00C71390"/>
    <w:rsid w:val="00C7226E"/>
    <w:rsid w:val="00C7259C"/>
    <w:rsid w:val="00C725A6"/>
    <w:rsid w:val="00C7280B"/>
    <w:rsid w:val="00C72D53"/>
    <w:rsid w:val="00C72E3A"/>
    <w:rsid w:val="00C73490"/>
    <w:rsid w:val="00C73786"/>
    <w:rsid w:val="00C7404F"/>
    <w:rsid w:val="00C744E8"/>
    <w:rsid w:val="00C746EE"/>
    <w:rsid w:val="00C755DC"/>
    <w:rsid w:val="00C75A98"/>
    <w:rsid w:val="00C75D65"/>
    <w:rsid w:val="00C76432"/>
    <w:rsid w:val="00C774B5"/>
    <w:rsid w:val="00C808F2"/>
    <w:rsid w:val="00C8128C"/>
    <w:rsid w:val="00C82F61"/>
    <w:rsid w:val="00C83E3C"/>
    <w:rsid w:val="00C84B3B"/>
    <w:rsid w:val="00C84C30"/>
    <w:rsid w:val="00C85979"/>
    <w:rsid w:val="00C86066"/>
    <w:rsid w:val="00C86D6D"/>
    <w:rsid w:val="00C8726F"/>
    <w:rsid w:val="00C874AB"/>
    <w:rsid w:val="00C8752B"/>
    <w:rsid w:val="00C87A46"/>
    <w:rsid w:val="00C87B8E"/>
    <w:rsid w:val="00C87E6B"/>
    <w:rsid w:val="00C90555"/>
    <w:rsid w:val="00C90BD2"/>
    <w:rsid w:val="00C9136E"/>
    <w:rsid w:val="00C9169E"/>
    <w:rsid w:val="00C92193"/>
    <w:rsid w:val="00C9221C"/>
    <w:rsid w:val="00C926F9"/>
    <w:rsid w:val="00C939E6"/>
    <w:rsid w:val="00C93AF5"/>
    <w:rsid w:val="00C94439"/>
    <w:rsid w:val="00C945DB"/>
    <w:rsid w:val="00C94BD6"/>
    <w:rsid w:val="00C952C8"/>
    <w:rsid w:val="00C9536E"/>
    <w:rsid w:val="00C95D3C"/>
    <w:rsid w:val="00C97DAB"/>
    <w:rsid w:val="00C97E68"/>
    <w:rsid w:val="00C97EA2"/>
    <w:rsid w:val="00CA16F7"/>
    <w:rsid w:val="00CA1D37"/>
    <w:rsid w:val="00CA2756"/>
    <w:rsid w:val="00CA2837"/>
    <w:rsid w:val="00CA38FC"/>
    <w:rsid w:val="00CA3A9D"/>
    <w:rsid w:val="00CA3CF2"/>
    <w:rsid w:val="00CA5420"/>
    <w:rsid w:val="00CA596F"/>
    <w:rsid w:val="00CA61A7"/>
    <w:rsid w:val="00CA7043"/>
    <w:rsid w:val="00CA786A"/>
    <w:rsid w:val="00CB015E"/>
    <w:rsid w:val="00CB094C"/>
    <w:rsid w:val="00CB1160"/>
    <w:rsid w:val="00CB153B"/>
    <w:rsid w:val="00CB1C2B"/>
    <w:rsid w:val="00CB29C0"/>
    <w:rsid w:val="00CB3A33"/>
    <w:rsid w:val="00CB4A26"/>
    <w:rsid w:val="00CB5081"/>
    <w:rsid w:val="00CB526C"/>
    <w:rsid w:val="00CB6720"/>
    <w:rsid w:val="00CB6C18"/>
    <w:rsid w:val="00CB6CD8"/>
    <w:rsid w:val="00CB6D17"/>
    <w:rsid w:val="00CB7A83"/>
    <w:rsid w:val="00CB7C1A"/>
    <w:rsid w:val="00CB7D6E"/>
    <w:rsid w:val="00CC057A"/>
    <w:rsid w:val="00CC0A09"/>
    <w:rsid w:val="00CC12FD"/>
    <w:rsid w:val="00CC17AB"/>
    <w:rsid w:val="00CC1CF7"/>
    <w:rsid w:val="00CC1D21"/>
    <w:rsid w:val="00CC20C1"/>
    <w:rsid w:val="00CC277D"/>
    <w:rsid w:val="00CC2996"/>
    <w:rsid w:val="00CC3529"/>
    <w:rsid w:val="00CC3CA8"/>
    <w:rsid w:val="00CC4175"/>
    <w:rsid w:val="00CC4268"/>
    <w:rsid w:val="00CC437E"/>
    <w:rsid w:val="00CC4BB1"/>
    <w:rsid w:val="00CC4C7D"/>
    <w:rsid w:val="00CC4EEF"/>
    <w:rsid w:val="00CC4F42"/>
    <w:rsid w:val="00CC50A2"/>
    <w:rsid w:val="00CC5612"/>
    <w:rsid w:val="00CC6C39"/>
    <w:rsid w:val="00CC797B"/>
    <w:rsid w:val="00CD03D3"/>
    <w:rsid w:val="00CD0D8A"/>
    <w:rsid w:val="00CD165C"/>
    <w:rsid w:val="00CD167F"/>
    <w:rsid w:val="00CD19D4"/>
    <w:rsid w:val="00CD1E11"/>
    <w:rsid w:val="00CD30CD"/>
    <w:rsid w:val="00CD348E"/>
    <w:rsid w:val="00CD4574"/>
    <w:rsid w:val="00CD4691"/>
    <w:rsid w:val="00CD48FE"/>
    <w:rsid w:val="00CD5624"/>
    <w:rsid w:val="00CD6586"/>
    <w:rsid w:val="00CE0182"/>
    <w:rsid w:val="00CE0874"/>
    <w:rsid w:val="00CE0884"/>
    <w:rsid w:val="00CE09CF"/>
    <w:rsid w:val="00CE0C5B"/>
    <w:rsid w:val="00CE1B81"/>
    <w:rsid w:val="00CE1BAE"/>
    <w:rsid w:val="00CE23A1"/>
    <w:rsid w:val="00CE271A"/>
    <w:rsid w:val="00CE29EB"/>
    <w:rsid w:val="00CE31CE"/>
    <w:rsid w:val="00CE37E5"/>
    <w:rsid w:val="00CE41DE"/>
    <w:rsid w:val="00CE56A6"/>
    <w:rsid w:val="00CE5912"/>
    <w:rsid w:val="00CE5AC2"/>
    <w:rsid w:val="00CE5D08"/>
    <w:rsid w:val="00CE6595"/>
    <w:rsid w:val="00CE6792"/>
    <w:rsid w:val="00CE74B0"/>
    <w:rsid w:val="00CE7602"/>
    <w:rsid w:val="00CE7BCA"/>
    <w:rsid w:val="00CF073D"/>
    <w:rsid w:val="00CF0B10"/>
    <w:rsid w:val="00CF0B11"/>
    <w:rsid w:val="00CF0B34"/>
    <w:rsid w:val="00CF0EA0"/>
    <w:rsid w:val="00CF11BB"/>
    <w:rsid w:val="00CF2503"/>
    <w:rsid w:val="00CF253B"/>
    <w:rsid w:val="00CF28C6"/>
    <w:rsid w:val="00CF3400"/>
    <w:rsid w:val="00CF35E4"/>
    <w:rsid w:val="00CF3E43"/>
    <w:rsid w:val="00CF41CC"/>
    <w:rsid w:val="00CF493C"/>
    <w:rsid w:val="00CF4CC1"/>
    <w:rsid w:val="00CF5018"/>
    <w:rsid w:val="00CF54AB"/>
    <w:rsid w:val="00CF7D1A"/>
    <w:rsid w:val="00CF7F60"/>
    <w:rsid w:val="00D00418"/>
    <w:rsid w:val="00D01214"/>
    <w:rsid w:val="00D012F2"/>
    <w:rsid w:val="00D01709"/>
    <w:rsid w:val="00D01DA2"/>
    <w:rsid w:val="00D021CB"/>
    <w:rsid w:val="00D0222B"/>
    <w:rsid w:val="00D0284E"/>
    <w:rsid w:val="00D0363D"/>
    <w:rsid w:val="00D037FC"/>
    <w:rsid w:val="00D041A2"/>
    <w:rsid w:val="00D045DF"/>
    <w:rsid w:val="00D045FB"/>
    <w:rsid w:val="00D04F38"/>
    <w:rsid w:val="00D0617F"/>
    <w:rsid w:val="00D06C7D"/>
    <w:rsid w:val="00D07786"/>
    <w:rsid w:val="00D10A50"/>
    <w:rsid w:val="00D10C4C"/>
    <w:rsid w:val="00D10D98"/>
    <w:rsid w:val="00D111B4"/>
    <w:rsid w:val="00D11AF6"/>
    <w:rsid w:val="00D123EF"/>
    <w:rsid w:val="00D12F61"/>
    <w:rsid w:val="00D1364C"/>
    <w:rsid w:val="00D13B11"/>
    <w:rsid w:val="00D14845"/>
    <w:rsid w:val="00D148A8"/>
    <w:rsid w:val="00D151FF"/>
    <w:rsid w:val="00D153C8"/>
    <w:rsid w:val="00D15BFC"/>
    <w:rsid w:val="00D1604A"/>
    <w:rsid w:val="00D16BA1"/>
    <w:rsid w:val="00D16CB1"/>
    <w:rsid w:val="00D16E19"/>
    <w:rsid w:val="00D1716D"/>
    <w:rsid w:val="00D226C0"/>
    <w:rsid w:val="00D22E10"/>
    <w:rsid w:val="00D2324B"/>
    <w:rsid w:val="00D232A3"/>
    <w:rsid w:val="00D24675"/>
    <w:rsid w:val="00D247B3"/>
    <w:rsid w:val="00D2565E"/>
    <w:rsid w:val="00D25D48"/>
    <w:rsid w:val="00D26523"/>
    <w:rsid w:val="00D268A6"/>
    <w:rsid w:val="00D277EE"/>
    <w:rsid w:val="00D27C16"/>
    <w:rsid w:val="00D27C3C"/>
    <w:rsid w:val="00D27E09"/>
    <w:rsid w:val="00D305FF"/>
    <w:rsid w:val="00D31953"/>
    <w:rsid w:val="00D3197A"/>
    <w:rsid w:val="00D31B33"/>
    <w:rsid w:val="00D31F91"/>
    <w:rsid w:val="00D34082"/>
    <w:rsid w:val="00D348B3"/>
    <w:rsid w:val="00D34C96"/>
    <w:rsid w:val="00D34E74"/>
    <w:rsid w:val="00D34EB8"/>
    <w:rsid w:val="00D3520F"/>
    <w:rsid w:val="00D35E23"/>
    <w:rsid w:val="00D36A84"/>
    <w:rsid w:val="00D37E38"/>
    <w:rsid w:val="00D4026E"/>
    <w:rsid w:val="00D405A3"/>
    <w:rsid w:val="00D41C63"/>
    <w:rsid w:val="00D42356"/>
    <w:rsid w:val="00D425BF"/>
    <w:rsid w:val="00D426AB"/>
    <w:rsid w:val="00D42E83"/>
    <w:rsid w:val="00D43F68"/>
    <w:rsid w:val="00D44385"/>
    <w:rsid w:val="00D44D22"/>
    <w:rsid w:val="00D44E2D"/>
    <w:rsid w:val="00D453C6"/>
    <w:rsid w:val="00D462F6"/>
    <w:rsid w:val="00D46C1F"/>
    <w:rsid w:val="00D471B1"/>
    <w:rsid w:val="00D47B49"/>
    <w:rsid w:val="00D50364"/>
    <w:rsid w:val="00D50857"/>
    <w:rsid w:val="00D508F7"/>
    <w:rsid w:val="00D50F53"/>
    <w:rsid w:val="00D511C4"/>
    <w:rsid w:val="00D513FC"/>
    <w:rsid w:val="00D51A9E"/>
    <w:rsid w:val="00D51F99"/>
    <w:rsid w:val="00D527BD"/>
    <w:rsid w:val="00D52816"/>
    <w:rsid w:val="00D529E0"/>
    <w:rsid w:val="00D53750"/>
    <w:rsid w:val="00D53A0E"/>
    <w:rsid w:val="00D54392"/>
    <w:rsid w:val="00D54DFA"/>
    <w:rsid w:val="00D5512A"/>
    <w:rsid w:val="00D55663"/>
    <w:rsid w:val="00D557D6"/>
    <w:rsid w:val="00D56D70"/>
    <w:rsid w:val="00D57142"/>
    <w:rsid w:val="00D573D9"/>
    <w:rsid w:val="00D57752"/>
    <w:rsid w:val="00D577DE"/>
    <w:rsid w:val="00D57AB9"/>
    <w:rsid w:val="00D57B03"/>
    <w:rsid w:val="00D57B80"/>
    <w:rsid w:val="00D57F66"/>
    <w:rsid w:val="00D6016F"/>
    <w:rsid w:val="00D6043A"/>
    <w:rsid w:val="00D60475"/>
    <w:rsid w:val="00D60BBC"/>
    <w:rsid w:val="00D61162"/>
    <w:rsid w:val="00D61255"/>
    <w:rsid w:val="00D612E3"/>
    <w:rsid w:val="00D61D03"/>
    <w:rsid w:val="00D624C4"/>
    <w:rsid w:val="00D62999"/>
    <w:rsid w:val="00D629C2"/>
    <w:rsid w:val="00D64151"/>
    <w:rsid w:val="00D6509D"/>
    <w:rsid w:val="00D676E2"/>
    <w:rsid w:val="00D70FAF"/>
    <w:rsid w:val="00D71E33"/>
    <w:rsid w:val="00D737A8"/>
    <w:rsid w:val="00D73D16"/>
    <w:rsid w:val="00D74E23"/>
    <w:rsid w:val="00D753FE"/>
    <w:rsid w:val="00D75552"/>
    <w:rsid w:val="00D756AB"/>
    <w:rsid w:val="00D75C03"/>
    <w:rsid w:val="00D76363"/>
    <w:rsid w:val="00D77935"/>
    <w:rsid w:val="00D80876"/>
    <w:rsid w:val="00D808E2"/>
    <w:rsid w:val="00D809BF"/>
    <w:rsid w:val="00D81051"/>
    <w:rsid w:val="00D81693"/>
    <w:rsid w:val="00D81752"/>
    <w:rsid w:val="00D81EF6"/>
    <w:rsid w:val="00D8208C"/>
    <w:rsid w:val="00D82146"/>
    <w:rsid w:val="00D8252C"/>
    <w:rsid w:val="00D82726"/>
    <w:rsid w:val="00D828F0"/>
    <w:rsid w:val="00D830CA"/>
    <w:rsid w:val="00D83ECC"/>
    <w:rsid w:val="00D844F4"/>
    <w:rsid w:val="00D86006"/>
    <w:rsid w:val="00D861FD"/>
    <w:rsid w:val="00D86E39"/>
    <w:rsid w:val="00D875CE"/>
    <w:rsid w:val="00D877CE"/>
    <w:rsid w:val="00D90F86"/>
    <w:rsid w:val="00D91A3C"/>
    <w:rsid w:val="00D91BA3"/>
    <w:rsid w:val="00D933D9"/>
    <w:rsid w:val="00D93490"/>
    <w:rsid w:val="00D93FBA"/>
    <w:rsid w:val="00D93FFE"/>
    <w:rsid w:val="00D94DCD"/>
    <w:rsid w:val="00D94DE0"/>
    <w:rsid w:val="00D950E4"/>
    <w:rsid w:val="00D9616F"/>
    <w:rsid w:val="00D9704E"/>
    <w:rsid w:val="00D97BF0"/>
    <w:rsid w:val="00DA0165"/>
    <w:rsid w:val="00DA0801"/>
    <w:rsid w:val="00DA1466"/>
    <w:rsid w:val="00DA148C"/>
    <w:rsid w:val="00DA17C5"/>
    <w:rsid w:val="00DA1AD2"/>
    <w:rsid w:val="00DA2A2D"/>
    <w:rsid w:val="00DA3D42"/>
    <w:rsid w:val="00DA3DFE"/>
    <w:rsid w:val="00DA4D0B"/>
    <w:rsid w:val="00DA5300"/>
    <w:rsid w:val="00DA56C9"/>
    <w:rsid w:val="00DA61EA"/>
    <w:rsid w:val="00DA700F"/>
    <w:rsid w:val="00DA70FD"/>
    <w:rsid w:val="00DB0A1A"/>
    <w:rsid w:val="00DB29FB"/>
    <w:rsid w:val="00DB2F1E"/>
    <w:rsid w:val="00DB325B"/>
    <w:rsid w:val="00DB3E4A"/>
    <w:rsid w:val="00DB4EC1"/>
    <w:rsid w:val="00DB561D"/>
    <w:rsid w:val="00DB58E0"/>
    <w:rsid w:val="00DB5BAE"/>
    <w:rsid w:val="00DB5C36"/>
    <w:rsid w:val="00DB5E90"/>
    <w:rsid w:val="00DB68DF"/>
    <w:rsid w:val="00DB7067"/>
    <w:rsid w:val="00DB7DC5"/>
    <w:rsid w:val="00DB7E23"/>
    <w:rsid w:val="00DC0245"/>
    <w:rsid w:val="00DC12EE"/>
    <w:rsid w:val="00DC1329"/>
    <w:rsid w:val="00DC1C93"/>
    <w:rsid w:val="00DC282A"/>
    <w:rsid w:val="00DC28C1"/>
    <w:rsid w:val="00DC3821"/>
    <w:rsid w:val="00DC49C7"/>
    <w:rsid w:val="00DC4A33"/>
    <w:rsid w:val="00DC4DD5"/>
    <w:rsid w:val="00DC5796"/>
    <w:rsid w:val="00DC5C9A"/>
    <w:rsid w:val="00DC621C"/>
    <w:rsid w:val="00DC629D"/>
    <w:rsid w:val="00DC6BA6"/>
    <w:rsid w:val="00DC6D30"/>
    <w:rsid w:val="00DC72D0"/>
    <w:rsid w:val="00DC7BE4"/>
    <w:rsid w:val="00DD0404"/>
    <w:rsid w:val="00DD0566"/>
    <w:rsid w:val="00DD0DAF"/>
    <w:rsid w:val="00DD0F9E"/>
    <w:rsid w:val="00DD1657"/>
    <w:rsid w:val="00DD1F79"/>
    <w:rsid w:val="00DD2914"/>
    <w:rsid w:val="00DD2997"/>
    <w:rsid w:val="00DD3484"/>
    <w:rsid w:val="00DD3786"/>
    <w:rsid w:val="00DD449A"/>
    <w:rsid w:val="00DD5CC7"/>
    <w:rsid w:val="00DD6B0F"/>
    <w:rsid w:val="00DD6D5D"/>
    <w:rsid w:val="00DD7838"/>
    <w:rsid w:val="00DD788F"/>
    <w:rsid w:val="00DD7D32"/>
    <w:rsid w:val="00DE025F"/>
    <w:rsid w:val="00DE0384"/>
    <w:rsid w:val="00DE05CC"/>
    <w:rsid w:val="00DE1179"/>
    <w:rsid w:val="00DE1579"/>
    <w:rsid w:val="00DE1C29"/>
    <w:rsid w:val="00DE2382"/>
    <w:rsid w:val="00DE3261"/>
    <w:rsid w:val="00DE5193"/>
    <w:rsid w:val="00DE61BB"/>
    <w:rsid w:val="00DE63C1"/>
    <w:rsid w:val="00DE640D"/>
    <w:rsid w:val="00DE7A25"/>
    <w:rsid w:val="00DE7E1C"/>
    <w:rsid w:val="00DF0392"/>
    <w:rsid w:val="00DF0524"/>
    <w:rsid w:val="00DF085E"/>
    <w:rsid w:val="00DF089B"/>
    <w:rsid w:val="00DF172D"/>
    <w:rsid w:val="00DF1DDA"/>
    <w:rsid w:val="00DF205C"/>
    <w:rsid w:val="00DF25E5"/>
    <w:rsid w:val="00DF2D28"/>
    <w:rsid w:val="00DF321D"/>
    <w:rsid w:val="00DF3CE1"/>
    <w:rsid w:val="00DF57CA"/>
    <w:rsid w:val="00DF5D56"/>
    <w:rsid w:val="00DF5E50"/>
    <w:rsid w:val="00DF6F20"/>
    <w:rsid w:val="00E00B87"/>
    <w:rsid w:val="00E0180D"/>
    <w:rsid w:val="00E02BB1"/>
    <w:rsid w:val="00E031E1"/>
    <w:rsid w:val="00E036F6"/>
    <w:rsid w:val="00E0720D"/>
    <w:rsid w:val="00E1015F"/>
    <w:rsid w:val="00E10B44"/>
    <w:rsid w:val="00E10B4C"/>
    <w:rsid w:val="00E1163E"/>
    <w:rsid w:val="00E119FA"/>
    <w:rsid w:val="00E121DD"/>
    <w:rsid w:val="00E134EF"/>
    <w:rsid w:val="00E14EAF"/>
    <w:rsid w:val="00E155F6"/>
    <w:rsid w:val="00E1617D"/>
    <w:rsid w:val="00E163F7"/>
    <w:rsid w:val="00E16BC5"/>
    <w:rsid w:val="00E16C63"/>
    <w:rsid w:val="00E170D8"/>
    <w:rsid w:val="00E17D93"/>
    <w:rsid w:val="00E20021"/>
    <w:rsid w:val="00E20670"/>
    <w:rsid w:val="00E20A3B"/>
    <w:rsid w:val="00E212BB"/>
    <w:rsid w:val="00E22157"/>
    <w:rsid w:val="00E23041"/>
    <w:rsid w:val="00E239EC"/>
    <w:rsid w:val="00E23A25"/>
    <w:rsid w:val="00E23CDC"/>
    <w:rsid w:val="00E23ED5"/>
    <w:rsid w:val="00E23F38"/>
    <w:rsid w:val="00E24E55"/>
    <w:rsid w:val="00E24EEC"/>
    <w:rsid w:val="00E2584E"/>
    <w:rsid w:val="00E26568"/>
    <w:rsid w:val="00E27D1E"/>
    <w:rsid w:val="00E30C74"/>
    <w:rsid w:val="00E313A2"/>
    <w:rsid w:val="00E3200D"/>
    <w:rsid w:val="00E32566"/>
    <w:rsid w:val="00E32928"/>
    <w:rsid w:val="00E32B90"/>
    <w:rsid w:val="00E32C46"/>
    <w:rsid w:val="00E32D01"/>
    <w:rsid w:val="00E3342A"/>
    <w:rsid w:val="00E33B6D"/>
    <w:rsid w:val="00E34761"/>
    <w:rsid w:val="00E35742"/>
    <w:rsid w:val="00E36267"/>
    <w:rsid w:val="00E365A1"/>
    <w:rsid w:val="00E36E33"/>
    <w:rsid w:val="00E37D11"/>
    <w:rsid w:val="00E40443"/>
    <w:rsid w:val="00E40FF2"/>
    <w:rsid w:val="00E41198"/>
    <w:rsid w:val="00E4147A"/>
    <w:rsid w:val="00E41F2D"/>
    <w:rsid w:val="00E42C26"/>
    <w:rsid w:val="00E436A5"/>
    <w:rsid w:val="00E43758"/>
    <w:rsid w:val="00E440C4"/>
    <w:rsid w:val="00E4421D"/>
    <w:rsid w:val="00E44B02"/>
    <w:rsid w:val="00E44BB0"/>
    <w:rsid w:val="00E44DAB"/>
    <w:rsid w:val="00E45EAF"/>
    <w:rsid w:val="00E4633B"/>
    <w:rsid w:val="00E469DB"/>
    <w:rsid w:val="00E46ACE"/>
    <w:rsid w:val="00E47342"/>
    <w:rsid w:val="00E5029F"/>
    <w:rsid w:val="00E50E27"/>
    <w:rsid w:val="00E51A1C"/>
    <w:rsid w:val="00E52425"/>
    <w:rsid w:val="00E55076"/>
    <w:rsid w:val="00E56E17"/>
    <w:rsid w:val="00E5721C"/>
    <w:rsid w:val="00E6047C"/>
    <w:rsid w:val="00E6066D"/>
    <w:rsid w:val="00E607FC"/>
    <w:rsid w:val="00E60DEC"/>
    <w:rsid w:val="00E6105B"/>
    <w:rsid w:val="00E6236C"/>
    <w:rsid w:val="00E627BD"/>
    <w:rsid w:val="00E62F41"/>
    <w:rsid w:val="00E63109"/>
    <w:rsid w:val="00E63144"/>
    <w:rsid w:val="00E633DC"/>
    <w:rsid w:val="00E634E4"/>
    <w:rsid w:val="00E64E18"/>
    <w:rsid w:val="00E64F99"/>
    <w:rsid w:val="00E65034"/>
    <w:rsid w:val="00E653B4"/>
    <w:rsid w:val="00E65BFB"/>
    <w:rsid w:val="00E65ED2"/>
    <w:rsid w:val="00E66FB4"/>
    <w:rsid w:val="00E67AD6"/>
    <w:rsid w:val="00E67B64"/>
    <w:rsid w:val="00E67B9E"/>
    <w:rsid w:val="00E67BD9"/>
    <w:rsid w:val="00E70EF0"/>
    <w:rsid w:val="00E70F5D"/>
    <w:rsid w:val="00E712D7"/>
    <w:rsid w:val="00E71465"/>
    <w:rsid w:val="00E72241"/>
    <w:rsid w:val="00E722B4"/>
    <w:rsid w:val="00E726C8"/>
    <w:rsid w:val="00E728DD"/>
    <w:rsid w:val="00E73209"/>
    <w:rsid w:val="00E73383"/>
    <w:rsid w:val="00E73949"/>
    <w:rsid w:val="00E74D95"/>
    <w:rsid w:val="00E75288"/>
    <w:rsid w:val="00E76674"/>
    <w:rsid w:val="00E76B7A"/>
    <w:rsid w:val="00E804B4"/>
    <w:rsid w:val="00E80544"/>
    <w:rsid w:val="00E80938"/>
    <w:rsid w:val="00E80EEB"/>
    <w:rsid w:val="00E81229"/>
    <w:rsid w:val="00E81C23"/>
    <w:rsid w:val="00E82989"/>
    <w:rsid w:val="00E832C8"/>
    <w:rsid w:val="00E83674"/>
    <w:rsid w:val="00E8390E"/>
    <w:rsid w:val="00E84228"/>
    <w:rsid w:val="00E845A3"/>
    <w:rsid w:val="00E84C8C"/>
    <w:rsid w:val="00E86E5F"/>
    <w:rsid w:val="00E87732"/>
    <w:rsid w:val="00E91AE1"/>
    <w:rsid w:val="00E92757"/>
    <w:rsid w:val="00E92C7A"/>
    <w:rsid w:val="00E93145"/>
    <w:rsid w:val="00E93236"/>
    <w:rsid w:val="00E93439"/>
    <w:rsid w:val="00E9364F"/>
    <w:rsid w:val="00E93A99"/>
    <w:rsid w:val="00E95D85"/>
    <w:rsid w:val="00E968EF"/>
    <w:rsid w:val="00E96942"/>
    <w:rsid w:val="00E97C4D"/>
    <w:rsid w:val="00EA0128"/>
    <w:rsid w:val="00EA0320"/>
    <w:rsid w:val="00EA0F29"/>
    <w:rsid w:val="00EA20AC"/>
    <w:rsid w:val="00EA2713"/>
    <w:rsid w:val="00EA2CE3"/>
    <w:rsid w:val="00EA2F74"/>
    <w:rsid w:val="00EA3899"/>
    <w:rsid w:val="00EA3A1B"/>
    <w:rsid w:val="00EA3D1A"/>
    <w:rsid w:val="00EA4700"/>
    <w:rsid w:val="00EA621B"/>
    <w:rsid w:val="00EA6238"/>
    <w:rsid w:val="00EA6D7D"/>
    <w:rsid w:val="00EB0098"/>
    <w:rsid w:val="00EB02D4"/>
    <w:rsid w:val="00EB047E"/>
    <w:rsid w:val="00EB08B2"/>
    <w:rsid w:val="00EB0E04"/>
    <w:rsid w:val="00EB1BD0"/>
    <w:rsid w:val="00EB1E32"/>
    <w:rsid w:val="00EB23F7"/>
    <w:rsid w:val="00EB2550"/>
    <w:rsid w:val="00EB27E5"/>
    <w:rsid w:val="00EB3216"/>
    <w:rsid w:val="00EB34C9"/>
    <w:rsid w:val="00EB397A"/>
    <w:rsid w:val="00EB44C8"/>
    <w:rsid w:val="00EB45C7"/>
    <w:rsid w:val="00EB4822"/>
    <w:rsid w:val="00EB50BB"/>
    <w:rsid w:val="00EB5442"/>
    <w:rsid w:val="00EB5659"/>
    <w:rsid w:val="00EB62A8"/>
    <w:rsid w:val="00EB66D8"/>
    <w:rsid w:val="00EB689F"/>
    <w:rsid w:val="00EB6D84"/>
    <w:rsid w:val="00EB6DAA"/>
    <w:rsid w:val="00EB7996"/>
    <w:rsid w:val="00EB7CB0"/>
    <w:rsid w:val="00EB7D48"/>
    <w:rsid w:val="00EC0045"/>
    <w:rsid w:val="00EC0CCC"/>
    <w:rsid w:val="00EC369B"/>
    <w:rsid w:val="00EC3DA5"/>
    <w:rsid w:val="00EC4534"/>
    <w:rsid w:val="00EC47FD"/>
    <w:rsid w:val="00EC5C69"/>
    <w:rsid w:val="00EC7349"/>
    <w:rsid w:val="00EC78AE"/>
    <w:rsid w:val="00EC7C99"/>
    <w:rsid w:val="00ED0139"/>
    <w:rsid w:val="00ED0845"/>
    <w:rsid w:val="00ED1191"/>
    <w:rsid w:val="00ED1F1E"/>
    <w:rsid w:val="00ED268C"/>
    <w:rsid w:val="00ED2796"/>
    <w:rsid w:val="00ED37AB"/>
    <w:rsid w:val="00ED3A24"/>
    <w:rsid w:val="00ED46D7"/>
    <w:rsid w:val="00ED484F"/>
    <w:rsid w:val="00ED4D25"/>
    <w:rsid w:val="00ED4FA6"/>
    <w:rsid w:val="00ED58FA"/>
    <w:rsid w:val="00ED5BDB"/>
    <w:rsid w:val="00ED6484"/>
    <w:rsid w:val="00ED6F73"/>
    <w:rsid w:val="00ED7E90"/>
    <w:rsid w:val="00EE003B"/>
    <w:rsid w:val="00EE139E"/>
    <w:rsid w:val="00EE1BEE"/>
    <w:rsid w:val="00EE2800"/>
    <w:rsid w:val="00EE3513"/>
    <w:rsid w:val="00EE40B7"/>
    <w:rsid w:val="00EE40BB"/>
    <w:rsid w:val="00EE4400"/>
    <w:rsid w:val="00EE482C"/>
    <w:rsid w:val="00EE5237"/>
    <w:rsid w:val="00EE59D1"/>
    <w:rsid w:val="00EE5B3D"/>
    <w:rsid w:val="00EE6617"/>
    <w:rsid w:val="00EE7B02"/>
    <w:rsid w:val="00EF04FE"/>
    <w:rsid w:val="00EF05EB"/>
    <w:rsid w:val="00EF1B0F"/>
    <w:rsid w:val="00EF1D23"/>
    <w:rsid w:val="00EF1E77"/>
    <w:rsid w:val="00EF23DE"/>
    <w:rsid w:val="00EF2B32"/>
    <w:rsid w:val="00EF2DA9"/>
    <w:rsid w:val="00EF4B61"/>
    <w:rsid w:val="00EF4E42"/>
    <w:rsid w:val="00EF51F9"/>
    <w:rsid w:val="00EF5CDE"/>
    <w:rsid w:val="00EF60A1"/>
    <w:rsid w:val="00EF6345"/>
    <w:rsid w:val="00EF6432"/>
    <w:rsid w:val="00EF6744"/>
    <w:rsid w:val="00EF6A2D"/>
    <w:rsid w:val="00EF6CD5"/>
    <w:rsid w:val="00EF74E2"/>
    <w:rsid w:val="00F000B8"/>
    <w:rsid w:val="00F0037C"/>
    <w:rsid w:val="00F00D71"/>
    <w:rsid w:val="00F01908"/>
    <w:rsid w:val="00F01EB1"/>
    <w:rsid w:val="00F025D4"/>
    <w:rsid w:val="00F02D4A"/>
    <w:rsid w:val="00F02D92"/>
    <w:rsid w:val="00F03DAB"/>
    <w:rsid w:val="00F03ED0"/>
    <w:rsid w:val="00F04544"/>
    <w:rsid w:val="00F0457A"/>
    <w:rsid w:val="00F04593"/>
    <w:rsid w:val="00F0488B"/>
    <w:rsid w:val="00F05045"/>
    <w:rsid w:val="00F050D2"/>
    <w:rsid w:val="00F05896"/>
    <w:rsid w:val="00F05F30"/>
    <w:rsid w:val="00F10016"/>
    <w:rsid w:val="00F11043"/>
    <w:rsid w:val="00F115A8"/>
    <w:rsid w:val="00F11BC2"/>
    <w:rsid w:val="00F11F9C"/>
    <w:rsid w:val="00F124AB"/>
    <w:rsid w:val="00F12E42"/>
    <w:rsid w:val="00F13173"/>
    <w:rsid w:val="00F13292"/>
    <w:rsid w:val="00F135DE"/>
    <w:rsid w:val="00F1378A"/>
    <w:rsid w:val="00F13F21"/>
    <w:rsid w:val="00F13F78"/>
    <w:rsid w:val="00F141BF"/>
    <w:rsid w:val="00F144B3"/>
    <w:rsid w:val="00F15805"/>
    <w:rsid w:val="00F15B4D"/>
    <w:rsid w:val="00F15E85"/>
    <w:rsid w:val="00F1625A"/>
    <w:rsid w:val="00F168EB"/>
    <w:rsid w:val="00F16D4F"/>
    <w:rsid w:val="00F16E3F"/>
    <w:rsid w:val="00F216ED"/>
    <w:rsid w:val="00F221A7"/>
    <w:rsid w:val="00F22D5F"/>
    <w:rsid w:val="00F23B22"/>
    <w:rsid w:val="00F23D20"/>
    <w:rsid w:val="00F247AC"/>
    <w:rsid w:val="00F24EEB"/>
    <w:rsid w:val="00F25298"/>
    <w:rsid w:val="00F257B4"/>
    <w:rsid w:val="00F25A20"/>
    <w:rsid w:val="00F25D4E"/>
    <w:rsid w:val="00F25F87"/>
    <w:rsid w:val="00F2652C"/>
    <w:rsid w:val="00F265DC"/>
    <w:rsid w:val="00F268EE"/>
    <w:rsid w:val="00F26A5E"/>
    <w:rsid w:val="00F26BC1"/>
    <w:rsid w:val="00F27AB3"/>
    <w:rsid w:val="00F27B5C"/>
    <w:rsid w:val="00F27CD6"/>
    <w:rsid w:val="00F3028C"/>
    <w:rsid w:val="00F3078E"/>
    <w:rsid w:val="00F3239C"/>
    <w:rsid w:val="00F32A0C"/>
    <w:rsid w:val="00F32D34"/>
    <w:rsid w:val="00F348D5"/>
    <w:rsid w:val="00F34E06"/>
    <w:rsid w:val="00F36062"/>
    <w:rsid w:val="00F36302"/>
    <w:rsid w:val="00F36A79"/>
    <w:rsid w:val="00F374E0"/>
    <w:rsid w:val="00F379EF"/>
    <w:rsid w:val="00F37AF1"/>
    <w:rsid w:val="00F40B2B"/>
    <w:rsid w:val="00F424EE"/>
    <w:rsid w:val="00F42E02"/>
    <w:rsid w:val="00F43362"/>
    <w:rsid w:val="00F43AAF"/>
    <w:rsid w:val="00F43EB2"/>
    <w:rsid w:val="00F44E21"/>
    <w:rsid w:val="00F458A7"/>
    <w:rsid w:val="00F45C2F"/>
    <w:rsid w:val="00F468EA"/>
    <w:rsid w:val="00F47499"/>
    <w:rsid w:val="00F4765E"/>
    <w:rsid w:val="00F47749"/>
    <w:rsid w:val="00F5057C"/>
    <w:rsid w:val="00F51471"/>
    <w:rsid w:val="00F52065"/>
    <w:rsid w:val="00F520F4"/>
    <w:rsid w:val="00F52F81"/>
    <w:rsid w:val="00F536F8"/>
    <w:rsid w:val="00F53F75"/>
    <w:rsid w:val="00F53FA7"/>
    <w:rsid w:val="00F54F08"/>
    <w:rsid w:val="00F55B3C"/>
    <w:rsid w:val="00F5675D"/>
    <w:rsid w:val="00F56A94"/>
    <w:rsid w:val="00F5729E"/>
    <w:rsid w:val="00F601DB"/>
    <w:rsid w:val="00F60C6F"/>
    <w:rsid w:val="00F6169B"/>
    <w:rsid w:val="00F62741"/>
    <w:rsid w:val="00F63FE8"/>
    <w:rsid w:val="00F63FEE"/>
    <w:rsid w:val="00F64808"/>
    <w:rsid w:val="00F658EC"/>
    <w:rsid w:val="00F66440"/>
    <w:rsid w:val="00F67244"/>
    <w:rsid w:val="00F67FC2"/>
    <w:rsid w:val="00F70072"/>
    <w:rsid w:val="00F702AF"/>
    <w:rsid w:val="00F703FB"/>
    <w:rsid w:val="00F713A4"/>
    <w:rsid w:val="00F718BA"/>
    <w:rsid w:val="00F71A1E"/>
    <w:rsid w:val="00F72189"/>
    <w:rsid w:val="00F72713"/>
    <w:rsid w:val="00F72E6A"/>
    <w:rsid w:val="00F736C0"/>
    <w:rsid w:val="00F741C9"/>
    <w:rsid w:val="00F74290"/>
    <w:rsid w:val="00F7467B"/>
    <w:rsid w:val="00F74B69"/>
    <w:rsid w:val="00F75ABD"/>
    <w:rsid w:val="00F76D99"/>
    <w:rsid w:val="00F77179"/>
    <w:rsid w:val="00F778C1"/>
    <w:rsid w:val="00F77D7D"/>
    <w:rsid w:val="00F805E0"/>
    <w:rsid w:val="00F80792"/>
    <w:rsid w:val="00F809E2"/>
    <w:rsid w:val="00F80BE8"/>
    <w:rsid w:val="00F80C45"/>
    <w:rsid w:val="00F80C8E"/>
    <w:rsid w:val="00F8100F"/>
    <w:rsid w:val="00F81F5D"/>
    <w:rsid w:val="00F83970"/>
    <w:rsid w:val="00F84532"/>
    <w:rsid w:val="00F8487F"/>
    <w:rsid w:val="00F87D88"/>
    <w:rsid w:val="00F91550"/>
    <w:rsid w:val="00F91F0E"/>
    <w:rsid w:val="00F92004"/>
    <w:rsid w:val="00F923A9"/>
    <w:rsid w:val="00F9354F"/>
    <w:rsid w:val="00F936B8"/>
    <w:rsid w:val="00F9425C"/>
    <w:rsid w:val="00F94AF6"/>
    <w:rsid w:val="00F94C3D"/>
    <w:rsid w:val="00F94EAF"/>
    <w:rsid w:val="00F95C35"/>
    <w:rsid w:val="00F964BF"/>
    <w:rsid w:val="00F96559"/>
    <w:rsid w:val="00F9711E"/>
    <w:rsid w:val="00F971F6"/>
    <w:rsid w:val="00FA1093"/>
    <w:rsid w:val="00FA173C"/>
    <w:rsid w:val="00FA173D"/>
    <w:rsid w:val="00FA1BCB"/>
    <w:rsid w:val="00FA2702"/>
    <w:rsid w:val="00FA2A77"/>
    <w:rsid w:val="00FA3310"/>
    <w:rsid w:val="00FA450E"/>
    <w:rsid w:val="00FA5212"/>
    <w:rsid w:val="00FA5549"/>
    <w:rsid w:val="00FA57CA"/>
    <w:rsid w:val="00FA5A7B"/>
    <w:rsid w:val="00FA5BA1"/>
    <w:rsid w:val="00FA6E71"/>
    <w:rsid w:val="00FA7273"/>
    <w:rsid w:val="00FB07BD"/>
    <w:rsid w:val="00FB1451"/>
    <w:rsid w:val="00FB15C5"/>
    <w:rsid w:val="00FB1695"/>
    <w:rsid w:val="00FB1757"/>
    <w:rsid w:val="00FB3027"/>
    <w:rsid w:val="00FB303C"/>
    <w:rsid w:val="00FB362D"/>
    <w:rsid w:val="00FB3808"/>
    <w:rsid w:val="00FB3BC8"/>
    <w:rsid w:val="00FB4C64"/>
    <w:rsid w:val="00FB4F00"/>
    <w:rsid w:val="00FB54C3"/>
    <w:rsid w:val="00FB5E8C"/>
    <w:rsid w:val="00FB6A4B"/>
    <w:rsid w:val="00FB6D0E"/>
    <w:rsid w:val="00FB6EB7"/>
    <w:rsid w:val="00FB753C"/>
    <w:rsid w:val="00FB75C6"/>
    <w:rsid w:val="00FC10C5"/>
    <w:rsid w:val="00FC1589"/>
    <w:rsid w:val="00FC2FD4"/>
    <w:rsid w:val="00FC336A"/>
    <w:rsid w:val="00FC3487"/>
    <w:rsid w:val="00FC401A"/>
    <w:rsid w:val="00FC424A"/>
    <w:rsid w:val="00FC4B42"/>
    <w:rsid w:val="00FC4BC2"/>
    <w:rsid w:val="00FC532A"/>
    <w:rsid w:val="00FC559D"/>
    <w:rsid w:val="00FC61D6"/>
    <w:rsid w:val="00FC724F"/>
    <w:rsid w:val="00FD0041"/>
    <w:rsid w:val="00FD070C"/>
    <w:rsid w:val="00FD07A9"/>
    <w:rsid w:val="00FD1111"/>
    <w:rsid w:val="00FD1862"/>
    <w:rsid w:val="00FD1E00"/>
    <w:rsid w:val="00FD2657"/>
    <w:rsid w:val="00FD2709"/>
    <w:rsid w:val="00FD3471"/>
    <w:rsid w:val="00FD3DCA"/>
    <w:rsid w:val="00FD5231"/>
    <w:rsid w:val="00FD6448"/>
    <w:rsid w:val="00FD6659"/>
    <w:rsid w:val="00FD720D"/>
    <w:rsid w:val="00FD7A0D"/>
    <w:rsid w:val="00FD7F50"/>
    <w:rsid w:val="00FE1EFB"/>
    <w:rsid w:val="00FE2731"/>
    <w:rsid w:val="00FE2B9A"/>
    <w:rsid w:val="00FE2F04"/>
    <w:rsid w:val="00FE3259"/>
    <w:rsid w:val="00FE32AD"/>
    <w:rsid w:val="00FE32C2"/>
    <w:rsid w:val="00FE3CAF"/>
    <w:rsid w:val="00FE3FE3"/>
    <w:rsid w:val="00FE4183"/>
    <w:rsid w:val="00FE41A5"/>
    <w:rsid w:val="00FE4409"/>
    <w:rsid w:val="00FE49BA"/>
    <w:rsid w:val="00FE4A5B"/>
    <w:rsid w:val="00FE4FFF"/>
    <w:rsid w:val="00FE5571"/>
    <w:rsid w:val="00FE5755"/>
    <w:rsid w:val="00FE5A4D"/>
    <w:rsid w:val="00FE602C"/>
    <w:rsid w:val="00FE7083"/>
    <w:rsid w:val="00FF0CF5"/>
    <w:rsid w:val="00FF0E58"/>
    <w:rsid w:val="00FF0EE3"/>
    <w:rsid w:val="00FF145A"/>
    <w:rsid w:val="00FF1524"/>
    <w:rsid w:val="00FF1C13"/>
    <w:rsid w:val="00FF2287"/>
    <w:rsid w:val="00FF256C"/>
    <w:rsid w:val="00FF2A4D"/>
    <w:rsid w:val="00FF37C3"/>
    <w:rsid w:val="00FF3C22"/>
    <w:rsid w:val="00FF3C44"/>
    <w:rsid w:val="00FF4A06"/>
    <w:rsid w:val="00FF4A78"/>
    <w:rsid w:val="00FF5344"/>
    <w:rsid w:val="00FF5831"/>
    <w:rsid w:val="00FF5F0B"/>
    <w:rsid w:val="00FF7043"/>
    <w:rsid w:val="00FF709B"/>
    <w:rsid w:val="00FF7190"/>
    <w:rsid w:val="00FF72B4"/>
    <w:rsid w:val="00FF7796"/>
    <w:rsid w:val="560316FE"/>
    <w:rsid w:val="68F06F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pPr>
    <w:rPr>
      <w:rFonts w:ascii="Arial" w:hAnsi="Arial" w:eastAsia="宋体" w:cs="Times New Roman"/>
      <w:kern w:val="2"/>
      <w:sz w:val="24"/>
      <w:szCs w:val="24"/>
      <w:lang w:val="en-US" w:eastAsia="zh-CN" w:bidi="ar-SA"/>
    </w:rPr>
  </w:style>
  <w:style w:type="paragraph" w:styleId="2">
    <w:name w:val="heading 1"/>
    <w:basedOn w:val="1"/>
    <w:next w:val="1"/>
    <w:link w:val="45"/>
    <w:qFormat/>
    <w:uiPriority w:val="9"/>
    <w:pPr>
      <w:keepNext/>
      <w:keepLines/>
      <w:numPr>
        <w:ilvl w:val="0"/>
        <w:numId w:val="1"/>
      </w:numPr>
      <w:spacing w:before="340" w:after="330" w:line="578" w:lineRule="auto"/>
      <w:ind w:firstLine="0" w:firstLineChars="0"/>
      <w:jc w:val="center"/>
      <w:outlineLvl w:val="0"/>
    </w:pPr>
    <w:rPr>
      <w:rFonts w:ascii="楷体_GB2312" w:hAnsi="宋体" w:eastAsia="楷体" w:cs="Arial"/>
      <w:b/>
      <w:bCs/>
      <w:kern w:val="44"/>
      <w:sz w:val="44"/>
      <w:szCs w:val="44"/>
    </w:rPr>
  </w:style>
  <w:style w:type="paragraph" w:styleId="3">
    <w:name w:val="heading 2"/>
    <w:basedOn w:val="1"/>
    <w:next w:val="1"/>
    <w:link w:val="53"/>
    <w:qFormat/>
    <w:uiPriority w:val="9"/>
    <w:pPr>
      <w:keepNext/>
      <w:keepLines/>
      <w:numPr>
        <w:ilvl w:val="1"/>
        <w:numId w:val="1"/>
      </w:numPr>
      <w:spacing w:before="200" w:after="200" w:line="240" w:lineRule="auto"/>
      <w:ind w:firstLineChars="0"/>
      <w:outlineLvl w:val="1"/>
    </w:pPr>
    <w:rPr>
      <w:rFonts w:eastAsia="楷体" w:cs="Arial"/>
      <w:b/>
      <w:bCs/>
      <w:sz w:val="32"/>
      <w:szCs w:val="32"/>
    </w:rPr>
  </w:style>
  <w:style w:type="paragraph" w:styleId="4">
    <w:name w:val="heading 3"/>
    <w:basedOn w:val="1"/>
    <w:next w:val="1"/>
    <w:link w:val="54"/>
    <w:qFormat/>
    <w:uiPriority w:val="9"/>
    <w:pPr>
      <w:keepNext/>
      <w:keepLines/>
      <w:numPr>
        <w:ilvl w:val="2"/>
        <w:numId w:val="1"/>
      </w:numPr>
      <w:spacing w:before="120" w:after="120" w:line="240" w:lineRule="auto"/>
      <w:ind w:firstLineChars="0"/>
      <w:outlineLvl w:val="2"/>
    </w:pPr>
    <w:rPr>
      <w:rFonts w:eastAsia="楷体" w:cs="Arial"/>
      <w:b/>
      <w:bCs/>
      <w:sz w:val="30"/>
      <w:szCs w:val="30"/>
    </w:rPr>
  </w:style>
  <w:style w:type="paragraph" w:styleId="5">
    <w:name w:val="heading 4"/>
    <w:basedOn w:val="1"/>
    <w:next w:val="1"/>
    <w:link w:val="55"/>
    <w:qFormat/>
    <w:uiPriority w:val="9"/>
    <w:pPr>
      <w:keepNext/>
      <w:keepLines/>
      <w:numPr>
        <w:ilvl w:val="3"/>
        <w:numId w:val="1"/>
      </w:numPr>
      <w:spacing w:before="280" w:after="290" w:line="377" w:lineRule="auto"/>
      <w:ind w:firstLineChars="0"/>
      <w:outlineLvl w:val="3"/>
    </w:pPr>
    <w:rPr>
      <w:rFonts w:eastAsia="黑体"/>
      <w:b/>
      <w:bCs/>
      <w:sz w:val="28"/>
      <w:szCs w:val="28"/>
    </w:rPr>
  </w:style>
  <w:style w:type="paragraph" w:styleId="6">
    <w:name w:val="heading 5"/>
    <w:basedOn w:val="1"/>
    <w:next w:val="1"/>
    <w:link w:val="44"/>
    <w:qFormat/>
    <w:uiPriority w:val="0"/>
    <w:pPr>
      <w:keepNext/>
      <w:keepLines/>
      <w:snapToGrid w:val="0"/>
      <w:spacing w:before="50" w:beforeLines="50" w:line="300" w:lineRule="auto"/>
      <w:ind w:firstLine="0" w:firstLineChars="0"/>
      <w:jc w:val="both"/>
      <w:outlineLvl w:val="4"/>
    </w:pPr>
    <w:rPr>
      <w:rFonts w:ascii="Times New Roman" w:hAnsi="Times New Roman" w:eastAsia="黑体" w:cs="仿宋"/>
      <w:bCs/>
      <w:color w:val="000000" w:themeColor="text1"/>
      <w:sz w:val="28"/>
      <w14:textFill>
        <w14:solidFill>
          <w14:schemeClr w14:val="tx1"/>
        </w14:solidFill>
      </w14:textFill>
    </w:rPr>
  </w:style>
  <w:style w:type="paragraph" w:styleId="7">
    <w:name w:val="heading 6"/>
    <w:basedOn w:val="1"/>
    <w:next w:val="1"/>
    <w:link w:val="48"/>
    <w:qFormat/>
    <w:uiPriority w:val="0"/>
    <w:pPr>
      <w:keepNext/>
      <w:keepLines/>
      <w:spacing w:before="50" w:beforeLines="50" w:after="50" w:afterLines="50" w:line="240" w:lineRule="auto"/>
      <w:ind w:firstLine="0" w:firstLineChars="0"/>
      <w:outlineLvl w:val="5"/>
    </w:pPr>
    <w:rPr>
      <w:rFonts w:ascii="Times New Roman" w:hAnsi="Times New Roman" w:eastAsia="黑体"/>
      <w:lang w:val="zh-CN"/>
    </w:rPr>
  </w:style>
  <w:style w:type="paragraph" w:styleId="8">
    <w:name w:val="heading 7"/>
    <w:basedOn w:val="1"/>
    <w:next w:val="1"/>
    <w:link w:val="60"/>
    <w:qFormat/>
    <w:uiPriority w:val="0"/>
    <w:pPr>
      <w:keepNext/>
      <w:keepLines/>
      <w:tabs>
        <w:tab w:val="left" w:pos="1296"/>
      </w:tabs>
      <w:adjustRightInd w:val="0"/>
      <w:snapToGrid w:val="0"/>
      <w:spacing w:before="240" w:after="64" w:line="320" w:lineRule="auto"/>
      <w:ind w:left="1296" w:hanging="1296" w:firstLineChars="0"/>
      <w:jc w:val="both"/>
      <w:outlineLvl w:val="6"/>
    </w:pPr>
    <w:rPr>
      <w:rFonts w:ascii="Times New Roman" w:hAnsi="Times New Roman"/>
      <w:b/>
      <w:bCs/>
    </w:rPr>
  </w:style>
  <w:style w:type="paragraph" w:styleId="9">
    <w:name w:val="heading 8"/>
    <w:basedOn w:val="1"/>
    <w:next w:val="1"/>
    <w:link w:val="61"/>
    <w:qFormat/>
    <w:uiPriority w:val="0"/>
    <w:pPr>
      <w:keepNext/>
      <w:keepLines/>
      <w:tabs>
        <w:tab w:val="left" w:pos="1440"/>
      </w:tabs>
      <w:adjustRightInd w:val="0"/>
      <w:snapToGrid w:val="0"/>
      <w:spacing w:before="240" w:after="64" w:line="320" w:lineRule="auto"/>
      <w:ind w:left="1440" w:hanging="1440" w:firstLineChars="0"/>
      <w:jc w:val="both"/>
      <w:outlineLvl w:val="7"/>
    </w:pPr>
    <w:rPr>
      <w:rFonts w:eastAsia="黑体"/>
    </w:rPr>
  </w:style>
  <w:style w:type="paragraph" w:styleId="10">
    <w:name w:val="heading 9"/>
    <w:basedOn w:val="1"/>
    <w:next w:val="1"/>
    <w:link w:val="62"/>
    <w:qFormat/>
    <w:uiPriority w:val="0"/>
    <w:pPr>
      <w:keepNext/>
      <w:keepLines/>
      <w:tabs>
        <w:tab w:val="left" w:pos="1584"/>
      </w:tabs>
      <w:adjustRightInd w:val="0"/>
      <w:snapToGrid w:val="0"/>
      <w:spacing w:before="240" w:after="64" w:line="320" w:lineRule="auto"/>
      <w:ind w:left="1584" w:hanging="1584" w:firstLineChars="0"/>
      <w:jc w:val="both"/>
      <w:outlineLvl w:val="8"/>
    </w:pPr>
    <w:rPr>
      <w:rFonts w:eastAsia="黑体"/>
      <w:sz w:val="21"/>
      <w:szCs w:val="21"/>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spacing w:line="240" w:lineRule="auto"/>
      <w:ind w:left="2520" w:leftChars="1200" w:firstLine="0" w:firstLineChars="0"/>
      <w:jc w:val="both"/>
    </w:pPr>
    <w:rPr>
      <w:rFonts w:asciiTheme="minorHAnsi" w:hAnsiTheme="minorHAnsi" w:eastAsiaTheme="minorEastAsia" w:cstheme="minorBidi"/>
      <w:sz w:val="21"/>
      <w:szCs w:val="22"/>
      <w14:ligatures w14:val="standardContextual"/>
    </w:rPr>
  </w:style>
  <w:style w:type="paragraph" w:styleId="12">
    <w:name w:val="caption"/>
    <w:basedOn w:val="1"/>
    <w:next w:val="1"/>
    <w:qFormat/>
    <w:uiPriority w:val="0"/>
    <w:rPr>
      <w:rFonts w:eastAsia="黑体" w:asciiTheme="majorHAnsi" w:hAnsiTheme="majorHAnsi" w:cstheme="majorBidi"/>
      <w:sz w:val="20"/>
      <w:szCs w:val="20"/>
    </w:rPr>
  </w:style>
  <w:style w:type="paragraph" w:styleId="13">
    <w:name w:val="Document Map"/>
    <w:basedOn w:val="1"/>
    <w:link w:val="46"/>
    <w:semiHidden/>
    <w:qFormat/>
    <w:uiPriority w:val="0"/>
    <w:pPr>
      <w:shd w:val="clear" w:color="auto" w:fill="000080"/>
    </w:pPr>
  </w:style>
  <w:style w:type="paragraph" w:styleId="14">
    <w:name w:val="annotation text"/>
    <w:basedOn w:val="1"/>
    <w:link w:val="52"/>
    <w:qFormat/>
    <w:uiPriority w:val="0"/>
  </w:style>
  <w:style w:type="paragraph" w:styleId="15">
    <w:name w:val="toc 5"/>
    <w:basedOn w:val="1"/>
    <w:next w:val="1"/>
    <w:unhideWhenUsed/>
    <w:qFormat/>
    <w:uiPriority w:val="39"/>
    <w:pPr>
      <w:spacing w:line="240" w:lineRule="auto"/>
      <w:ind w:left="1680" w:leftChars="800" w:firstLine="0" w:firstLineChars="0"/>
      <w:jc w:val="both"/>
    </w:pPr>
    <w:rPr>
      <w:rFonts w:asciiTheme="minorHAnsi" w:hAnsiTheme="minorHAnsi" w:eastAsiaTheme="minorEastAsia" w:cstheme="minorBidi"/>
      <w:sz w:val="21"/>
      <w:szCs w:val="22"/>
      <w14:ligatures w14:val="standardContextual"/>
    </w:rPr>
  </w:style>
  <w:style w:type="paragraph" w:styleId="16">
    <w:name w:val="toc 3"/>
    <w:basedOn w:val="1"/>
    <w:next w:val="1"/>
    <w:unhideWhenUsed/>
    <w:qFormat/>
    <w:uiPriority w:val="39"/>
    <w:pPr>
      <w:spacing w:line="240" w:lineRule="auto"/>
      <w:ind w:left="840" w:leftChars="400" w:firstLine="0" w:firstLineChars="0"/>
      <w:jc w:val="both"/>
    </w:pPr>
    <w:rPr>
      <w:rFonts w:asciiTheme="minorHAnsi" w:hAnsiTheme="minorHAnsi" w:eastAsiaTheme="minorEastAsia" w:cstheme="minorBidi"/>
      <w:sz w:val="21"/>
      <w:szCs w:val="22"/>
      <w14:ligatures w14:val="standardContextual"/>
    </w:rPr>
  </w:style>
  <w:style w:type="paragraph" w:styleId="17">
    <w:name w:val="toc 8"/>
    <w:basedOn w:val="1"/>
    <w:next w:val="1"/>
    <w:unhideWhenUsed/>
    <w:qFormat/>
    <w:uiPriority w:val="39"/>
    <w:pPr>
      <w:spacing w:line="240" w:lineRule="auto"/>
      <w:ind w:left="2940" w:leftChars="1400" w:firstLine="0" w:firstLineChars="0"/>
      <w:jc w:val="both"/>
    </w:pPr>
    <w:rPr>
      <w:rFonts w:asciiTheme="minorHAnsi" w:hAnsiTheme="minorHAnsi" w:eastAsiaTheme="minorEastAsia" w:cstheme="minorBidi"/>
      <w:sz w:val="21"/>
      <w:szCs w:val="22"/>
      <w14:ligatures w14:val="standardContextual"/>
    </w:rPr>
  </w:style>
  <w:style w:type="paragraph" w:styleId="18">
    <w:name w:val="Date"/>
    <w:basedOn w:val="1"/>
    <w:next w:val="1"/>
    <w:link w:val="49"/>
    <w:qFormat/>
    <w:uiPriority w:val="0"/>
    <w:pPr>
      <w:spacing w:line="240" w:lineRule="auto"/>
      <w:ind w:left="100" w:leftChars="2500" w:firstLine="0" w:firstLineChars="0"/>
      <w:jc w:val="both"/>
    </w:pPr>
    <w:rPr>
      <w:rFonts w:ascii="宋体" w:hAnsi="Courier New"/>
      <w:sz w:val="28"/>
      <w:szCs w:val="20"/>
    </w:rPr>
  </w:style>
  <w:style w:type="paragraph" w:styleId="19">
    <w:name w:val="Balloon Text"/>
    <w:basedOn w:val="1"/>
    <w:link w:val="50"/>
    <w:qFormat/>
    <w:uiPriority w:val="0"/>
    <w:pPr>
      <w:spacing w:line="240" w:lineRule="auto"/>
    </w:pPr>
    <w:rPr>
      <w:sz w:val="18"/>
      <w:szCs w:val="18"/>
    </w:rPr>
  </w:style>
  <w:style w:type="paragraph" w:styleId="20">
    <w:name w:val="footer"/>
    <w:basedOn w:val="1"/>
    <w:link w:val="56"/>
    <w:qFormat/>
    <w:uiPriority w:val="0"/>
    <w:pPr>
      <w:tabs>
        <w:tab w:val="center" w:pos="4153"/>
        <w:tab w:val="right" w:pos="8306"/>
      </w:tabs>
      <w:snapToGrid w:val="0"/>
      <w:spacing w:line="240" w:lineRule="auto"/>
    </w:pPr>
    <w:rPr>
      <w:sz w:val="18"/>
      <w:szCs w:val="18"/>
    </w:rPr>
  </w:style>
  <w:style w:type="paragraph" w:styleId="21">
    <w:name w:val="header"/>
    <w:basedOn w:val="1"/>
    <w:link w:val="57"/>
    <w:qFormat/>
    <w:uiPriority w:val="0"/>
    <w:pPr>
      <w:pBdr>
        <w:bottom w:val="single" w:color="auto" w:sz="6" w:space="1"/>
      </w:pBdr>
      <w:tabs>
        <w:tab w:val="center" w:pos="4153"/>
        <w:tab w:val="right" w:pos="8306"/>
      </w:tabs>
      <w:snapToGrid w:val="0"/>
      <w:spacing w:line="240" w:lineRule="auto"/>
      <w:jc w:val="center"/>
    </w:pPr>
    <w:rPr>
      <w:sz w:val="18"/>
      <w:szCs w:val="18"/>
    </w:rPr>
  </w:style>
  <w:style w:type="paragraph" w:styleId="22">
    <w:name w:val="toc 1"/>
    <w:basedOn w:val="1"/>
    <w:next w:val="1"/>
    <w:qFormat/>
    <w:uiPriority w:val="39"/>
  </w:style>
  <w:style w:type="paragraph" w:styleId="23">
    <w:name w:val="toc 4"/>
    <w:basedOn w:val="1"/>
    <w:next w:val="1"/>
    <w:unhideWhenUsed/>
    <w:qFormat/>
    <w:uiPriority w:val="39"/>
    <w:pPr>
      <w:spacing w:line="240" w:lineRule="auto"/>
      <w:ind w:left="1260" w:leftChars="600" w:firstLine="0" w:firstLineChars="0"/>
      <w:jc w:val="both"/>
    </w:pPr>
    <w:rPr>
      <w:rFonts w:asciiTheme="minorHAnsi" w:hAnsiTheme="minorHAnsi" w:eastAsiaTheme="minorEastAsia" w:cstheme="minorBidi"/>
      <w:sz w:val="21"/>
      <w:szCs w:val="22"/>
      <w14:ligatures w14:val="standardContextual"/>
    </w:rPr>
  </w:style>
  <w:style w:type="paragraph" w:styleId="24">
    <w:name w:val="toc 6"/>
    <w:basedOn w:val="1"/>
    <w:next w:val="1"/>
    <w:unhideWhenUsed/>
    <w:qFormat/>
    <w:uiPriority w:val="39"/>
    <w:pPr>
      <w:spacing w:line="240" w:lineRule="auto"/>
      <w:ind w:left="2100" w:leftChars="1000" w:firstLine="0" w:firstLineChars="0"/>
      <w:jc w:val="both"/>
    </w:pPr>
    <w:rPr>
      <w:rFonts w:asciiTheme="minorHAnsi" w:hAnsiTheme="minorHAnsi" w:eastAsiaTheme="minorEastAsia" w:cstheme="minorBidi"/>
      <w:sz w:val="21"/>
      <w:szCs w:val="22"/>
      <w14:ligatures w14:val="standardContextual"/>
    </w:rPr>
  </w:style>
  <w:style w:type="paragraph" w:styleId="25">
    <w:name w:val="toc 2"/>
    <w:basedOn w:val="1"/>
    <w:next w:val="1"/>
    <w:qFormat/>
    <w:uiPriority w:val="39"/>
    <w:pPr>
      <w:ind w:left="420" w:leftChars="200"/>
    </w:pPr>
  </w:style>
  <w:style w:type="paragraph" w:styleId="26">
    <w:name w:val="toc 9"/>
    <w:basedOn w:val="1"/>
    <w:next w:val="1"/>
    <w:unhideWhenUsed/>
    <w:qFormat/>
    <w:uiPriority w:val="39"/>
    <w:pPr>
      <w:spacing w:line="240" w:lineRule="auto"/>
      <w:ind w:left="3360" w:leftChars="1600" w:firstLine="0" w:firstLineChars="0"/>
      <w:jc w:val="both"/>
    </w:pPr>
    <w:rPr>
      <w:rFonts w:asciiTheme="minorHAnsi" w:hAnsiTheme="minorHAnsi" w:eastAsiaTheme="minorEastAsia" w:cstheme="minorBidi"/>
      <w:sz w:val="21"/>
      <w:szCs w:val="22"/>
      <w14:ligatures w14:val="standardContextual"/>
    </w:rPr>
  </w:style>
  <w:style w:type="paragraph" w:styleId="27">
    <w:name w:val="annotation subject"/>
    <w:basedOn w:val="1"/>
    <w:next w:val="1"/>
    <w:link w:val="47"/>
    <w:qFormat/>
    <w:uiPriority w:val="0"/>
    <w:rPr>
      <w:b/>
      <w:bCs/>
    </w:rPr>
  </w:style>
  <w:style w:type="table" w:styleId="29">
    <w:name w:val="Table Grid"/>
    <w:basedOn w:val="2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FollowedHyperlink"/>
    <w:basedOn w:val="30"/>
    <w:unhideWhenUsed/>
    <w:qFormat/>
    <w:uiPriority w:val="99"/>
    <w:rPr>
      <w:color w:val="800080"/>
      <w:u w:val="single"/>
    </w:rPr>
  </w:style>
  <w:style w:type="character" w:styleId="32">
    <w:name w:val="Hyperlink"/>
    <w:basedOn w:val="30"/>
    <w:qFormat/>
    <w:uiPriority w:val="99"/>
    <w:rPr>
      <w:color w:val="0000FF"/>
      <w:u w:val="single"/>
    </w:rPr>
  </w:style>
  <w:style w:type="character" w:styleId="33">
    <w:name w:val="annotation reference"/>
    <w:basedOn w:val="30"/>
    <w:qFormat/>
    <w:uiPriority w:val="0"/>
    <w:rPr>
      <w:sz w:val="21"/>
      <w:szCs w:val="21"/>
    </w:rPr>
  </w:style>
  <w:style w:type="paragraph" w:customStyle="1" w:styleId="34">
    <w:name w:val="封面"/>
    <w:basedOn w:val="1"/>
    <w:next w:val="1"/>
    <w:qFormat/>
    <w:uiPriority w:val="0"/>
    <w:pPr>
      <w:spacing w:line="240" w:lineRule="auto"/>
      <w:ind w:firstLine="0" w:firstLineChars="0"/>
      <w:jc w:val="center"/>
    </w:pPr>
    <w:rPr>
      <w:rFonts w:eastAsia="楷体"/>
      <w:sz w:val="48"/>
      <w:szCs w:val="48"/>
    </w:rPr>
  </w:style>
  <w:style w:type="paragraph" w:customStyle="1" w:styleId="35">
    <w:name w:val="正文＋黑体"/>
    <w:basedOn w:val="1"/>
    <w:link w:val="36"/>
    <w:qFormat/>
    <w:uiPriority w:val="0"/>
    <w:pPr>
      <w:spacing w:beforeLines="50" w:afterLines="50" w:line="240" w:lineRule="auto"/>
      <w:ind w:firstLine="480"/>
    </w:pPr>
    <w:rPr>
      <w:rFonts w:eastAsia="黑体"/>
    </w:rPr>
  </w:style>
  <w:style w:type="character" w:customStyle="1" w:styleId="36">
    <w:name w:val="正文＋黑体 Char"/>
    <w:basedOn w:val="30"/>
    <w:link w:val="35"/>
    <w:qFormat/>
    <w:uiPriority w:val="0"/>
    <w:rPr>
      <w:rFonts w:ascii="Arial" w:hAnsi="Arial" w:eastAsia="黑体"/>
      <w:kern w:val="2"/>
      <w:sz w:val="24"/>
      <w:szCs w:val="24"/>
      <w:lang w:val="en-US" w:eastAsia="zh-CN" w:bidi="ar-SA"/>
    </w:rPr>
  </w:style>
  <w:style w:type="paragraph" w:customStyle="1" w:styleId="37">
    <w:name w:val="图表标题"/>
    <w:basedOn w:val="1"/>
    <w:link w:val="38"/>
    <w:qFormat/>
    <w:uiPriority w:val="0"/>
    <w:pPr>
      <w:spacing w:line="600" w:lineRule="exact"/>
      <w:ind w:firstLine="0" w:firstLineChars="0"/>
      <w:jc w:val="center"/>
    </w:pPr>
    <w:rPr>
      <w:rFonts w:eastAsia="黑体" w:cs="Arial"/>
    </w:rPr>
  </w:style>
  <w:style w:type="character" w:customStyle="1" w:styleId="38">
    <w:name w:val="图表标题 Char"/>
    <w:basedOn w:val="30"/>
    <w:link w:val="37"/>
    <w:qFormat/>
    <w:uiPriority w:val="0"/>
    <w:rPr>
      <w:rFonts w:ascii="Arial" w:hAnsi="Arial" w:eastAsia="黑体" w:cs="Arial"/>
      <w:kern w:val="2"/>
      <w:sz w:val="24"/>
      <w:szCs w:val="24"/>
    </w:rPr>
  </w:style>
  <w:style w:type="paragraph" w:customStyle="1" w:styleId="39">
    <w:name w:val="表格"/>
    <w:basedOn w:val="1"/>
    <w:link w:val="40"/>
    <w:qFormat/>
    <w:uiPriority w:val="0"/>
    <w:pPr>
      <w:spacing w:line="240" w:lineRule="auto"/>
      <w:ind w:firstLine="0" w:firstLineChars="0"/>
      <w:jc w:val="center"/>
    </w:pPr>
    <w:rPr>
      <w:sz w:val="21"/>
      <w:szCs w:val="21"/>
    </w:rPr>
  </w:style>
  <w:style w:type="character" w:customStyle="1" w:styleId="40">
    <w:name w:val="表格 Char"/>
    <w:basedOn w:val="30"/>
    <w:link w:val="39"/>
    <w:qFormat/>
    <w:uiPriority w:val="0"/>
    <w:rPr>
      <w:rFonts w:ascii="Arial" w:hAnsi="Arial" w:eastAsia="宋体"/>
      <w:kern w:val="2"/>
      <w:sz w:val="21"/>
      <w:szCs w:val="21"/>
      <w:lang w:val="en-US" w:eastAsia="zh-CN" w:bidi="ar-SA"/>
    </w:rPr>
  </w:style>
  <w:style w:type="paragraph" w:customStyle="1" w:styleId="41">
    <w:name w:val="表注"/>
    <w:basedOn w:val="1"/>
    <w:qFormat/>
    <w:uiPriority w:val="0"/>
    <w:pPr>
      <w:autoSpaceDE w:val="0"/>
      <w:autoSpaceDN w:val="0"/>
      <w:adjustRightInd w:val="0"/>
      <w:spacing w:beforeLines="50" w:afterLines="50" w:line="240" w:lineRule="auto"/>
      <w:ind w:firstLine="0" w:firstLineChars="0"/>
      <w:jc w:val="both"/>
    </w:pPr>
    <w:rPr>
      <w:rFonts w:cs="Arial"/>
      <w:kern w:val="0"/>
      <w:sz w:val="21"/>
      <w:szCs w:val="21"/>
    </w:rPr>
  </w:style>
  <w:style w:type="character" w:customStyle="1" w:styleId="42">
    <w:name w:val="列表段落 字符"/>
    <w:link w:val="43"/>
    <w:qFormat/>
    <w:locked/>
    <w:uiPriority w:val="34"/>
    <w:rPr>
      <w:rFonts w:ascii="Arial" w:hAnsi="Arial"/>
      <w:kern w:val="2"/>
      <w:sz w:val="24"/>
      <w:szCs w:val="24"/>
    </w:rPr>
  </w:style>
  <w:style w:type="paragraph" w:styleId="43">
    <w:name w:val="List Paragraph"/>
    <w:basedOn w:val="1"/>
    <w:link w:val="42"/>
    <w:qFormat/>
    <w:uiPriority w:val="34"/>
    <w:pPr>
      <w:ind w:firstLine="420"/>
    </w:pPr>
  </w:style>
  <w:style w:type="character" w:customStyle="1" w:styleId="44">
    <w:name w:val="标题 5 字符"/>
    <w:basedOn w:val="30"/>
    <w:link w:val="6"/>
    <w:qFormat/>
    <w:uiPriority w:val="99"/>
    <w:rPr>
      <w:rFonts w:eastAsia="黑体" w:cs="仿宋"/>
      <w:bCs/>
      <w:color w:val="000000" w:themeColor="text1"/>
      <w:kern w:val="2"/>
      <w:sz w:val="28"/>
      <w:szCs w:val="24"/>
      <w14:textFill>
        <w14:solidFill>
          <w14:schemeClr w14:val="tx1"/>
        </w14:solidFill>
      </w14:textFill>
    </w:rPr>
  </w:style>
  <w:style w:type="character" w:customStyle="1" w:styleId="45">
    <w:name w:val="标题 1 字符"/>
    <w:link w:val="2"/>
    <w:qFormat/>
    <w:uiPriority w:val="9"/>
    <w:rPr>
      <w:rFonts w:ascii="楷体_GB2312" w:hAnsi="宋体" w:eastAsia="楷体" w:cs="Arial"/>
      <w:b/>
      <w:bCs/>
      <w:kern w:val="44"/>
      <w:sz w:val="44"/>
      <w:szCs w:val="44"/>
    </w:rPr>
  </w:style>
  <w:style w:type="character" w:customStyle="1" w:styleId="46">
    <w:name w:val="文档结构图 字符"/>
    <w:basedOn w:val="30"/>
    <w:link w:val="13"/>
    <w:semiHidden/>
    <w:qFormat/>
    <w:uiPriority w:val="99"/>
    <w:rPr>
      <w:rFonts w:ascii="Arial" w:hAnsi="Arial"/>
      <w:kern w:val="2"/>
      <w:sz w:val="24"/>
      <w:szCs w:val="24"/>
      <w:shd w:val="clear" w:color="auto" w:fill="000080"/>
    </w:rPr>
  </w:style>
  <w:style w:type="character" w:customStyle="1" w:styleId="47">
    <w:name w:val="批注主题 字符"/>
    <w:basedOn w:val="30"/>
    <w:link w:val="27"/>
    <w:qFormat/>
    <w:uiPriority w:val="0"/>
    <w:rPr>
      <w:rFonts w:ascii="Arial" w:hAnsi="Arial"/>
      <w:b/>
      <w:bCs/>
      <w:kern w:val="2"/>
      <w:sz w:val="24"/>
      <w:szCs w:val="24"/>
    </w:rPr>
  </w:style>
  <w:style w:type="character" w:customStyle="1" w:styleId="48">
    <w:name w:val="标题 6 字符"/>
    <w:basedOn w:val="30"/>
    <w:link w:val="7"/>
    <w:qFormat/>
    <w:uiPriority w:val="99"/>
    <w:rPr>
      <w:rFonts w:eastAsia="黑体"/>
      <w:kern w:val="2"/>
      <w:sz w:val="24"/>
      <w:szCs w:val="24"/>
      <w:lang w:val="zh-CN"/>
    </w:rPr>
  </w:style>
  <w:style w:type="character" w:customStyle="1" w:styleId="49">
    <w:name w:val="日期 字符"/>
    <w:basedOn w:val="30"/>
    <w:link w:val="18"/>
    <w:qFormat/>
    <w:uiPriority w:val="0"/>
    <w:rPr>
      <w:rFonts w:ascii="宋体" w:hAnsi="Courier New"/>
      <w:kern w:val="2"/>
      <w:sz w:val="28"/>
    </w:rPr>
  </w:style>
  <w:style w:type="character" w:customStyle="1" w:styleId="50">
    <w:name w:val="批注框文本 字符"/>
    <w:basedOn w:val="30"/>
    <w:link w:val="19"/>
    <w:qFormat/>
    <w:uiPriority w:val="0"/>
    <w:rPr>
      <w:rFonts w:ascii="Arial" w:hAnsi="Arial"/>
      <w:kern w:val="2"/>
      <w:sz w:val="18"/>
      <w:szCs w:val="18"/>
    </w:rPr>
  </w:style>
  <w:style w:type="character" w:customStyle="1" w:styleId="51">
    <w:name w:val="未处理的提及1"/>
    <w:basedOn w:val="30"/>
    <w:semiHidden/>
    <w:unhideWhenUsed/>
    <w:qFormat/>
    <w:uiPriority w:val="99"/>
    <w:rPr>
      <w:color w:val="605E5C"/>
      <w:shd w:val="clear" w:color="auto" w:fill="E1DFDD"/>
    </w:rPr>
  </w:style>
  <w:style w:type="character" w:customStyle="1" w:styleId="52">
    <w:name w:val="批注文字 字符"/>
    <w:basedOn w:val="30"/>
    <w:link w:val="14"/>
    <w:qFormat/>
    <w:uiPriority w:val="0"/>
    <w:rPr>
      <w:rFonts w:ascii="Arial" w:hAnsi="Arial"/>
      <w:kern w:val="2"/>
      <w:sz w:val="24"/>
      <w:szCs w:val="24"/>
    </w:rPr>
  </w:style>
  <w:style w:type="character" w:customStyle="1" w:styleId="53">
    <w:name w:val="标题 2 字符"/>
    <w:basedOn w:val="30"/>
    <w:link w:val="3"/>
    <w:qFormat/>
    <w:uiPriority w:val="9"/>
    <w:rPr>
      <w:rFonts w:ascii="Arial" w:hAnsi="Arial" w:eastAsia="楷体" w:cs="Arial"/>
      <w:b/>
      <w:bCs/>
      <w:kern w:val="2"/>
      <w:sz w:val="32"/>
      <w:szCs w:val="32"/>
    </w:rPr>
  </w:style>
  <w:style w:type="character" w:customStyle="1" w:styleId="54">
    <w:name w:val="标题 3 字符"/>
    <w:basedOn w:val="30"/>
    <w:link w:val="4"/>
    <w:qFormat/>
    <w:uiPriority w:val="9"/>
    <w:rPr>
      <w:rFonts w:ascii="Arial" w:hAnsi="Arial" w:eastAsia="楷体" w:cs="Arial"/>
      <w:b/>
      <w:bCs/>
      <w:kern w:val="2"/>
      <w:sz w:val="30"/>
      <w:szCs w:val="30"/>
    </w:rPr>
  </w:style>
  <w:style w:type="character" w:customStyle="1" w:styleId="55">
    <w:name w:val="标题 4 字符"/>
    <w:basedOn w:val="30"/>
    <w:link w:val="5"/>
    <w:qFormat/>
    <w:uiPriority w:val="9"/>
    <w:rPr>
      <w:rFonts w:ascii="Arial" w:hAnsi="Arial" w:eastAsia="黑体"/>
      <w:b/>
      <w:bCs/>
      <w:kern w:val="2"/>
      <w:sz w:val="28"/>
      <w:szCs w:val="28"/>
    </w:rPr>
  </w:style>
  <w:style w:type="character" w:customStyle="1" w:styleId="56">
    <w:name w:val="页脚 字符"/>
    <w:basedOn w:val="30"/>
    <w:link w:val="20"/>
    <w:qFormat/>
    <w:uiPriority w:val="99"/>
    <w:rPr>
      <w:rFonts w:ascii="Arial" w:hAnsi="Arial"/>
      <w:kern w:val="2"/>
      <w:sz w:val="18"/>
      <w:szCs w:val="18"/>
    </w:rPr>
  </w:style>
  <w:style w:type="character" w:customStyle="1" w:styleId="57">
    <w:name w:val="页眉 字符"/>
    <w:basedOn w:val="30"/>
    <w:link w:val="21"/>
    <w:qFormat/>
    <w:uiPriority w:val="0"/>
    <w:rPr>
      <w:rFonts w:ascii="Arial" w:hAnsi="Arial"/>
      <w:kern w:val="2"/>
      <w:sz w:val="18"/>
      <w:szCs w:val="18"/>
    </w:rPr>
  </w:style>
  <w:style w:type="paragraph" w:customStyle="1" w:styleId="58">
    <w:name w:val="Revision"/>
    <w:hidden/>
    <w:semiHidden/>
    <w:qFormat/>
    <w:uiPriority w:val="99"/>
    <w:rPr>
      <w:rFonts w:ascii="Arial" w:hAnsi="Arial" w:eastAsia="宋体" w:cs="Times New Roman"/>
      <w:kern w:val="2"/>
      <w:sz w:val="24"/>
      <w:szCs w:val="24"/>
      <w:lang w:val="en-US" w:eastAsia="zh-CN" w:bidi="ar-SA"/>
    </w:rPr>
  </w:style>
  <w:style w:type="character" w:customStyle="1" w:styleId="59">
    <w:name w:val="表格 字符"/>
    <w:basedOn w:val="30"/>
    <w:qFormat/>
    <w:uiPriority w:val="0"/>
    <w:rPr>
      <w:rFonts w:ascii="Arial" w:hAnsi="Arial" w:eastAsia="宋体"/>
      <w:kern w:val="2"/>
      <w:sz w:val="21"/>
      <w:szCs w:val="21"/>
      <w:lang w:val="en-US" w:eastAsia="zh-CN" w:bidi="ar-SA"/>
    </w:rPr>
  </w:style>
  <w:style w:type="character" w:customStyle="1" w:styleId="60">
    <w:name w:val="标题 7 字符"/>
    <w:basedOn w:val="30"/>
    <w:link w:val="8"/>
    <w:qFormat/>
    <w:uiPriority w:val="0"/>
    <w:rPr>
      <w:b/>
      <w:bCs/>
      <w:kern w:val="2"/>
      <w:sz w:val="24"/>
      <w:szCs w:val="24"/>
    </w:rPr>
  </w:style>
  <w:style w:type="character" w:customStyle="1" w:styleId="61">
    <w:name w:val="标题 8 字符"/>
    <w:basedOn w:val="30"/>
    <w:link w:val="9"/>
    <w:qFormat/>
    <w:uiPriority w:val="0"/>
    <w:rPr>
      <w:rFonts w:ascii="Arial" w:hAnsi="Arial" w:eastAsia="黑体"/>
      <w:kern w:val="2"/>
      <w:sz w:val="24"/>
      <w:szCs w:val="24"/>
    </w:rPr>
  </w:style>
  <w:style w:type="character" w:customStyle="1" w:styleId="62">
    <w:name w:val="标题 9 字符"/>
    <w:basedOn w:val="30"/>
    <w:link w:val="10"/>
    <w:qFormat/>
    <w:uiPriority w:val="0"/>
    <w:rPr>
      <w:rFonts w:ascii="Arial" w:hAnsi="Arial" w:eastAsia="黑体"/>
      <w:kern w:val="2"/>
      <w:sz w:val="21"/>
      <w:szCs w:val="21"/>
    </w:rPr>
  </w:style>
  <w:style w:type="paragraph" w:customStyle="1" w:styleId="63">
    <w:name w:val="表标题名"/>
    <w:basedOn w:val="1"/>
    <w:link w:val="64"/>
    <w:qFormat/>
    <w:uiPriority w:val="0"/>
    <w:pPr>
      <w:tabs>
        <w:tab w:val="left" w:pos="1350"/>
      </w:tabs>
      <w:autoSpaceDE w:val="0"/>
      <w:autoSpaceDN w:val="0"/>
      <w:adjustRightInd w:val="0"/>
      <w:snapToGrid w:val="0"/>
      <w:spacing w:line="240" w:lineRule="auto"/>
      <w:ind w:firstLine="0" w:firstLineChars="0"/>
      <w:jc w:val="center"/>
    </w:pPr>
    <w:rPr>
      <w:rFonts w:ascii="Times New Roman" w:hAnsi="Times New Roman"/>
      <w:sz w:val="21"/>
      <w:shd w:val="clear" w:color="auto" w:fill="FFFFFF"/>
    </w:rPr>
  </w:style>
  <w:style w:type="character" w:customStyle="1" w:styleId="64">
    <w:name w:val="表标题名 Char"/>
    <w:link w:val="63"/>
    <w:qFormat/>
    <w:uiPriority w:val="0"/>
    <w:rPr>
      <w:kern w:val="2"/>
      <w:sz w:val="21"/>
      <w:szCs w:val="24"/>
    </w:rPr>
  </w:style>
  <w:style w:type="paragraph" w:customStyle="1" w:styleId="65">
    <w:name w:val="表格字体"/>
    <w:qFormat/>
    <w:uiPriority w:val="0"/>
    <w:pPr>
      <w:jc w:val="center"/>
    </w:pPr>
    <w:rPr>
      <w:rFonts w:ascii="Times New Roman" w:hAnsi="Times New Roman" w:eastAsia="宋体" w:cs="Times New Roman"/>
      <w:kern w:val="2"/>
      <w:sz w:val="21"/>
      <w:szCs w:val="22"/>
      <w:lang w:val="en-US" w:eastAsia="zh-CN" w:bidi="ar-SA"/>
    </w:rPr>
  </w:style>
  <w:style w:type="character" w:customStyle="1" w:styleId="66">
    <w:name w:val="font61"/>
    <w:qFormat/>
    <w:uiPriority w:val="0"/>
    <w:rPr>
      <w:rFonts w:hint="eastAsia" w:ascii="宋体" w:hAnsi="宋体" w:eastAsia="宋体" w:cs="宋体"/>
      <w:color w:val="000000"/>
      <w:sz w:val="22"/>
      <w:szCs w:val="22"/>
      <w:u w:val="none"/>
    </w:rPr>
  </w:style>
  <w:style w:type="table" w:customStyle="1" w:styleId="67">
    <w:name w:val="网格型3"/>
    <w:basedOn w:val="2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8">
    <w:name w:val="font5"/>
    <w:basedOn w:val="1"/>
    <w:qFormat/>
    <w:uiPriority w:val="0"/>
    <w:pPr>
      <w:widowControl/>
      <w:spacing w:before="100" w:beforeAutospacing="1" w:after="100" w:afterAutospacing="1" w:line="240" w:lineRule="auto"/>
      <w:ind w:firstLine="0" w:firstLineChars="0"/>
    </w:pPr>
    <w:rPr>
      <w:rFonts w:ascii="Times New Roman" w:hAnsi="Times New Roman"/>
      <w:color w:val="000000"/>
      <w:kern w:val="0"/>
      <w:sz w:val="21"/>
      <w:szCs w:val="21"/>
    </w:rPr>
  </w:style>
  <w:style w:type="paragraph" w:customStyle="1" w:styleId="69">
    <w:name w:val="font6"/>
    <w:basedOn w:val="1"/>
    <w:qFormat/>
    <w:uiPriority w:val="0"/>
    <w:pPr>
      <w:widowControl/>
      <w:spacing w:before="100" w:beforeAutospacing="1" w:after="100" w:afterAutospacing="1" w:line="240" w:lineRule="auto"/>
      <w:ind w:firstLine="0" w:firstLineChars="0"/>
    </w:pPr>
    <w:rPr>
      <w:rFonts w:ascii="宋体" w:hAnsi="宋体" w:cs="宋体"/>
      <w:color w:val="000000"/>
      <w:kern w:val="0"/>
      <w:sz w:val="21"/>
      <w:szCs w:val="21"/>
    </w:rPr>
  </w:style>
  <w:style w:type="paragraph" w:customStyle="1" w:styleId="70">
    <w:name w:val="font7"/>
    <w:basedOn w:val="1"/>
    <w:qFormat/>
    <w:uiPriority w:val="0"/>
    <w:pPr>
      <w:widowControl/>
      <w:spacing w:before="100" w:beforeAutospacing="1" w:after="100" w:afterAutospacing="1" w:line="240" w:lineRule="auto"/>
      <w:ind w:firstLine="0" w:firstLineChars="0"/>
    </w:pPr>
    <w:rPr>
      <w:rFonts w:ascii="宋体" w:hAnsi="宋体" w:cs="宋体"/>
      <w:kern w:val="0"/>
      <w:sz w:val="18"/>
      <w:szCs w:val="18"/>
    </w:rPr>
  </w:style>
  <w:style w:type="paragraph" w:customStyle="1" w:styleId="71">
    <w:name w:val="font8"/>
    <w:basedOn w:val="1"/>
    <w:qFormat/>
    <w:uiPriority w:val="0"/>
    <w:pPr>
      <w:widowControl/>
      <w:spacing w:before="100" w:beforeAutospacing="1" w:after="100" w:afterAutospacing="1" w:line="240" w:lineRule="auto"/>
      <w:ind w:firstLine="0" w:firstLineChars="0"/>
    </w:pPr>
    <w:rPr>
      <w:rFonts w:ascii="Times New Roman" w:hAnsi="Times New Roman"/>
      <w:color w:val="000000"/>
      <w:kern w:val="0"/>
      <w:sz w:val="22"/>
      <w:szCs w:val="22"/>
    </w:rPr>
  </w:style>
  <w:style w:type="paragraph" w:customStyle="1" w:styleId="72">
    <w:name w:val="font9"/>
    <w:basedOn w:val="1"/>
    <w:qFormat/>
    <w:uiPriority w:val="0"/>
    <w:pPr>
      <w:widowControl/>
      <w:spacing w:before="100" w:beforeAutospacing="1" w:after="100" w:afterAutospacing="1" w:line="240" w:lineRule="auto"/>
      <w:ind w:firstLine="0" w:firstLineChars="0"/>
    </w:pPr>
    <w:rPr>
      <w:rFonts w:ascii="宋体" w:hAnsi="宋体" w:cs="宋体"/>
      <w:color w:val="000000"/>
      <w:kern w:val="0"/>
      <w:sz w:val="22"/>
      <w:szCs w:val="22"/>
    </w:rPr>
  </w:style>
  <w:style w:type="paragraph" w:customStyle="1" w:styleId="73">
    <w:name w:val="xl6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hAnsi="Times New Roman"/>
      <w:kern w:val="0"/>
      <w:sz w:val="21"/>
      <w:szCs w:val="21"/>
    </w:rPr>
  </w:style>
  <w:style w:type="paragraph" w:customStyle="1" w:styleId="74">
    <w:name w:val="xl6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hAnsi="Times New Roman"/>
      <w:kern w:val="0"/>
    </w:rPr>
  </w:style>
  <w:style w:type="paragraph" w:customStyle="1" w:styleId="75">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hAnsi="Times New Roman"/>
      <w:kern w:val="0"/>
    </w:rPr>
  </w:style>
  <w:style w:type="paragraph" w:customStyle="1" w:styleId="76">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hAnsi="Times New Roman"/>
      <w:kern w:val="0"/>
    </w:rPr>
  </w:style>
  <w:style w:type="paragraph" w:customStyle="1" w:styleId="77">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hAnsi="Times New Roman"/>
      <w:kern w:val="0"/>
    </w:rPr>
  </w:style>
  <w:style w:type="paragraph" w:customStyle="1" w:styleId="78">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pPr>
    <w:rPr>
      <w:rFonts w:ascii="宋体" w:hAnsi="宋体" w:cs="宋体"/>
      <w:kern w:val="0"/>
    </w:rPr>
  </w:style>
  <w:style w:type="character" w:customStyle="1" w:styleId="79">
    <w:name w:val="未处理的提及11"/>
    <w:basedOn w:val="30"/>
    <w:semiHidden/>
    <w:unhideWhenUsed/>
    <w:qFormat/>
    <w:uiPriority w:val="99"/>
    <w:rPr>
      <w:color w:val="605E5C"/>
      <w:shd w:val="clear" w:color="auto" w:fill="E1DFDD"/>
    </w:rPr>
  </w:style>
  <w:style w:type="character" w:customStyle="1" w:styleId="80">
    <w:name w:val="text_utvkh"/>
    <w:basedOn w:val="30"/>
    <w:qFormat/>
    <w:uiPriority w:val="0"/>
  </w:style>
  <w:style w:type="character" w:customStyle="1" w:styleId="81">
    <w:name w:val="未处理的提及2"/>
    <w:basedOn w:val="30"/>
    <w:semiHidden/>
    <w:unhideWhenUsed/>
    <w:qFormat/>
    <w:uiPriority w:val="99"/>
    <w:rPr>
      <w:color w:val="605E5C"/>
      <w:shd w:val="clear" w:color="auto" w:fill="E1DFDD"/>
    </w:rPr>
  </w:style>
  <w:style w:type="character" w:customStyle="1" w:styleId="82">
    <w:name w:val="Unresolved Mention"/>
    <w:basedOn w:val="30"/>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47.jpeg"/><Relationship Id="rId98" Type="http://schemas.openxmlformats.org/officeDocument/2006/relationships/image" Target="media/image46.jpeg"/><Relationship Id="rId97" Type="http://schemas.openxmlformats.org/officeDocument/2006/relationships/chart" Target="charts/chart5.xml"/><Relationship Id="rId96" Type="http://schemas.openxmlformats.org/officeDocument/2006/relationships/chart" Target="charts/chart4.xml"/><Relationship Id="rId95" Type="http://schemas.openxmlformats.org/officeDocument/2006/relationships/chart" Target="charts/chart3.xml"/><Relationship Id="rId94" Type="http://schemas.openxmlformats.org/officeDocument/2006/relationships/image" Target="media/image45.jpeg"/><Relationship Id="rId93" Type="http://schemas.openxmlformats.org/officeDocument/2006/relationships/image" Target="media/image44.jpeg"/><Relationship Id="rId92" Type="http://schemas.openxmlformats.org/officeDocument/2006/relationships/image" Target="media/image43.jpeg"/><Relationship Id="rId91" Type="http://schemas.openxmlformats.org/officeDocument/2006/relationships/image" Target="media/image42.jpeg"/><Relationship Id="rId90" Type="http://schemas.openxmlformats.org/officeDocument/2006/relationships/image" Target="media/image41.jpeg"/><Relationship Id="rId9" Type="http://schemas.openxmlformats.org/officeDocument/2006/relationships/footer" Target="footer2.xml"/><Relationship Id="rId89" Type="http://schemas.openxmlformats.org/officeDocument/2006/relationships/image" Target="media/image40.jpeg"/><Relationship Id="rId88" Type="http://schemas.openxmlformats.org/officeDocument/2006/relationships/chart" Target="charts/chart2.xml"/><Relationship Id="rId87" Type="http://schemas.openxmlformats.org/officeDocument/2006/relationships/image" Target="media/image39.png"/><Relationship Id="rId86" Type="http://schemas.openxmlformats.org/officeDocument/2006/relationships/image" Target="media/image38.png"/><Relationship Id="rId85" Type="http://schemas.openxmlformats.org/officeDocument/2006/relationships/image" Target="media/image37.png"/><Relationship Id="rId84" Type="http://schemas.openxmlformats.org/officeDocument/2006/relationships/image" Target="media/image36.png"/><Relationship Id="rId83" Type="http://schemas.openxmlformats.org/officeDocument/2006/relationships/image" Target="media/image35.png"/><Relationship Id="rId82" Type="http://schemas.openxmlformats.org/officeDocument/2006/relationships/image" Target="media/image34.jpeg"/><Relationship Id="rId81" Type="http://schemas.openxmlformats.org/officeDocument/2006/relationships/image" Target="media/image33.jpeg"/><Relationship Id="rId80" Type="http://schemas.openxmlformats.org/officeDocument/2006/relationships/chart" Target="charts/chart1.xml"/><Relationship Id="rId8" Type="http://schemas.openxmlformats.org/officeDocument/2006/relationships/footer" Target="footer1.xml"/><Relationship Id="rId79" Type="http://schemas.openxmlformats.org/officeDocument/2006/relationships/image" Target="media/image32.png"/><Relationship Id="rId78" Type="http://schemas.openxmlformats.org/officeDocument/2006/relationships/image" Target="media/image31.jpeg"/><Relationship Id="rId77" Type="http://schemas.openxmlformats.org/officeDocument/2006/relationships/image" Target="media/image30.wmf"/><Relationship Id="rId76" Type="http://schemas.openxmlformats.org/officeDocument/2006/relationships/oleObject" Target="embeddings/oleObject4.bin"/><Relationship Id="rId75" Type="http://schemas.openxmlformats.org/officeDocument/2006/relationships/image" Target="media/image29.wmf"/><Relationship Id="rId74" Type="http://schemas.openxmlformats.org/officeDocument/2006/relationships/oleObject" Target="embeddings/oleObject3.bin"/><Relationship Id="rId73" Type="http://schemas.openxmlformats.org/officeDocument/2006/relationships/image" Target="media/image28.wmf"/><Relationship Id="rId72" Type="http://schemas.openxmlformats.org/officeDocument/2006/relationships/oleObject" Target="embeddings/oleObject2.bin"/><Relationship Id="rId71" Type="http://schemas.openxmlformats.org/officeDocument/2006/relationships/image" Target="media/image27.wmf"/><Relationship Id="rId70" Type="http://schemas.openxmlformats.org/officeDocument/2006/relationships/oleObject" Target="embeddings/oleObject1.bin"/><Relationship Id="rId7" Type="http://schemas.openxmlformats.org/officeDocument/2006/relationships/header" Target="header3.xml"/><Relationship Id="rId69" Type="http://schemas.openxmlformats.org/officeDocument/2006/relationships/image" Target="media/image26.jpeg"/><Relationship Id="rId68" Type="http://schemas.openxmlformats.org/officeDocument/2006/relationships/image" Target="media/image25.jpeg"/><Relationship Id="rId67" Type="http://schemas.openxmlformats.org/officeDocument/2006/relationships/image" Target="media/image24.png"/><Relationship Id="rId66" Type="http://schemas.openxmlformats.org/officeDocument/2006/relationships/image" Target="media/image23.emf"/><Relationship Id="rId65" Type="http://schemas.openxmlformats.org/officeDocument/2006/relationships/image" Target="media/image22.png"/><Relationship Id="rId64" Type="http://schemas.openxmlformats.org/officeDocument/2006/relationships/image" Target="media/image21.png"/><Relationship Id="rId63" Type="http://schemas.openxmlformats.org/officeDocument/2006/relationships/image" Target="media/image20.jpeg"/><Relationship Id="rId62" Type="http://schemas.openxmlformats.org/officeDocument/2006/relationships/image" Target="media/image19.png"/><Relationship Id="rId61" Type="http://schemas.openxmlformats.org/officeDocument/2006/relationships/image" Target="media/image18.jpeg"/><Relationship Id="rId60" Type="http://schemas.openxmlformats.org/officeDocument/2006/relationships/image" Target="media/image17.wmf"/><Relationship Id="rId6" Type="http://schemas.openxmlformats.org/officeDocument/2006/relationships/header" Target="header2.xml"/><Relationship Id="rId59" Type="http://schemas.openxmlformats.org/officeDocument/2006/relationships/image" Target="../../User/AppData/Local/Temp/ksohtml10380/wps31.png" TargetMode="External"/><Relationship Id="rId58" Type="http://schemas.openxmlformats.org/officeDocument/2006/relationships/image" Target="media/image16.png"/><Relationship Id="rId57" Type="http://schemas.openxmlformats.org/officeDocument/2006/relationships/image" Target="media/image15.png"/><Relationship Id="rId56" Type="http://schemas.openxmlformats.org/officeDocument/2006/relationships/image" Target="media/image14.jpeg"/><Relationship Id="rId55" Type="http://schemas.openxmlformats.org/officeDocument/2006/relationships/image" Target="media/image13.jpeg"/><Relationship Id="rId54" Type="http://schemas.openxmlformats.org/officeDocument/2006/relationships/image" Target="media/image12.png"/><Relationship Id="rId53" Type="http://schemas.openxmlformats.org/officeDocument/2006/relationships/image" Target="media/image11.png"/><Relationship Id="rId52" Type="http://schemas.openxmlformats.org/officeDocument/2006/relationships/image" Target="media/image10.jpeg"/><Relationship Id="rId51" Type="http://schemas.openxmlformats.org/officeDocument/2006/relationships/image" Target="media/image9.jpeg"/><Relationship Id="rId50" Type="http://schemas.openxmlformats.org/officeDocument/2006/relationships/image" Target="media/image8.jpeg"/><Relationship Id="rId5" Type="http://schemas.openxmlformats.org/officeDocument/2006/relationships/header" Target="header1.xml"/><Relationship Id="rId49" Type="http://schemas.openxmlformats.org/officeDocument/2006/relationships/image" Target="media/image7.jpeg"/><Relationship Id="rId48" Type="http://schemas.openxmlformats.org/officeDocument/2006/relationships/image" Target="media/image6.jpeg"/><Relationship Id="rId47" Type="http://schemas.openxmlformats.org/officeDocument/2006/relationships/image" Target="media/image5.jpeg"/><Relationship Id="rId46" Type="http://schemas.openxmlformats.org/officeDocument/2006/relationships/image" Target="media/image4.jpeg"/><Relationship Id="rId45" Type="http://schemas.openxmlformats.org/officeDocument/2006/relationships/image" Target="media/image3.jpeg"/><Relationship Id="rId44" Type="http://schemas.openxmlformats.org/officeDocument/2006/relationships/image" Target="media/image2.jpeg"/><Relationship Id="rId43" Type="http://schemas.openxmlformats.org/officeDocument/2006/relationships/image" Target="media/image1.png"/><Relationship Id="rId42" Type="http://schemas.openxmlformats.org/officeDocument/2006/relationships/theme" Target="theme/theme1.xml"/><Relationship Id="rId41" Type="http://schemas.openxmlformats.org/officeDocument/2006/relationships/footer" Target="footer19.xml"/><Relationship Id="rId40" Type="http://schemas.openxmlformats.org/officeDocument/2006/relationships/footer" Target="footer18.xml"/><Relationship Id="rId4" Type="http://schemas.openxmlformats.org/officeDocument/2006/relationships/endnotes" Target="endnotes.xml"/><Relationship Id="rId39" Type="http://schemas.openxmlformats.org/officeDocument/2006/relationships/header" Target="header18.xml"/><Relationship Id="rId38" Type="http://schemas.openxmlformats.org/officeDocument/2006/relationships/header" Target="header17.xml"/><Relationship Id="rId37" Type="http://schemas.openxmlformats.org/officeDocument/2006/relationships/footer" Target="footer17.xml"/><Relationship Id="rId36" Type="http://schemas.openxmlformats.org/officeDocument/2006/relationships/footer" Target="footer16.xml"/><Relationship Id="rId35" Type="http://schemas.openxmlformats.org/officeDocument/2006/relationships/header" Target="header16.xml"/><Relationship Id="rId34" Type="http://schemas.openxmlformats.org/officeDocument/2006/relationships/header" Target="header15.xml"/><Relationship Id="rId33" Type="http://schemas.openxmlformats.org/officeDocument/2006/relationships/footer" Target="footer15.xml"/><Relationship Id="rId32" Type="http://schemas.openxmlformats.org/officeDocument/2006/relationships/footer" Target="footer14.xml"/><Relationship Id="rId31" Type="http://schemas.openxmlformats.org/officeDocument/2006/relationships/header" Target="header14.xml"/><Relationship Id="rId30" Type="http://schemas.openxmlformats.org/officeDocument/2006/relationships/header" Target="header13.xml"/><Relationship Id="rId3" Type="http://schemas.openxmlformats.org/officeDocument/2006/relationships/footnotes" Target="footnotes.xml"/><Relationship Id="rId29" Type="http://schemas.openxmlformats.org/officeDocument/2006/relationships/footer" Target="footer13.xml"/><Relationship Id="rId28" Type="http://schemas.openxmlformats.org/officeDocument/2006/relationships/footer" Target="footer12.xml"/><Relationship Id="rId27" Type="http://schemas.openxmlformats.org/officeDocument/2006/relationships/header" Target="header12.xml"/><Relationship Id="rId26" Type="http://schemas.openxmlformats.org/officeDocument/2006/relationships/header" Target="header11.xml"/><Relationship Id="rId25" Type="http://schemas.openxmlformats.org/officeDocument/2006/relationships/footer" Target="footer11.xml"/><Relationship Id="rId24" Type="http://schemas.openxmlformats.org/officeDocument/2006/relationships/footer" Target="footer10.xml"/><Relationship Id="rId23" Type="http://schemas.openxmlformats.org/officeDocument/2006/relationships/header" Target="header10.xml"/><Relationship Id="rId22" Type="http://schemas.openxmlformats.org/officeDocument/2006/relationships/header" Target="header9.xml"/><Relationship Id="rId21" Type="http://schemas.openxmlformats.org/officeDocument/2006/relationships/footer" Target="footer9.xml"/><Relationship Id="rId20" Type="http://schemas.openxmlformats.org/officeDocument/2006/relationships/footer" Target="footer8.xml"/><Relationship Id="rId2" Type="http://schemas.openxmlformats.org/officeDocument/2006/relationships/settings" Target="settings.xml"/><Relationship Id="rId195" Type="http://schemas.openxmlformats.org/officeDocument/2006/relationships/fontTable" Target="fontTable.xml"/><Relationship Id="rId194" Type="http://schemas.openxmlformats.org/officeDocument/2006/relationships/customXml" Target="../customXml/item2.xml"/><Relationship Id="rId193" Type="http://schemas.openxmlformats.org/officeDocument/2006/relationships/numbering" Target="numbering.xml"/><Relationship Id="rId192" Type="http://schemas.openxmlformats.org/officeDocument/2006/relationships/customXml" Target="../customXml/item1.xml"/><Relationship Id="rId191" Type="http://schemas.openxmlformats.org/officeDocument/2006/relationships/image" Target="media/image134.png"/><Relationship Id="rId190" Type="http://schemas.openxmlformats.org/officeDocument/2006/relationships/image" Target="media/image133.png"/><Relationship Id="rId19" Type="http://schemas.openxmlformats.org/officeDocument/2006/relationships/header" Target="header8.xml"/><Relationship Id="rId189" Type="http://schemas.openxmlformats.org/officeDocument/2006/relationships/image" Target="media/image132.png"/><Relationship Id="rId188" Type="http://schemas.openxmlformats.org/officeDocument/2006/relationships/image" Target="media/image131.png"/><Relationship Id="rId187" Type="http://schemas.openxmlformats.org/officeDocument/2006/relationships/image" Target="media/image130.png"/><Relationship Id="rId186" Type="http://schemas.openxmlformats.org/officeDocument/2006/relationships/image" Target="media/image129.png"/><Relationship Id="rId185" Type="http://schemas.openxmlformats.org/officeDocument/2006/relationships/image" Target="media/image128.jpeg"/><Relationship Id="rId184" Type="http://schemas.openxmlformats.org/officeDocument/2006/relationships/image" Target="media/image127.png"/><Relationship Id="rId183" Type="http://schemas.openxmlformats.org/officeDocument/2006/relationships/image" Target="media/image126.png"/><Relationship Id="rId182" Type="http://schemas.openxmlformats.org/officeDocument/2006/relationships/image" Target="media/image125.png"/><Relationship Id="rId181" Type="http://schemas.openxmlformats.org/officeDocument/2006/relationships/image" Target="media/image124.png"/><Relationship Id="rId180" Type="http://schemas.openxmlformats.org/officeDocument/2006/relationships/image" Target="media/image123.png"/><Relationship Id="rId18" Type="http://schemas.openxmlformats.org/officeDocument/2006/relationships/header" Target="header7.xml"/><Relationship Id="rId179" Type="http://schemas.openxmlformats.org/officeDocument/2006/relationships/image" Target="media/image122.jpeg"/><Relationship Id="rId178" Type="http://schemas.openxmlformats.org/officeDocument/2006/relationships/image" Target="media/image121.jpeg"/><Relationship Id="rId177" Type="http://schemas.openxmlformats.org/officeDocument/2006/relationships/image" Target="media/image120.tiff"/><Relationship Id="rId176" Type="http://schemas.openxmlformats.org/officeDocument/2006/relationships/image" Target="media/image119.jpeg"/><Relationship Id="rId175" Type="http://schemas.openxmlformats.org/officeDocument/2006/relationships/image" Target="media/image118.jpeg"/><Relationship Id="rId174" Type="http://schemas.openxmlformats.org/officeDocument/2006/relationships/image" Target="media/image117.jpeg"/><Relationship Id="rId173" Type="http://schemas.openxmlformats.org/officeDocument/2006/relationships/image" Target="media/image116.jpeg"/><Relationship Id="rId172" Type="http://schemas.openxmlformats.org/officeDocument/2006/relationships/image" Target="media/image115.jpeg"/><Relationship Id="rId171" Type="http://schemas.openxmlformats.org/officeDocument/2006/relationships/image" Target="media/image114.png"/><Relationship Id="rId170" Type="http://schemas.openxmlformats.org/officeDocument/2006/relationships/image" Target="media/image113.jpeg"/><Relationship Id="rId17" Type="http://schemas.openxmlformats.org/officeDocument/2006/relationships/header" Target="header6.xml"/><Relationship Id="rId169" Type="http://schemas.openxmlformats.org/officeDocument/2006/relationships/image" Target="media/image112.png"/><Relationship Id="rId168" Type="http://schemas.openxmlformats.org/officeDocument/2006/relationships/image" Target="media/image111.png"/><Relationship Id="rId167" Type="http://schemas.openxmlformats.org/officeDocument/2006/relationships/image" Target="media/image110.png"/><Relationship Id="rId166" Type="http://schemas.openxmlformats.org/officeDocument/2006/relationships/image" Target="media/image109.png"/><Relationship Id="rId165" Type="http://schemas.openxmlformats.org/officeDocument/2006/relationships/image" Target="media/image108.png"/><Relationship Id="rId164" Type="http://schemas.openxmlformats.org/officeDocument/2006/relationships/image" Target="media/image107.png"/><Relationship Id="rId163" Type="http://schemas.openxmlformats.org/officeDocument/2006/relationships/image" Target="media/image106.png"/><Relationship Id="rId162" Type="http://schemas.openxmlformats.org/officeDocument/2006/relationships/image" Target="media/image105.png"/><Relationship Id="rId161" Type="http://schemas.openxmlformats.org/officeDocument/2006/relationships/image" Target="media/image104.png"/><Relationship Id="rId160" Type="http://schemas.openxmlformats.org/officeDocument/2006/relationships/image" Target="media/image103.png"/><Relationship Id="rId16" Type="http://schemas.openxmlformats.org/officeDocument/2006/relationships/footer" Target="footer7.xml"/><Relationship Id="rId159" Type="http://schemas.openxmlformats.org/officeDocument/2006/relationships/image" Target="media/image102.png"/><Relationship Id="rId158" Type="http://schemas.openxmlformats.org/officeDocument/2006/relationships/image" Target="media/image101.png"/><Relationship Id="rId157" Type="http://schemas.openxmlformats.org/officeDocument/2006/relationships/image" Target="media/image100.jpeg"/><Relationship Id="rId156" Type="http://schemas.openxmlformats.org/officeDocument/2006/relationships/image" Target="media/image99.png"/><Relationship Id="rId155" Type="http://schemas.openxmlformats.org/officeDocument/2006/relationships/image" Target="media/image98.png"/><Relationship Id="rId154" Type="http://schemas.openxmlformats.org/officeDocument/2006/relationships/image" Target="media/image97.jpeg"/><Relationship Id="rId153" Type="http://schemas.openxmlformats.org/officeDocument/2006/relationships/image" Target="media/image96.png"/><Relationship Id="rId152" Type="http://schemas.openxmlformats.org/officeDocument/2006/relationships/image" Target="media/image95.png"/><Relationship Id="rId151" Type="http://schemas.openxmlformats.org/officeDocument/2006/relationships/image" Target="media/image94.jpeg"/><Relationship Id="rId150" Type="http://schemas.openxmlformats.org/officeDocument/2006/relationships/image" Target="media/image93.png"/><Relationship Id="rId15" Type="http://schemas.openxmlformats.org/officeDocument/2006/relationships/header" Target="header5.xml"/><Relationship Id="rId149" Type="http://schemas.openxmlformats.org/officeDocument/2006/relationships/image" Target="media/image92.png"/><Relationship Id="rId148" Type="http://schemas.openxmlformats.org/officeDocument/2006/relationships/image" Target="media/image91.jpeg"/><Relationship Id="rId147" Type="http://schemas.openxmlformats.org/officeDocument/2006/relationships/image" Target="media/image90.png"/><Relationship Id="rId146" Type="http://schemas.openxmlformats.org/officeDocument/2006/relationships/image" Target="media/image89.png"/><Relationship Id="rId145" Type="http://schemas.openxmlformats.org/officeDocument/2006/relationships/image" Target="media/image88.jpeg"/><Relationship Id="rId144" Type="http://schemas.openxmlformats.org/officeDocument/2006/relationships/image" Target="media/image87.png"/><Relationship Id="rId143" Type="http://schemas.openxmlformats.org/officeDocument/2006/relationships/image" Target="media/image86.png"/><Relationship Id="rId142" Type="http://schemas.openxmlformats.org/officeDocument/2006/relationships/image" Target="media/image85.jpeg"/><Relationship Id="rId141" Type="http://schemas.openxmlformats.org/officeDocument/2006/relationships/image" Target="media/image84.emf"/><Relationship Id="rId140" Type="http://schemas.openxmlformats.org/officeDocument/2006/relationships/oleObject" Target="embeddings/oleObject8.bin"/><Relationship Id="rId14" Type="http://schemas.openxmlformats.org/officeDocument/2006/relationships/footer" Target="footer6.xml"/><Relationship Id="rId139" Type="http://schemas.openxmlformats.org/officeDocument/2006/relationships/image" Target="media/image83.png"/><Relationship Id="rId138" Type="http://schemas.openxmlformats.org/officeDocument/2006/relationships/image" Target="media/image82.png"/><Relationship Id="rId137" Type="http://schemas.openxmlformats.org/officeDocument/2006/relationships/image" Target="media/image81.png"/><Relationship Id="rId136" Type="http://schemas.openxmlformats.org/officeDocument/2006/relationships/image" Target="media/image80.png"/><Relationship Id="rId135" Type="http://schemas.openxmlformats.org/officeDocument/2006/relationships/image" Target="media/image79.wmf"/><Relationship Id="rId134" Type="http://schemas.openxmlformats.org/officeDocument/2006/relationships/oleObject" Target="embeddings/oleObject7.bin"/><Relationship Id="rId133" Type="http://schemas.openxmlformats.org/officeDocument/2006/relationships/image" Target="media/image78.wmf"/><Relationship Id="rId132" Type="http://schemas.openxmlformats.org/officeDocument/2006/relationships/image" Target="media/image77.wmf"/><Relationship Id="rId131" Type="http://schemas.openxmlformats.org/officeDocument/2006/relationships/oleObject" Target="embeddings/oleObject6.bin"/><Relationship Id="rId130" Type="http://schemas.openxmlformats.org/officeDocument/2006/relationships/image" Target="media/image76.tiff"/><Relationship Id="rId13" Type="http://schemas.openxmlformats.org/officeDocument/2006/relationships/footer" Target="footer5.xml"/><Relationship Id="rId129" Type="http://schemas.openxmlformats.org/officeDocument/2006/relationships/image" Target="media/image75.tiff"/><Relationship Id="rId128" Type="http://schemas.openxmlformats.org/officeDocument/2006/relationships/image" Target="media/image74.jpeg"/><Relationship Id="rId127" Type="http://schemas.openxmlformats.org/officeDocument/2006/relationships/image" Target="media/image73.jpeg"/><Relationship Id="rId126" Type="http://schemas.openxmlformats.org/officeDocument/2006/relationships/image" Target="media/image72.jpeg"/><Relationship Id="rId125" Type="http://schemas.openxmlformats.org/officeDocument/2006/relationships/image" Target="media/image71.jpeg"/><Relationship Id="rId124" Type="http://schemas.openxmlformats.org/officeDocument/2006/relationships/image" Target="media/image70.jpeg"/><Relationship Id="rId123" Type="http://schemas.openxmlformats.org/officeDocument/2006/relationships/image" Target="media/image69.jpeg"/><Relationship Id="rId122" Type="http://schemas.openxmlformats.org/officeDocument/2006/relationships/image" Target="media/image68.jpeg"/><Relationship Id="rId121" Type="http://schemas.openxmlformats.org/officeDocument/2006/relationships/image" Target="media/image67.jpeg"/><Relationship Id="rId120" Type="http://schemas.openxmlformats.org/officeDocument/2006/relationships/image" Target="media/image66.jpeg"/><Relationship Id="rId12" Type="http://schemas.openxmlformats.org/officeDocument/2006/relationships/header" Target="header4.xml"/><Relationship Id="rId119" Type="http://schemas.openxmlformats.org/officeDocument/2006/relationships/image" Target="media/image65.jpeg"/><Relationship Id="rId118" Type="http://schemas.openxmlformats.org/officeDocument/2006/relationships/image" Target="media/image64.jpeg"/><Relationship Id="rId117" Type="http://schemas.openxmlformats.org/officeDocument/2006/relationships/image" Target="media/image63.jpeg"/><Relationship Id="rId116" Type="http://schemas.openxmlformats.org/officeDocument/2006/relationships/image" Target="media/image62.jpeg"/><Relationship Id="rId115" Type="http://schemas.openxmlformats.org/officeDocument/2006/relationships/image" Target="media/image61.jpeg"/><Relationship Id="rId114" Type="http://schemas.openxmlformats.org/officeDocument/2006/relationships/image" Target="media/image60.jpeg"/><Relationship Id="rId113" Type="http://schemas.openxmlformats.org/officeDocument/2006/relationships/image" Target="media/image59.jpeg"/><Relationship Id="rId112" Type="http://schemas.openxmlformats.org/officeDocument/2006/relationships/image" Target="media/image58.jpeg"/><Relationship Id="rId111" Type="http://schemas.openxmlformats.org/officeDocument/2006/relationships/image" Target="media/image57.jpeg"/><Relationship Id="rId110" Type="http://schemas.openxmlformats.org/officeDocument/2006/relationships/image" Target="media/image56.wmf"/><Relationship Id="rId11" Type="http://schemas.openxmlformats.org/officeDocument/2006/relationships/footer" Target="footer4.xml"/><Relationship Id="rId109" Type="http://schemas.openxmlformats.org/officeDocument/2006/relationships/image" Target="media/image55.png"/><Relationship Id="rId108" Type="http://schemas.openxmlformats.org/officeDocument/2006/relationships/image" Target="media/image54.jpeg"/><Relationship Id="rId107" Type="http://schemas.openxmlformats.org/officeDocument/2006/relationships/image" Target="media/image53.jpeg"/><Relationship Id="rId106" Type="http://schemas.openxmlformats.org/officeDocument/2006/relationships/image" Target="media/image52.jpeg"/><Relationship Id="rId105" Type="http://schemas.openxmlformats.org/officeDocument/2006/relationships/image" Target="media/image51.jpeg"/><Relationship Id="rId104" Type="http://schemas.openxmlformats.org/officeDocument/2006/relationships/image" Target="media/image50.wmf"/><Relationship Id="rId103" Type="http://schemas.openxmlformats.org/officeDocument/2006/relationships/oleObject" Target="embeddings/oleObject5.bin"/><Relationship Id="rId102" Type="http://schemas.openxmlformats.org/officeDocument/2006/relationships/image" Target="media/image49.jpeg"/><Relationship Id="rId101" Type="http://schemas.openxmlformats.org/officeDocument/2006/relationships/chart" Target="charts/chart6.xml"/><Relationship Id="rId100" Type="http://schemas.openxmlformats.org/officeDocument/2006/relationships/image" Target="media/image48.png"/><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themeOverride" Target="../theme/themeOverride1.xml"/><Relationship Id="rId1" Type="http://schemas.openxmlformats.org/officeDocument/2006/relationships/package" Target="../embeddings/Workbook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Workbook3.xlsx"/></Relationships>
</file>

<file path=word/charts/_rels/chart3.xml.rels><?xml version="1.0" encoding="UTF-8" standalone="yes"?>
<Relationships xmlns="http://schemas.openxmlformats.org/package/2006/relationships"><Relationship Id="rId1" Type="http://schemas.openxmlformats.org/officeDocument/2006/relationships/package" Target="../embeddings/Workbook2.xlsx"/></Relationships>
</file>

<file path=word/charts/_rels/chart4.xml.rels><?xml version="1.0" encoding="UTF-8" standalone="yes"?>
<Relationships xmlns="http://schemas.openxmlformats.org/package/2006/relationships"><Relationship Id="rId2" Type="http://schemas.openxmlformats.org/officeDocument/2006/relationships/themeOverride" Target="../theme/themeOverride3.xml"/><Relationship Id="rId1" Type="http://schemas.openxmlformats.org/officeDocument/2006/relationships/package" Target="../embeddings/Workbook6.xlsx"/></Relationships>
</file>

<file path=word/charts/_rels/chart5.xml.rels><?xml version="1.0" encoding="UTF-8" standalone="yes"?>
<Relationships xmlns="http://schemas.openxmlformats.org/package/2006/relationships"><Relationship Id="rId2" Type="http://schemas.openxmlformats.org/officeDocument/2006/relationships/themeOverride" Target="../theme/themeOverride2.xml"/><Relationship Id="rId1" Type="http://schemas.openxmlformats.org/officeDocument/2006/relationships/package" Target="../embeddings/Workbook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Workbook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179799407745982"/>
          <c:y val="0.0390351254656552"/>
        </c:manualLayout>
      </c:layout>
      <c:overlay val="0"/>
      <c:txPr>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p>
      </c:txPr>
    </c:title>
    <c:autoTitleDeleted val="0"/>
    <c:plotArea>
      <c:layout>
        <c:manualLayout>
          <c:layoutTarget val="inner"/>
          <c:xMode val="edge"/>
          <c:yMode val="edge"/>
          <c:x val="0.167855694511382"/>
          <c:y val="0.188680701553072"/>
          <c:w val="0.813684386043636"/>
          <c:h val="0.505694415415698"/>
        </c:manualLayout>
      </c:layout>
      <c:barChart>
        <c:barDir val="col"/>
        <c:grouping val="stacked"/>
        <c:varyColors val="0"/>
        <c:ser>
          <c:idx val="0"/>
          <c:order val="0"/>
          <c:tx>
            <c:strRef>
              <c:f>土地利用!$D$20</c:f>
              <c:strCache>
                <c:ptCount val="1"/>
                <c:pt idx="0">
                  <c:v>土壤评价范围土地利用类型分布</c:v>
                </c:pt>
              </c:strCache>
            </c:strRef>
          </c:tx>
          <c:invertIfNegative val="0"/>
          <c:dLbls>
            <c:dLbl>
              <c:idx val="0"/>
              <c:layout>
                <c:manualLayout>
                  <c:x val="0.00833333333333333"/>
                  <c:y val="-0.0465949886539369"/>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0277777777777775"/>
                  <c:y val="-0.0838709795770864"/>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0.242293941000471"/>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0555555555555556"/>
                  <c:y val="-0.04193548978854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0111111111111111"/>
                  <c:y val="-0.0512544875193304"/>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00277777777777778"/>
                  <c:y val="-0.0465949886539368"/>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00833333333333333"/>
                  <c:y val="-0.0465949886539368"/>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0.00277777777777778"/>
                  <c:y val="-0.04193548978854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0.00277777777777778"/>
                  <c:y val="-0.0419354897885431"/>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0.00833333333333323"/>
                  <c:y val="-0.0419354897885431"/>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0.00555555555555556"/>
                  <c:y val="-0.0559139863847242"/>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0.0138888888888889"/>
                  <c:y val="-0.0512544875193305"/>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solidFill>
                    <a:latin typeface="+mn-lt"/>
                    <a:ea typeface="+mn-ea"/>
                    <a:cs typeface="+mn-cs"/>
                  </a:defRPr>
                </a:pP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土地利用!$C$21:$C$32</c:f>
              <c:strCache>
                <c:ptCount val="12"/>
                <c:pt idx="0">
                  <c:v>水田</c:v>
                </c:pt>
                <c:pt idx="1">
                  <c:v>旱地</c:v>
                </c:pt>
                <c:pt idx="2">
                  <c:v>乔木林地</c:v>
                </c:pt>
                <c:pt idx="3">
                  <c:v>灌木林地</c:v>
                </c:pt>
                <c:pt idx="4">
                  <c:v>天然牧草地</c:v>
                </c:pt>
                <c:pt idx="5">
                  <c:v>工业用地</c:v>
                </c:pt>
                <c:pt idx="6">
                  <c:v>采矿用地</c:v>
                </c:pt>
                <c:pt idx="7">
                  <c:v>农村宅基地</c:v>
                </c:pt>
                <c:pt idx="8">
                  <c:v>公路用地</c:v>
                </c:pt>
                <c:pt idx="9">
                  <c:v>管道运输用地</c:v>
                </c:pt>
                <c:pt idx="10">
                  <c:v>河流水面</c:v>
                </c:pt>
                <c:pt idx="11">
                  <c:v>坑塘水面</c:v>
                </c:pt>
              </c:strCache>
            </c:strRef>
          </c:cat>
          <c:val>
            <c:numRef>
              <c:f>土地利用!$D$21:$D$32</c:f>
              <c:numCache>
                <c:formatCode>0.00</c:formatCode>
                <c:ptCount val="12"/>
                <c:pt idx="0">
                  <c:v>24.3124</c:v>
                </c:pt>
                <c:pt idx="1">
                  <c:v>96.9833</c:v>
                </c:pt>
                <c:pt idx="2">
                  <c:v>415.2143</c:v>
                </c:pt>
                <c:pt idx="3">
                  <c:v>39.5621</c:v>
                </c:pt>
                <c:pt idx="4">
                  <c:v>9.3431</c:v>
                </c:pt>
                <c:pt idx="5">
                  <c:v>1.1408</c:v>
                </c:pt>
                <c:pt idx="6">
                  <c:v>2.2091</c:v>
                </c:pt>
                <c:pt idx="7">
                  <c:v>9.1044</c:v>
                </c:pt>
                <c:pt idx="8">
                  <c:v>5.312</c:v>
                </c:pt>
                <c:pt idx="9">
                  <c:v>1.2807</c:v>
                </c:pt>
                <c:pt idx="10">
                  <c:v>1.1641</c:v>
                </c:pt>
                <c:pt idx="11">
                  <c:v>2.1424</c:v>
                </c:pt>
              </c:numCache>
            </c:numRef>
          </c:val>
        </c:ser>
        <c:dLbls>
          <c:showLegendKey val="0"/>
          <c:showVal val="0"/>
          <c:showCatName val="0"/>
          <c:showSerName val="0"/>
          <c:showPercent val="0"/>
          <c:showBubbleSize val="0"/>
        </c:dLbls>
        <c:gapWidth val="150"/>
        <c:overlap val="100"/>
        <c:axId val="424826368"/>
        <c:axId val="424827904"/>
      </c:barChart>
      <c:catAx>
        <c:axId val="424826368"/>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24827904"/>
        <c:crosses val="autoZero"/>
        <c:auto val="1"/>
        <c:lblAlgn val="ctr"/>
        <c:lblOffset val="100"/>
        <c:noMultiLvlLbl val="0"/>
      </c:catAx>
      <c:valAx>
        <c:axId val="424827904"/>
        <c:scaling>
          <c:orientation val="minMax"/>
        </c:scaling>
        <c:delete val="0"/>
        <c:axPos val="l"/>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面积（</a:t>
                </a:r>
                <a:r>
                  <a:rPr lang="en-US" altLang="zh-CN"/>
                  <a:t>hm</a:t>
                </a:r>
                <a:r>
                  <a:rPr lang="en-US" altLang="zh-CN" baseline="30000"/>
                  <a:t>2</a:t>
                </a:r>
                <a:r>
                  <a:rPr lang="zh-CN" altLang="en-US"/>
                  <a:t>）</a:t>
                </a:r>
                <a:endParaRPr lang="zh-CN" altLang="en-US"/>
              </a:p>
            </c:rich>
          </c:tx>
          <c:layout>
            <c:manualLayout>
              <c:xMode val="edge"/>
              <c:yMode val="edge"/>
              <c:x val="0.0225732214054498"/>
              <c:y val="0.320201411684992"/>
            </c:manualLayout>
          </c:layout>
          <c:overlay val="0"/>
        </c:title>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24826368"/>
        <c:crosses val="autoZero"/>
        <c:crossBetween val="between"/>
      </c:valAx>
      <c:spPr>
        <a:solidFill>
          <a:schemeClr val="bg1"/>
        </a:solidFill>
        <a:ln>
          <a:noFill/>
        </a:ln>
        <a:effectLst/>
      </c:spPr>
    </c:plotArea>
    <c:plotVisOnly val="1"/>
    <c:dispBlanksAs val="gap"/>
    <c:showDLblsOverMax val="0"/>
  </c:chart>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213842662632375"/>
          <c:y val="0.0418235048097031"/>
        </c:manualLayout>
      </c:layout>
      <c:overlay val="0"/>
      <c:txPr>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p>
      </c:txPr>
    </c:title>
    <c:autoTitleDeleted val="0"/>
    <c:plotArea>
      <c:layout>
        <c:manualLayout>
          <c:layoutTarget val="inner"/>
          <c:xMode val="edge"/>
          <c:yMode val="edge"/>
          <c:x val="0.178141366973606"/>
          <c:y val="0.190307485090085"/>
          <c:w val="0.781515718250801"/>
          <c:h val="0.586676085188222"/>
        </c:manualLayout>
      </c:layout>
      <c:barChart>
        <c:barDir val="col"/>
        <c:grouping val="clustered"/>
        <c:varyColors val="0"/>
        <c:ser>
          <c:idx val="0"/>
          <c:order val="0"/>
          <c:tx>
            <c:strRef>
              <c:f>生态系统分类!$F$17</c:f>
              <c:strCache>
                <c:ptCount val="1"/>
                <c:pt idx="0">
                  <c:v>生态评价范围生态系统类型分布</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生态系统分类!$E$18:$E$26</c:f>
              <c:strCache>
                <c:ptCount val="9"/>
                <c:pt idx="0">
                  <c:v>阔叶林</c:v>
                </c:pt>
                <c:pt idx="1">
                  <c:v>针叶林</c:v>
                </c:pt>
                <c:pt idx="2">
                  <c:v>阔叶灌丛</c:v>
                </c:pt>
                <c:pt idx="3">
                  <c:v>草丛</c:v>
                </c:pt>
                <c:pt idx="4">
                  <c:v>湖泊</c:v>
                </c:pt>
                <c:pt idx="5">
                  <c:v>河流</c:v>
                </c:pt>
                <c:pt idx="6">
                  <c:v>耕地</c:v>
                </c:pt>
                <c:pt idx="7">
                  <c:v>居住地</c:v>
                </c:pt>
                <c:pt idx="8">
                  <c:v>工矿交通</c:v>
                </c:pt>
              </c:strCache>
            </c:strRef>
          </c:cat>
          <c:val>
            <c:numRef>
              <c:f>生态系统分类!$F$18:$F$26</c:f>
              <c:numCache>
                <c:formatCode>0.00</c:formatCode>
                <c:ptCount val="9"/>
                <c:pt idx="0">
                  <c:v>9.4488</c:v>
                </c:pt>
                <c:pt idx="1">
                  <c:v>621.509</c:v>
                </c:pt>
                <c:pt idx="2">
                  <c:v>60.8598</c:v>
                </c:pt>
                <c:pt idx="3">
                  <c:v>12.528</c:v>
                </c:pt>
                <c:pt idx="4">
                  <c:v>3.3961</c:v>
                </c:pt>
                <c:pt idx="5">
                  <c:v>2.7929</c:v>
                </c:pt>
                <c:pt idx="6">
                  <c:v>183.29</c:v>
                </c:pt>
                <c:pt idx="7">
                  <c:v>18.4653</c:v>
                </c:pt>
                <c:pt idx="8">
                  <c:v>16.8084</c:v>
                </c:pt>
              </c:numCache>
            </c:numRef>
          </c:val>
        </c:ser>
        <c:dLbls>
          <c:showLegendKey val="0"/>
          <c:showVal val="0"/>
          <c:showCatName val="0"/>
          <c:showSerName val="0"/>
          <c:showPercent val="0"/>
          <c:showBubbleSize val="0"/>
        </c:dLbls>
        <c:gapWidth val="150"/>
        <c:axId val="163864960"/>
        <c:axId val="163866496"/>
      </c:barChart>
      <c:catAx>
        <c:axId val="163864960"/>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163866496"/>
        <c:crosses val="autoZero"/>
        <c:auto val="1"/>
        <c:lblAlgn val="ctr"/>
        <c:lblOffset val="100"/>
        <c:noMultiLvlLbl val="0"/>
      </c:catAx>
      <c:valAx>
        <c:axId val="163866496"/>
        <c:scaling>
          <c:orientation val="minMax"/>
        </c:scaling>
        <c:delete val="0"/>
        <c:axPos val="l"/>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面积（</a:t>
                </a:r>
                <a:r>
                  <a:rPr lang="en-US" altLang="zh-CN"/>
                  <a:t>hm</a:t>
                </a:r>
                <a:r>
                  <a:rPr lang="en-US" altLang="zh-CN" baseline="30000"/>
                  <a:t>2</a:t>
                </a:r>
                <a:r>
                  <a:rPr lang="zh-CN" altLang="en-US"/>
                  <a:t>）</a:t>
                </a:r>
                <a:endParaRPr lang="zh-CN" altLang="en-US"/>
              </a:p>
            </c:rich>
          </c:tx>
          <c:layout>
            <c:manualLayout>
              <c:xMode val="edge"/>
              <c:yMode val="edge"/>
              <c:x val="0.0330801974261538"/>
              <c:y val="0.320769815943647"/>
            </c:manualLayout>
          </c:layout>
          <c:overlay val="0"/>
        </c:title>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163864960"/>
        <c:crosses val="autoZero"/>
        <c:crossBetween val="between"/>
        <c:majorUnit val="200"/>
      </c:valAx>
      <c:spPr>
        <a:solidFill>
          <a:schemeClr val="bg1"/>
        </a:solidFill>
        <a:ln>
          <a:noFill/>
        </a:ln>
        <a:effectLst/>
      </c:spPr>
    </c:plotArea>
    <c:plotVisOnly val="1"/>
    <c:dispBlanksAs val="gap"/>
    <c:showDLblsOverMax val="0"/>
  </c:chart>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231507936507936"/>
          <c:y val="0.0311526479750779"/>
        </c:manualLayout>
      </c:layout>
      <c:overlay val="0"/>
      <c:txPr>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p>
      </c:txPr>
    </c:title>
    <c:autoTitleDeleted val="0"/>
    <c:plotArea>
      <c:layout>
        <c:manualLayout>
          <c:layoutTarget val="inner"/>
          <c:xMode val="edge"/>
          <c:yMode val="edge"/>
          <c:x val="0.139770861975586"/>
          <c:y val="0.205851020958829"/>
          <c:w val="0.841181518976794"/>
          <c:h val="0.52685084925132"/>
        </c:manualLayout>
      </c:layout>
      <c:barChart>
        <c:barDir val="col"/>
        <c:grouping val="clustered"/>
        <c:varyColors val="0"/>
        <c:ser>
          <c:idx val="0"/>
          <c:order val="0"/>
          <c:tx>
            <c:strRef>
              <c:f>土地利用!$H$2</c:f>
              <c:strCache>
                <c:ptCount val="1"/>
                <c:pt idx="0">
                  <c:v>生态评价范围土地利用类型分布</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土地利用!$G$3:$G$14</c:f>
              <c:strCache>
                <c:ptCount val="12"/>
                <c:pt idx="0">
                  <c:v>水田</c:v>
                </c:pt>
                <c:pt idx="1">
                  <c:v>旱地</c:v>
                </c:pt>
                <c:pt idx="2">
                  <c:v>乔木林地</c:v>
                </c:pt>
                <c:pt idx="3">
                  <c:v>灌木林地</c:v>
                </c:pt>
                <c:pt idx="4">
                  <c:v>天然牧草地</c:v>
                </c:pt>
                <c:pt idx="5">
                  <c:v>工业用地</c:v>
                </c:pt>
                <c:pt idx="6">
                  <c:v>采矿用地</c:v>
                </c:pt>
                <c:pt idx="7">
                  <c:v>农村宅基地</c:v>
                </c:pt>
                <c:pt idx="8">
                  <c:v>公路用地</c:v>
                </c:pt>
                <c:pt idx="9">
                  <c:v>管道运输用地</c:v>
                </c:pt>
                <c:pt idx="10">
                  <c:v>河流水面</c:v>
                </c:pt>
                <c:pt idx="11">
                  <c:v>坑塘水面</c:v>
                </c:pt>
              </c:strCache>
            </c:strRef>
          </c:cat>
          <c:val>
            <c:numRef>
              <c:f>土地利用!$H$3:$H$14</c:f>
              <c:numCache>
                <c:formatCode>0.00</c:formatCode>
                <c:ptCount val="12"/>
                <c:pt idx="0">
                  <c:v>37.0004</c:v>
                </c:pt>
                <c:pt idx="1">
                  <c:v>146.2896</c:v>
                </c:pt>
                <c:pt idx="2">
                  <c:v>630.9578</c:v>
                </c:pt>
                <c:pt idx="3">
                  <c:v>60.8598</c:v>
                </c:pt>
                <c:pt idx="4">
                  <c:v>12.528</c:v>
                </c:pt>
                <c:pt idx="5">
                  <c:v>1.6701</c:v>
                </c:pt>
                <c:pt idx="6">
                  <c:v>3.1788</c:v>
                </c:pt>
                <c:pt idx="7">
                  <c:v>18.4653</c:v>
                </c:pt>
                <c:pt idx="8">
                  <c:v>10.6788</c:v>
                </c:pt>
                <c:pt idx="9">
                  <c:v>1.2807</c:v>
                </c:pt>
                <c:pt idx="10">
                  <c:v>2.7929</c:v>
                </c:pt>
                <c:pt idx="11">
                  <c:v>3.3961</c:v>
                </c:pt>
              </c:numCache>
            </c:numRef>
          </c:val>
        </c:ser>
        <c:dLbls>
          <c:showLegendKey val="0"/>
          <c:showVal val="0"/>
          <c:showCatName val="0"/>
          <c:showSerName val="0"/>
          <c:showPercent val="0"/>
          <c:showBubbleSize val="0"/>
        </c:dLbls>
        <c:gapWidth val="150"/>
        <c:axId val="426503168"/>
        <c:axId val="426504960"/>
      </c:barChart>
      <c:catAx>
        <c:axId val="426503168"/>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900" b="0" i="0" u="none" strike="noStrike" kern="1200" baseline="0">
                <a:solidFill>
                  <a:schemeClr val="tx1"/>
                </a:solidFill>
                <a:latin typeface="+mn-lt"/>
                <a:ea typeface="+mn-ea"/>
                <a:cs typeface="+mn-cs"/>
              </a:defRPr>
            </a:pPr>
          </a:p>
        </c:txPr>
        <c:crossAx val="426504960"/>
        <c:crosses val="autoZero"/>
        <c:auto val="1"/>
        <c:lblAlgn val="ctr"/>
        <c:lblOffset val="100"/>
        <c:noMultiLvlLbl val="0"/>
      </c:catAx>
      <c:valAx>
        <c:axId val="426504960"/>
        <c:scaling>
          <c:orientation val="minMax"/>
        </c:scaling>
        <c:delete val="0"/>
        <c:axPos val="l"/>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面积（</a:t>
                </a:r>
                <a:r>
                  <a:rPr lang="en-US" altLang="zh-CN"/>
                  <a:t>hm</a:t>
                </a:r>
                <a:r>
                  <a:rPr lang="en-US" altLang="zh-CN" baseline="30000"/>
                  <a:t>2</a:t>
                </a:r>
                <a:r>
                  <a:rPr lang="zh-CN" altLang="en-US"/>
                  <a:t>）</a:t>
                </a:r>
                <a:endParaRPr lang="zh-CN" altLang="en-US"/>
              </a:p>
            </c:rich>
          </c:tx>
          <c:layout>
            <c:manualLayout>
              <c:xMode val="edge"/>
              <c:yMode val="edge"/>
              <c:x val="0.013121901428988"/>
              <c:y val="0.333786430901745"/>
            </c:manualLayout>
          </c:layout>
          <c:overlay val="0"/>
        </c:title>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26503168"/>
        <c:crosses val="autoZero"/>
        <c:crossBetween val="between"/>
      </c:valAx>
      <c:spPr>
        <a:solidFill>
          <a:schemeClr val="bg1"/>
        </a:solidFill>
        <a:ln>
          <a:noFill/>
        </a:ln>
        <a:effectLst/>
      </c:spPr>
    </c:plotArea>
    <c:plotVisOnly val="1"/>
    <c:dispBlanksAs val="gap"/>
    <c:showDLblsOverMax val="0"/>
  </c:chart>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txPr>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p>
      </c:txPr>
    </c:title>
    <c:autoTitleDeleted val="0"/>
    <c:plotArea>
      <c:layout>
        <c:manualLayout>
          <c:layoutTarget val="inner"/>
          <c:xMode val="edge"/>
          <c:yMode val="edge"/>
          <c:x val="0.149199951901747"/>
          <c:y val="0.189921950545655"/>
          <c:w val="0.845624052428229"/>
          <c:h val="0.41396884035203"/>
        </c:manualLayout>
      </c:layout>
      <c:barChart>
        <c:barDir val="col"/>
        <c:grouping val="clustered"/>
        <c:varyColors val="0"/>
        <c:ser>
          <c:idx val="0"/>
          <c:order val="0"/>
          <c:tx>
            <c:strRef>
              <c:f>植被类型!$D$18</c:f>
              <c:strCache>
                <c:ptCount val="1"/>
                <c:pt idx="0">
                  <c:v>生态评价范围植被类型分布</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植被类型!$C$19:$C$28</c:f>
              <c:strCache>
                <c:ptCount val="10"/>
                <c:pt idx="0">
                  <c:v>白夹竹林</c:v>
                </c:pt>
                <c:pt idx="1">
                  <c:v>栓皮栎林</c:v>
                </c:pt>
                <c:pt idx="2">
                  <c:v>乌泡子、格药柃灌丛</c:v>
                </c:pt>
                <c:pt idx="3">
                  <c:v>马尾松林</c:v>
                </c:pt>
                <c:pt idx="4">
                  <c:v>柏木林</c:v>
                </c:pt>
                <c:pt idx="5">
                  <c:v>芒萁、芒草、里白草丛</c:v>
                </c:pt>
                <c:pt idx="6">
                  <c:v>建设用地</c:v>
                </c:pt>
                <c:pt idx="7">
                  <c:v>农业植被</c:v>
                </c:pt>
                <c:pt idx="8">
                  <c:v>桤木林</c:v>
                </c:pt>
                <c:pt idx="9">
                  <c:v>水体</c:v>
                </c:pt>
              </c:strCache>
            </c:strRef>
          </c:cat>
          <c:val>
            <c:numRef>
              <c:f>植被类型!$D$19:$D$28</c:f>
              <c:numCache>
                <c:formatCode>0.00</c:formatCode>
                <c:ptCount val="10"/>
                <c:pt idx="0">
                  <c:v>4.4345</c:v>
                </c:pt>
                <c:pt idx="1">
                  <c:v>3.5125</c:v>
                </c:pt>
                <c:pt idx="2">
                  <c:v>60.8598</c:v>
                </c:pt>
                <c:pt idx="3">
                  <c:v>589.2089</c:v>
                </c:pt>
                <c:pt idx="4">
                  <c:v>32.3</c:v>
                </c:pt>
                <c:pt idx="5">
                  <c:v>12.528</c:v>
                </c:pt>
                <c:pt idx="6">
                  <c:v>35.2736</c:v>
                </c:pt>
                <c:pt idx="7">
                  <c:v>183.2902</c:v>
                </c:pt>
                <c:pt idx="8">
                  <c:v>1.5018</c:v>
                </c:pt>
                <c:pt idx="9">
                  <c:v>6.189</c:v>
                </c:pt>
              </c:numCache>
            </c:numRef>
          </c:val>
        </c:ser>
        <c:dLbls>
          <c:showLegendKey val="0"/>
          <c:showVal val="0"/>
          <c:showCatName val="0"/>
          <c:showSerName val="0"/>
          <c:showPercent val="0"/>
          <c:showBubbleSize val="0"/>
        </c:dLbls>
        <c:gapWidth val="150"/>
        <c:axId val="442407168"/>
        <c:axId val="444874752"/>
      </c:barChart>
      <c:catAx>
        <c:axId val="442407168"/>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44874752"/>
        <c:crosses val="autoZero"/>
        <c:auto val="1"/>
        <c:lblAlgn val="ctr"/>
        <c:lblOffset val="100"/>
        <c:noMultiLvlLbl val="0"/>
      </c:catAx>
      <c:valAx>
        <c:axId val="444874752"/>
        <c:scaling>
          <c:orientation val="minMax"/>
        </c:scaling>
        <c:delete val="0"/>
        <c:axPos val="l"/>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面积（</a:t>
                </a:r>
                <a:r>
                  <a:rPr lang="en-US" altLang="zh-CN"/>
                  <a:t>hm</a:t>
                </a:r>
                <a:r>
                  <a:rPr lang="en-US" altLang="zh-CN" baseline="30000"/>
                  <a:t>2</a:t>
                </a:r>
                <a:r>
                  <a:rPr lang="zh-CN" altLang="en-US"/>
                  <a:t>）</a:t>
                </a:r>
                <a:endParaRPr lang="zh-CN" altLang="en-US"/>
              </a:p>
            </c:rich>
          </c:tx>
          <c:layout>
            <c:manualLayout>
              <c:xMode val="edge"/>
              <c:yMode val="edge"/>
              <c:x val="0.0319125689857488"/>
              <c:y val="0.384197057604642"/>
            </c:manualLayout>
          </c:layout>
          <c:overlay val="0"/>
        </c:title>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42407168"/>
        <c:crosses val="autoZero"/>
        <c:crossBetween val="between"/>
        <c:majorUnit val="200"/>
      </c:valAx>
      <c:spPr>
        <a:solidFill>
          <a:schemeClr val="bg1"/>
        </a:solidFill>
        <a:ln>
          <a:noFill/>
        </a:ln>
        <a:effectLst/>
      </c:spPr>
    </c:plotArea>
    <c:plotVisOnly val="1"/>
    <c:dispBlanksAs val="gap"/>
    <c:showDLblsOverMax val="0"/>
  </c:chart>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18874666829437"/>
          <c:y val="0.0426803243704652"/>
        </c:manualLayout>
      </c:layout>
      <c:overlay val="0"/>
      <c:txPr>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p>
      </c:txPr>
    </c:title>
    <c:autoTitleDeleted val="0"/>
    <c:plotArea>
      <c:layout>
        <c:manualLayout>
          <c:layoutTarget val="inner"/>
          <c:xMode val="edge"/>
          <c:yMode val="edge"/>
          <c:x val="0.154136605017396"/>
          <c:y val="0.181402132671956"/>
          <c:w val="0.843279415654438"/>
          <c:h val="0.504741884857223"/>
        </c:manualLayout>
      </c:layout>
      <c:barChart>
        <c:barDir val="col"/>
        <c:grouping val="clustered"/>
        <c:varyColors val="0"/>
        <c:ser>
          <c:idx val="0"/>
          <c:order val="0"/>
          <c:tx>
            <c:strRef>
              <c:f>植被覆盖度!$C$11</c:f>
              <c:strCache>
                <c:ptCount val="1"/>
                <c:pt idx="0">
                  <c:v>生态评价范围植被覆盖度分布</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植被覆盖度!$B$12:$B$16</c:f>
              <c:strCache>
                <c:ptCount val="5"/>
                <c:pt idx="0">
                  <c:v>低植被覆盖度</c:v>
                </c:pt>
                <c:pt idx="1">
                  <c:v>中低植被覆盖度</c:v>
                </c:pt>
                <c:pt idx="2">
                  <c:v>中植被覆盖度</c:v>
                </c:pt>
                <c:pt idx="3">
                  <c:v>中高植被覆盖度</c:v>
                </c:pt>
                <c:pt idx="4">
                  <c:v>高植被覆盖度</c:v>
                </c:pt>
              </c:strCache>
            </c:strRef>
          </c:cat>
          <c:val>
            <c:numRef>
              <c:f>植被覆盖度!$C$12:$C$16</c:f>
              <c:numCache>
                <c:formatCode>0.00</c:formatCode>
                <c:ptCount val="5"/>
                <c:pt idx="0">
                  <c:v>10.5447</c:v>
                </c:pt>
                <c:pt idx="1">
                  <c:v>26.7896</c:v>
                </c:pt>
                <c:pt idx="2">
                  <c:v>107.1371</c:v>
                </c:pt>
                <c:pt idx="3">
                  <c:v>274.1996</c:v>
                </c:pt>
                <c:pt idx="4">
                  <c:v>510.4273</c:v>
                </c:pt>
              </c:numCache>
            </c:numRef>
          </c:val>
        </c:ser>
        <c:dLbls>
          <c:showLegendKey val="0"/>
          <c:showVal val="0"/>
          <c:showCatName val="0"/>
          <c:showSerName val="0"/>
          <c:showPercent val="0"/>
          <c:showBubbleSize val="0"/>
        </c:dLbls>
        <c:gapWidth val="150"/>
        <c:axId val="445281408"/>
        <c:axId val="445282944"/>
      </c:barChart>
      <c:catAx>
        <c:axId val="445281408"/>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45282944"/>
        <c:crosses val="autoZero"/>
        <c:auto val="1"/>
        <c:lblAlgn val="ctr"/>
        <c:lblOffset val="100"/>
        <c:noMultiLvlLbl val="0"/>
      </c:catAx>
      <c:valAx>
        <c:axId val="445282944"/>
        <c:scaling>
          <c:orientation val="minMax"/>
        </c:scaling>
        <c:delete val="0"/>
        <c:axPos val="l"/>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面积（</a:t>
                </a:r>
                <a:r>
                  <a:rPr lang="en-US" altLang="zh-CN"/>
                  <a:t>hm</a:t>
                </a:r>
                <a:r>
                  <a:rPr lang="en-US" altLang="zh-CN" baseline="30000"/>
                  <a:t>2</a:t>
                </a:r>
                <a:r>
                  <a:rPr lang="zh-CN" altLang="en-US"/>
                  <a:t>）</a:t>
                </a:r>
                <a:endParaRPr lang="zh-CN" altLang="en-US"/>
              </a:p>
            </c:rich>
          </c:tx>
          <c:layout>
            <c:manualLayout>
              <c:xMode val="edge"/>
              <c:yMode val="edge"/>
              <c:x val="0.0350001017314696"/>
              <c:y val="0.320319195055804"/>
            </c:manualLayout>
          </c:layout>
          <c:overlay val="0"/>
        </c:title>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45281408"/>
        <c:crosses val="autoZero"/>
        <c:crossBetween val="between"/>
        <c:majorUnit val="100"/>
      </c:valAx>
      <c:spPr>
        <a:solidFill>
          <a:schemeClr val="bg1"/>
        </a:solidFill>
        <a:ln>
          <a:noFill/>
        </a:ln>
        <a:effectLst/>
      </c:spPr>
    </c:plotArea>
    <c:plotVisOnly val="1"/>
    <c:dispBlanksAs val="gap"/>
    <c:showDLblsOverMax val="0"/>
  </c:chart>
  <c:txPr>
    <a:bodyPr/>
    <a:lstStyle/>
    <a:p>
      <a:pPr>
        <a:defRPr lang="zh-CN"/>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xPr>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p>
      </c:txPr>
    </c:title>
    <c:autoTitleDeleted val="0"/>
    <c:plotArea>
      <c:layout>
        <c:manualLayout>
          <c:layoutTarget val="inner"/>
          <c:xMode val="edge"/>
          <c:yMode val="edge"/>
          <c:x val="0.170424349130272"/>
          <c:y val="0.184628996847092"/>
          <c:w val="0.818464607684909"/>
          <c:h val="0.507331913699467"/>
        </c:manualLayout>
      </c:layout>
      <c:barChart>
        <c:barDir val="col"/>
        <c:grouping val="clustered"/>
        <c:varyColors val="0"/>
        <c:ser>
          <c:idx val="0"/>
          <c:order val="0"/>
          <c:tx>
            <c:strRef>
              <c:f>土壤侵蚀!$C$11</c:f>
              <c:strCache>
                <c:ptCount val="1"/>
                <c:pt idx="0">
                  <c:v>生态评价范围土壤侵蚀类型分布</c:v>
                </c:pt>
              </c:strCache>
            </c:strRef>
          </c:tx>
          <c:invertIfNegative val="0"/>
          <c:dLbls>
            <c:dLbl>
              <c:idx val="0"/>
              <c:layout>
                <c:manualLayout>
                  <c:x val="0.005175983436853"/>
                  <c:y val="-0.012578616352201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181159420289855"/>
                  <c:y val="-0.012578616352201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15527950310559"/>
                  <c:y val="-0.012578616352201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258799171842651"/>
                  <c:y val="-0.025157232704402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土壤侵蚀!$B$12:$B$15</c:f>
              <c:strCache>
                <c:ptCount val="4"/>
                <c:pt idx="0">
                  <c:v>微度水力侵蚀</c:v>
                </c:pt>
                <c:pt idx="1">
                  <c:v>中度水力侵蚀</c:v>
                </c:pt>
                <c:pt idx="2">
                  <c:v>强度水力侵蚀</c:v>
                </c:pt>
                <c:pt idx="3">
                  <c:v>极强度水力侵蚀</c:v>
                </c:pt>
              </c:strCache>
            </c:strRef>
          </c:cat>
          <c:val>
            <c:numRef>
              <c:f>土壤侵蚀!$C$12:$C$15</c:f>
              <c:numCache>
                <c:formatCode>0.00</c:formatCode>
                <c:ptCount val="4"/>
                <c:pt idx="0">
                  <c:v>453.5222</c:v>
                </c:pt>
                <c:pt idx="1">
                  <c:v>213.6942</c:v>
                </c:pt>
                <c:pt idx="2">
                  <c:v>224.809</c:v>
                </c:pt>
                <c:pt idx="3">
                  <c:v>37.0729</c:v>
                </c:pt>
              </c:numCache>
            </c:numRef>
          </c:val>
        </c:ser>
        <c:dLbls>
          <c:showLegendKey val="0"/>
          <c:showVal val="0"/>
          <c:showCatName val="0"/>
          <c:showSerName val="0"/>
          <c:showPercent val="0"/>
          <c:showBubbleSize val="0"/>
        </c:dLbls>
        <c:gapWidth val="150"/>
        <c:axId val="449091072"/>
        <c:axId val="449092608"/>
      </c:barChart>
      <c:catAx>
        <c:axId val="44909107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49092608"/>
        <c:crosses val="autoZero"/>
        <c:auto val="1"/>
        <c:lblAlgn val="ctr"/>
        <c:lblOffset val="100"/>
        <c:noMultiLvlLbl val="0"/>
      </c:catAx>
      <c:valAx>
        <c:axId val="449092608"/>
        <c:scaling>
          <c:orientation val="minMax"/>
        </c:scaling>
        <c:delete val="0"/>
        <c:axPos val="l"/>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面积（</a:t>
                </a:r>
                <a:r>
                  <a:rPr lang="en-US" altLang="zh-CN"/>
                  <a:t>hm</a:t>
                </a:r>
                <a:r>
                  <a:rPr lang="en-US" altLang="zh-CN" baseline="30000"/>
                  <a:t>2</a:t>
                </a:r>
                <a:r>
                  <a:rPr lang="zh-CN" altLang="en-US"/>
                  <a:t>）</a:t>
                </a:r>
                <a:endParaRPr lang="zh-CN" altLang="en-US"/>
              </a:p>
            </c:rich>
          </c:tx>
          <c:layout>
            <c:manualLayout>
              <c:xMode val="edge"/>
              <c:yMode val="edge"/>
              <c:x val="0.0312904501067801"/>
              <c:y val="0.320135360438436"/>
            </c:manualLayout>
          </c:layout>
          <c:overlay val="0"/>
        </c:title>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49091072"/>
        <c:crosses val="autoZero"/>
        <c:crossBetween val="between"/>
      </c:valAx>
      <c:spPr>
        <a:solidFill>
          <a:schemeClr val="bg1"/>
        </a:solidFill>
        <a:ln>
          <a:noFill/>
        </a:ln>
        <a:effectLst/>
      </c:spPr>
    </c:plotArea>
    <c:plotVisOnly val="1"/>
    <c:dispBlanksAs val="gap"/>
    <c:showDLblsOverMax val="0"/>
  </c:chart>
  <c:txPr>
    <a:bodyPr/>
    <a:lstStyle/>
    <a:p>
      <a:pPr>
        <a:defRPr lang="zh-CN"/>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26EFC13-CB76-43C0-BEE0-320C2B12E7A1}">
  <ds:schemaRefs/>
</ds:datastoreItem>
</file>

<file path=docProps/app.xml><?xml version="1.0" encoding="utf-8"?>
<Properties xmlns="http://schemas.openxmlformats.org/officeDocument/2006/extended-properties" xmlns:vt="http://schemas.openxmlformats.org/officeDocument/2006/docPropsVTypes">
  <Template>Normal</Template>
  <Company>Guohuan</Company>
  <Pages>443</Pages>
  <Words>51256</Words>
  <Characters>292163</Characters>
  <Lines>2434</Lines>
  <Paragraphs>685</Paragraphs>
  <TotalTime>287</TotalTime>
  <ScaleCrop>false</ScaleCrop>
  <LinksUpToDate>false</LinksUpToDate>
  <CharactersWithSpaces>342734</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2024-03-26T01:33:00Z</dcterms:created>
  <dc:creator>陈大扬</dc:creator>
  <cp:lastModifiedBy>Administrator</cp:lastModifiedBy>
  <cp:lastPrinted>2024-03-26T05:23:00Z</cp:lastPrinted>
  <dcterms:modified xsi:type="dcterms:W3CDTF">2024-03-27T09:10:11Z</dcterms:modified>
  <dc:subject>模版</dc:subject>
  <dc:title>文档模版</dc:title>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部门">
    <vt:lpwstr>环评室</vt:lpwstr>
  </property>
  <property fmtid="{D5CDD505-2E9C-101B-9397-08002B2CF9AE}" pid="3" name="KSOProductBuildVer">
    <vt:lpwstr>2052-12.1.0.15990</vt:lpwstr>
  </property>
  <property fmtid="{D5CDD505-2E9C-101B-9397-08002B2CF9AE}" pid="4" name="ICV">
    <vt:lpwstr>70FBEB9EC563472A950B48E7FF3DD650_12</vt:lpwstr>
  </property>
</Properties>
</file>